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440A1" w14:textId="77777777" w:rsidR="007777A1" w:rsidRPr="003865EB" w:rsidRDefault="007777A1" w:rsidP="007777A1">
      <w:pPr>
        <w:jc w:val="center"/>
        <w:rPr>
          <w:rFonts w:cs="Times New Roman"/>
        </w:rPr>
      </w:pPr>
      <w:r w:rsidRPr="003865EB">
        <w:rPr>
          <w:rFonts w:cs="Times New Roman"/>
          <w:noProof/>
        </w:rPr>
        <w:drawing>
          <wp:inline distT="0" distB="0" distL="0" distR="0" wp14:anchorId="1F69782E" wp14:editId="2C343356">
            <wp:extent cx="2025754" cy="838243"/>
            <wp:effectExtent l="0" t="0" r="0" b="0"/>
            <wp:docPr id="1809957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57361" name=""/>
                    <pic:cNvPicPr/>
                  </pic:nvPicPr>
                  <pic:blipFill>
                    <a:blip r:embed="rId8"/>
                    <a:stretch>
                      <a:fillRect/>
                    </a:stretch>
                  </pic:blipFill>
                  <pic:spPr>
                    <a:xfrm>
                      <a:off x="0" y="0"/>
                      <a:ext cx="2025754" cy="838243"/>
                    </a:xfrm>
                    <a:prstGeom prst="rect">
                      <a:avLst/>
                    </a:prstGeom>
                  </pic:spPr>
                </pic:pic>
              </a:graphicData>
            </a:graphic>
          </wp:inline>
        </w:drawing>
      </w:r>
    </w:p>
    <w:p w14:paraId="62601E27" w14:textId="77777777" w:rsidR="007777A1" w:rsidRPr="003865EB" w:rsidRDefault="007777A1" w:rsidP="007777A1">
      <w:pPr>
        <w:jc w:val="center"/>
        <w:rPr>
          <w:rFonts w:cs="Times New Roman"/>
        </w:rPr>
      </w:pPr>
    </w:p>
    <w:p w14:paraId="1C71AAD1" w14:textId="3B24F409" w:rsidR="007777A1" w:rsidRPr="003865EB" w:rsidRDefault="00FF17DD" w:rsidP="007777A1">
      <w:pPr>
        <w:jc w:val="center"/>
        <w:rPr>
          <w:rFonts w:cs="Times New Roman"/>
          <w:b/>
          <w:bCs/>
          <w:sz w:val="32"/>
          <w:szCs w:val="32"/>
        </w:rPr>
      </w:pPr>
      <w:r w:rsidRPr="00FF17DD">
        <w:rPr>
          <w:rFonts w:cs="Times New Roman"/>
          <w:b/>
          <w:bCs/>
          <w:sz w:val="32"/>
          <w:szCs w:val="32"/>
        </w:rPr>
        <w:t>Assessment component - Individual report</w:t>
      </w:r>
    </w:p>
    <w:tbl>
      <w:tblPr>
        <w:tblStyle w:val="TableGrid"/>
        <w:tblW w:w="0" w:type="auto"/>
        <w:jc w:val="center"/>
        <w:tblLook w:val="04A0" w:firstRow="1" w:lastRow="0" w:firstColumn="1" w:lastColumn="0" w:noHBand="0" w:noVBand="1"/>
      </w:tblPr>
      <w:tblGrid>
        <w:gridCol w:w="3055"/>
        <w:gridCol w:w="5961"/>
      </w:tblGrid>
      <w:tr w:rsidR="007777A1" w:rsidRPr="003865EB" w14:paraId="409F6689" w14:textId="77777777" w:rsidTr="00B82C09">
        <w:trPr>
          <w:jc w:val="center"/>
        </w:trPr>
        <w:tc>
          <w:tcPr>
            <w:tcW w:w="3145" w:type="dxa"/>
          </w:tcPr>
          <w:p w14:paraId="4FB2D5F0" w14:textId="77777777" w:rsidR="007777A1" w:rsidRPr="003865EB" w:rsidRDefault="007777A1" w:rsidP="00B82C09">
            <w:pPr>
              <w:rPr>
                <w:rFonts w:cs="Times New Roman"/>
                <w:b/>
                <w:bCs/>
                <w:sz w:val="28"/>
                <w:szCs w:val="28"/>
              </w:rPr>
            </w:pPr>
            <w:r w:rsidRPr="003865EB">
              <w:rPr>
                <w:rFonts w:cs="Times New Roman"/>
                <w:b/>
                <w:bCs/>
                <w:sz w:val="28"/>
                <w:szCs w:val="28"/>
              </w:rPr>
              <w:t>Student Name</w:t>
            </w:r>
          </w:p>
        </w:tc>
        <w:tc>
          <w:tcPr>
            <w:tcW w:w="6205" w:type="dxa"/>
          </w:tcPr>
          <w:p w14:paraId="1AC63301" w14:textId="77777777" w:rsidR="007777A1" w:rsidRPr="003865EB" w:rsidRDefault="007777A1" w:rsidP="00B82C09">
            <w:pPr>
              <w:rPr>
                <w:rFonts w:cs="Times New Roman"/>
                <w:b/>
                <w:bCs/>
                <w:sz w:val="28"/>
                <w:szCs w:val="28"/>
              </w:rPr>
            </w:pPr>
            <w:proofErr w:type="spellStart"/>
            <w:r w:rsidRPr="003865EB">
              <w:rPr>
                <w:rFonts w:cs="Times New Roman"/>
                <w:b/>
                <w:bCs/>
                <w:sz w:val="28"/>
                <w:szCs w:val="28"/>
              </w:rPr>
              <w:t>Kharul</w:t>
            </w:r>
            <w:proofErr w:type="spellEnd"/>
            <w:r w:rsidRPr="003865EB">
              <w:rPr>
                <w:rFonts w:cs="Times New Roman"/>
                <w:b/>
                <w:bCs/>
                <w:sz w:val="28"/>
                <w:szCs w:val="28"/>
              </w:rPr>
              <w:t xml:space="preserve"> </w:t>
            </w:r>
            <w:proofErr w:type="spellStart"/>
            <w:r w:rsidRPr="003865EB">
              <w:rPr>
                <w:rFonts w:cs="Times New Roman"/>
                <w:b/>
                <w:bCs/>
                <w:sz w:val="28"/>
                <w:szCs w:val="28"/>
              </w:rPr>
              <w:t>Alam</w:t>
            </w:r>
            <w:proofErr w:type="spellEnd"/>
            <w:r w:rsidRPr="003865EB">
              <w:rPr>
                <w:rFonts w:cs="Times New Roman"/>
                <w:b/>
                <w:bCs/>
                <w:sz w:val="28"/>
                <w:szCs w:val="28"/>
              </w:rPr>
              <w:t xml:space="preserve"> Riad</w:t>
            </w:r>
          </w:p>
        </w:tc>
      </w:tr>
      <w:tr w:rsidR="007777A1" w:rsidRPr="003865EB" w14:paraId="7CCEE735" w14:textId="77777777" w:rsidTr="00B82C09">
        <w:trPr>
          <w:jc w:val="center"/>
        </w:trPr>
        <w:tc>
          <w:tcPr>
            <w:tcW w:w="3145" w:type="dxa"/>
          </w:tcPr>
          <w:p w14:paraId="3E2D5FF3" w14:textId="77777777" w:rsidR="007777A1" w:rsidRPr="003865EB" w:rsidRDefault="007777A1" w:rsidP="00B82C09">
            <w:pPr>
              <w:rPr>
                <w:rFonts w:cs="Times New Roman"/>
                <w:b/>
                <w:bCs/>
                <w:sz w:val="28"/>
                <w:szCs w:val="28"/>
              </w:rPr>
            </w:pPr>
            <w:r w:rsidRPr="003865EB">
              <w:rPr>
                <w:rFonts w:cs="Times New Roman"/>
                <w:b/>
                <w:bCs/>
                <w:sz w:val="28"/>
                <w:szCs w:val="28"/>
              </w:rPr>
              <w:t>ID</w:t>
            </w:r>
          </w:p>
        </w:tc>
        <w:tc>
          <w:tcPr>
            <w:tcW w:w="6205" w:type="dxa"/>
          </w:tcPr>
          <w:p w14:paraId="6DC6C05F" w14:textId="77777777" w:rsidR="007777A1" w:rsidRPr="003865EB" w:rsidRDefault="007777A1" w:rsidP="00B82C09">
            <w:pPr>
              <w:rPr>
                <w:rFonts w:cs="Times New Roman"/>
                <w:b/>
                <w:bCs/>
                <w:sz w:val="28"/>
                <w:szCs w:val="28"/>
              </w:rPr>
            </w:pPr>
            <w:r w:rsidRPr="003865EB">
              <w:rPr>
                <w:rFonts w:cs="Times New Roman"/>
                <w:b/>
                <w:bCs/>
                <w:sz w:val="28"/>
                <w:szCs w:val="28"/>
              </w:rPr>
              <w:t>2438577</w:t>
            </w:r>
          </w:p>
        </w:tc>
      </w:tr>
      <w:tr w:rsidR="007777A1" w:rsidRPr="003865EB" w14:paraId="27F118DA" w14:textId="77777777" w:rsidTr="00B82C09">
        <w:trPr>
          <w:jc w:val="center"/>
        </w:trPr>
        <w:tc>
          <w:tcPr>
            <w:tcW w:w="3145" w:type="dxa"/>
          </w:tcPr>
          <w:p w14:paraId="2888CF45" w14:textId="77777777" w:rsidR="007777A1" w:rsidRPr="003865EB" w:rsidRDefault="007777A1" w:rsidP="00B82C09">
            <w:pPr>
              <w:rPr>
                <w:rFonts w:cs="Times New Roman"/>
                <w:b/>
                <w:bCs/>
                <w:sz w:val="28"/>
                <w:szCs w:val="28"/>
              </w:rPr>
            </w:pPr>
            <w:r w:rsidRPr="003865EB">
              <w:rPr>
                <w:rFonts w:cs="Times New Roman"/>
                <w:b/>
                <w:bCs/>
                <w:sz w:val="28"/>
                <w:szCs w:val="28"/>
              </w:rPr>
              <w:t xml:space="preserve">Program </w:t>
            </w:r>
          </w:p>
        </w:tc>
        <w:tc>
          <w:tcPr>
            <w:tcW w:w="6205" w:type="dxa"/>
          </w:tcPr>
          <w:p w14:paraId="23845D04" w14:textId="26F32A49" w:rsidR="007777A1" w:rsidRPr="003865EB" w:rsidRDefault="007777A1" w:rsidP="00B82C09">
            <w:pPr>
              <w:rPr>
                <w:rFonts w:cs="Times New Roman"/>
                <w:b/>
                <w:bCs/>
                <w:sz w:val="28"/>
                <w:szCs w:val="28"/>
              </w:rPr>
            </w:pPr>
            <w:r w:rsidRPr="007777A1">
              <w:rPr>
                <w:rFonts w:cs="Times New Roman"/>
                <w:b/>
                <w:bCs/>
                <w:sz w:val="28"/>
                <w:szCs w:val="28"/>
              </w:rPr>
              <w:t>Master of Business Administration</w:t>
            </w:r>
          </w:p>
        </w:tc>
      </w:tr>
      <w:tr w:rsidR="007777A1" w:rsidRPr="003865EB" w14:paraId="32CED128" w14:textId="77777777" w:rsidTr="00B82C09">
        <w:trPr>
          <w:jc w:val="center"/>
        </w:trPr>
        <w:tc>
          <w:tcPr>
            <w:tcW w:w="3145" w:type="dxa"/>
          </w:tcPr>
          <w:p w14:paraId="67533816" w14:textId="77777777" w:rsidR="007777A1" w:rsidRPr="003865EB" w:rsidRDefault="007777A1" w:rsidP="00B82C09">
            <w:pPr>
              <w:rPr>
                <w:rFonts w:cs="Times New Roman"/>
                <w:b/>
                <w:bCs/>
                <w:sz w:val="28"/>
                <w:szCs w:val="28"/>
              </w:rPr>
            </w:pPr>
            <w:r w:rsidRPr="003865EB">
              <w:rPr>
                <w:rFonts w:cs="Times New Roman"/>
                <w:b/>
                <w:bCs/>
                <w:sz w:val="28"/>
                <w:szCs w:val="28"/>
              </w:rPr>
              <w:t>Module Code</w:t>
            </w:r>
          </w:p>
        </w:tc>
        <w:tc>
          <w:tcPr>
            <w:tcW w:w="6205" w:type="dxa"/>
          </w:tcPr>
          <w:p w14:paraId="7E9B9C79" w14:textId="5AB856D7" w:rsidR="007777A1" w:rsidRPr="003865EB" w:rsidRDefault="007777A1" w:rsidP="00B82C09">
            <w:pPr>
              <w:rPr>
                <w:rFonts w:cs="Times New Roman"/>
                <w:b/>
                <w:bCs/>
                <w:sz w:val="28"/>
                <w:szCs w:val="28"/>
              </w:rPr>
            </w:pPr>
            <w:r w:rsidRPr="007777A1">
              <w:rPr>
                <w:rFonts w:cs="Times New Roman"/>
                <w:b/>
                <w:bCs/>
                <w:sz w:val="28"/>
                <w:szCs w:val="28"/>
              </w:rPr>
              <w:t>LCMB7003</w:t>
            </w:r>
          </w:p>
        </w:tc>
      </w:tr>
      <w:tr w:rsidR="007777A1" w:rsidRPr="003865EB" w14:paraId="2F453C67" w14:textId="77777777" w:rsidTr="00B82C09">
        <w:trPr>
          <w:jc w:val="center"/>
        </w:trPr>
        <w:tc>
          <w:tcPr>
            <w:tcW w:w="3145" w:type="dxa"/>
          </w:tcPr>
          <w:p w14:paraId="433AC778" w14:textId="77777777" w:rsidR="007777A1" w:rsidRPr="003865EB" w:rsidRDefault="007777A1" w:rsidP="00B82C09">
            <w:pPr>
              <w:rPr>
                <w:rFonts w:cs="Times New Roman"/>
                <w:b/>
                <w:bCs/>
                <w:sz w:val="28"/>
                <w:szCs w:val="28"/>
              </w:rPr>
            </w:pPr>
            <w:r w:rsidRPr="003865EB">
              <w:rPr>
                <w:rFonts w:cs="Times New Roman"/>
                <w:b/>
                <w:bCs/>
                <w:sz w:val="28"/>
                <w:szCs w:val="28"/>
              </w:rPr>
              <w:t>Module</w:t>
            </w:r>
          </w:p>
        </w:tc>
        <w:tc>
          <w:tcPr>
            <w:tcW w:w="6205" w:type="dxa"/>
          </w:tcPr>
          <w:p w14:paraId="41031B90" w14:textId="42E5ADAA" w:rsidR="007777A1" w:rsidRPr="003865EB" w:rsidRDefault="007777A1" w:rsidP="00B82C09">
            <w:pPr>
              <w:rPr>
                <w:rFonts w:cs="Times New Roman"/>
                <w:b/>
                <w:bCs/>
                <w:sz w:val="28"/>
                <w:szCs w:val="28"/>
              </w:rPr>
            </w:pPr>
            <w:r w:rsidRPr="007777A1">
              <w:rPr>
                <w:rFonts w:cs="Times New Roman"/>
                <w:b/>
                <w:bCs/>
                <w:sz w:val="28"/>
                <w:szCs w:val="28"/>
              </w:rPr>
              <w:t>Strategic Management</w:t>
            </w:r>
          </w:p>
        </w:tc>
      </w:tr>
      <w:tr w:rsidR="007777A1" w:rsidRPr="003865EB" w14:paraId="7477C355" w14:textId="77777777" w:rsidTr="00B82C09">
        <w:trPr>
          <w:jc w:val="center"/>
        </w:trPr>
        <w:tc>
          <w:tcPr>
            <w:tcW w:w="3145" w:type="dxa"/>
          </w:tcPr>
          <w:p w14:paraId="0E2B1423" w14:textId="77777777" w:rsidR="007777A1" w:rsidRPr="003865EB" w:rsidRDefault="007777A1" w:rsidP="00B82C09">
            <w:pPr>
              <w:rPr>
                <w:rFonts w:cs="Times New Roman"/>
                <w:b/>
                <w:bCs/>
                <w:sz w:val="28"/>
                <w:szCs w:val="28"/>
              </w:rPr>
            </w:pPr>
            <w:r w:rsidRPr="003865EB">
              <w:rPr>
                <w:rFonts w:cs="Times New Roman"/>
                <w:b/>
                <w:bCs/>
                <w:sz w:val="28"/>
                <w:szCs w:val="28"/>
              </w:rPr>
              <w:t>Assignment Title</w:t>
            </w:r>
          </w:p>
        </w:tc>
        <w:tc>
          <w:tcPr>
            <w:tcW w:w="6205" w:type="dxa"/>
          </w:tcPr>
          <w:p w14:paraId="25B03897" w14:textId="133860BC" w:rsidR="007777A1" w:rsidRPr="003865EB" w:rsidRDefault="007777A1" w:rsidP="00B82C09">
            <w:pPr>
              <w:rPr>
                <w:rFonts w:cs="Times New Roman"/>
                <w:b/>
                <w:bCs/>
                <w:sz w:val="28"/>
                <w:szCs w:val="28"/>
              </w:rPr>
            </w:pPr>
            <w:r w:rsidRPr="007777A1">
              <w:rPr>
                <w:rFonts w:cs="Times New Roman"/>
                <w:b/>
                <w:bCs/>
                <w:sz w:val="28"/>
                <w:szCs w:val="28"/>
              </w:rPr>
              <w:t>Assessment component - Individual report</w:t>
            </w:r>
          </w:p>
        </w:tc>
      </w:tr>
      <w:tr w:rsidR="007777A1" w:rsidRPr="003865EB" w14:paraId="15BC0F62" w14:textId="77777777" w:rsidTr="00B82C09">
        <w:trPr>
          <w:jc w:val="center"/>
        </w:trPr>
        <w:tc>
          <w:tcPr>
            <w:tcW w:w="3145" w:type="dxa"/>
          </w:tcPr>
          <w:p w14:paraId="318D82D9" w14:textId="77777777" w:rsidR="007777A1" w:rsidRPr="003865EB" w:rsidRDefault="007777A1" w:rsidP="00B82C09">
            <w:pPr>
              <w:rPr>
                <w:rFonts w:cs="Times New Roman"/>
                <w:b/>
                <w:bCs/>
                <w:sz w:val="28"/>
                <w:szCs w:val="28"/>
              </w:rPr>
            </w:pPr>
            <w:r w:rsidRPr="003865EB">
              <w:rPr>
                <w:rFonts w:cs="Times New Roman"/>
                <w:b/>
                <w:bCs/>
                <w:sz w:val="28"/>
                <w:szCs w:val="28"/>
              </w:rPr>
              <w:t>Lecturer Name</w:t>
            </w:r>
          </w:p>
        </w:tc>
        <w:tc>
          <w:tcPr>
            <w:tcW w:w="6205" w:type="dxa"/>
          </w:tcPr>
          <w:p w14:paraId="1E2B1404" w14:textId="77777777" w:rsidR="007777A1" w:rsidRPr="007777A1" w:rsidRDefault="007777A1" w:rsidP="007777A1">
            <w:pPr>
              <w:rPr>
                <w:rFonts w:cs="Times New Roman"/>
                <w:b/>
                <w:bCs/>
                <w:sz w:val="28"/>
                <w:szCs w:val="28"/>
              </w:rPr>
            </w:pPr>
            <w:r w:rsidRPr="007777A1">
              <w:rPr>
                <w:rFonts w:cs="Times New Roman"/>
                <w:b/>
                <w:bCs/>
                <w:sz w:val="28"/>
                <w:szCs w:val="28"/>
              </w:rPr>
              <w:t>Amare Desta</w:t>
            </w:r>
          </w:p>
          <w:p w14:paraId="1CE19920" w14:textId="75AB9FFD" w:rsidR="007777A1" w:rsidRPr="003865EB" w:rsidRDefault="007777A1" w:rsidP="007777A1">
            <w:pPr>
              <w:rPr>
                <w:rFonts w:cs="Times New Roman"/>
                <w:b/>
                <w:bCs/>
                <w:sz w:val="28"/>
                <w:szCs w:val="28"/>
              </w:rPr>
            </w:pPr>
            <w:proofErr w:type="spellStart"/>
            <w:r w:rsidRPr="007777A1">
              <w:rPr>
                <w:rFonts w:cs="Times New Roman"/>
                <w:b/>
                <w:bCs/>
                <w:sz w:val="28"/>
                <w:szCs w:val="28"/>
              </w:rPr>
              <w:t>Zulf</w:t>
            </w:r>
            <w:proofErr w:type="spellEnd"/>
            <w:r w:rsidRPr="007777A1">
              <w:rPr>
                <w:rFonts w:cs="Times New Roman"/>
                <w:b/>
                <w:bCs/>
                <w:sz w:val="28"/>
                <w:szCs w:val="28"/>
              </w:rPr>
              <w:t xml:space="preserve"> Khan</w:t>
            </w:r>
          </w:p>
        </w:tc>
      </w:tr>
    </w:tbl>
    <w:p w14:paraId="6AA6E343" w14:textId="77777777" w:rsidR="007777A1" w:rsidRPr="00471748" w:rsidRDefault="007777A1" w:rsidP="007777A1">
      <w:pPr>
        <w:rPr>
          <w:rFonts w:eastAsiaTheme="majorEastAsia" w:cs="Times New Roman"/>
          <w:b/>
          <w:color w:val="000000" w:themeColor="text1"/>
          <w:sz w:val="32"/>
          <w:szCs w:val="32"/>
        </w:rPr>
      </w:pPr>
    </w:p>
    <w:p w14:paraId="66863731" w14:textId="77777777" w:rsidR="007A1CFC" w:rsidRPr="00165D8F" w:rsidRDefault="007A1CFC">
      <w:pPr>
        <w:rPr>
          <w:b/>
          <w:bCs/>
        </w:rPr>
      </w:pPr>
      <w:r w:rsidRPr="00165D8F">
        <w:rPr>
          <w:b/>
          <w:bCs/>
        </w:rPr>
        <w:br w:type="page"/>
      </w:r>
    </w:p>
    <w:sdt>
      <w:sdtPr>
        <w:rPr>
          <w:rFonts w:ascii="Times New Roman" w:eastAsiaTheme="minorHAnsi" w:hAnsi="Times New Roman" w:cs="Times New Roman"/>
          <w:b/>
          <w:bCs/>
          <w:color w:val="auto"/>
          <w:sz w:val="24"/>
          <w:szCs w:val="22"/>
          <w:lang w:val="en-GB"/>
        </w:rPr>
        <w:id w:val="-1162775434"/>
        <w:docPartObj>
          <w:docPartGallery w:val="Table of Contents"/>
          <w:docPartUnique/>
        </w:docPartObj>
      </w:sdtPr>
      <w:sdtEndPr>
        <w:rPr>
          <w:rFonts w:cstheme="minorBidi"/>
          <w:noProof/>
        </w:rPr>
      </w:sdtEndPr>
      <w:sdtContent>
        <w:p w14:paraId="1674DAA0" w14:textId="31EBBA53" w:rsidR="00850FE8" w:rsidRPr="00165D8F" w:rsidRDefault="00850FE8">
          <w:pPr>
            <w:pStyle w:val="TOCHeading"/>
            <w:rPr>
              <w:rFonts w:ascii="Times New Roman" w:hAnsi="Times New Roman" w:cs="Times New Roman"/>
              <w:b/>
              <w:bCs/>
              <w:color w:val="auto"/>
              <w:lang w:val="en-GB"/>
            </w:rPr>
          </w:pPr>
          <w:r w:rsidRPr="00165D8F">
            <w:rPr>
              <w:rFonts w:ascii="Times New Roman" w:hAnsi="Times New Roman" w:cs="Times New Roman"/>
              <w:b/>
              <w:bCs/>
              <w:color w:val="auto"/>
              <w:lang w:val="en-GB"/>
            </w:rPr>
            <w:t>Table of Contents</w:t>
          </w:r>
        </w:p>
        <w:p w14:paraId="09972B54" w14:textId="06479788" w:rsidR="008E458F" w:rsidRDefault="00850FE8">
          <w:pPr>
            <w:pStyle w:val="TOC1"/>
            <w:tabs>
              <w:tab w:val="right" w:leader="dot" w:pos="9016"/>
            </w:tabs>
            <w:rPr>
              <w:rFonts w:asciiTheme="minorHAnsi" w:eastAsiaTheme="minorEastAsia" w:hAnsiTheme="minorHAnsi"/>
              <w:noProof/>
              <w:sz w:val="22"/>
              <w:lang w:val="en-US"/>
            </w:rPr>
          </w:pPr>
          <w:r w:rsidRPr="00165D8F">
            <w:fldChar w:fldCharType="begin"/>
          </w:r>
          <w:r w:rsidRPr="00165D8F">
            <w:instrText xml:space="preserve"> TOC \o "1-3" \h \z \u </w:instrText>
          </w:r>
          <w:r w:rsidRPr="00165D8F">
            <w:fldChar w:fldCharType="separate"/>
          </w:r>
          <w:hyperlink w:anchor="_Toc221712022" w:history="1">
            <w:r w:rsidR="008E458F" w:rsidRPr="006A742D">
              <w:rPr>
                <w:rStyle w:val="Hyperlink"/>
                <w:noProof/>
              </w:rPr>
              <w:t>Introduction</w:t>
            </w:r>
            <w:r w:rsidR="008E458F">
              <w:rPr>
                <w:noProof/>
                <w:webHidden/>
              </w:rPr>
              <w:tab/>
            </w:r>
            <w:r w:rsidR="008E458F">
              <w:rPr>
                <w:noProof/>
                <w:webHidden/>
              </w:rPr>
              <w:fldChar w:fldCharType="begin"/>
            </w:r>
            <w:r w:rsidR="008E458F">
              <w:rPr>
                <w:noProof/>
                <w:webHidden/>
              </w:rPr>
              <w:instrText xml:space="preserve"> PAGEREF _Toc221712022 \h </w:instrText>
            </w:r>
            <w:r w:rsidR="008E458F">
              <w:rPr>
                <w:noProof/>
                <w:webHidden/>
              </w:rPr>
            </w:r>
            <w:r w:rsidR="008E458F">
              <w:rPr>
                <w:noProof/>
                <w:webHidden/>
              </w:rPr>
              <w:fldChar w:fldCharType="separate"/>
            </w:r>
            <w:r w:rsidR="008E458F">
              <w:rPr>
                <w:noProof/>
                <w:webHidden/>
              </w:rPr>
              <w:t>4</w:t>
            </w:r>
            <w:r w:rsidR="008E458F">
              <w:rPr>
                <w:noProof/>
                <w:webHidden/>
              </w:rPr>
              <w:fldChar w:fldCharType="end"/>
            </w:r>
          </w:hyperlink>
        </w:p>
        <w:p w14:paraId="0765F030" w14:textId="3D5A78B5" w:rsidR="008E458F" w:rsidRDefault="0079331E">
          <w:pPr>
            <w:pStyle w:val="TOC1"/>
            <w:tabs>
              <w:tab w:val="right" w:leader="dot" w:pos="9016"/>
            </w:tabs>
            <w:rPr>
              <w:rFonts w:asciiTheme="minorHAnsi" w:eastAsiaTheme="minorEastAsia" w:hAnsiTheme="minorHAnsi"/>
              <w:noProof/>
              <w:sz w:val="22"/>
              <w:lang w:val="en-US"/>
            </w:rPr>
          </w:pPr>
          <w:hyperlink w:anchor="_Toc221712023" w:history="1">
            <w:r w:rsidR="008E458F" w:rsidRPr="006A742D">
              <w:rPr>
                <w:rStyle w:val="Hyperlink"/>
                <w:noProof/>
              </w:rPr>
              <w:t>Part 1</w:t>
            </w:r>
            <w:r w:rsidR="008E458F">
              <w:rPr>
                <w:noProof/>
                <w:webHidden/>
              </w:rPr>
              <w:tab/>
            </w:r>
            <w:r w:rsidR="008E458F">
              <w:rPr>
                <w:noProof/>
                <w:webHidden/>
              </w:rPr>
              <w:fldChar w:fldCharType="begin"/>
            </w:r>
            <w:r w:rsidR="008E458F">
              <w:rPr>
                <w:noProof/>
                <w:webHidden/>
              </w:rPr>
              <w:instrText xml:space="preserve"> PAGEREF _Toc221712023 \h </w:instrText>
            </w:r>
            <w:r w:rsidR="008E458F">
              <w:rPr>
                <w:noProof/>
                <w:webHidden/>
              </w:rPr>
            </w:r>
            <w:r w:rsidR="008E458F">
              <w:rPr>
                <w:noProof/>
                <w:webHidden/>
              </w:rPr>
              <w:fldChar w:fldCharType="separate"/>
            </w:r>
            <w:r w:rsidR="008E458F">
              <w:rPr>
                <w:noProof/>
                <w:webHidden/>
              </w:rPr>
              <w:t>4</w:t>
            </w:r>
            <w:r w:rsidR="008E458F">
              <w:rPr>
                <w:noProof/>
                <w:webHidden/>
              </w:rPr>
              <w:fldChar w:fldCharType="end"/>
            </w:r>
          </w:hyperlink>
        </w:p>
        <w:p w14:paraId="6CBC1D87" w14:textId="57C29519" w:rsidR="008E458F" w:rsidRDefault="0079331E">
          <w:pPr>
            <w:pStyle w:val="TOC1"/>
            <w:tabs>
              <w:tab w:val="right" w:leader="dot" w:pos="9016"/>
            </w:tabs>
            <w:rPr>
              <w:rFonts w:asciiTheme="minorHAnsi" w:eastAsiaTheme="minorEastAsia" w:hAnsiTheme="minorHAnsi"/>
              <w:noProof/>
              <w:sz w:val="22"/>
              <w:lang w:val="en-US"/>
            </w:rPr>
          </w:pPr>
          <w:hyperlink w:anchor="_Toc221712024" w:history="1">
            <w:r w:rsidR="008E458F" w:rsidRPr="006A742D">
              <w:rPr>
                <w:rStyle w:val="Hyperlink"/>
                <w:noProof/>
              </w:rPr>
              <w:t>1. Organisational Context and Overview</w:t>
            </w:r>
            <w:r w:rsidR="008E458F">
              <w:rPr>
                <w:noProof/>
                <w:webHidden/>
              </w:rPr>
              <w:tab/>
            </w:r>
            <w:r w:rsidR="008E458F">
              <w:rPr>
                <w:noProof/>
                <w:webHidden/>
              </w:rPr>
              <w:fldChar w:fldCharType="begin"/>
            </w:r>
            <w:r w:rsidR="008E458F">
              <w:rPr>
                <w:noProof/>
                <w:webHidden/>
              </w:rPr>
              <w:instrText xml:space="preserve"> PAGEREF _Toc221712024 \h </w:instrText>
            </w:r>
            <w:r w:rsidR="008E458F">
              <w:rPr>
                <w:noProof/>
                <w:webHidden/>
              </w:rPr>
            </w:r>
            <w:r w:rsidR="008E458F">
              <w:rPr>
                <w:noProof/>
                <w:webHidden/>
              </w:rPr>
              <w:fldChar w:fldCharType="separate"/>
            </w:r>
            <w:r w:rsidR="008E458F">
              <w:rPr>
                <w:noProof/>
                <w:webHidden/>
              </w:rPr>
              <w:t>4</w:t>
            </w:r>
            <w:r w:rsidR="008E458F">
              <w:rPr>
                <w:noProof/>
                <w:webHidden/>
              </w:rPr>
              <w:fldChar w:fldCharType="end"/>
            </w:r>
          </w:hyperlink>
        </w:p>
        <w:p w14:paraId="07C5B7D0" w14:textId="17E9C714" w:rsidR="008E458F" w:rsidRDefault="0079331E">
          <w:pPr>
            <w:pStyle w:val="TOC2"/>
            <w:tabs>
              <w:tab w:val="right" w:leader="dot" w:pos="9016"/>
            </w:tabs>
            <w:rPr>
              <w:rFonts w:asciiTheme="minorHAnsi" w:eastAsiaTheme="minorEastAsia" w:hAnsiTheme="minorHAnsi"/>
              <w:noProof/>
              <w:sz w:val="22"/>
              <w:lang w:val="en-US"/>
            </w:rPr>
          </w:pPr>
          <w:hyperlink w:anchor="_Toc221712025" w:history="1">
            <w:r w:rsidR="008E458F" w:rsidRPr="006A742D">
              <w:rPr>
                <w:rStyle w:val="Hyperlink"/>
                <w:noProof/>
              </w:rPr>
              <w:t>1.1 Market and Competitor Analysis</w:t>
            </w:r>
            <w:r w:rsidR="008E458F">
              <w:rPr>
                <w:noProof/>
                <w:webHidden/>
              </w:rPr>
              <w:tab/>
            </w:r>
            <w:r w:rsidR="008E458F">
              <w:rPr>
                <w:noProof/>
                <w:webHidden/>
              </w:rPr>
              <w:fldChar w:fldCharType="begin"/>
            </w:r>
            <w:r w:rsidR="008E458F">
              <w:rPr>
                <w:noProof/>
                <w:webHidden/>
              </w:rPr>
              <w:instrText xml:space="preserve"> PAGEREF _Toc221712025 \h </w:instrText>
            </w:r>
            <w:r w:rsidR="008E458F">
              <w:rPr>
                <w:noProof/>
                <w:webHidden/>
              </w:rPr>
            </w:r>
            <w:r w:rsidR="008E458F">
              <w:rPr>
                <w:noProof/>
                <w:webHidden/>
              </w:rPr>
              <w:fldChar w:fldCharType="separate"/>
            </w:r>
            <w:r w:rsidR="008E458F">
              <w:rPr>
                <w:noProof/>
                <w:webHidden/>
              </w:rPr>
              <w:t>5</w:t>
            </w:r>
            <w:r w:rsidR="008E458F">
              <w:rPr>
                <w:noProof/>
                <w:webHidden/>
              </w:rPr>
              <w:fldChar w:fldCharType="end"/>
            </w:r>
          </w:hyperlink>
        </w:p>
        <w:p w14:paraId="47294C1A" w14:textId="61BB22B1" w:rsidR="008E458F" w:rsidRDefault="0079331E">
          <w:pPr>
            <w:pStyle w:val="TOC1"/>
            <w:tabs>
              <w:tab w:val="right" w:leader="dot" w:pos="9016"/>
            </w:tabs>
            <w:rPr>
              <w:rFonts w:asciiTheme="minorHAnsi" w:eastAsiaTheme="minorEastAsia" w:hAnsiTheme="minorHAnsi"/>
              <w:noProof/>
              <w:sz w:val="22"/>
              <w:lang w:val="en-US"/>
            </w:rPr>
          </w:pPr>
          <w:hyperlink w:anchor="_Toc221712026" w:history="1">
            <w:r w:rsidR="008E458F" w:rsidRPr="006A742D">
              <w:rPr>
                <w:rStyle w:val="Hyperlink"/>
                <w:noProof/>
              </w:rPr>
              <w:t>2. External and Internal Environment Analysis</w:t>
            </w:r>
            <w:r w:rsidR="008E458F">
              <w:rPr>
                <w:noProof/>
                <w:webHidden/>
              </w:rPr>
              <w:tab/>
            </w:r>
            <w:r w:rsidR="008E458F">
              <w:rPr>
                <w:noProof/>
                <w:webHidden/>
              </w:rPr>
              <w:fldChar w:fldCharType="begin"/>
            </w:r>
            <w:r w:rsidR="008E458F">
              <w:rPr>
                <w:noProof/>
                <w:webHidden/>
              </w:rPr>
              <w:instrText xml:space="preserve"> PAGEREF _Toc221712026 \h </w:instrText>
            </w:r>
            <w:r w:rsidR="008E458F">
              <w:rPr>
                <w:noProof/>
                <w:webHidden/>
              </w:rPr>
            </w:r>
            <w:r w:rsidR="008E458F">
              <w:rPr>
                <w:noProof/>
                <w:webHidden/>
              </w:rPr>
              <w:fldChar w:fldCharType="separate"/>
            </w:r>
            <w:r w:rsidR="008E458F">
              <w:rPr>
                <w:noProof/>
                <w:webHidden/>
              </w:rPr>
              <w:t>5</w:t>
            </w:r>
            <w:r w:rsidR="008E458F">
              <w:rPr>
                <w:noProof/>
                <w:webHidden/>
              </w:rPr>
              <w:fldChar w:fldCharType="end"/>
            </w:r>
          </w:hyperlink>
        </w:p>
        <w:p w14:paraId="16595B5D" w14:textId="02856AC1" w:rsidR="008E458F" w:rsidRDefault="0079331E">
          <w:pPr>
            <w:pStyle w:val="TOC2"/>
            <w:tabs>
              <w:tab w:val="right" w:leader="dot" w:pos="9016"/>
            </w:tabs>
            <w:rPr>
              <w:rFonts w:asciiTheme="minorHAnsi" w:eastAsiaTheme="minorEastAsia" w:hAnsiTheme="minorHAnsi"/>
              <w:noProof/>
              <w:sz w:val="22"/>
              <w:lang w:val="en-US"/>
            </w:rPr>
          </w:pPr>
          <w:hyperlink w:anchor="_Toc221712027" w:history="1">
            <w:r w:rsidR="008E458F" w:rsidRPr="006A742D">
              <w:rPr>
                <w:rStyle w:val="Hyperlink"/>
                <w:noProof/>
              </w:rPr>
              <w:t>2.1 PESTEL Analysis: External Factors and Strategic Decisions</w:t>
            </w:r>
            <w:r w:rsidR="008E458F">
              <w:rPr>
                <w:noProof/>
                <w:webHidden/>
              </w:rPr>
              <w:tab/>
            </w:r>
            <w:r w:rsidR="008E458F">
              <w:rPr>
                <w:noProof/>
                <w:webHidden/>
              </w:rPr>
              <w:fldChar w:fldCharType="begin"/>
            </w:r>
            <w:r w:rsidR="008E458F">
              <w:rPr>
                <w:noProof/>
                <w:webHidden/>
              </w:rPr>
              <w:instrText xml:space="preserve"> PAGEREF _Toc221712027 \h </w:instrText>
            </w:r>
            <w:r w:rsidR="008E458F">
              <w:rPr>
                <w:noProof/>
                <w:webHidden/>
              </w:rPr>
            </w:r>
            <w:r w:rsidR="008E458F">
              <w:rPr>
                <w:noProof/>
                <w:webHidden/>
              </w:rPr>
              <w:fldChar w:fldCharType="separate"/>
            </w:r>
            <w:r w:rsidR="008E458F">
              <w:rPr>
                <w:noProof/>
                <w:webHidden/>
              </w:rPr>
              <w:t>5</w:t>
            </w:r>
            <w:r w:rsidR="008E458F">
              <w:rPr>
                <w:noProof/>
                <w:webHidden/>
              </w:rPr>
              <w:fldChar w:fldCharType="end"/>
            </w:r>
          </w:hyperlink>
        </w:p>
        <w:p w14:paraId="7D12B10F" w14:textId="19825BD3" w:rsidR="008E458F" w:rsidRDefault="0079331E">
          <w:pPr>
            <w:pStyle w:val="TOC2"/>
            <w:tabs>
              <w:tab w:val="right" w:leader="dot" w:pos="9016"/>
            </w:tabs>
            <w:rPr>
              <w:rFonts w:asciiTheme="minorHAnsi" w:eastAsiaTheme="minorEastAsia" w:hAnsiTheme="minorHAnsi"/>
              <w:noProof/>
              <w:sz w:val="22"/>
              <w:lang w:val="en-US"/>
            </w:rPr>
          </w:pPr>
          <w:hyperlink w:anchor="_Toc221712028" w:history="1">
            <w:r w:rsidR="008E458F" w:rsidRPr="006A742D">
              <w:rPr>
                <w:rStyle w:val="Hyperlink"/>
                <w:noProof/>
              </w:rPr>
              <w:t>2.2 Critical Success Factors and Strategic Challenges</w:t>
            </w:r>
            <w:r w:rsidR="008E458F">
              <w:rPr>
                <w:noProof/>
                <w:webHidden/>
              </w:rPr>
              <w:tab/>
            </w:r>
            <w:r w:rsidR="008E458F">
              <w:rPr>
                <w:noProof/>
                <w:webHidden/>
              </w:rPr>
              <w:fldChar w:fldCharType="begin"/>
            </w:r>
            <w:r w:rsidR="008E458F">
              <w:rPr>
                <w:noProof/>
                <w:webHidden/>
              </w:rPr>
              <w:instrText xml:space="preserve"> PAGEREF _Toc221712028 \h </w:instrText>
            </w:r>
            <w:r w:rsidR="008E458F">
              <w:rPr>
                <w:noProof/>
                <w:webHidden/>
              </w:rPr>
            </w:r>
            <w:r w:rsidR="008E458F">
              <w:rPr>
                <w:noProof/>
                <w:webHidden/>
              </w:rPr>
              <w:fldChar w:fldCharType="separate"/>
            </w:r>
            <w:r w:rsidR="008E458F">
              <w:rPr>
                <w:noProof/>
                <w:webHidden/>
              </w:rPr>
              <w:t>8</w:t>
            </w:r>
            <w:r w:rsidR="008E458F">
              <w:rPr>
                <w:noProof/>
                <w:webHidden/>
              </w:rPr>
              <w:fldChar w:fldCharType="end"/>
            </w:r>
          </w:hyperlink>
        </w:p>
        <w:p w14:paraId="511F8815" w14:textId="64644B15" w:rsidR="008E458F" w:rsidRDefault="0079331E">
          <w:pPr>
            <w:pStyle w:val="TOC2"/>
            <w:tabs>
              <w:tab w:val="right" w:leader="dot" w:pos="9016"/>
            </w:tabs>
            <w:rPr>
              <w:rFonts w:asciiTheme="minorHAnsi" w:eastAsiaTheme="minorEastAsia" w:hAnsiTheme="minorHAnsi"/>
              <w:noProof/>
              <w:sz w:val="22"/>
              <w:lang w:val="en-US"/>
            </w:rPr>
          </w:pPr>
          <w:hyperlink w:anchor="_Toc221712029" w:history="1">
            <w:r w:rsidR="008E458F" w:rsidRPr="006A742D">
              <w:rPr>
                <w:rStyle w:val="Hyperlink"/>
                <w:noProof/>
              </w:rPr>
              <w:t>2.3 Internal Environment: Resources, Capabilities and Core Competencies</w:t>
            </w:r>
            <w:r w:rsidR="008E458F">
              <w:rPr>
                <w:noProof/>
                <w:webHidden/>
              </w:rPr>
              <w:tab/>
            </w:r>
            <w:r w:rsidR="008E458F">
              <w:rPr>
                <w:noProof/>
                <w:webHidden/>
              </w:rPr>
              <w:fldChar w:fldCharType="begin"/>
            </w:r>
            <w:r w:rsidR="008E458F">
              <w:rPr>
                <w:noProof/>
                <w:webHidden/>
              </w:rPr>
              <w:instrText xml:space="preserve"> PAGEREF _Toc221712029 \h </w:instrText>
            </w:r>
            <w:r w:rsidR="008E458F">
              <w:rPr>
                <w:noProof/>
                <w:webHidden/>
              </w:rPr>
            </w:r>
            <w:r w:rsidR="008E458F">
              <w:rPr>
                <w:noProof/>
                <w:webHidden/>
              </w:rPr>
              <w:fldChar w:fldCharType="separate"/>
            </w:r>
            <w:r w:rsidR="008E458F">
              <w:rPr>
                <w:noProof/>
                <w:webHidden/>
              </w:rPr>
              <w:t>9</w:t>
            </w:r>
            <w:r w:rsidR="008E458F">
              <w:rPr>
                <w:noProof/>
                <w:webHidden/>
              </w:rPr>
              <w:fldChar w:fldCharType="end"/>
            </w:r>
          </w:hyperlink>
        </w:p>
        <w:p w14:paraId="41B45C61" w14:textId="0B080499" w:rsidR="008E458F" w:rsidRDefault="0079331E">
          <w:pPr>
            <w:pStyle w:val="TOC2"/>
            <w:tabs>
              <w:tab w:val="right" w:leader="dot" w:pos="9016"/>
            </w:tabs>
            <w:rPr>
              <w:rFonts w:asciiTheme="minorHAnsi" w:eastAsiaTheme="minorEastAsia" w:hAnsiTheme="minorHAnsi"/>
              <w:noProof/>
              <w:sz w:val="22"/>
              <w:lang w:val="en-US"/>
            </w:rPr>
          </w:pPr>
          <w:hyperlink w:anchor="_Toc221712030" w:history="1">
            <w:r w:rsidR="008E458F" w:rsidRPr="006A742D">
              <w:rPr>
                <w:rStyle w:val="Hyperlink"/>
                <w:noProof/>
              </w:rPr>
              <w:t>2.4 VRIO Evaluation of Strategic Capabilities</w:t>
            </w:r>
            <w:r w:rsidR="008E458F">
              <w:rPr>
                <w:noProof/>
                <w:webHidden/>
              </w:rPr>
              <w:tab/>
            </w:r>
            <w:r w:rsidR="008E458F">
              <w:rPr>
                <w:noProof/>
                <w:webHidden/>
              </w:rPr>
              <w:fldChar w:fldCharType="begin"/>
            </w:r>
            <w:r w:rsidR="008E458F">
              <w:rPr>
                <w:noProof/>
                <w:webHidden/>
              </w:rPr>
              <w:instrText xml:space="preserve"> PAGEREF _Toc221712030 \h </w:instrText>
            </w:r>
            <w:r w:rsidR="008E458F">
              <w:rPr>
                <w:noProof/>
                <w:webHidden/>
              </w:rPr>
            </w:r>
            <w:r w:rsidR="008E458F">
              <w:rPr>
                <w:noProof/>
                <w:webHidden/>
              </w:rPr>
              <w:fldChar w:fldCharType="separate"/>
            </w:r>
            <w:r w:rsidR="008E458F">
              <w:rPr>
                <w:noProof/>
                <w:webHidden/>
              </w:rPr>
              <w:t>10</w:t>
            </w:r>
            <w:r w:rsidR="008E458F">
              <w:rPr>
                <w:noProof/>
                <w:webHidden/>
              </w:rPr>
              <w:fldChar w:fldCharType="end"/>
            </w:r>
          </w:hyperlink>
        </w:p>
        <w:p w14:paraId="3F48CB68" w14:textId="30170E50" w:rsidR="008E458F" w:rsidRDefault="0079331E">
          <w:pPr>
            <w:pStyle w:val="TOC2"/>
            <w:tabs>
              <w:tab w:val="right" w:leader="dot" w:pos="9016"/>
            </w:tabs>
            <w:rPr>
              <w:rFonts w:asciiTheme="minorHAnsi" w:eastAsiaTheme="minorEastAsia" w:hAnsiTheme="minorHAnsi"/>
              <w:noProof/>
              <w:sz w:val="22"/>
              <w:lang w:val="en-US"/>
            </w:rPr>
          </w:pPr>
          <w:hyperlink w:anchor="_Toc221712031" w:history="1">
            <w:r w:rsidR="008E458F" w:rsidRPr="006A742D">
              <w:rPr>
                <w:rStyle w:val="Hyperlink"/>
                <w:noProof/>
              </w:rPr>
              <w:t>2.5 Internal Strengths and Competitive Advantage</w:t>
            </w:r>
            <w:r w:rsidR="008E458F">
              <w:rPr>
                <w:noProof/>
                <w:webHidden/>
              </w:rPr>
              <w:tab/>
            </w:r>
            <w:r w:rsidR="008E458F">
              <w:rPr>
                <w:noProof/>
                <w:webHidden/>
              </w:rPr>
              <w:fldChar w:fldCharType="begin"/>
            </w:r>
            <w:r w:rsidR="008E458F">
              <w:rPr>
                <w:noProof/>
                <w:webHidden/>
              </w:rPr>
              <w:instrText xml:space="preserve"> PAGEREF _Toc221712031 \h </w:instrText>
            </w:r>
            <w:r w:rsidR="008E458F">
              <w:rPr>
                <w:noProof/>
                <w:webHidden/>
              </w:rPr>
            </w:r>
            <w:r w:rsidR="008E458F">
              <w:rPr>
                <w:noProof/>
                <w:webHidden/>
              </w:rPr>
              <w:fldChar w:fldCharType="separate"/>
            </w:r>
            <w:r w:rsidR="008E458F">
              <w:rPr>
                <w:noProof/>
                <w:webHidden/>
              </w:rPr>
              <w:t>12</w:t>
            </w:r>
            <w:r w:rsidR="008E458F">
              <w:rPr>
                <w:noProof/>
                <w:webHidden/>
              </w:rPr>
              <w:fldChar w:fldCharType="end"/>
            </w:r>
          </w:hyperlink>
        </w:p>
        <w:p w14:paraId="66B02A46" w14:textId="1F0DCC18" w:rsidR="008E458F" w:rsidRDefault="0079331E">
          <w:pPr>
            <w:pStyle w:val="TOC1"/>
            <w:tabs>
              <w:tab w:val="right" w:leader="dot" w:pos="9016"/>
            </w:tabs>
            <w:rPr>
              <w:rFonts w:asciiTheme="minorHAnsi" w:eastAsiaTheme="minorEastAsia" w:hAnsiTheme="minorHAnsi"/>
              <w:noProof/>
              <w:sz w:val="22"/>
              <w:lang w:val="en-US"/>
            </w:rPr>
          </w:pPr>
          <w:hyperlink w:anchor="_Toc221712032" w:history="1">
            <w:r w:rsidR="008E458F" w:rsidRPr="006A742D">
              <w:rPr>
                <w:rStyle w:val="Hyperlink"/>
                <w:noProof/>
              </w:rPr>
              <w:t>3. CSR and Sustainability Objectives</w:t>
            </w:r>
            <w:r w:rsidR="008E458F">
              <w:rPr>
                <w:noProof/>
                <w:webHidden/>
              </w:rPr>
              <w:tab/>
            </w:r>
            <w:r w:rsidR="008E458F">
              <w:rPr>
                <w:noProof/>
                <w:webHidden/>
              </w:rPr>
              <w:fldChar w:fldCharType="begin"/>
            </w:r>
            <w:r w:rsidR="008E458F">
              <w:rPr>
                <w:noProof/>
                <w:webHidden/>
              </w:rPr>
              <w:instrText xml:space="preserve"> PAGEREF _Toc221712032 \h </w:instrText>
            </w:r>
            <w:r w:rsidR="008E458F">
              <w:rPr>
                <w:noProof/>
                <w:webHidden/>
              </w:rPr>
            </w:r>
            <w:r w:rsidR="008E458F">
              <w:rPr>
                <w:noProof/>
                <w:webHidden/>
              </w:rPr>
              <w:fldChar w:fldCharType="separate"/>
            </w:r>
            <w:r w:rsidR="008E458F">
              <w:rPr>
                <w:noProof/>
                <w:webHidden/>
              </w:rPr>
              <w:t>12</w:t>
            </w:r>
            <w:r w:rsidR="008E458F">
              <w:rPr>
                <w:noProof/>
                <w:webHidden/>
              </w:rPr>
              <w:fldChar w:fldCharType="end"/>
            </w:r>
          </w:hyperlink>
        </w:p>
        <w:p w14:paraId="0F52A2F0" w14:textId="19D57330" w:rsidR="008E458F" w:rsidRDefault="0079331E">
          <w:pPr>
            <w:pStyle w:val="TOC1"/>
            <w:tabs>
              <w:tab w:val="right" w:leader="dot" w:pos="9016"/>
            </w:tabs>
            <w:rPr>
              <w:rFonts w:asciiTheme="minorHAnsi" w:eastAsiaTheme="minorEastAsia" w:hAnsiTheme="minorHAnsi"/>
              <w:noProof/>
              <w:sz w:val="22"/>
              <w:lang w:val="en-US"/>
            </w:rPr>
          </w:pPr>
          <w:hyperlink w:anchor="_Toc221712033" w:history="1">
            <w:r w:rsidR="008E458F" w:rsidRPr="006A742D">
              <w:rPr>
                <w:rStyle w:val="Hyperlink"/>
                <w:noProof/>
              </w:rPr>
              <w:t>4. Balanced Scorecard and a Holistic View</w:t>
            </w:r>
            <w:r w:rsidR="008E458F">
              <w:rPr>
                <w:noProof/>
                <w:webHidden/>
              </w:rPr>
              <w:tab/>
            </w:r>
            <w:r w:rsidR="008E458F">
              <w:rPr>
                <w:noProof/>
                <w:webHidden/>
              </w:rPr>
              <w:fldChar w:fldCharType="begin"/>
            </w:r>
            <w:r w:rsidR="008E458F">
              <w:rPr>
                <w:noProof/>
                <w:webHidden/>
              </w:rPr>
              <w:instrText xml:space="preserve"> PAGEREF _Toc221712033 \h </w:instrText>
            </w:r>
            <w:r w:rsidR="008E458F">
              <w:rPr>
                <w:noProof/>
                <w:webHidden/>
              </w:rPr>
            </w:r>
            <w:r w:rsidR="008E458F">
              <w:rPr>
                <w:noProof/>
                <w:webHidden/>
              </w:rPr>
              <w:fldChar w:fldCharType="separate"/>
            </w:r>
            <w:r w:rsidR="008E458F">
              <w:rPr>
                <w:noProof/>
                <w:webHidden/>
              </w:rPr>
              <w:t>13</w:t>
            </w:r>
            <w:r w:rsidR="008E458F">
              <w:rPr>
                <w:noProof/>
                <w:webHidden/>
              </w:rPr>
              <w:fldChar w:fldCharType="end"/>
            </w:r>
          </w:hyperlink>
        </w:p>
        <w:p w14:paraId="70418D0D" w14:textId="799C6647" w:rsidR="008E458F" w:rsidRDefault="0079331E">
          <w:pPr>
            <w:pStyle w:val="TOC2"/>
            <w:tabs>
              <w:tab w:val="right" w:leader="dot" w:pos="9016"/>
            </w:tabs>
            <w:rPr>
              <w:rFonts w:asciiTheme="minorHAnsi" w:eastAsiaTheme="minorEastAsia" w:hAnsiTheme="minorHAnsi"/>
              <w:noProof/>
              <w:sz w:val="22"/>
              <w:lang w:val="en-US"/>
            </w:rPr>
          </w:pPr>
          <w:hyperlink w:anchor="_Toc221712034" w:history="1">
            <w:r w:rsidR="008E458F" w:rsidRPr="006A742D">
              <w:rPr>
                <w:rStyle w:val="Hyperlink"/>
                <w:noProof/>
              </w:rPr>
              <w:t>4.2 Customer Perspective</w:t>
            </w:r>
            <w:r w:rsidR="008E458F">
              <w:rPr>
                <w:noProof/>
                <w:webHidden/>
              </w:rPr>
              <w:tab/>
            </w:r>
            <w:r w:rsidR="008E458F">
              <w:rPr>
                <w:noProof/>
                <w:webHidden/>
              </w:rPr>
              <w:fldChar w:fldCharType="begin"/>
            </w:r>
            <w:r w:rsidR="008E458F">
              <w:rPr>
                <w:noProof/>
                <w:webHidden/>
              </w:rPr>
              <w:instrText xml:space="preserve"> PAGEREF _Toc221712034 \h </w:instrText>
            </w:r>
            <w:r w:rsidR="008E458F">
              <w:rPr>
                <w:noProof/>
                <w:webHidden/>
              </w:rPr>
            </w:r>
            <w:r w:rsidR="008E458F">
              <w:rPr>
                <w:noProof/>
                <w:webHidden/>
              </w:rPr>
              <w:fldChar w:fldCharType="separate"/>
            </w:r>
            <w:r w:rsidR="008E458F">
              <w:rPr>
                <w:noProof/>
                <w:webHidden/>
              </w:rPr>
              <w:t>14</w:t>
            </w:r>
            <w:r w:rsidR="008E458F">
              <w:rPr>
                <w:noProof/>
                <w:webHidden/>
              </w:rPr>
              <w:fldChar w:fldCharType="end"/>
            </w:r>
          </w:hyperlink>
        </w:p>
        <w:p w14:paraId="1DCD30F3" w14:textId="1139F816" w:rsidR="008E458F" w:rsidRDefault="0079331E">
          <w:pPr>
            <w:pStyle w:val="TOC2"/>
            <w:tabs>
              <w:tab w:val="right" w:leader="dot" w:pos="9016"/>
            </w:tabs>
            <w:rPr>
              <w:rFonts w:asciiTheme="minorHAnsi" w:eastAsiaTheme="minorEastAsia" w:hAnsiTheme="minorHAnsi"/>
              <w:noProof/>
              <w:sz w:val="22"/>
              <w:lang w:val="en-US"/>
            </w:rPr>
          </w:pPr>
          <w:hyperlink w:anchor="_Toc221712035" w:history="1">
            <w:r w:rsidR="008E458F" w:rsidRPr="006A742D">
              <w:rPr>
                <w:rStyle w:val="Hyperlink"/>
                <w:noProof/>
              </w:rPr>
              <w:t>4.3 Internal Business Processes Perspective</w:t>
            </w:r>
            <w:r w:rsidR="008E458F">
              <w:rPr>
                <w:noProof/>
                <w:webHidden/>
              </w:rPr>
              <w:tab/>
            </w:r>
            <w:r w:rsidR="008E458F">
              <w:rPr>
                <w:noProof/>
                <w:webHidden/>
              </w:rPr>
              <w:fldChar w:fldCharType="begin"/>
            </w:r>
            <w:r w:rsidR="008E458F">
              <w:rPr>
                <w:noProof/>
                <w:webHidden/>
              </w:rPr>
              <w:instrText xml:space="preserve"> PAGEREF _Toc221712035 \h </w:instrText>
            </w:r>
            <w:r w:rsidR="008E458F">
              <w:rPr>
                <w:noProof/>
                <w:webHidden/>
              </w:rPr>
            </w:r>
            <w:r w:rsidR="008E458F">
              <w:rPr>
                <w:noProof/>
                <w:webHidden/>
              </w:rPr>
              <w:fldChar w:fldCharType="separate"/>
            </w:r>
            <w:r w:rsidR="008E458F">
              <w:rPr>
                <w:noProof/>
                <w:webHidden/>
              </w:rPr>
              <w:t>14</w:t>
            </w:r>
            <w:r w:rsidR="008E458F">
              <w:rPr>
                <w:noProof/>
                <w:webHidden/>
              </w:rPr>
              <w:fldChar w:fldCharType="end"/>
            </w:r>
          </w:hyperlink>
        </w:p>
        <w:p w14:paraId="63DB8C41" w14:textId="447022EB" w:rsidR="008E458F" w:rsidRDefault="0079331E">
          <w:pPr>
            <w:pStyle w:val="TOC2"/>
            <w:tabs>
              <w:tab w:val="right" w:leader="dot" w:pos="9016"/>
            </w:tabs>
            <w:rPr>
              <w:rFonts w:asciiTheme="minorHAnsi" w:eastAsiaTheme="minorEastAsia" w:hAnsiTheme="minorHAnsi"/>
              <w:noProof/>
              <w:sz w:val="22"/>
              <w:lang w:val="en-US"/>
            </w:rPr>
          </w:pPr>
          <w:hyperlink w:anchor="_Toc221712036" w:history="1">
            <w:r w:rsidR="008E458F" w:rsidRPr="006A742D">
              <w:rPr>
                <w:rStyle w:val="Hyperlink"/>
                <w:noProof/>
              </w:rPr>
              <w:t>4.4 Learning and Growth Perspective</w:t>
            </w:r>
            <w:r w:rsidR="008E458F">
              <w:rPr>
                <w:noProof/>
                <w:webHidden/>
              </w:rPr>
              <w:tab/>
            </w:r>
            <w:r w:rsidR="008E458F">
              <w:rPr>
                <w:noProof/>
                <w:webHidden/>
              </w:rPr>
              <w:fldChar w:fldCharType="begin"/>
            </w:r>
            <w:r w:rsidR="008E458F">
              <w:rPr>
                <w:noProof/>
                <w:webHidden/>
              </w:rPr>
              <w:instrText xml:space="preserve"> PAGEREF _Toc221712036 \h </w:instrText>
            </w:r>
            <w:r w:rsidR="008E458F">
              <w:rPr>
                <w:noProof/>
                <w:webHidden/>
              </w:rPr>
            </w:r>
            <w:r w:rsidR="008E458F">
              <w:rPr>
                <w:noProof/>
                <w:webHidden/>
              </w:rPr>
              <w:fldChar w:fldCharType="separate"/>
            </w:r>
            <w:r w:rsidR="008E458F">
              <w:rPr>
                <w:noProof/>
                <w:webHidden/>
              </w:rPr>
              <w:t>15</w:t>
            </w:r>
            <w:r w:rsidR="008E458F">
              <w:rPr>
                <w:noProof/>
                <w:webHidden/>
              </w:rPr>
              <w:fldChar w:fldCharType="end"/>
            </w:r>
          </w:hyperlink>
        </w:p>
        <w:p w14:paraId="78A0795E" w14:textId="67478F0B" w:rsidR="008E458F" w:rsidRDefault="0079331E">
          <w:pPr>
            <w:pStyle w:val="TOC1"/>
            <w:tabs>
              <w:tab w:val="right" w:leader="dot" w:pos="9016"/>
            </w:tabs>
            <w:rPr>
              <w:rFonts w:asciiTheme="minorHAnsi" w:eastAsiaTheme="minorEastAsia" w:hAnsiTheme="minorHAnsi"/>
              <w:noProof/>
              <w:sz w:val="22"/>
              <w:lang w:val="en-US"/>
            </w:rPr>
          </w:pPr>
          <w:hyperlink w:anchor="_Toc221712037" w:history="1">
            <w:r w:rsidR="008E458F" w:rsidRPr="006A742D">
              <w:rPr>
                <w:rStyle w:val="Hyperlink"/>
                <w:noProof/>
              </w:rPr>
              <w:t>5. Strategic Choices and Implementation</w:t>
            </w:r>
            <w:r w:rsidR="008E458F">
              <w:rPr>
                <w:noProof/>
                <w:webHidden/>
              </w:rPr>
              <w:tab/>
            </w:r>
            <w:r w:rsidR="008E458F">
              <w:rPr>
                <w:noProof/>
                <w:webHidden/>
              </w:rPr>
              <w:fldChar w:fldCharType="begin"/>
            </w:r>
            <w:r w:rsidR="008E458F">
              <w:rPr>
                <w:noProof/>
                <w:webHidden/>
              </w:rPr>
              <w:instrText xml:space="preserve"> PAGEREF _Toc221712037 \h </w:instrText>
            </w:r>
            <w:r w:rsidR="008E458F">
              <w:rPr>
                <w:noProof/>
                <w:webHidden/>
              </w:rPr>
            </w:r>
            <w:r w:rsidR="008E458F">
              <w:rPr>
                <w:noProof/>
                <w:webHidden/>
              </w:rPr>
              <w:fldChar w:fldCharType="separate"/>
            </w:r>
            <w:r w:rsidR="008E458F">
              <w:rPr>
                <w:noProof/>
                <w:webHidden/>
              </w:rPr>
              <w:t>16</w:t>
            </w:r>
            <w:r w:rsidR="008E458F">
              <w:rPr>
                <w:noProof/>
                <w:webHidden/>
              </w:rPr>
              <w:fldChar w:fldCharType="end"/>
            </w:r>
          </w:hyperlink>
        </w:p>
        <w:p w14:paraId="3F5D1099" w14:textId="70E076ED" w:rsidR="008E458F" w:rsidRDefault="0079331E">
          <w:pPr>
            <w:pStyle w:val="TOC2"/>
            <w:tabs>
              <w:tab w:val="right" w:leader="dot" w:pos="9016"/>
            </w:tabs>
            <w:rPr>
              <w:rFonts w:asciiTheme="minorHAnsi" w:eastAsiaTheme="minorEastAsia" w:hAnsiTheme="minorHAnsi"/>
              <w:noProof/>
              <w:sz w:val="22"/>
              <w:lang w:val="en-US"/>
            </w:rPr>
          </w:pPr>
          <w:hyperlink w:anchor="_Toc221712038" w:history="1">
            <w:r w:rsidR="008E458F" w:rsidRPr="006A742D">
              <w:rPr>
                <w:rStyle w:val="Hyperlink"/>
                <w:noProof/>
              </w:rPr>
              <w:t>5.1 Business</w:t>
            </w:r>
            <w:r w:rsidR="008E458F" w:rsidRPr="006A742D">
              <w:rPr>
                <w:rStyle w:val="Hyperlink"/>
                <w:noProof/>
              </w:rPr>
              <w:noBreakHyphen/>
              <w:t>Level Strategy</w:t>
            </w:r>
            <w:r w:rsidR="008E458F">
              <w:rPr>
                <w:noProof/>
                <w:webHidden/>
              </w:rPr>
              <w:tab/>
            </w:r>
            <w:r w:rsidR="008E458F">
              <w:rPr>
                <w:noProof/>
                <w:webHidden/>
              </w:rPr>
              <w:fldChar w:fldCharType="begin"/>
            </w:r>
            <w:r w:rsidR="008E458F">
              <w:rPr>
                <w:noProof/>
                <w:webHidden/>
              </w:rPr>
              <w:instrText xml:space="preserve"> PAGEREF _Toc221712038 \h </w:instrText>
            </w:r>
            <w:r w:rsidR="008E458F">
              <w:rPr>
                <w:noProof/>
                <w:webHidden/>
              </w:rPr>
            </w:r>
            <w:r w:rsidR="008E458F">
              <w:rPr>
                <w:noProof/>
                <w:webHidden/>
              </w:rPr>
              <w:fldChar w:fldCharType="separate"/>
            </w:r>
            <w:r w:rsidR="008E458F">
              <w:rPr>
                <w:noProof/>
                <w:webHidden/>
              </w:rPr>
              <w:t>16</w:t>
            </w:r>
            <w:r w:rsidR="008E458F">
              <w:rPr>
                <w:noProof/>
                <w:webHidden/>
              </w:rPr>
              <w:fldChar w:fldCharType="end"/>
            </w:r>
          </w:hyperlink>
        </w:p>
        <w:p w14:paraId="70528463" w14:textId="5F71677F" w:rsidR="008E458F" w:rsidRDefault="0079331E">
          <w:pPr>
            <w:pStyle w:val="TOC2"/>
            <w:tabs>
              <w:tab w:val="right" w:leader="dot" w:pos="9016"/>
            </w:tabs>
            <w:rPr>
              <w:rFonts w:asciiTheme="minorHAnsi" w:eastAsiaTheme="minorEastAsia" w:hAnsiTheme="minorHAnsi"/>
              <w:noProof/>
              <w:sz w:val="22"/>
              <w:lang w:val="en-US"/>
            </w:rPr>
          </w:pPr>
          <w:hyperlink w:anchor="_Toc221712039" w:history="1">
            <w:r w:rsidR="008E458F" w:rsidRPr="006A742D">
              <w:rPr>
                <w:rStyle w:val="Hyperlink"/>
                <w:noProof/>
              </w:rPr>
              <w:t>5.2 Corporate</w:t>
            </w:r>
            <w:r w:rsidR="008E458F" w:rsidRPr="006A742D">
              <w:rPr>
                <w:rStyle w:val="Hyperlink"/>
                <w:noProof/>
              </w:rPr>
              <w:noBreakHyphen/>
              <w:t>Level Strategy</w:t>
            </w:r>
            <w:r w:rsidR="008E458F">
              <w:rPr>
                <w:noProof/>
                <w:webHidden/>
              </w:rPr>
              <w:tab/>
            </w:r>
            <w:r w:rsidR="008E458F">
              <w:rPr>
                <w:noProof/>
                <w:webHidden/>
              </w:rPr>
              <w:fldChar w:fldCharType="begin"/>
            </w:r>
            <w:r w:rsidR="008E458F">
              <w:rPr>
                <w:noProof/>
                <w:webHidden/>
              </w:rPr>
              <w:instrText xml:space="preserve"> PAGEREF _Toc221712039 \h </w:instrText>
            </w:r>
            <w:r w:rsidR="008E458F">
              <w:rPr>
                <w:noProof/>
                <w:webHidden/>
              </w:rPr>
            </w:r>
            <w:r w:rsidR="008E458F">
              <w:rPr>
                <w:noProof/>
                <w:webHidden/>
              </w:rPr>
              <w:fldChar w:fldCharType="separate"/>
            </w:r>
            <w:r w:rsidR="008E458F">
              <w:rPr>
                <w:noProof/>
                <w:webHidden/>
              </w:rPr>
              <w:t>17</w:t>
            </w:r>
            <w:r w:rsidR="008E458F">
              <w:rPr>
                <w:noProof/>
                <w:webHidden/>
              </w:rPr>
              <w:fldChar w:fldCharType="end"/>
            </w:r>
          </w:hyperlink>
        </w:p>
        <w:p w14:paraId="28ADBCC2" w14:textId="0D2D8874" w:rsidR="008E458F" w:rsidRDefault="0079331E">
          <w:pPr>
            <w:pStyle w:val="TOC2"/>
            <w:tabs>
              <w:tab w:val="right" w:leader="dot" w:pos="9016"/>
            </w:tabs>
            <w:rPr>
              <w:rFonts w:asciiTheme="minorHAnsi" w:eastAsiaTheme="minorEastAsia" w:hAnsiTheme="minorHAnsi"/>
              <w:noProof/>
              <w:sz w:val="22"/>
              <w:lang w:val="en-US"/>
            </w:rPr>
          </w:pPr>
          <w:hyperlink w:anchor="_Toc221712040" w:history="1">
            <w:r w:rsidR="008E458F" w:rsidRPr="006A742D">
              <w:rPr>
                <w:rStyle w:val="Hyperlink"/>
                <w:noProof/>
              </w:rPr>
              <w:t>5.3 Managing Change and Strategic Implementation</w:t>
            </w:r>
            <w:r w:rsidR="008E458F">
              <w:rPr>
                <w:noProof/>
                <w:webHidden/>
              </w:rPr>
              <w:tab/>
            </w:r>
            <w:r w:rsidR="008E458F">
              <w:rPr>
                <w:noProof/>
                <w:webHidden/>
              </w:rPr>
              <w:fldChar w:fldCharType="begin"/>
            </w:r>
            <w:r w:rsidR="008E458F">
              <w:rPr>
                <w:noProof/>
                <w:webHidden/>
              </w:rPr>
              <w:instrText xml:space="preserve"> PAGEREF _Toc221712040 \h </w:instrText>
            </w:r>
            <w:r w:rsidR="008E458F">
              <w:rPr>
                <w:noProof/>
                <w:webHidden/>
              </w:rPr>
            </w:r>
            <w:r w:rsidR="008E458F">
              <w:rPr>
                <w:noProof/>
                <w:webHidden/>
              </w:rPr>
              <w:fldChar w:fldCharType="separate"/>
            </w:r>
            <w:r w:rsidR="008E458F">
              <w:rPr>
                <w:noProof/>
                <w:webHidden/>
              </w:rPr>
              <w:t>17</w:t>
            </w:r>
            <w:r w:rsidR="008E458F">
              <w:rPr>
                <w:noProof/>
                <w:webHidden/>
              </w:rPr>
              <w:fldChar w:fldCharType="end"/>
            </w:r>
          </w:hyperlink>
        </w:p>
        <w:p w14:paraId="2C2F1C72" w14:textId="1B460046" w:rsidR="008E458F" w:rsidRDefault="0079331E">
          <w:pPr>
            <w:pStyle w:val="TOC1"/>
            <w:tabs>
              <w:tab w:val="right" w:leader="dot" w:pos="9016"/>
            </w:tabs>
            <w:rPr>
              <w:rFonts w:asciiTheme="minorHAnsi" w:eastAsiaTheme="minorEastAsia" w:hAnsiTheme="minorHAnsi"/>
              <w:noProof/>
              <w:sz w:val="22"/>
              <w:lang w:val="en-US"/>
            </w:rPr>
          </w:pPr>
          <w:hyperlink w:anchor="_Toc221712041" w:history="1">
            <w:r w:rsidR="008E458F" w:rsidRPr="006A742D">
              <w:rPr>
                <w:rStyle w:val="Hyperlink"/>
                <w:noProof/>
              </w:rPr>
              <w:t>6. Strategic Evaluation and Recommendations</w:t>
            </w:r>
            <w:r w:rsidR="008E458F">
              <w:rPr>
                <w:noProof/>
                <w:webHidden/>
              </w:rPr>
              <w:tab/>
            </w:r>
            <w:r w:rsidR="008E458F">
              <w:rPr>
                <w:noProof/>
                <w:webHidden/>
              </w:rPr>
              <w:fldChar w:fldCharType="begin"/>
            </w:r>
            <w:r w:rsidR="008E458F">
              <w:rPr>
                <w:noProof/>
                <w:webHidden/>
              </w:rPr>
              <w:instrText xml:space="preserve"> PAGEREF _Toc221712041 \h </w:instrText>
            </w:r>
            <w:r w:rsidR="008E458F">
              <w:rPr>
                <w:noProof/>
                <w:webHidden/>
              </w:rPr>
            </w:r>
            <w:r w:rsidR="008E458F">
              <w:rPr>
                <w:noProof/>
                <w:webHidden/>
              </w:rPr>
              <w:fldChar w:fldCharType="separate"/>
            </w:r>
            <w:r w:rsidR="008E458F">
              <w:rPr>
                <w:noProof/>
                <w:webHidden/>
              </w:rPr>
              <w:t>18</w:t>
            </w:r>
            <w:r w:rsidR="008E458F">
              <w:rPr>
                <w:noProof/>
                <w:webHidden/>
              </w:rPr>
              <w:fldChar w:fldCharType="end"/>
            </w:r>
          </w:hyperlink>
        </w:p>
        <w:p w14:paraId="2662FD35" w14:textId="4427B540" w:rsidR="008E458F" w:rsidRDefault="0079331E">
          <w:pPr>
            <w:pStyle w:val="TOC2"/>
            <w:tabs>
              <w:tab w:val="right" w:leader="dot" w:pos="9016"/>
            </w:tabs>
            <w:rPr>
              <w:rFonts w:asciiTheme="minorHAnsi" w:eastAsiaTheme="minorEastAsia" w:hAnsiTheme="minorHAnsi"/>
              <w:noProof/>
              <w:sz w:val="22"/>
              <w:lang w:val="en-US"/>
            </w:rPr>
          </w:pPr>
          <w:hyperlink w:anchor="_Toc221712042" w:history="1">
            <w:r w:rsidR="008E458F" w:rsidRPr="006A742D">
              <w:rPr>
                <w:rStyle w:val="Hyperlink"/>
                <w:noProof/>
              </w:rPr>
              <w:t>6.1 SWOT Analysis</w:t>
            </w:r>
            <w:r w:rsidR="008E458F">
              <w:rPr>
                <w:noProof/>
                <w:webHidden/>
              </w:rPr>
              <w:tab/>
            </w:r>
            <w:r w:rsidR="008E458F">
              <w:rPr>
                <w:noProof/>
                <w:webHidden/>
              </w:rPr>
              <w:fldChar w:fldCharType="begin"/>
            </w:r>
            <w:r w:rsidR="008E458F">
              <w:rPr>
                <w:noProof/>
                <w:webHidden/>
              </w:rPr>
              <w:instrText xml:space="preserve"> PAGEREF _Toc221712042 \h </w:instrText>
            </w:r>
            <w:r w:rsidR="008E458F">
              <w:rPr>
                <w:noProof/>
                <w:webHidden/>
              </w:rPr>
            </w:r>
            <w:r w:rsidR="008E458F">
              <w:rPr>
                <w:noProof/>
                <w:webHidden/>
              </w:rPr>
              <w:fldChar w:fldCharType="separate"/>
            </w:r>
            <w:r w:rsidR="008E458F">
              <w:rPr>
                <w:noProof/>
                <w:webHidden/>
              </w:rPr>
              <w:t>18</w:t>
            </w:r>
            <w:r w:rsidR="008E458F">
              <w:rPr>
                <w:noProof/>
                <w:webHidden/>
              </w:rPr>
              <w:fldChar w:fldCharType="end"/>
            </w:r>
          </w:hyperlink>
        </w:p>
        <w:p w14:paraId="3E98B225" w14:textId="141C2774" w:rsidR="008E458F" w:rsidRDefault="0079331E">
          <w:pPr>
            <w:pStyle w:val="TOC2"/>
            <w:tabs>
              <w:tab w:val="right" w:leader="dot" w:pos="9016"/>
            </w:tabs>
            <w:rPr>
              <w:rFonts w:asciiTheme="minorHAnsi" w:eastAsiaTheme="minorEastAsia" w:hAnsiTheme="minorHAnsi"/>
              <w:noProof/>
              <w:sz w:val="22"/>
              <w:lang w:val="en-US"/>
            </w:rPr>
          </w:pPr>
          <w:hyperlink w:anchor="_Toc221712043" w:history="1">
            <w:r w:rsidR="008E458F" w:rsidRPr="006A742D">
              <w:rPr>
                <w:rStyle w:val="Hyperlink"/>
                <w:noProof/>
              </w:rPr>
              <w:t>6.2 Ansoff Matrix: Growth Options</w:t>
            </w:r>
            <w:r w:rsidR="008E458F">
              <w:rPr>
                <w:noProof/>
                <w:webHidden/>
              </w:rPr>
              <w:tab/>
            </w:r>
            <w:r w:rsidR="008E458F">
              <w:rPr>
                <w:noProof/>
                <w:webHidden/>
              </w:rPr>
              <w:fldChar w:fldCharType="begin"/>
            </w:r>
            <w:r w:rsidR="008E458F">
              <w:rPr>
                <w:noProof/>
                <w:webHidden/>
              </w:rPr>
              <w:instrText xml:space="preserve"> PAGEREF _Toc221712043 \h </w:instrText>
            </w:r>
            <w:r w:rsidR="008E458F">
              <w:rPr>
                <w:noProof/>
                <w:webHidden/>
              </w:rPr>
            </w:r>
            <w:r w:rsidR="008E458F">
              <w:rPr>
                <w:noProof/>
                <w:webHidden/>
              </w:rPr>
              <w:fldChar w:fldCharType="separate"/>
            </w:r>
            <w:r w:rsidR="008E458F">
              <w:rPr>
                <w:noProof/>
                <w:webHidden/>
              </w:rPr>
              <w:t>19</w:t>
            </w:r>
            <w:r w:rsidR="008E458F">
              <w:rPr>
                <w:noProof/>
                <w:webHidden/>
              </w:rPr>
              <w:fldChar w:fldCharType="end"/>
            </w:r>
          </w:hyperlink>
        </w:p>
        <w:p w14:paraId="02F711C2" w14:textId="160D2FC8" w:rsidR="008E458F" w:rsidRDefault="0079331E">
          <w:pPr>
            <w:pStyle w:val="TOC2"/>
            <w:tabs>
              <w:tab w:val="right" w:leader="dot" w:pos="9016"/>
            </w:tabs>
            <w:rPr>
              <w:rFonts w:asciiTheme="minorHAnsi" w:eastAsiaTheme="minorEastAsia" w:hAnsiTheme="minorHAnsi"/>
              <w:noProof/>
              <w:sz w:val="22"/>
              <w:lang w:val="en-US"/>
            </w:rPr>
          </w:pPr>
          <w:hyperlink w:anchor="_Toc221712044" w:history="1">
            <w:r w:rsidR="008E458F" w:rsidRPr="006A742D">
              <w:rPr>
                <w:rStyle w:val="Hyperlink"/>
                <w:noProof/>
              </w:rPr>
              <w:t>6.3 Recommendations</w:t>
            </w:r>
            <w:r w:rsidR="008E458F">
              <w:rPr>
                <w:noProof/>
                <w:webHidden/>
              </w:rPr>
              <w:tab/>
            </w:r>
            <w:r w:rsidR="008E458F">
              <w:rPr>
                <w:noProof/>
                <w:webHidden/>
              </w:rPr>
              <w:fldChar w:fldCharType="begin"/>
            </w:r>
            <w:r w:rsidR="008E458F">
              <w:rPr>
                <w:noProof/>
                <w:webHidden/>
              </w:rPr>
              <w:instrText xml:space="preserve"> PAGEREF _Toc221712044 \h </w:instrText>
            </w:r>
            <w:r w:rsidR="008E458F">
              <w:rPr>
                <w:noProof/>
                <w:webHidden/>
              </w:rPr>
            </w:r>
            <w:r w:rsidR="008E458F">
              <w:rPr>
                <w:noProof/>
                <w:webHidden/>
              </w:rPr>
              <w:fldChar w:fldCharType="separate"/>
            </w:r>
            <w:r w:rsidR="008E458F">
              <w:rPr>
                <w:noProof/>
                <w:webHidden/>
              </w:rPr>
              <w:t>20</w:t>
            </w:r>
            <w:r w:rsidR="008E458F">
              <w:rPr>
                <w:noProof/>
                <w:webHidden/>
              </w:rPr>
              <w:fldChar w:fldCharType="end"/>
            </w:r>
          </w:hyperlink>
        </w:p>
        <w:p w14:paraId="5B70EA8F" w14:textId="47550377" w:rsidR="008E458F" w:rsidRDefault="0079331E">
          <w:pPr>
            <w:pStyle w:val="TOC1"/>
            <w:tabs>
              <w:tab w:val="right" w:leader="dot" w:pos="9016"/>
            </w:tabs>
            <w:rPr>
              <w:rFonts w:asciiTheme="minorHAnsi" w:eastAsiaTheme="minorEastAsia" w:hAnsiTheme="minorHAnsi"/>
              <w:noProof/>
              <w:sz w:val="22"/>
              <w:lang w:val="en-US"/>
            </w:rPr>
          </w:pPr>
          <w:hyperlink w:anchor="_Toc221712045" w:history="1">
            <w:r w:rsidR="008E458F" w:rsidRPr="006A742D">
              <w:rPr>
                <w:rStyle w:val="Hyperlink"/>
                <w:noProof/>
              </w:rPr>
              <w:t>Conclusion</w:t>
            </w:r>
            <w:r w:rsidR="008E458F">
              <w:rPr>
                <w:noProof/>
                <w:webHidden/>
              </w:rPr>
              <w:tab/>
            </w:r>
            <w:r w:rsidR="008E458F">
              <w:rPr>
                <w:noProof/>
                <w:webHidden/>
              </w:rPr>
              <w:fldChar w:fldCharType="begin"/>
            </w:r>
            <w:r w:rsidR="008E458F">
              <w:rPr>
                <w:noProof/>
                <w:webHidden/>
              </w:rPr>
              <w:instrText xml:space="preserve"> PAGEREF _Toc221712045 \h </w:instrText>
            </w:r>
            <w:r w:rsidR="008E458F">
              <w:rPr>
                <w:noProof/>
                <w:webHidden/>
              </w:rPr>
            </w:r>
            <w:r w:rsidR="008E458F">
              <w:rPr>
                <w:noProof/>
                <w:webHidden/>
              </w:rPr>
              <w:fldChar w:fldCharType="separate"/>
            </w:r>
            <w:r w:rsidR="008E458F">
              <w:rPr>
                <w:noProof/>
                <w:webHidden/>
              </w:rPr>
              <w:t>21</w:t>
            </w:r>
            <w:r w:rsidR="008E458F">
              <w:rPr>
                <w:noProof/>
                <w:webHidden/>
              </w:rPr>
              <w:fldChar w:fldCharType="end"/>
            </w:r>
          </w:hyperlink>
        </w:p>
        <w:p w14:paraId="15E35ACD" w14:textId="7974054F" w:rsidR="008E458F" w:rsidRDefault="0079331E">
          <w:pPr>
            <w:pStyle w:val="TOC1"/>
            <w:tabs>
              <w:tab w:val="right" w:leader="dot" w:pos="9016"/>
            </w:tabs>
            <w:rPr>
              <w:rFonts w:asciiTheme="minorHAnsi" w:eastAsiaTheme="minorEastAsia" w:hAnsiTheme="minorHAnsi"/>
              <w:noProof/>
              <w:sz w:val="22"/>
              <w:lang w:val="en-US"/>
            </w:rPr>
          </w:pPr>
          <w:hyperlink w:anchor="_Toc221712046" w:history="1">
            <w:r w:rsidR="008E458F" w:rsidRPr="006A742D">
              <w:rPr>
                <w:rStyle w:val="Hyperlink"/>
                <w:noProof/>
              </w:rPr>
              <w:t>Part 2</w:t>
            </w:r>
            <w:r w:rsidR="008E458F">
              <w:rPr>
                <w:noProof/>
                <w:webHidden/>
              </w:rPr>
              <w:tab/>
            </w:r>
            <w:r w:rsidR="008E458F">
              <w:rPr>
                <w:noProof/>
                <w:webHidden/>
              </w:rPr>
              <w:fldChar w:fldCharType="begin"/>
            </w:r>
            <w:r w:rsidR="008E458F">
              <w:rPr>
                <w:noProof/>
                <w:webHidden/>
              </w:rPr>
              <w:instrText xml:space="preserve"> PAGEREF _Toc221712046 \h </w:instrText>
            </w:r>
            <w:r w:rsidR="008E458F">
              <w:rPr>
                <w:noProof/>
                <w:webHidden/>
              </w:rPr>
            </w:r>
            <w:r w:rsidR="008E458F">
              <w:rPr>
                <w:noProof/>
                <w:webHidden/>
              </w:rPr>
              <w:fldChar w:fldCharType="separate"/>
            </w:r>
            <w:r w:rsidR="008E458F">
              <w:rPr>
                <w:noProof/>
                <w:webHidden/>
              </w:rPr>
              <w:t>22</w:t>
            </w:r>
            <w:r w:rsidR="008E458F">
              <w:rPr>
                <w:noProof/>
                <w:webHidden/>
              </w:rPr>
              <w:fldChar w:fldCharType="end"/>
            </w:r>
          </w:hyperlink>
        </w:p>
        <w:p w14:paraId="4E1F35B3" w14:textId="3BEB76E6" w:rsidR="008E458F" w:rsidRDefault="0079331E">
          <w:pPr>
            <w:pStyle w:val="TOC1"/>
            <w:tabs>
              <w:tab w:val="right" w:leader="dot" w:pos="9016"/>
            </w:tabs>
            <w:rPr>
              <w:rFonts w:asciiTheme="minorHAnsi" w:eastAsiaTheme="minorEastAsia" w:hAnsiTheme="minorHAnsi"/>
              <w:noProof/>
              <w:sz w:val="22"/>
              <w:lang w:val="en-US"/>
            </w:rPr>
          </w:pPr>
          <w:hyperlink w:anchor="_Toc221712047" w:history="1">
            <w:r w:rsidR="008E458F" w:rsidRPr="006A742D">
              <w:rPr>
                <w:rStyle w:val="Hyperlink"/>
                <w:noProof/>
              </w:rPr>
              <w:t>Reflective Account Using Gibbs’ Reflective Cycle</w:t>
            </w:r>
            <w:r w:rsidR="008E458F">
              <w:rPr>
                <w:noProof/>
                <w:webHidden/>
              </w:rPr>
              <w:tab/>
            </w:r>
            <w:r w:rsidR="008E458F">
              <w:rPr>
                <w:noProof/>
                <w:webHidden/>
              </w:rPr>
              <w:fldChar w:fldCharType="begin"/>
            </w:r>
            <w:r w:rsidR="008E458F">
              <w:rPr>
                <w:noProof/>
                <w:webHidden/>
              </w:rPr>
              <w:instrText xml:space="preserve"> PAGEREF _Toc221712047 \h </w:instrText>
            </w:r>
            <w:r w:rsidR="008E458F">
              <w:rPr>
                <w:noProof/>
                <w:webHidden/>
              </w:rPr>
            </w:r>
            <w:r w:rsidR="008E458F">
              <w:rPr>
                <w:noProof/>
                <w:webHidden/>
              </w:rPr>
              <w:fldChar w:fldCharType="separate"/>
            </w:r>
            <w:r w:rsidR="008E458F">
              <w:rPr>
                <w:noProof/>
                <w:webHidden/>
              </w:rPr>
              <w:t>22</w:t>
            </w:r>
            <w:r w:rsidR="008E458F">
              <w:rPr>
                <w:noProof/>
                <w:webHidden/>
              </w:rPr>
              <w:fldChar w:fldCharType="end"/>
            </w:r>
          </w:hyperlink>
        </w:p>
        <w:p w14:paraId="1E5BFBF5" w14:textId="34D3EF84" w:rsidR="008E458F" w:rsidRDefault="0079331E">
          <w:pPr>
            <w:pStyle w:val="TOC2"/>
            <w:tabs>
              <w:tab w:val="right" w:leader="dot" w:pos="9016"/>
            </w:tabs>
            <w:rPr>
              <w:rFonts w:asciiTheme="minorHAnsi" w:eastAsiaTheme="minorEastAsia" w:hAnsiTheme="minorHAnsi"/>
              <w:noProof/>
              <w:sz w:val="22"/>
              <w:lang w:val="en-US"/>
            </w:rPr>
          </w:pPr>
          <w:hyperlink w:anchor="_Toc221712048" w:history="1">
            <w:r w:rsidR="008E458F" w:rsidRPr="006A742D">
              <w:rPr>
                <w:rStyle w:val="Hyperlink"/>
                <w:noProof/>
              </w:rPr>
              <w:t>1. Description</w:t>
            </w:r>
            <w:r w:rsidR="008E458F">
              <w:rPr>
                <w:noProof/>
                <w:webHidden/>
              </w:rPr>
              <w:tab/>
            </w:r>
            <w:r w:rsidR="008E458F">
              <w:rPr>
                <w:noProof/>
                <w:webHidden/>
              </w:rPr>
              <w:fldChar w:fldCharType="begin"/>
            </w:r>
            <w:r w:rsidR="008E458F">
              <w:rPr>
                <w:noProof/>
                <w:webHidden/>
              </w:rPr>
              <w:instrText xml:space="preserve"> PAGEREF _Toc221712048 \h </w:instrText>
            </w:r>
            <w:r w:rsidR="008E458F">
              <w:rPr>
                <w:noProof/>
                <w:webHidden/>
              </w:rPr>
            </w:r>
            <w:r w:rsidR="008E458F">
              <w:rPr>
                <w:noProof/>
                <w:webHidden/>
              </w:rPr>
              <w:fldChar w:fldCharType="separate"/>
            </w:r>
            <w:r w:rsidR="008E458F">
              <w:rPr>
                <w:noProof/>
                <w:webHidden/>
              </w:rPr>
              <w:t>22</w:t>
            </w:r>
            <w:r w:rsidR="008E458F">
              <w:rPr>
                <w:noProof/>
                <w:webHidden/>
              </w:rPr>
              <w:fldChar w:fldCharType="end"/>
            </w:r>
          </w:hyperlink>
        </w:p>
        <w:p w14:paraId="49DD9702" w14:textId="16DB002E" w:rsidR="008E458F" w:rsidRDefault="0079331E">
          <w:pPr>
            <w:pStyle w:val="TOC2"/>
            <w:tabs>
              <w:tab w:val="right" w:leader="dot" w:pos="9016"/>
            </w:tabs>
            <w:rPr>
              <w:rFonts w:asciiTheme="minorHAnsi" w:eastAsiaTheme="minorEastAsia" w:hAnsiTheme="minorHAnsi"/>
              <w:noProof/>
              <w:sz w:val="22"/>
              <w:lang w:val="en-US"/>
            </w:rPr>
          </w:pPr>
          <w:hyperlink w:anchor="_Toc221712049" w:history="1">
            <w:r w:rsidR="008E458F" w:rsidRPr="006A742D">
              <w:rPr>
                <w:rStyle w:val="Hyperlink"/>
                <w:noProof/>
              </w:rPr>
              <w:t>2. Feelings</w:t>
            </w:r>
            <w:r w:rsidR="008E458F">
              <w:rPr>
                <w:noProof/>
                <w:webHidden/>
              </w:rPr>
              <w:tab/>
            </w:r>
            <w:r w:rsidR="008E458F">
              <w:rPr>
                <w:noProof/>
                <w:webHidden/>
              </w:rPr>
              <w:fldChar w:fldCharType="begin"/>
            </w:r>
            <w:r w:rsidR="008E458F">
              <w:rPr>
                <w:noProof/>
                <w:webHidden/>
              </w:rPr>
              <w:instrText xml:space="preserve"> PAGEREF _Toc221712049 \h </w:instrText>
            </w:r>
            <w:r w:rsidR="008E458F">
              <w:rPr>
                <w:noProof/>
                <w:webHidden/>
              </w:rPr>
            </w:r>
            <w:r w:rsidR="008E458F">
              <w:rPr>
                <w:noProof/>
                <w:webHidden/>
              </w:rPr>
              <w:fldChar w:fldCharType="separate"/>
            </w:r>
            <w:r w:rsidR="008E458F">
              <w:rPr>
                <w:noProof/>
                <w:webHidden/>
              </w:rPr>
              <w:t>23</w:t>
            </w:r>
            <w:r w:rsidR="008E458F">
              <w:rPr>
                <w:noProof/>
                <w:webHidden/>
              </w:rPr>
              <w:fldChar w:fldCharType="end"/>
            </w:r>
          </w:hyperlink>
        </w:p>
        <w:p w14:paraId="54F6F99F" w14:textId="7BEB89A6" w:rsidR="008E458F" w:rsidRDefault="0079331E">
          <w:pPr>
            <w:pStyle w:val="TOC2"/>
            <w:tabs>
              <w:tab w:val="right" w:leader="dot" w:pos="9016"/>
            </w:tabs>
            <w:rPr>
              <w:rFonts w:asciiTheme="minorHAnsi" w:eastAsiaTheme="minorEastAsia" w:hAnsiTheme="minorHAnsi"/>
              <w:noProof/>
              <w:sz w:val="22"/>
              <w:lang w:val="en-US"/>
            </w:rPr>
          </w:pPr>
          <w:hyperlink w:anchor="_Toc221712050" w:history="1">
            <w:r w:rsidR="008E458F" w:rsidRPr="006A742D">
              <w:rPr>
                <w:rStyle w:val="Hyperlink"/>
                <w:noProof/>
              </w:rPr>
              <w:t>3. Evaluation</w:t>
            </w:r>
            <w:r w:rsidR="008E458F">
              <w:rPr>
                <w:noProof/>
                <w:webHidden/>
              </w:rPr>
              <w:tab/>
            </w:r>
            <w:r w:rsidR="008E458F">
              <w:rPr>
                <w:noProof/>
                <w:webHidden/>
              </w:rPr>
              <w:fldChar w:fldCharType="begin"/>
            </w:r>
            <w:r w:rsidR="008E458F">
              <w:rPr>
                <w:noProof/>
                <w:webHidden/>
              </w:rPr>
              <w:instrText xml:space="preserve"> PAGEREF _Toc221712050 \h </w:instrText>
            </w:r>
            <w:r w:rsidR="008E458F">
              <w:rPr>
                <w:noProof/>
                <w:webHidden/>
              </w:rPr>
            </w:r>
            <w:r w:rsidR="008E458F">
              <w:rPr>
                <w:noProof/>
                <w:webHidden/>
              </w:rPr>
              <w:fldChar w:fldCharType="separate"/>
            </w:r>
            <w:r w:rsidR="008E458F">
              <w:rPr>
                <w:noProof/>
                <w:webHidden/>
              </w:rPr>
              <w:t>23</w:t>
            </w:r>
            <w:r w:rsidR="008E458F">
              <w:rPr>
                <w:noProof/>
                <w:webHidden/>
              </w:rPr>
              <w:fldChar w:fldCharType="end"/>
            </w:r>
          </w:hyperlink>
        </w:p>
        <w:p w14:paraId="21D3370F" w14:textId="68336B2C" w:rsidR="008E458F" w:rsidRDefault="0079331E">
          <w:pPr>
            <w:pStyle w:val="TOC2"/>
            <w:tabs>
              <w:tab w:val="right" w:leader="dot" w:pos="9016"/>
            </w:tabs>
            <w:rPr>
              <w:rFonts w:asciiTheme="minorHAnsi" w:eastAsiaTheme="minorEastAsia" w:hAnsiTheme="minorHAnsi"/>
              <w:noProof/>
              <w:sz w:val="22"/>
              <w:lang w:val="en-US"/>
            </w:rPr>
          </w:pPr>
          <w:hyperlink w:anchor="_Toc221712051" w:history="1">
            <w:r w:rsidR="008E458F" w:rsidRPr="006A742D">
              <w:rPr>
                <w:rStyle w:val="Hyperlink"/>
                <w:noProof/>
              </w:rPr>
              <w:t>4. Analysis</w:t>
            </w:r>
            <w:r w:rsidR="008E458F">
              <w:rPr>
                <w:noProof/>
                <w:webHidden/>
              </w:rPr>
              <w:tab/>
            </w:r>
            <w:r w:rsidR="008E458F">
              <w:rPr>
                <w:noProof/>
                <w:webHidden/>
              </w:rPr>
              <w:fldChar w:fldCharType="begin"/>
            </w:r>
            <w:r w:rsidR="008E458F">
              <w:rPr>
                <w:noProof/>
                <w:webHidden/>
              </w:rPr>
              <w:instrText xml:space="preserve"> PAGEREF _Toc221712051 \h </w:instrText>
            </w:r>
            <w:r w:rsidR="008E458F">
              <w:rPr>
                <w:noProof/>
                <w:webHidden/>
              </w:rPr>
            </w:r>
            <w:r w:rsidR="008E458F">
              <w:rPr>
                <w:noProof/>
                <w:webHidden/>
              </w:rPr>
              <w:fldChar w:fldCharType="separate"/>
            </w:r>
            <w:r w:rsidR="008E458F">
              <w:rPr>
                <w:noProof/>
                <w:webHidden/>
              </w:rPr>
              <w:t>24</w:t>
            </w:r>
            <w:r w:rsidR="008E458F">
              <w:rPr>
                <w:noProof/>
                <w:webHidden/>
              </w:rPr>
              <w:fldChar w:fldCharType="end"/>
            </w:r>
          </w:hyperlink>
        </w:p>
        <w:p w14:paraId="3EF3FC50" w14:textId="27A89E3D" w:rsidR="008E458F" w:rsidRDefault="0079331E">
          <w:pPr>
            <w:pStyle w:val="TOC2"/>
            <w:tabs>
              <w:tab w:val="right" w:leader="dot" w:pos="9016"/>
            </w:tabs>
            <w:rPr>
              <w:rFonts w:asciiTheme="minorHAnsi" w:eastAsiaTheme="minorEastAsia" w:hAnsiTheme="minorHAnsi"/>
              <w:noProof/>
              <w:sz w:val="22"/>
              <w:lang w:val="en-US"/>
            </w:rPr>
          </w:pPr>
          <w:hyperlink w:anchor="_Toc221712052" w:history="1">
            <w:r w:rsidR="008E458F" w:rsidRPr="006A742D">
              <w:rPr>
                <w:rStyle w:val="Hyperlink"/>
                <w:noProof/>
              </w:rPr>
              <w:t>5. Conclusion</w:t>
            </w:r>
            <w:r w:rsidR="008E458F">
              <w:rPr>
                <w:noProof/>
                <w:webHidden/>
              </w:rPr>
              <w:tab/>
            </w:r>
            <w:r w:rsidR="008E458F">
              <w:rPr>
                <w:noProof/>
                <w:webHidden/>
              </w:rPr>
              <w:fldChar w:fldCharType="begin"/>
            </w:r>
            <w:r w:rsidR="008E458F">
              <w:rPr>
                <w:noProof/>
                <w:webHidden/>
              </w:rPr>
              <w:instrText xml:space="preserve"> PAGEREF _Toc221712052 \h </w:instrText>
            </w:r>
            <w:r w:rsidR="008E458F">
              <w:rPr>
                <w:noProof/>
                <w:webHidden/>
              </w:rPr>
            </w:r>
            <w:r w:rsidR="008E458F">
              <w:rPr>
                <w:noProof/>
                <w:webHidden/>
              </w:rPr>
              <w:fldChar w:fldCharType="separate"/>
            </w:r>
            <w:r w:rsidR="008E458F">
              <w:rPr>
                <w:noProof/>
                <w:webHidden/>
              </w:rPr>
              <w:t>24</w:t>
            </w:r>
            <w:r w:rsidR="008E458F">
              <w:rPr>
                <w:noProof/>
                <w:webHidden/>
              </w:rPr>
              <w:fldChar w:fldCharType="end"/>
            </w:r>
          </w:hyperlink>
        </w:p>
        <w:p w14:paraId="312355F1" w14:textId="72B07413" w:rsidR="008E458F" w:rsidRDefault="0079331E">
          <w:pPr>
            <w:pStyle w:val="TOC2"/>
            <w:tabs>
              <w:tab w:val="right" w:leader="dot" w:pos="9016"/>
            </w:tabs>
            <w:rPr>
              <w:rFonts w:asciiTheme="minorHAnsi" w:eastAsiaTheme="minorEastAsia" w:hAnsiTheme="minorHAnsi"/>
              <w:noProof/>
              <w:sz w:val="22"/>
              <w:lang w:val="en-US"/>
            </w:rPr>
          </w:pPr>
          <w:hyperlink w:anchor="_Toc221712053" w:history="1">
            <w:r w:rsidR="008E458F" w:rsidRPr="006A742D">
              <w:rPr>
                <w:rStyle w:val="Hyperlink"/>
                <w:noProof/>
              </w:rPr>
              <w:t>6. Action Plan</w:t>
            </w:r>
            <w:r w:rsidR="008E458F">
              <w:rPr>
                <w:noProof/>
                <w:webHidden/>
              </w:rPr>
              <w:tab/>
            </w:r>
            <w:r w:rsidR="008E458F">
              <w:rPr>
                <w:noProof/>
                <w:webHidden/>
              </w:rPr>
              <w:fldChar w:fldCharType="begin"/>
            </w:r>
            <w:r w:rsidR="008E458F">
              <w:rPr>
                <w:noProof/>
                <w:webHidden/>
              </w:rPr>
              <w:instrText xml:space="preserve"> PAGEREF _Toc221712053 \h </w:instrText>
            </w:r>
            <w:r w:rsidR="008E458F">
              <w:rPr>
                <w:noProof/>
                <w:webHidden/>
              </w:rPr>
            </w:r>
            <w:r w:rsidR="008E458F">
              <w:rPr>
                <w:noProof/>
                <w:webHidden/>
              </w:rPr>
              <w:fldChar w:fldCharType="separate"/>
            </w:r>
            <w:r w:rsidR="008E458F">
              <w:rPr>
                <w:noProof/>
                <w:webHidden/>
              </w:rPr>
              <w:t>25</w:t>
            </w:r>
            <w:r w:rsidR="008E458F">
              <w:rPr>
                <w:noProof/>
                <w:webHidden/>
              </w:rPr>
              <w:fldChar w:fldCharType="end"/>
            </w:r>
          </w:hyperlink>
        </w:p>
        <w:p w14:paraId="33A4BFF7" w14:textId="0FFE7F61" w:rsidR="008E458F" w:rsidRDefault="0079331E">
          <w:pPr>
            <w:pStyle w:val="TOC1"/>
            <w:tabs>
              <w:tab w:val="right" w:leader="dot" w:pos="9016"/>
            </w:tabs>
            <w:rPr>
              <w:rFonts w:asciiTheme="minorHAnsi" w:eastAsiaTheme="minorEastAsia" w:hAnsiTheme="minorHAnsi"/>
              <w:noProof/>
              <w:sz w:val="22"/>
              <w:lang w:val="en-US"/>
            </w:rPr>
          </w:pPr>
          <w:hyperlink w:anchor="_Toc221712054" w:history="1">
            <w:r w:rsidR="008E458F" w:rsidRPr="006A742D">
              <w:rPr>
                <w:rStyle w:val="Hyperlink"/>
                <w:noProof/>
              </w:rPr>
              <w:t>References</w:t>
            </w:r>
            <w:r w:rsidR="008E458F">
              <w:rPr>
                <w:noProof/>
                <w:webHidden/>
              </w:rPr>
              <w:tab/>
            </w:r>
            <w:r w:rsidR="008E458F">
              <w:rPr>
                <w:noProof/>
                <w:webHidden/>
              </w:rPr>
              <w:fldChar w:fldCharType="begin"/>
            </w:r>
            <w:r w:rsidR="008E458F">
              <w:rPr>
                <w:noProof/>
                <w:webHidden/>
              </w:rPr>
              <w:instrText xml:space="preserve"> PAGEREF _Toc221712054 \h </w:instrText>
            </w:r>
            <w:r w:rsidR="008E458F">
              <w:rPr>
                <w:noProof/>
                <w:webHidden/>
              </w:rPr>
            </w:r>
            <w:r w:rsidR="008E458F">
              <w:rPr>
                <w:noProof/>
                <w:webHidden/>
              </w:rPr>
              <w:fldChar w:fldCharType="separate"/>
            </w:r>
            <w:r w:rsidR="008E458F">
              <w:rPr>
                <w:noProof/>
                <w:webHidden/>
              </w:rPr>
              <w:t>26</w:t>
            </w:r>
            <w:r w:rsidR="008E458F">
              <w:rPr>
                <w:noProof/>
                <w:webHidden/>
              </w:rPr>
              <w:fldChar w:fldCharType="end"/>
            </w:r>
          </w:hyperlink>
        </w:p>
        <w:p w14:paraId="1BF3E1ED" w14:textId="52653029" w:rsidR="00850FE8" w:rsidRPr="00165D8F" w:rsidRDefault="00850FE8">
          <w:r w:rsidRPr="00165D8F">
            <w:rPr>
              <w:b/>
              <w:bCs/>
              <w:noProof/>
            </w:rPr>
            <w:fldChar w:fldCharType="end"/>
          </w:r>
        </w:p>
      </w:sdtContent>
    </w:sdt>
    <w:p w14:paraId="1ED27B40" w14:textId="77777777" w:rsidR="00405ADA" w:rsidRDefault="00405ADA">
      <w:pPr>
        <w:rPr>
          <w:b/>
          <w:bCs/>
        </w:rPr>
      </w:pPr>
    </w:p>
    <w:p w14:paraId="048DFC00" w14:textId="77777777" w:rsidR="00405ADA" w:rsidRDefault="00405ADA">
      <w:pPr>
        <w:rPr>
          <w:b/>
          <w:bCs/>
        </w:rPr>
      </w:pPr>
      <w:r>
        <w:rPr>
          <w:b/>
          <w:bCs/>
        </w:rPr>
        <w:t>Table of Figures</w:t>
      </w:r>
    </w:p>
    <w:p w14:paraId="381ABB69" w14:textId="3B7294D5" w:rsidR="00CE2E0C" w:rsidRPr="00CE2E0C" w:rsidRDefault="00405ADA">
      <w:pPr>
        <w:pStyle w:val="TableofFigures"/>
        <w:tabs>
          <w:tab w:val="right" w:leader="dot" w:pos="9016"/>
        </w:tabs>
        <w:rPr>
          <w:rFonts w:asciiTheme="minorHAnsi" w:eastAsiaTheme="minorEastAsia" w:hAnsiTheme="minorHAnsi"/>
          <w:noProof/>
          <w:sz w:val="22"/>
          <w:lang w:val="en-US"/>
        </w:rPr>
      </w:pPr>
      <w:r w:rsidRPr="00CE2E0C">
        <w:fldChar w:fldCharType="begin"/>
      </w:r>
      <w:r w:rsidRPr="00CE2E0C">
        <w:instrText xml:space="preserve"> TOC \h \z \c "Figure" </w:instrText>
      </w:r>
      <w:r w:rsidRPr="00CE2E0C">
        <w:fldChar w:fldCharType="separate"/>
      </w:r>
      <w:hyperlink w:anchor="_Toc221712366" w:history="1">
        <w:r w:rsidR="00CE2E0C" w:rsidRPr="00CE2E0C">
          <w:rPr>
            <w:rStyle w:val="Hyperlink"/>
            <w:noProof/>
          </w:rPr>
          <w:t>Figure 1: Grocery Sector Market Share</w:t>
        </w:r>
        <w:r w:rsidR="00CE2E0C" w:rsidRPr="00CE2E0C">
          <w:rPr>
            <w:noProof/>
            <w:webHidden/>
          </w:rPr>
          <w:tab/>
        </w:r>
        <w:r w:rsidR="00CE2E0C" w:rsidRPr="00CE2E0C">
          <w:rPr>
            <w:noProof/>
            <w:webHidden/>
          </w:rPr>
          <w:fldChar w:fldCharType="begin"/>
        </w:r>
        <w:r w:rsidR="00CE2E0C" w:rsidRPr="00CE2E0C">
          <w:rPr>
            <w:noProof/>
            <w:webHidden/>
          </w:rPr>
          <w:instrText xml:space="preserve"> PAGEREF _Toc221712366 \h </w:instrText>
        </w:r>
        <w:r w:rsidR="00CE2E0C" w:rsidRPr="00CE2E0C">
          <w:rPr>
            <w:noProof/>
            <w:webHidden/>
          </w:rPr>
        </w:r>
        <w:r w:rsidR="00CE2E0C" w:rsidRPr="00CE2E0C">
          <w:rPr>
            <w:noProof/>
            <w:webHidden/>
          </w:rPr>
          <w:fldChar w:fldCharType="separate"/>
        </w:r>
        <w:r w:rsidR="00CE2E0C" w:rsidRPr="00CE2E0C">
          <w:rPr>
            <w:noProof/>
            <w:webHidden/>
          </w:rPr>
          <w:t>5</w:t>
        </w:r>
        <w:r w:rsidR="00CE2E0C" w:rsidRPr="00CE2E0C">
          <w:rPr>
            <w:noProof/>
            <w:webHidden/>
          </w:rPr>
          <w:fldChar w:fldCharType="end"/>
        </w:r>
      </w:hyperlink>
    </w:p>
    <w:p w14:paraId="74947180" w14:textId="2C7DFD55" w:rsidR="00CE2E0C" w:rsidRPr="00CE2E0C" w:rsidRDefault="0079331E">
      <w:pPr>
        <w:pStyle w:val="TableofFigures"/>
        <w:tabs>
          <w:tab w:val="right" w:leader="dot" w:pos="9016"/>
        </w:tabs>
        <w:rPr>
          <w:rFonts w:asciiTheme="minorHAnsi" w:eastAsiaTheme="minorEastAsia" w:hAnsiTheme="minorHAnsi"/>
          <w:noProof/>
          <w:sz w:val="22"/>
          <w:lang w:val="en-US"/>
        </w:rPr>
      </w:pPr>
      <w:hyperlink w:anchor="_Toc221712367" w:history="1">
        <w:r w:rsidR="00CE2E0C" w:rsidRPr="00CE2E0C">
          <w:rPr>
            <w:rStyle w:val="Hyperlink"/>
            <w:noProof/>
          </w:rPr>
          <w:t>Figure 2: PESTEL Analysis Components</w:t>
        </w:r>
        <w:r w:rsidR="00CE2E0C" w:rsidRPr="00CE2E0C">
          <w:rPr>
            <w:noProof/>
            <w:webHidden/>
          </w:rPr>
          <w:tab/>
        </w:r>
        <w:r w:rsidR="00CE2E0C" w:rsidRPr="00CE2E0C">
          <w:rPr>
            <w:noProof/>
            <w:webHidden/>
          </w:rPr>
          <w:fldChar w:fldCharType="begin"/>
        </w:r>
        <w:r w:rsidR="00CE2E0C" w:rsidRPr="00CE2E0C">
          <w:rPr>
            <w:noProof/>
            <w:webHidden/>
          </w:rPr>
          <w:instrText xml:space="preserve"> PAGEREF _Toc221712367 \h </w:instrText>
        </w:r>
        <w:r w:rsidR="00CE2E0C" w:rsidRPr="00CE2E0C">
          <w:rPr>
            <w:noProof/>
            <w:webHidden/>
          </w:rPr>
        </w:r>
        <w:r w:rsidR="00CE2E0C" w:rsidRPr="00CE2E0C">
          <w:rPr>
            <w:noProof/>
            <w:webHidden/>
          </w:rPr>
          <w:fldChar w:fldCharType="separate"/>
        </w:r>
        <w:r w:rsidR="00CE2E0C" w:rsidRPr="00CE2E0C">
          <w:rPr>
            <w:noProof/>
            <w:webHidden/>
          </w:rPr>
          <w:t>6</w:t>
        </w:r>
        <w:r w:rsidR="00CE2E0C" w:rsidRPr="00CE2E0C">
          <w:rPr>
            <w:noProof/>
            <w:webHidden/>
          </w:rPr>
          <w:fldChar w:fldCharType="end"/>
        </w:r>
      </w:hyperlink>
    </w:p>
    <w:p w14:paraId="7DD32AD7" w14:textId="0BBE7699" w:rsidR="00CE2E0C" w:rsidRPr="00CE2E0C" w:rsidRDefault="0079331E">
      <w:pPr>
        <w:pStyle w:val="TableofFigures"/>
        <w:tabs>
          <w:tab w:val="right" w:leader="dot" w:pos="9016"/>
        </w:tabs>
        <w:rPr>
          <w:rFonts w:asciiTheme="minorHAnsi" w:eastAsiaTheme="minorEastAsia" w:hAnsiTheme="minorHAnsi"/>
          <w:noProof/>
          <w:sz w:val="22"/>
          <w:lang w:val="en-US"/>
        </w:rPr>
      </w:pPr>
      <w:hyperlink w:anchor="_Toc221712368" w:history="1">
        <w:r w:rsidR="00CE2E0C" w:rsidRPr="00CE2E0C">
          <w:rPr>
            <w:rStyle w:val="Hyperlink"/>
            <w:noProof/>
          </w:rPr>
          <w:t>Figure 3: Internal Environment Elements</w:t>
        </w:r>
        <w:r w:rsidR="00CE2E0C" w:rsidRPr="00CE2E0C">
          <w:rPr>
            <w:noProof/>
            <w:webHidden/>
          </w:rPr>
          <w:tab/>
        </w:r>
        <w:r w:rsidR="00CE2E0C" w:rsidRPr="00CE2E0C">
          <w:rPr>
            <w:noProof/>
            <w:webHidden/>
          </w:rPr>
          <w:fldChar w:fldCharType="begin"/>
        </w:r>
        <w:r w:rsidR="00CE2E0C" w:rsidRPr="00CE2E0C">
          <w:rPr>
            <w:noProof/>
            <w:webHidden/>
          </w:rPr>
          <w:instrText xml:space="preserve"> PAGEREF _Toc221712368 \h </w:instrText>
        </w:r>
        <w:r w:rsidR="00CE2E0C" w:rsidRPr="00CE2E0C">
          <w:rPr>
            <w:noProof/>
            <w:webHidden/>
          </w:rPr>
        </w:r>
        <w:r w:rsidR="00CE2E0C" w:rsidRPr="00CE2E0C">
          <w:rPr>
            <w:noProof/>
            <w:webHidden/>
          </w:rPr>
          <w:fldChar w:fldCharType="separate"/>
        </w:r>
        <w:r w:rsidR="00CE2E0C" w:rsidRPr="00CE2E0C">
          <w:rPr>
            <w:noProof/>
            <w:webHidden/>
          </w:rPr>
          <w:t>9</w:t>
        </w:r>
        <w:r w:rsidR="00CE2E0C" w:rsidRPr="00CE2E0C">
          <w:rPr>
            <w:noProof/>
            <w:webHidden/>
          </w:rPr>
          <w:fldChar w:fldCharType="end"/>
        </w:r>
      </w:hyperlink>
    </w:p>
    <w:p w14:paraId="291F7750" w14:textId="048EE615" w:rsidR="00CE2E0C" w:rsidRPr="00CE2E0C" w:rsidRDefault="0079331E">
      <w:pPr>
        <w:pStyle w:val="TableofFigures"/>
        <w:tabs>
          <w:tab w:val="right" w:leader="dot" w:pos="9016"/>
        </w:tabs>
        <w:rPr>
          <w:rFonts w:asciiTheme="minorHAnsi" w:eastAsiaTheme="minorEastAsia" w:hAnsiTheme="minorHAnsi"/>
          <w:noProof/>
          <w:sz w:val="22"/>
          <w:lang w:val="en-US"/>
        </w:rPr>
      </w:pPr>
      <w:hyperlink w:anchor="_Toc221712369" w:history="1">
        <w:r w:rsidR="00CE2E0C" w:rsidRPr="00CE2E0C">
          <w:rPr>
            <w:rStyle w:val="Hyperlink"/>
            <w:noProof/>
          </w:rPr>
          <w:t>Figure 4 Tesco VRIO Analysis</w:t>
        </w:r>
        <w:r w:rsidR="00CE2E0C" w:rsidRPr="00CE2E0C">
          <w:rPr>
            <w:noProof/>
            <w:webHidden/>
          </w:rPr>
          <w:tab/>
        </w:r>
        <w:r w:rsidR="00CE2E0C" w:rsidRPr="00CE2E0C">
          <w:rPr>
            <w:noProof/>
            <w:webHidden/>
          </w:rPr>
          <w:fldChar w:fldCharType="begin"/>
        </w:r>
        <w:r w:rsidR="00CE2E0C" w:rsidRPr="00CE2E0C">
          <w:rPr>
            <w:noProof/>
            <w:webHidden/>
          </w:rPr>
          <w:instrText xml:space="preserve"> PAGEREF _Toc221712369 \h </w:instrText>
        </w:r>
        <w:r w:rsidR="00CE2E0C" w:rsidRPr="00CE2E0C">
          <w:rPr>
            <w:noProof/>
            <w:webHidden/>
          </w:rPr>
        </w:r>
        <w:r w:rsidR="00CE2E0C" w:rsidRPr="00CE2E0C">
          <w:rPr>
            <w:noProof/>
            <w:webHidden/>
          </w:rPr>
          <w:fldChar w:fldCharType="separate"/>
        </w:r>
        <w:r w:rsidR="00CE2E0C" w:rsidRPr="00CE2E0C">
          <w:rPr>
            <w:noProof/>
            <w:webHidden/>
          </w:rPr>
          <w:t>10</w:t>
        </w:r>
        <w:r w:rsidR="00CE2E0C" w:rsidRPr="00CE2E0C">
          <w:rPr>
            <w:noProof/>
            <w:webHidden/>
          </w:rPr>
          <w:fldChar w:fldCharType="end"/>
        </w:r>
      </w:hyperlink>
    </w:p>
    <w:p w14:paraId="3730FF9F" w14:textId="25CEA237" w:rsidR="00CE2E0C" w:rsidRPr="00CE2E0C" w:rsidRDefault="0079331E">
      <w:pPr>
        <w:pStyle w:val="TableofFigures"/>
        <w:tabs>
          <w:tab w:val="right" w:leader="dot" w:pos="9016"/>
        </w:tabs>
        <w:rPr>
          <w:rFonts w:asciiTheme="minorHAnsi" w:eastAsiaTheme="minorEastAsia" w:hAnsiTheme="minorHAnsi"/>
          <w:noProof/>
          <w:sz w:val="22"/>
          <w:lang w:val="en-US"/>
        </w:rPr>
      </w:pPr>
      <w:hyperlink w:anchor="_Toc221712370" w:history="1">
        <w:r w:rsidR="00CE2E0C" w:rsidRPr="00CE2E0C">
          <w:rPr>
            <w:rStyle w:val="Hyperlink"/>
            <w:noProof/>
          </w:rPr>
          <w:t>Figure 5: Corporate and Business Level Strategy Formation</w:t>
        </w:r>
        <w:r w:rsidR="00CE2E0C" w:rsidRPr="00CE2E0C">
          <w:rPr>
            <w:noProof/>
            <w:webHidden/>
          </w:rPr>
          <w:tab/>
        </w:r>
        <w:r w:rsidR="00CE2E0C" w:rsidRPr="00CE2E0C">
          <w:rPr>
            <w:noProof/>
            <w:webHidden/>
          </w:rPr>
          <w:fldChar w:fldCharType="begin"/>
        </w:r>
        <w:r w:rsidR="00CE2E0C" w:rsidRPr="00CE2E0C">
          <w:rPr>
            <w:noProof/>
            <w:webHidden/>
          </w:rPr>
          <w:instrText xml:space="preserve"> PAGEREF _Toc221712370 \h </w:instrText>
        </w:r>
        <w:r w:rsidR="00CE2E0C" w:rsidRPr="00CE2E0C">
          <w:rPr>
            <w:noProof/>
            <w:webHidden/>
          </w:rPr>
        </w:r>
        <w:r w:rsidR="00CE2E0C" w:rsidRPr="00CE2E0C">
          <w:rPr>
            <w:noProof/>
            <w:webHidden/>
          </w:rPr>
          <w:fldChar w:fldCharType="separate"/>
        </w:r>
        <w:r w:rsidR="00CE2E0C" w:rsidRPr="00CE2E0C">
          <w:rPr>
            <w:noProof/>
            <w:webHidden/>
          </w:rPr>
          <w:t>17</w:t>
        </w:r>
        <w:r w:rsidR="00CE2E0C" w:rsidRPr="00CE2E0C">
          <w:rPr>
            <w:noProof/>
            <w:webHidden/>
          </w:rPr>
          <w:fldChar w:fldCharType="end"/>
        </w:r>
      </w:hyperlink>
    </w:p>
    <w:p w14:paraId="6DCB3C25" w14:textId="06DEECC9" w:rsidR="00CE2E0C" w:rsidRPr="00CE2E0C" w:rsidRDefault="0079331E">
      <w:pPr>
        <w:pStyle w:val="TableofFigures"/>
        <w:tabs>
          <w:tab w:val="right" w:leader="dot" w:pos="9016"/>
        </w:tabs>
        <w:rPr>
          <w:rFonts w:asciiTheme="minorHAnsi" w:eastAsiaTheme="minorEastAsia" w:hAnsiTheme="minorHAnsi"/>
          <w:noProof/>
          <w:sz w:val="22"/>
          <w:lang w:val="en-US"/>
        </w:rPr>
      </w:pPr>
      <w:hyperlink w:anchor="_Toc221712371" w:history="1">
        <w:r w:rsidR="00CE2E0C" w:rsidRPr="00CE2E0C">
          <w:rPr>
            <w:rStyle w:val="Hyperlink"/>
            <w:noProof/>
          </w:rPr>
          <w:t>Figure 6: Ansoff Matrix</w:t>
        </w:r>
        <w:r w:rsidR="00CE2E0C" w:rsidRPr="00CE2E0C">
          <w:rPr>
            <w:noProof/>
            <w:webHidden/>
          </w:rPr>
          <w:tab/>
        </w:r>
        <w:r w:rsidR="00CE2E0C" w:rsidRPr="00CE2E0C">
          <w:rPr>
            <w:noProof/>
            <w:webHidden/>
          </w:rPr>
          <w:fldChar w:fldCharType="begin"/>
        </w:r>
        <w:r w:rsidR="00CE2E0C" w:rsidRPr="00CE2E0C">
          <w:rPr>
            <w:noProof/>
            <w:webHidden/>
          </w:rPr>
          <w:instrText xml:space="preserve"> PAGEREF _Toc221712371 \h </w:instrText>
        </w:r>
        <w:r w:rsidR="00CE2E0C" w:rsidRPr="00CE2E0C">
          <w:rPr>
            <w:noProof/>
            <w:webHidden/>
          </w:rPr>
        </w:r>
        <w:r w:rsidR="00CE2E0C" w:rsidRPr="00CE2E0C">
          <w:rPr>
            <w:noProof/>
            <w:webHidden/>
          </w:rPr>
          <w:fldChar w:fldCharType="separate"/>
        </w:r>
        <w:r w:rsidR="00CE2E0C" w:rsidRPr="00CE2E0C">
          <w:rPr>
            <w:noProof/>
            <w:webHidden/>
          </w:rPr>
          <w:t>20</w:t>
        </w:r>
        <w:r w:rsidR="00CE2E0C" w:rsidRPr="00CE2E0C">
          <w:rPr>
            <w:noProof/>
            <w:webHidden/>
          </w:rPr>
          <w:fldChar w:fldCharType="end"/>
        </w:r>
      </w:hyperlink>
    </w:p>
    <w:p w14:paraId="28CF38ED" w14:textId="709D403D" w:rsidR="00CE2E0C" w:rsidRPr="00CE2E0C" w:rsidRDefault="0079331E">
      <w:pPr>
        <w:pStyle w:val="TableofFigures"/>
        <w:tabs>
          <w:tab w:val="right" w:leader="dot" w:pos="9016"/>
        </w:tabs>
        <w:rPr>
          <w:rFonts w:asciiTheme="minorHAnsi" w:eastAsiaTheme="minorEastAsia" w:hAnsiTheme="minorHAnsi"/>
          <w:noProof/>
          <w:sz w:val="22"/>
          <w:lang w:val="en-US"/>
        </w:rPr>
      </w:pPr>
      <w:hyperlink w:anchor="_Toc221712372" w:history="1">
        <w:r w:rsidR="00CE2E0C" w:rsidRPr="00CE2E0C">
          <w:rPr>
            <w:rStyle w:val="Hyperlink"/>
            <w:noProof/>
          </w:rPr>
          <w:t>Figure 7: Gibbs Reflective Cycle</w:t>
        </w:r>
        <w:r w:rsidR="00CE2E0C" w:rsidRPr="00CE2E0C">
          <w:rPr>
            <w:noProof/>
            <w:webHidden/>
          </w:rPr>
          <w:tab/>
        </w:r>
        <w:r w:rsidR="00CE2E0C" w:rsidRPr="00CE2E0C">
          <w:rPr>
            <w:noProof/>
            <w:webHidden/>
          </w:rPr>
          <w:fldChar w:fldCharType="begin"/>
        </w:r>
        <w:r w:rsidR="00CE2E0C" w:rsidRPr="00CE2E0C">
          <w:rPr>
            <w:noProof/>
            <w:webHidden/>
          </w:rPr>
          <w:instrText xml:space="preserve"> PAGEREF _Toc221712372 \h </w:instrText>
        </w:r>
        <w:r w:rsidR="00CE2E0C" w:rsidRPr="00CE2E0C">
          <w:rPr>
            <w:noProof/>
            <w:webHidden/>
          </w:rPr>
        </w:r>
        <w:r w:rsidR="00CE2E0C" w:rsidRPr="00CE2E0C">
          <w:rPr>
            <w:noProof/>
            <w:webHidden/>
          </w:rPr>
          <w:fldChar w:fldCharType="separate"/>
        </w:r>
        <w:r w:rsidR="00CE2E0C" w:rsidRPr="00CE2E0C">
          <w:rPr>
            <w:noProof/>
            <w:webHidden/>
          </w:rPr>
          <w:t>23</w:t>
        </w:r>
        <w:r w:rsidR="00CE2E0C" w:rsidRPr="00CE2E0C">
          <w:rPr>
            <w:noProof/>
            <w:webHidden/>
          </w:rPr>
          <w:fldChar w:fldCharType="end"/>
        </w:r>
      </w:hyperlink>
    </w:p>
    <w:p w14:paraId="15719F8E" w14:textId="30C79BB7" w:rsidR="007A1CFC" w:rsidRPr="00165D8F" w:rsidRDefault="00405ADA">
      <w:pPr>
        <w:rPr>
          <w:b/>
          <w:bCs/>
        </w:rPr>
      </w:pPr>
      <w:r w:rsidRPr="00CE2E0C">
        <w:fldChar w:fldCharType="end"/>
      </w:r>
      <w:r w:rsidR="007A1CFC" w:rsidRPr="00165D8F">
        <w:rPr>
          <w:b/>
          <w:bCs/>
        </w:rPr>
        <w:br w:type="page"/>
      </w:r>
    </w:p>
    <w:p w14:paraId="1E9C6429" w14:textId="77777777" w:rsidR="004E5F85" w:rsidRDefault="004E5F85" w:rsidP="004E5F85">
      <w:pPr>
        <w:pStyle w:val="Heading1"/>
      </w:pPr>
      <w:bookmarkStart w:id="0" w:name="_Toc221712022"/>
      <w:r>
        <w:lastRenderedPageBreak/>
        <w:t>Introduction</w:t>
      </w:r>
      <w:bookmarkEnd w:id="0"/>
    </w:p>
    <w:p w14:paraId="36437294" w14:textId="02B54C1D" w:rsidR="004E5F85" w:rsidRDefault="004E5F85" w:rsidP="004E5F85">
      <w:r>
        <w:t>This report is a critical review of the management practice of Tesco PLC in context of strategic management in the modern UK grocery retail environment. It presents the organisational background, mission, vision and the business model of Tesco and the analysis of its external and internal environment based on existing strategic frameworks. PESTEL, VRIO, the Balanced Scorecard, SWOT and the Ansoff Matrix are used in evaluating the competitiveness of Tesco, resource base and means of attaining sustainable competitive advantage. The report also reviews corporate social responsibility and sustainability goals of Tesco, takes strategic decisions and decisions implementation as well as concluding with evidence-based recommendations and the research and analysis process is also given with a reflective account.</w:t>
      </w:r>
    </w:p>
    <w:p w14:paraId="4DA7B251" w14:textId="06BDB132" w:rsidR="00F361D8" w:rsidRPr="00165D8F" w:rsidRDefault="00F361D8" w:rsidP="00F361D8">
      <w:pPr>
        <w:pStyle w:val="Heading1"/>
      </w:pPr>
      <w:bookmarkStart w:id="1" w:name="_Toc221712023"/>
      <w:r w:rsidRPr="00165D8F">
        <w:t>Part 1</w:t>
      </w:r>
      <w:bookmarkEnd w:id="1"/>
    </w:p>
    <w:p w14:paraId="5103DD34" w14:textId="33A0FE45" w:rsidR="00443B36" w:rsidRPr="00165D8F" w:rsidRDefault="00443B36" w:rsidP="001972B1">
      <w:pPr>
        <w:pStyle w:val="Heading1"/>
      </w:pPr>
      <w:bookmarkStart w:id="2" w:name="_Toc221712024"/>
      <w:r w:rsidRPr="00165D8F">
        <w:t>1</w:t>
      </w:r>
      <w:r w:rsidR="000E295F" w:rsidRPr="00165D8F">
        <w:t xml:space="preserve">. </w:t>
      </w:r>
      <w:r w:rsidRPr="00165D8F">
        <w:t>Organisational Context and Overview</w:t>
      </w:r>
      <w:bookmarkEnd w:id="2"/>
    </w:p>
    <w:p w14:paraId="791B2D16" w14:textId="3F9D74CD" w:rsidR="00166445" w:rsidRPr="00165D8F" w:rsidRDefault="00166445" w:rsidP="00166445">
      <w:r w:rsidRPr="00165D8F">
        <w:t xml:space="preserve">Tesco PLC is the largest grocery and general merchandising retailer that was established in 1919 as a market stall in London by Jack Cohen and developed into a multinational retailer with supermarkets, hypermarkets, convenience stores, and online stores (Tesco PLC, 2024a; </w:t>
      </w:r>
      <w:proofErr w:type="spellStart"/>
      <w:r w:rsidRPr="00165D8F">
        <w:t>DCFModeling</w:t>
      </w:r>
      <w:proofErr w:type="spellEnd"/>
      <w:r w:rsidRPr="00165D8F">
        <w:t>, 2025). Traditionally, Tesco has grown both organically and by acquisition, launching different formats including Tesco Extra, Tesco Superstore, Tesco Express and One Stop in addition to experiences in financial services (Tesco Bank), mobile telephony and clothing. Following a phase of excessive growth and accounting scandal in 2014, the organization brought back its attention to its core UK and Republic of Ireland operations by divesting some of its international operations and non-core assets to achieve profitability and strategic focus (Tesco PLC, 2024a; Anon, 2014).</w:t>
      </w:r>
    </w:p>
    <w:p w14:paraId="229D972F" w14:textId="3BD7CB2B" w:rsidR="00166445" w:rsidRPr="00165D8F" w:rsidRDefault="00166445" w:rsidP="00166445">
      <w:r w:rsidRPr="00165D8F">
        <w:t>The mission and purpose of Tesco are usually described as serving customers, communities and the planet a little better every day</w:t>
      </w:r>
      <w:r w:rsidR="00AB772A" w:rsidRPr="00165D8F">
        <w:t xml:space="preserve">. This mission is </w:t>
      </w:r>
      <w:r w:rsidRPr="00165D8F">
        <w:t xml:space="preserve">supported by the vision to become the most valued business by the customers, communities, colleagues and shareholders (Tesco PLC, 2024a; </w:t>
      </w:r>
      <w:proofErr w:type="spellStart"/>
      <w:r w:rsidRPr="00165D8F">
        <w:t>DCFModeling</w:t>
      </w:r>
      <w:proofErr w:type="spellEnd"/>
      <w:r w:rsidRPr="00165D8F">
        <w:t xml:space="preserve">, 2025). The business model focuses on high-volume, low-margin retailing, which takes advantage of economies of scale, a large product range (including robust own-label brands like Tesco Finest and Everyday Value), and a wide range of customer data provided by the Clubcard customer loyalty scheme to create customer and shareholder value (Grocery Doppio, 2024; </w:t>
      </w:r>
      <w:proofErr w:type="spellStart"/>
      <w:r w:rsidRPr="00165D8F">
        <w:t>DCFModeling</w:t>
      </w:r>
      <w:proofErr w:type="spellEnd"/>
      <w:r w:rsidRPr="00165D8F">
        <w:t xml:space="preserve">, 2025). The use of digital channels and online </w:t>
      </w:r>
      <w:r w:rsidRPr="00165D8F">
        <w:lastRenderedPageBreak/>
        <w:t>fulfilment of groceries have become essential elements where e-commerce, automation, and data analytics play a significant role to facilitate an omnichannel offer (</w:t>
      </w:r>
      <w:proofErr w:type="spellStart"/>
      <w:r w:rsidRPr="00165D8F">
        <w:t>AInvest</w:t>
      </w:r>
      <w:proofErr w:type="spellEnd"/>
      <w:r w:rsidRPr="00165D8F">
        <w:t>, 2026).</w:t>
      </w:r>
    </w:p>
    <w:p w14:paraId="3A0A37F8" w14:textId="0E815449" w:rsidR="000425D9" w:rsidRPr="00165D8F" w:rsidRDefault="000425D9" w:rsidP="000425D9">
      <w:pPr>
        <w:pStyle w:val="Heading2"/>
      </w:pPr>
      <w:bookmarkStart w:id="3" w:name="_Toc221712025"/>
      <w:r w:rsidRPr="00165D8F">
        <w:t>1.1 Market and Competitor Analysis</w:t>
      </w:r>
      <w:bookmarkEnd w:id="3"/>
    </w:p>
    <w:p w14:paraId="5C24C96B" w14:textId="77777777" w:rsidR="00F14857" w:rsidRPr="00165D8F" w:rsidRDefault="00166445" w:rsidP="00166445">
      <w:r w:rsidRPr="00165D8F">
        <w:t xml:space="preserve">Tesco </w:t>
      </w:r>
      <w:r w:rsidR="00743783" w:rsidRPr="00165D8F">
        <w:t>resides in the</w:t>
      </w:r>
      <w:r w:rsidRPr="00165D8F">
        <w:t xml:space="preserve"> grocery retail sector, which has traditionally been dominated by the so-called big four, namely Tesco, Sainsbury, Asda, and Morrisons, although it is now being threatened by other discounters like Aldi and Lidl based in Germany as well as by online-driven competitors like Ocado (Statista, 2025).</w:t>
      </w:r>
    </w:p>
    <w:p w14:paraId="03324972" w14:textId="77777777" w:rsidR="00F14857" w:rsidRPr="00165D8F" w:rsidRDefault="00F14857" w:rsidP="00F14857">
      <w:pPr>
        <w:keepNext/>
      </w:pPr>
      <w:r w:rsidRPr="00165D8F">
        <w:rPr>
          <w:noProof/>
        </w:rPr>
        <w:drawing>
          <wp:inline distT="0" distB="0" distL="0" distR="0" wp14:anchorId="4E8FE232" wp14:editId="7CC5B68E">
            <wp:extent cx="5731510" cy="25457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45715"/>
                    </a:xfrm>
                    <a:prstGeom prst="rect">
                      <a:avLst/>
                    </a:prstGeom>
                  </pic:spPr>
                </pic:pic>
              </a:graphicData>
            </a:graphic>
          </wp:inline>
        </w:drawing>
      </w:r>
    </w:p>
    <w:p w14:paraId="2ECB5955" w14:textId="6DE3C35B" w:rsidR="00F14857" w:rsidRPr="00165D8F" w:rsidRDefault="00F14857" w:rsidP="00F14857">
      <w:pPr>
        <w:pStyle w:val="Caption"/>
        <w:jc w:val="center"/>
        <w:rPr>
          <w:b/>
          <w:bCs/>
          <w:i w:val="0"/>
          <w:iCs w:val="0"/>
          <w:color w:val="auto"/>
        </w:rPr>
      </w:pPr>
      <w:bookmarkStart w:id="4" w:name="_Toc221712366"/>
      <w:r w:rsidRPr="00165D8F">
        <w:rPr>
          <w:b/>
          <w:bCs/>
          <w:i w:val="0"/>
          <w:iCs w:val="0"/>
          <w:color w:val="auto"/>
        </w:rPr>
        <w:t xml:space="preserve">Figure </w:t>
      </w:r>
      <w:r w:rsidRPr="00165D8F">
        <w:rPr>
          <w:b/>
          <w:bCs/>
          <w:i w:val="0"/>
          <w:iCs w:val="0"/>
          <w:color w:val="auto"/>
        </w:rPr>
        <w:fldChar w:fldCharType="begin"/>
      </w:r>
      <w:r w:rsidRPr="00165D8F">
        <w:rPr>
          <w:b/>
          <w:bCs/>
          <w:i w:val="0"/>
          <w:iCs w:val="0"/>
          <w:color w:val="auto"/>
        </w:rPr>
        <w:instrText xml:space="preserve"> SEQ Figure \* ARABIC </w:instrText>
      </w:r>
      <w:r w:rsidRPr="00165D8F">
        <w:rPr>
          <w:b/>
          <w:bCs/>
          <w:i w:val="0"/>
          <w:iCs w:val="0"/>
          <w:color w:val="auto"/>
        </w:rPr>
        <w:fldChar w:fldCharType="separate"/>
      </w:r>
      <w:r w:rsidR="00B75601">
        <w:rPr>
          <w:b/>
          <w:bCs/>
          <w:i w:val="0"/>
          <w:iCs w:val="0"/>
          <w:noProof/>
          <w:color w:val="auto"/>
        </w:rPr>
        <w:t>1</w:t>
      </w:r>
      <w:r w:rsidRPr="00165D8F">
        <w:rPr>
          <w:b/>
          <w:bCs/>
          <w:i w:val="0"/>
          <w:iCs w:val="0"/>
          <w:color w:val="auto"/>
        </w:rPr>
        <w:fldChar w:fldCharType="end"/>
      </w:r>
      <w:r w:rsidR="002725A3">
        <w:rPr>
          <w:b/>
          <w:bCs/>
          <w:i w:val="0"/>
          <w:iCs w:val="0"/>
          <w:color w:val="auto"/>
        </w:rPr>
        <w:t>:</w:t>
      </w:r>
      <w:r w:rsidRPr="00165D8F">
        <w:rPr>
          <w:b/>
          <w:bCs/>
          <w:i w:val="0"/>
          <w:iCs w:val="0"/>
          <w:color w:val="auto"/>
        </w:rPr>
        <w:t xml:space="preserve"> Grocery Sector Market Share</w:t>
      </w:r>
      <w:bookmarkEnd w:id="4"/>
    </w:p>
    <w:p w14:paraId="39D19C40" w14:textId="3B83150D" w:rsidR="00F14857" w:rsidRPr="00165D8F" w:rsidRDefault="00F14857" w:rsidP="00F14857">
      <w:pPr>
        <w:pStyle w:val="Caption"/>
        <w:jc w:val="center"/>
        <w:rPr>
          <w:b/>
          <w:bCs/>
          <w:i w:val="0"/>
          <w:iCs w:val="0"/>
          <w:color w:val="auto"/>
        </w:rPr>
      </w:pPr>
      <w:r w:rsidRPr="00165D8F">
        <w:rPr>
          <w:b/>
          <w:bCs/>
          <w:i w:val="0"/>
          <w:iCs w:val="0"/>
          <w:color w:val="auto"/>
        </w:rPr>
        <w:t xml:space="preserve">Source: </w:t>
      </w:r>
      <w:proofErr w:type="spellStart"/>
      <w:r w:rsidRPr="00165D8F">
        <w:rPr>
          <w:b/>
          <w:bCs/>
          <w:i w:val="0"/>
          <w:iCs w:val="0"/>
          <w:color w:val="auto"/>
        </w:rPr>
        <w:t>WorldPanel</w:t>
      </w:r>
      <w:proofErr w:type="spellEnd"/>
    </w:p>
    <w:p w14:paraId="18C45ED8" w14:textId="0A4FFE0B" w:rsidR="00166445" w:rsidRPr="00165D8F" w:rsidRDefault="00166445" w:rsidP="00166445">
      <w:r w:rsidRPr="00165D8F">
        <w:t xml:space="preserve"> In 2024-2025, Tesco has retained its main market share with approximately 28-29 per cent of the UK grocery market, ahead of the Sainsbury and the rapidly expanding discounters (Statista, 2025; Consumer Edge, 2025). Its effectiveness in a scale, brand strength, convenience store coverage and an advanced loyalty and data analytics power, which facilitates personalised pricing and promotions, keeps it in the competitive position (</w:t>
      </w:r>
      <w:proofErr w:type="spellStart"/>
      <w:r w:rsidRPr="00165D8F">
        <w:t>AInvest</w:t>
      </w:r>
      <w:proofErr w:type="spellEnd"/>
      <w:r w:rsidRPr="00165D8F">
        <w:t xml:space="preserve">, 2026; </w:t>
      </w:r>
      <w:proofErr w:type="spellStart"/>
      <w:r w:rsidRPr="00165D8F">
        <w:t>AInvest</w:t>
      </w:r>
      <w:proofErr w:type="spellEnd"/>
      <w:r w:rsidRPr="00165D8F">
        <w:t>, 2025). Nonetheless, such a leadership position is subject to stiff price wars, shifting consumer demands and regulatory and environmental demands, and strategic management is vital in maintaining a competitive edge.</w:t>
      </w:r>
    </w:p>
    <w:p w14:paraId="1F0D1DEB" w14:textId="77777777" w:rsidR="001B7F8F" w:rsidRDefault="001B7F8F">
      <w:pPr>
        <w:rPr>
          <w:rFonts w:eastAsiaTheme="majorEastAsia" w:cstheme="majorBidi"/>
          <w:b/>
          <w:color w:val="000000" w:themeColor="text1"/>
          <w:sz w:val="32"/>
          <w:szCs w:val="32"/>
        </w:rPr>
      </w:pPr>
      <w:bookmarkStart w:id="5" w:name="_Toc221712026"/>
      <w:r>
        <w:br w:type="page"/>
      </w:r>
    </w:p>
    <w:p w14:paraId="7463CECC" w14:textId="60C9213D" w:rsidR="00443B36" w:rsidRPr="00165D8F" w:rsidRDefault="00443B36" w:rsidP="001972B1">
      <w:pPr>
        <w:pStyle w:val="Heading1"/>
      </w:pPr>
      <w:r w:rsidRPr="00165D8F">
        <w:lastRenderedPageBreak/>
        <w:t>2</w:t>
      </w:r>
      <w:r w:rsidR="000E295F" w:rsidRPr="00165D8F">
        <w:t xml:space="preserve">. </w:t>
      </w:r>
      <w:r w:rsidRPr="00165D8F">
        <w:t>External and Internal Environment Analysis</w:t>
      </w:r>
      <w:bookmarkEnd w:id="5"/>
    </w:p>
    <w:p w14:paraId="34016A30" w14:textId="77777777" w:rsidR="00443B36" w:rsidRPr="00165D8F" w:rsidRDefault="00443B36" w:rsidP="001972B1">
      <w:pPr>
        <w:pStyle w:val="Heading2"/>
      </w:pPr>
      <w:bookmarkStart w:id="6" w:name="_Toc221712027"/>
      <w:r w:rsidRPr="00165D8F">
        <w:t>2.1 PESTEL Analysis: External Factors and Strategic Decisions</w:t>
      </w:r>
      <w:bookmarkEnd w:id="6"/>
    </w:p>
    <w:p w14:paraId="0B441C00" w14:textId="77DFC732" w:rsidR="00BF6EEA" w:rsidRPr="00165D8F" w:rsidRDefault="00BF6EEA" w:rsidP="00BF6EEA">
      <w:bookmarkStart w:id="7" w:name="_Hlk221577738"/>
      <w:r w:rsidRPr="00165D8F">
        <w:t xml:space="preserve">The PESTEL framework offers a framework through which macro-environmental factors surrounding the strategic decisions at Tesco can be </w:t>
      </w:r>
      <w:r w:rsidR="00221E41" w:rsidRPr="00165D8F">
        <w:t>analysed</w:t>
      </w:r>
      <w:r w:rsidRPr="00165D8F">
        <w:t xml:space="preserve"> (Johnson et al., 2020).</w:t>
      </w:r>
    </w:p>
    <w:p w14:paraId="19E05967" w14:textId="77777777" w:rsidR="00531C08" w:rsidRPr="00165D8F" w:rsidRDefault="001B6BC2" w:rsidP="00531C08">
      <w:pPr>
        <w:keepNext/>
        <w:ind w:left="1440"/>
      </w:pPr>
      <w:r w:rsidRPr="00165D8F">
        <w:rPr>
          <w:noProof/>
        </w:rPr>
        <w:drawing>
          <wp:inline distT="0" distB="0" distL="0" distR="0" wp14:anchorId="54587DA8" wp14:editId="256E4A4D">
            <wp:extent cx="4067175" cy="3200400"/>
            <wp:effectExtent l="0" t="0" r="2857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774738B" w14:textId="220808A0" w:rsidR="001B6BC2" w:rsidRPr="00165D8F" w:rsidRDefault="00531C08" w:rsidP="00531C08">
      <w:pPr>
        <w:pStyle w:val="Caption"/>
        <w:jc w:val="center"/>
        <w:rPr>
          <w:b/>
          <w:bCs/>
          <w:i w:val="0"/>
          <w:iCs w:val="0"/>
          <w:color w:val="auto"/>
        </w:rPr>
      </w:pPr>
      <w:bookmarkStart w:id="8" w:name="_Toc221712367"/>
      <w:r w:rsidRPr="00165D8F">
        <w:rPr>
          <w:b/>
          <w:bCs/>
          <w:i w:val="0"/>
          <w:iCs w:val="0"/>
          <w:color w:val="auto"/>
        </w:rPr>
        <w:t xml:space="preserve">Figure </w:t>
      </w:r>
      <w:r w:rsidRPr="00165D8F">
        <w:rPr>
          <w:b/>
          <w:bCs/>
          <w:i w:val="0"/>
          <w:iCs w:val="0"/>
          <w:color w:val="auto"/>
        </w:rPr>
        <w:fldChar w:fldCharType="begin"/>
      </w:r>
      <w:r w:rsidRPr="00165D8F">
        <w:rPr>
          <w:b/>
          <w:bCs/>
          <w:i w:val="0"/>
          <w:iCs w:val="0"/>
          <w:color w:val="auto"/>
        </w:rPr>
        <w:instrText xml:space="preserve"> SEQ Figure \* ARABIC </w:instrText>
      </w:r>
      <w:r w:rsidRPr="00165D8F">
        <w:rPr>
          <w:b/>
          <w:bCs/>
          <w:i w:val="0"/>
          <w:iCs w:val="0"/>
          <w:color w:val="auto"/>
        </w:rPr>
        <w:fldChar w:fldCharType="separate"/>
      </w:r>
      <w:r w:rsidR="00B75601">
        <w:rPr>
          <w:b/>
          <w:bCs/>
          <w:i w:val="0"/>
          <w:iCs w:val="0"/>
          <w:noProof/>
          <w:color w:val="auto"/>
        </w:rPr>
        <w:t>2</w:t>
      </w:r>
      <w:r w:rsidRPr="00165D8F">
        <w:rPr>
          <w:b/>
          <w:bCs/>
          <w:i w:val="0"/>
          <w:iCs w:val="0"/>
          <w:color w:val="auto"/>
        </w:rPr>
        <w:fldChar w:fldCharType="end"/>
      </w:r>
      <w:r w:rsidR="002725A3">
        <w:rPr>
          <w:b/>
          <w:bCs/>
          <w:i w:val="0"/>
          <w:iCs w:val="0"/>
          <w:color w:val="auto"/>
        </w:rPr>
        <w:t>:</w:t>
      </w:r>
      <w:r w:rsidRPr="00165D8F">
        <w:rPr>
          <w:b/>
          <w:bCs/>
          <w:i w:val="0"/>
          <w:iCs w:val="0"/>
          <w:color w:val="auto"/>
        </w:rPr>
        <w:t xml:space="preserve"> PESTEL Analysis</w:t>
      </w:r>
      <w:r w:rsidR="000A35B1">
        <w:rPr>
          <w:b/>
          <w:bCs/>
          <w:i w:val="0"/>
          <w:iCs w:val="0"/>
          <w:color w:val="auto"/>
        </w:rPr>
        <w:t xml:space="preserve"> Components</w:t>
      </w:r>
      <w:bookmarkEnd w:id="8"/>
    </w:p>
    <w:p w14:paraId="4EF2F607" w14:textId="77777777" w:rsidR="00BF6EEA" w:rsidRPr="00165D8F" w:rsidRDefault="00BF6EEA" w:rsidP="00BF6EEA">
      <w:pPr>
        <w:rPr>
          <w:b/>
          <w:bCs/>
        </w:rPr>
      </w:pPr>
      <w:r w:rsidRPr="00165D8F">
        <w:rPr>
          <w:b/>
          <w:bCs/>
        </w:rPr>
        <w:t>Political:</w:t>
      </w:r>
    </w:p>
    <w:p w14:paraId="59D55610" w14:textId="07FEDF40" w:rsidR="00BF6EEA" w:rsidRPr="00165D8F" w:rsidRDefault="00BF6EEA" w:rsidP="00BF6EEA">
      <w:r w:rsidRPr="00165D8F">
        <w:t xml:space="preserve">The new post-Brexit trade policies have added to the volume of customs work, documentation, and expenses of food imports, most of which were formerly sourced through the EU </w:t>
      </w:r>
      <w:r w:rsidR="000A35B1" w:rsidRPr="00165D8F">
        <w:t>(Walker</w:t>
      </w:r>
      <w:r w:rsidRPr="00165D8F">
        <w:t xml:space="preserve"> and </w:t>
      </w:r>
      <w:proofErr w:type="spellStart"/>
      <w:r w:rsidRPr="00165D8F">
        <w:t>Mugudubi</w:t>
      </w:r>
      <w:proofErr w:type="spellEnd"/>
      <w:r w:rsidRPr="00165D8F">
        <w:t xml:space="preserve">, 2021; Howandwhat.net, 2023). In the case of Tesco, this has led to reconfiguring of the supply chain, creation of more inventory buffers and closer cooperation with the local suppliers to cushion against disruptions and cost volatility. Simultaneously, the priorities of the UK government in the area of food security and domestic agriculture support, as well as the changing standards offered by Food Standards Agency, determine the sourcing policies and compliance investments of Tesco (Pestel analysis.com, 2026). </w:t>
      </w:r>
    </w:p>
    <w:p w14:paraId="685396C0" w14:textId="77777777" w:rsidR="00BF6EEA" w:rsidRPr="00165D8F" w:rsidRDefault="00BF6EEA" w:rsidP="00BF6EEA">
      <w:pPr>
        <w:rPr>
          <w:b/>
          <w:bCs/>
        </w:rPr>
      </w:pPr>
      <w:r w:rsidRPr="00165D8F">
        <w:rPr>
          <w:b/>
          <w:bCs/>
        </w:rPr>
        <w:t>Economic:</w:t>
      </w:r>
    </w:p>
    <w:p w14:paraId="69CB3603" w14:textId="30FC9642" w:rsidR="00BF6EEA" w:rsidRPr="00165D8F" w:rsidRDefault="00BF6EEA" w:rsidP="00BF6EEA">
      <w:r w:rsidRPr="00165D8F">
        <w:t xml:space="preserve">The UK has had a </w:t>
      </w:r>
      <w:r w:rsidR="00221E41" w:rsidRPr="00165D8F">
        <w:t>cost-of-living</w:t>
      </w:r>
      <w:r w:rsidRPr="00165D8F">
        <w:t xml:space="preserve"> crisis that has continued to exert stress on the income earned in real terms and the increase in prices of foods and energy has made people sensitive to prices in their purchases of food (</w:t>
      </w:r>
      <w:proofErr w:type="spellStart"/>
      <w:r w:rsidRPr="00165D8F">
        <w:t>Desklib</w:t>
      </w:r>
      <w:proofErr w:type="spellEnd"/>
      <w:r w:rsidRPr="00165D8F">
        <w:t xml:space="preserve">, 2024). In the case of Tesco, this has strengthened a strategic </w:t>
      </w:r>
      <w:r w:rsidRPr="00165D8F">
        <w:lastRenderedPageBreak/>
        <w:t>emphasis on value, which has taken the form of price matching a discounter (i.e. Aldi Price Match), comprehensive Clubcard price promotions and everyday low prices on major lines (</w:t>
      </w:r>
      <w:proofErr w:type="spellStart"/>
      <w:r w:rsidRPr="00165D8F">
        <w:t>AInvest</w:t>
      </w:r>
      <w:proofErr w:type="spellEnd"/>
      <w:r w:rsidRPr="00165D8F">
        <w:t xml:space="preserve">, 2026; </w:t>
      </w:r>
      <w:proofErr w:type="spellStart"/>
      <w:r w:rsidRPr="00165D8F">
        <w:t>AInvest</w:t>
      </w:r>
      <w:proofErr w:type="spellEnd"/>
      <w:r w:rsidRPr="00165D8F">
        <w:t>, 2025). Simultaneously, energy, logistics and wage cost pressures have necessitated the strict control of costs and productivity enhancements, such as automation, logistics network optimisation and economies of scale exploitation (Grocery Doppio, 2024).</w:t>
      </w:r>
    </w:p>
    <w:p w14:paraId="33E4115E" w14:textId="77777777" w:rsidR="00BF6EEA" w:rsidRPr="00165D8F" w:rsidRDefault="00BF6EEA" w:rsidP="00BF6EEA">
      <w:pPr>
        <w:rPr>
          <w:b/>
          <w:bCs/>
        </w:rPr>
      </w:pPr>
      <w:r w:rsidRPr="00165D8F">
        <w:rPr>
          <w:b/>
          <w:bCs/>
        </w:rPr>
        <w:t>Social:</w:t>
      </w:r>
    </w:p>
    <w:p w14:paraId="4F7B1BCA" w14:textId="651D3DC3" w:rsidR="00BF6EEA" w:rsidRPr="00165D8F" w:rsidRDefault="00BF6EEA" w:rsidP="00BF6EEA">
      <w:r w:rsidRPr="00165D8F">
        <w:t>The changes in consumer lifestyles and values have a huge implication on the strategy of Tesco. The hectic work schedules promote the convenience formats, ready foods and online shopping of groceries (</w:t>
      </w:r>
      <w:proofErr w:type="spellStart"/>
      <w:r w:rsidRPr="00165D8F">
        <w:t>Uniwriter</w:t>
      </w:r>
      <w:proofErr w:type="spellEnd"/>
      <w:r w:rsidRPr="00165D8F">
        <w:t xml:space="preserve">, 2025). The focus on health, wellness and ethical consumption is also gaining momentum, and the customers are more concerned about nutrition, animal welfare, ethical sourcing and environmental impact (Mintel, 2021; Jones et al., 2009). Some of the ways by which Tesco reacts include healthier product reformulation, providing more explicit labelling, more plant-based products, and in-store promotion of sustainable consumption (Jones et al., 2009). </w:t>
      </w:r>
    </w:p>
    <w:p w14:paraId="40E5E9A7" w14:textId="77777777" w:rsidR="00BF6EEA" w:rsidRPr="00165D8F" w:rsidRDefault="00BF6EEA" w:rsidP="00BF6EEA">
      <w:pPr>
        <w:rPr>
          <w:b/>
          <w:bCs/>
        </w:rPr>
      </w:pPr>
      <w:r w:rsidRPr="00165D8F">
        <w:rPr>
          <w:b/>
          <w:bCs/>
        </w:rPr>
        <w:t>Technological:</w:t>
      </w:r>
    </w:p>
    <w:p w14:paraId="4F417A44" w14:textId="2DD74F3D" w:rsidR="00BF6EEA" w:rsidRPr="00165D8F" w:rsidRDefault="00BF6EEA" w:rsidP="00BF6EEA">
      <w:r w:rsidRPr="00165D8F">
        <w:t>The change in technology is rather rapid, and it impacts the customer experience and operations. Tesco has put funds in the online grocery systems, mobile applications, pricing and range optimisation uses AI to improve, and robotics in distribution centres (</w:t>
      </w:r>
      <w:proofErr w:type="spellStart"/>
      <w:r w:rsidRPr="00165D8F">
        <w:t>AInvest</w:t>
      </w:r>
      <w:proofErr w:type="spellEnd"/>
      <w:r w:rsidRPr="00165D8F">
        <w:t xml:space="preserve">, 2026; </w:t>
      </w:r>
      <w:proofErr w:type="spellStart"/>
      <w:r w:rsidRPr="00165D8F">
        <w:t>DCFModeling</w:t>
      </w:r>
      <w:proofErr w:type="spellEnd"/>
      <w:r w:rsidRPr="00165D8F">
        <w:t>, 2025). These investments are used to facilitate an omnichannel approach where customers can combine home delivery, click and collect and quick delivery channel (e.g. Tesco Whoosh), enhancing convenience and loyalty (Flavor365, 2025). On the internal level, the personalised promotions, assortment decisions and demand forecasting are supported by the Clubcard-based data analytics (which covers most households in the UK) (</w:t>
      </w:r>
      <w:proofErr w:type="spellStart"/>
      <w:r w:rsidRPr="00165D8F">
        <w:t>AInvest</w:t>
      </w:r>
      <w:proofErr w:type="spellEnd"/>
      <w:r w:rsidRPr="00165D8F">
        <w:t xml:space="preserve">, 2025). </w:t>
      </w:r>
    </w:p>
    <w:p w14:paraId="1DFC714D" w14:textId="77777777" w:rsidR="00BF6EEA" w:rsidRPr="00165D8F" w:rsidRDefault="00BF6EEA" w:rsidP="00BF6EEA">
      <w:pPr>
        <w:rPr>
          <w:b/>
          <w:bCs/>
        </w:rPr>
      </w:pPr>
      <w:r w:rsidRPr="00165D8F">
        <w:rPr>
          <w:b/>
          <w:bCs/>
        </w:rPr>
        <w:t>Environmental:</w:t>
      </w:r>
    </w:p>
    <w:p w14:paraId="78934E57" w14:textId="77777777" w:rsidR="00BF6EEA" w:rsidRPr="00165D8F" w:rsidRDefault="00BF6EEA" w:rsidP="00BF6EEA">
      <w:r w:rsidRPr="00165D8F">
        <w:t xml:space="preserve">Environmental regulation and climate change generate powerful strategic priorities. Tesco became the first FTSE 100 retailer to have science-based targets in accordance with the Paris Agreement and has also pledged to be net zero in the UK by 2035 and its value chain by 2050 (IFAC, 2023; Tesco PLC, 2023a). To accomplish these targets, energy efficiency, renewable power, transport electrification, minimization in food waste and environmentally friendly agriculture have to be invested in (Tesco PLC, 2023a; Tesco PLC, 2023b). Consumer expectations are also affected by environmental issues, and Tesco has also decreased the use </w:t>
      </w:r>
      <w:r w:rsidRPr="00165D8F">
        <w:lastRenderedPageBreak/>
        <w:t>of plastic packaging in the products it manufactures, as well as sustainable fisheries and addressing deforestation in its commodity sourcing networks, including soy (Tesco PLC, 2023b).</w:t>
      </w:r>
    </w:p>
    <w:p w14:paraId="54FE8C30" w14:textId="245E8B3F" w:rsidR="001A0176" w:rsidRPr="00165D8F" w:rsidRDefault="00443B36" w:rsidP="001A0176">
      <w:r w:rsidRPr="00165D8F">
        <w:rPr>
          <w:b/>
          <w:bCs/>
        </w:rPr>
        <w:t>Legal:</w:t>
      </w:r>
      <w:r w:rsidRPr="00165D8F">
        <w:rPr>
          <w:b/>
          <w:bCs/>
        </w:rPr>
        <w:br/>
      </w:r>
      <w:bookmarkEnd w:id="7"/>
      <w:r w:rsidR="001A0176" w:rsidRPr="00165D8F">
        <w:t xml:space="preserve">The legal framework that Tesco has to adhere to is quite intricate and includes competition law, </w:t>
      </w:r>
      <w:r w:rsidR="00221E41" w:rsidRPr="00165D8F">
        <w:t>labour</w:t>
      </w:r>
      <w:r w:rsidR="001A0176" w:rsidRPr="00165D8F">
        <w:t xml:space="preserve"> legislation, food safety, labels, and environmental standards (Howandwhat.net, 2023). Scandals in the past, such as an accounting scandal in 2014, and equal pay disagreements, have increased the attention to Tesco in terms of governance and labour practices (Anon, 2014). Legal changes in regard to the practice of fire and rehire on employees and evolving case law concerning labour rights tightens managerial discretion and necessitates more collaborative strategies of changing the workforce (Pestel analysis.com, 2026). </w:t>
      </w:r>
    </w:p>
    <w:p w14:paraId="4C3210BB" w14:textId="4454FD4E" w:rsidR="00443B36" w:rsidRPr="00165D8F" w:rsidRDefault="00443B36" w:rsidP="001A0176">
      <w:pPr>
        <w:pStyle w:val="Heading2"/>
      </w:pPr>
      <w:bookmarkStart w:id="9" w:name="_Toc221712028"/>
      <w:r w:rsidRPr="00165D8F">
        <w:t>2.2 Critical Success Factors and Strategic Challenges</w:t>
      </w:r>
      <w:bookmarkEnd w:id="9"/>
    </w:p>
    <w:p w14:paraId="7BA43303" w14:textId="77777777" w:rsidR="001A0176" w:rsidRPr="00165D8F" w:rsidRDefault="001A0176" w:rsidP="001A0176">
      <w:r w:rsidRPr="00165D8F">
        <w:t>The critical success factors of Tesco in the UK grocery market in this environment entail:</w:t>
      </w:r>
    </w:p>
    <w:p w14:paraId="6545FC03" w14:textId="109A8501" w:rsidR="001A0176" w:rsidRPr="00165D8F" w:rsidRDefault="001A0176" w:rsidP="00116AB5">
      <w:r w:rsidRPr="00165D8F">
        <w:rPr>
          <w:b/>
          <w:bCs/>
        </w:rPr>
        <w:t>Price competitiveness and value proposition:</w:t>
      </w:r>
      <w:r w:rsidRPr="00165D8F">
        <w:t xml:space="preserve"> </w:t>
      </w:r>
      <w:r w:rsidR="00116AB5" w:rsidRPr="00165D8F">
        <w:t>A</w:t>
      </w:r>
      <w:r w:rsidRPr="00165D8F">
        <w:t>t the same time as the discounters, providing the same price and promotional offers with maintaining the same margins despite the scale efficiencies (</w:t>
      </w:r>
      <w:proofErr w:type="spellStart"/>
      <w:r w:rsidRPr="00165D8F">
        <w:t>AInvest</w:t>
      </w:r>
      <w:proofErr w:type="spellEnd"/>
      <w:r w:rsidRPr="00165D8F">
        <w:t>, 2026).</w:t>
      </w:r>
    </w:p>
    <w:p w14:paraId="48E1FE18" w14:textId="77777777" w:rsidR="001A0176" w:rsidRPr="00165D8F" w:rsidRDefault="001A0176" w:rsidP="00116AB5">
      <w:r w:rsidRPr="00165D8F">
        <w:rPr>
          <w:b/>
          <w:bCs/>
        </w:rPr>
        <w:t>Easy accessibility and store network density:</w:t>
      </w:r>
      <w:r w:rsidRPr="00165D8F">
        <w:t xml:space="preserve"> Tesco Express and neighbourhood formats ensure a high level of accessibility of a large network of supermarkets and convenience stores throughout the UK (Grocery Doppio, 2024).</w:t>
      </w:r>
    </w:p>
    <w:p w14:paraId="20DDB3FD" w14:textId="303AE426" w:rsidR="001A0176" w:rsidRPr="00165D8F" w:rsidRDefault="001A0176" w:rsidP="00116AB5">
      <w:r w:rsidRPr="00165D8F">
        <w:rPr>
          <w:b/>
          <w:bCs/>
        </w:rPr>
        <w:t>Omnichannel capability:</w:t>
      </w:r>
      <w:r w:rsidRPr="00165D8F">
        <w:t xml:space="preserve"> </w:t>
      </w:r>
      <w:r w:rsidR="00116AB5" w:rsidRPr="00165D8F">
        <w:t>A</w:t>
      </w:r>
      <w:r w:rsidRPr="00165D8F">
        <w:t xml:space="preserve"> combined online and offline channel, dynamic fulfilment choices and powerful last mile logistics (McKinnon, 2022).</w:t>
      </w:r>
    </w:p>
    <w:p w14:paraId="744EBF82" w14:textId="32490E7F" w:rsidR="001A0176" w:rsidRPr="00165D8F" w:rsidRDefault="001A0176" w:rsidP="00116AB5">
      <w:r w:rsidRPr="00165D8F">
        <w:rPr>
          <w:b/>
          <w:bCs/>
        </w:rPr>
        <w:t>Brand trust and customer loyalty:</w:t>
      </w:r>
      <w:r w:rsidRPr="00165D8F">
        <w:t xml:space="preserve"> </w:t>
      </w:r>
      <w:r w:rsidR="00116AB5" w:rsidRPr="00165D8F">
        <w:t>A</w:t>
      </w:r>
      <w:r w:rsidRPr="00165D8F">
        <w:t xml:space="preserve"> powerful and recognisable brand, which is supported by the Clubcard scheme and stable value and quality (</w:t>
      </w:r>
      <w:proofErr w:type="spellStart"/>
      <w:r w:rsidRPr="00165D8F">
        <w:t>CCSENet</w:t>
      </w:r>
      <w:proofErr w:type="spellEnd"/>
      <w:r w:rsidRPr="00165D8F">
        <w:t xml:space="preserve">, 2010; </w:t>
      </w:r>
      <w:proofErr w:type="spellStart"/>
      <w:r w:rsidRPr="00165D8F">
        <w:t>DCFModeling</w:t>
      </w:r>
      <w:proofErr w:type="spellEnd"/>
      <w:r w:rsidRPr="00165D8F">
        <w:t>, 2025).</w:t>
      </w:r>
    </w:p>
    <w:p w14:paraId="0C15CCD3" w14:textId="3EC807F6" w:rsidR="001A0176" w:rsidRPr="00165D8F" w:rsidRDefault="001A0176" w:rsidP="00116AB5">
      <w:r w:rsidRPr="00165D8F">
        <w:rPr>
          <w:b/>
          <w:bCs/>
        </w:rPr>
        <w:t>Resilience and efficiency of supply chains:</w:t>
      </w:r>
      <w:r w:rsidRPr="00165D8F">
        <w:t xml:space="preserve"> </w:t>
      </w:r>
      <w:r w:rsidR="00116AB5" w:rsidRPr="00165D8F">
        <w:t>S</w:t>
      </w:r>
      <w:r w:rsidRPr="00165D8F">
        <w:t>trong ties with vendors, advanced logistics and inventory control, and volatility in demand and supply (Anon, 2014; IJSAB, 2023).</w:t>
      </w:r>
    </w:p>
    <w:p w14:paraId="3B5F7206" w14:textId="241285C4" w:rsidR="001A0176" w:rsidRPr="00165D8F" w:rsidRDefault="001A0176" w:rsidP="00116AB5">
      <w:r w:rsidRPr="00165D8F">
        <w:rPr>
          <w:b/>
          <w:bCs/>
        </w:rPr>
        <w:t>Sustainability and CSR actions:</w:t>
      </w:r>
      <w:r w:rsidRPr="00165D8F">
        <w:t xml:space="preserve"> </w:t>
      </w:r>
      <w:r w:rsidR="00116AB5" w:rsidRPr="00165D8F">
        <w:t>P</w:t>
      </w:r>
      <w:r w:rsidRPr="00165D8F">
        <w:t>lausible development on climate, waste and community impact as they move to mainstream among regulators, investors and consumers (IFAC, 2023; Tesco PLC, 2023b).</w:t>
      </w:r>
    </w:p>
    <w:p w14:paraId="57A632EF" w14:textId="77777777" w:rsidR="001A0176" w:rsidRPr="00165D8F" w:rsidRDefault="001A0176" w:rsidP="001A0176">
      <w:r w:rsidRPr="00165D8F">
        <w:t>On the other hand, Tesco is struggling with such strategic challenges as:</w:t>
      </w:r>
    </w:p>
    <w:p w14:paraId="1DFCE41A" w14:textId="77777777" w:rsidR="001A0176" w:rsidRPr="00165D8F" w:rsidRDefault="001A0176" w:rsidP="001A0176">
      <w:r w:rsidRPr="00165D8F">
        <w:lastRenderedPageBreak/>
        <w:t>Discounters such as Aldi and Lidl are also increasing competition with Tesco, and the high-end retailers squeeze the margins and compel the latter to invest at all times in price (Statista, 2025; Flavor365, 2025). Added to these are incessant inflation and pressure on cost of energy, labour and logistics, which require continuous productivity improvement (</w:t>
      </w:r>
      <w:proofErr w:type="spellStart"/>
      <w:r w:rsidRPr="00165D8F">
        <w:t>Desklib</w:t>
      </w:r>
      <w:proofErr w:type="spellEnd"/>
      <w:r w:rsidRPr="00165D8F">
        <w:t>, 2024). Also, regulatory and reputational risk is looming huge especially in areas such as employment practices, treatment of suppliers and data privacy. The difficulty of looking to attain net zero through a global value chain is also an additional issue, as a high percentage of the emissions are Scope 3 and are beyond the control of Tesco (IFAC, 2023). Lastly, online turmoil by agile e-commerce and quick-commerce players poses a risk of losing market share by Tesco.</w:t>
      </w:r>
    </w:p>
    <w:p w14:paraId="69B129DB" w14:textId="59269FB0" w:rsidR="00443B36" w:rsidRPr="00165D8F" w:rsidRDefault="00443B36" w:rsidP="001972B1">
      <w:pPr>
        <w:pStyle w:val="Heading2"/>
      </w:pPr>
      <w:bookmarkStart w:id="10" w:name="_Toc221712029"/>
      <w:r w:rsidRPr="00165D8F">
        <w:t>2.3 Internal Environment: Resources, Capabilities and Core Competencies</w:t>
      </w:r>
      <w:bookmarkEnd w:id="10"/>
    </w:p>
    <w:p w14:paraId="00306A9B" w14:textId="77777777" w:rsidR="00914113" w:rsidRPr="00165D8F" w:rsidRDefault="00914113" w:rsidP="00914113">
      <w:pPr>
        <w:keepNext/>
        <w:ind w:left="720"/>
      </w:pPr>
      <w:r w:rsidRPr="00165D8F">
        <w:rPr>
          <w:noProof/>
        </w:rPr>
        <w:drawing>
          <wp:inline distT="0" distB="0" distL="0" distR="0" wp14:anchorId="7D109267" wp14:editId="19916A39">
            <wp:extent cx="4813402" cy="2143353"/>
            <wp:effectExtent l="0" t="0" r="25400"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9C8F6A2" w14:textId="4290388B" w:rsidR="00914113" w:rsidRPr="00165D8F" w:rsidRDefault="00914113" w:rsidP="00914113">
      <w:pPr>
        <w:pStyle w:val="Caption"/>
        <w:jc w:val="center"/>
        <w:rPr>
          <w:b/>
          <w:bCs/>
          <w:i w:val="0"/>
          <w:iCs w:val="0"/>
          <w:color w:val="auto"/>
        </w:rPr>
      </w:pPr>
      <w:bookmarkStart w:id="11" w:name="_Toc221712368"/>
      <w:r w:rsidRPr="00165D8F">
        <w:rPr>
          <w:b/>
          <w:bCs/>
          <w:i w:val="0"/>
          <w:iCs w:val="0"/>
          <w:color w:val="auto"/>
        </w:rPr>
        <w:t xml:space="preserve">Figure </w:t>
      </w:r>
      <w:r w:rsidRPr="00165D8F">
        <w:rPr>
          <w:b/>
          <w:bCs/>
          <w:i w:val="0"/>
          <w:iCs w:val="0"/>
          <w:color w:val="auto"/>
        </w:rPr>
        <w:fldChar w:fldCharType="begin"/>
      </w:r>
      <w:r w:rsidRPr="00165D8F">
        <w:rPr>
          <w:b/>
          <w:bCs/>
          <w:i w:val="0"/>
          <w:iCs w:val="0"/>
          <w:color w:val="auto"/>
        </w:rPr>
        <w:instrText xml:space="preserve"> SEQ Figure \* ARABIC </w:instrText>
      </w:r>
      <w:r w:rsidRPr="00165D8F">
        <w:rPr>
          <w:b/>
          <w:bCs/>
          <w:i w:val="0"/>
          <w:iCs w:val="0"/>
          <w:color w:val="auto"/>
        </w:rPr>
        <w:fldChar w:fldCharType="separate"/>
      </w:r>
      <w:r w:rsidR="00B75601">
        <w:rPr>
          <w:b/>
          <w:bCs/>
          <w:i w:val="0"/>
          <w:iCs w:val="0"/>
          <w:noProof/>
          <w:color w:val="auto"/>
        </w:rPr>
        <w:t>3</w:t>
      </w:r>
      <w:r w:rsidRPr="00165D8F">
        <w:rPr>
          <w:b/>
          <w:bCs/>
          <w:i w:val="0"/>
          <w:iCs w:val="0"/>
          <w:color w:val="auto"/>
        </w:rPr>
        <w:fldChar w:fldCharType="end"/>
      </w:r>
      <w:r w:rsidR="00D252DA">
        <w:rPr>
          <w:b/>
          <w:bCs/>
          <w:i w:val="0"/>
          <w:iCs w:val="0"/>
          <w:color w:val="auto"/>
        </w:rPr>
        <w:t>:</w:t>
      </w:r>
      <w:r w:rsidRPr="00165D8F">
        <w:rPr>
          <w:b/>
          <w:bCs/>
          <w:i w:val="0"/>
          <w:iCs w:val="0"/>
          <w:color w:val="auto"/>
        </w:rPr>
        <w:t xml:space="preserve"> Internal Environment Elements</w:t>
      </w:r>
      <w:bookmarkEnd w:id="11"/>
    </w:p>
    <w:p w14:paraId="15DF6969" w14:textId="7F7225F2" w:rsidR="001A0176" w:rsidRPr="00165D8F" w:rsidRDefault="001A0176" w:rsidP="001A0176">
      <w:r w:rsidRPr="00165D8F">
        <w:t xml:space="preserve">The </w:t>
      </w:r>
      <w:r w:rsidR="00914113" w:rsidRPr="00165D8F">
        <w:t>resource-based</w:t>
      </w:r>
      <w:r w:rsidRPr="00165D8F">
        <w:t xml:space="preserve"> view (RBV) </w:t>
      </w:r>
      <w:r w:rsidR="00914113" w:rsidRPr="00165D8F">
        <w:t>analyses the</w:t>
      </w:r>
      <w:r w:rsidRPr="00165D8F">
        <w:t xml:space="preserve"> tangible and intangible resources, capabilities and core competencies (Barney, 1991).</w:t>
      </w:r>
      <w:r w:rsidR="00914113" w:rsidRPr="00165D8F">
        <w:t xml:space="preserve"> For Tesco i</w:t>
      </w:r>
      <w:r w:rsidRPr="00165D8F">
        <w:t>mportant physical resources comprise a large physical store portfolio (more than 3,800 stores in the world, but with a high presence in the UK), contemporary distribution centres, and supply chain, and large financial resources to spend on technology and sustainability (</w:t>
      </w:r>
      <w:proofErr w:type="spellStart"/>
      <w:r w:rsidRPr="00165D8F">
        <w:t>DCFModeling</w:t>
      </w:r>
      <w:proofErr w:type="spellEnd"/>
      <w:r w:rsidRPr="00165D8F">
        <w:t>, 2025). The logistics and property portfolio facilitates economies of scale and scope so that Tesco can diversify the fixed costs with the high sales volumes (Grocery Doppio, 2024).</w:t>
      </w:r>
    </w:p>
    <w:p w14:paraId="36DBA854" w14:textId="5454504D" w:rsidR="001A0176" w:rsidRPr="00165D8F" w:rsidRDefault="00F95E0B" w:rsidP="001A0176">
      <w:r w:rsidRPr="00165D8F">
        <w:t>Intangible</w:t>
      </w:r>
      <w:r w:rsidR="001A0176" w:rsidRPr="00165D8F">
        <w:t xml:space="preserve"> resources are also crucial. Tesco has a strong brand equity; as the biggest supermarket in the UK, extensive database of customer information through Clubcard (serving the majority of UK households), decades of supplier relationships and organisational experience of the mass retailing (</w:t>
      </w:r>
      <w:proofErr w:type="spellStart"/>
      <w:r w:rsidR="001A0176" w:rsidRPr="00165D8F">
        <w:t>AInvest</w:t>
      </w:r>
      <w:proofErr w:type="spellEnd"/>
      <w:r w:rsidR="001A0176" w:rsidRPr="00165D8F">
        <w:t xml:space="preserve">, 2025; </w:t>
      </w:r>
      <w:proofErr w:type="spellStart"/>
      <w:r w:rsidR="001A0176" w:rsidRPr="00165D8F">
        <w:t>CCSENet</w:t>
      </w:r>
      <w:proofErr w:type="spellEnd"/>
      <w:r w:rsidR="001A0176" w:rsidRPr="00165D8F">
        <w:t>, 2010). Corporate reputation - ruined due to the accounting scandal of 2014 - has been restored through a consistent governance, transparency and customer focus enhancement (Anon, 2014; Tesco PLC, 2024a).</w:t>
      </w:r>
    </w:p>
    <w:p w14:paraId="23D5676C" w14:textId="77777777" w:rsidR="001A0176" w:rsidRPr="00165D8F" w:rsidRDefault="001A0176" w:rsidP="001A0176">
      <w:r w:rsidRPr="00165D8F">
        <w:lastRenderedPageBreak/>
        <w:t>The ability to utilize these resources is a result of coordination. Tesco has the following core competencies:</w:t>
      </w:r>
    </w:p>
    <w:p w14:paraId="4CED69F5" w14:textId="6AD78BD9" w:rsidR="001A0176" w:rsidRPr="00165D8F" w:rsidRDefault="001A0176" w:rsidP="00D9102B">
      <w:pPr>
        <w:pStyle w:val="ListParagraph"/>
        <w:numPr>
          <w:ilvl w:val="0"/>
          <w:numId w:val="2"/>
        </w:numPr>
      </w:pPr>
      <w:r w:rsidRPr="00165D8F">
        <w:t>Product range and assortment management, adjusting to the local markets and customers.</w:t>
      </w:r>
    </w:p>
    <w:p w14:paraId="4B06C008" w14:textId="4D4E4161" w:rsidR="001A0176" w:rsidRPr="00165D8F" w:rsidRDefault="001A0176" w:rsidP="00D9102B">
      <w:pPr>
        <w:pStyle w:val="ListParagraph"/>
        <w:numPr>
          <w:ilvl w:val="0"/>
          <w:numId w:val="2"/>
        </w:numPr>
      </w:pPr>
      <w:r w:rsidRPr="00165D8F">
        <w:t>High-tech data analysis and customer intelligence, which allow creating a personalised offer and planning inventory (</w:t>
      </w:r>
      <w:proofErr w:type="spellStart"/>
      <w:r w:rsidRPr="00165D8F">
        <w:t>AInvest</w:t>
      </w:r>
      <w:proofErr w:type="spellEnd"/>
      <w:r w:rsidRPr="00165D8F">
        <w:t>, 2025).</w:t>
      </w:r>
    </w:p>
    <w:p w14:paraId="5D01DF8D" w14:textId="3491F09F" w:rsidR="001A0176" w:rsidRPr="00165D8F" w:rsidRDefault="001A0176" w:rsidP="00D9102B">
      <w:pPr>
        <w:pStyle w:val="ListParagraph"/>
        <w:numPr>
          <w:ilvl w:val="0"/>
          <w:numId w:val="2"/>
        </w:numPr>
      </w:pPr>
      <w:r w:rsidRPr="00165D8F">
        <w:t>The operations management and logistics, such as cold chain (Anon, 2014; McKinnon, 2022), inventory management and store operations.</w:t>
      </w:r>
    </w:p>
    <w:p w14:paraId="2BEA0C99" w14:textId="7C08FA94" w:rsidR="001A0176" w:rsidRPr="00165D8F" w:rsidRDefault="001A0176" w:rsidP="00D9102B">
      <w:pPr>
        <w:pStyle w:val="ListParagraph"/>
        <w:numPr>
          <w:ilvl w:val="0"/>
          <w:numId w:val="2"/>
        </w:numPr>
      </w:pPr>
      <w:r w:rsidRPr="00165D8F">
        <w:t>Omnichannel integration, the integration of online and physical stores and last mile delivery.</w:t>
      </w:r>
    </w:p>
    <w:p w14:paraId="4CF22465" w14:textId="7D5F54E5" w:rsidR="001A0176" w:rsidRPr="00165D8F" w:rsidRDefault="001A0176" w:rsidP="00D9102B">
      <w:pPr>
        <w:pStyle w:val="ListParagraph"/>
        <w:numPr>
          <w:ilvl w:val="0"/>
          <w:numId w:val="2"/>
        </w:numPr>
      </w:pPr>
      <w:r w:rsidRPr="00165D8F">
        <w:t>Integration of sustainability, incorporating climate, waste and sourcing policies into the procurement and operations (IFAC, 2023; Tesco PLC, 2023b).</w:t>
      </w:r>
    </w:p>
    <w:p w14:paraId="5DC4DEC1" w14:textId="77777777" w:rsidR="00443B36" w:rsidRPr="00165D8F" w:rsidRDefault="00443B36" w:rsidP="001972B1">
      <w:pPr>
        <w:pStyle w:val="Heading2"/>
      </w:pPr>
      <w:bookmarkStart w:id="12" w:name="_Toc221712030"/>
      <w:r w:rsidRPr="00165D8F">
        <w:t>2.4 VRIO Evaluation of Strategic Capabilities</w:t>
      </w:r>
      <w:bookmarkEnd w:id="12"/>
    </w:p>
    <w:p w14:paraId="1767DED0" w14:textId="6F3962CA" w:rsidR="001A0176" w:rsidRPr="00165D8F" w:rsidRDefault="001A0176" w:rsidP="001A0176">
      <w:r w:rsidRPr="00165D8F">
        <w:t>The VRIO Framework (Value, Rarity, Imitability, Organisation) assists in the assessment of the resources and capabilities that support</w:t>
      </w:r>
      <w:r w:rsidR="00F95E0B" w:rsidRPr="00165D8F">
        <w:t xml:space="preserve">s </w:t>
      </w:r>
      <w:r w:rsidRPr="00165D8F">
        <w:t>sustainable competitive advantage (Barney, 1991).</w:t>
      </w:r>
    </w:p>
    <w:tbl>
      <w:tblPr>
        <w:tblStyle w:val="GridTable7Colorful"/>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1"/>
        <w:gridCol w:w="1109"/>
        <w:gridCol w:w="754"/>
        <w:gridCol w:w="1109"/>
        <w:gridCol w:w="1428"/>
        <w:gridCol w:w="1257"/>
        <w:gridCol w:w="1348"/>
      </w:tblGrid>
      <w:tr w:rsidR="00B96877" w:rsidRPr="00F23636" w14:paraId="5FCB8FC7" w14:textId="77777777" w:rsidTr="00064832">
        <w:trPr>
          <w:cnfStyle w:val="100000000000" w:firstRow="1" w:lastRow="0" w:firstColumn="0" w:lastColumn="0" w:oddVBand="0" w:evenVBand="0" w:oddHBand="0" w:evenHBand="0" w:firstRowFirstColumn="0" w:firstRowLastColumn="0" w:lastRowFirstColumn="0" w:lastRowLastColumn="0"/>
          <w:trHeight w:val="870"/>
        </w:trPr>
        <w:tc>
          <w:tcPr>
            <w:cnfStyle w:val="001000000100" w:firstRow="0" w:lastRow="0" w:firstColumn="1" w:lastColumn="0" w:oddVBand="0" w:evenVBand="0" w:oddHBand="0" w:evenHBand="0" w:firstRowFirstColumn="1" w:firstRowLastColumn="0" w:lastRowFirstColumn="0" w:lastRowLastColumn="0"/>
            <w:tcW w:w="1885" w:type="dxa"/>
            <w:tcBorders>
              <w:top w:val="none" w:sz="0" w:space="0" w:color="auto"/>
              <w:left w:val="none" w:sz="0" w:space="0" w:color="auto"/>
              <w:bottom w:val="none" w:sz="0" w:space="0" w:color="auto"/>
              <w:right w:val="none" w:sz="0" w:space="0" w:color="auto"/>
            </w:tcBorders>
            <w:hideMark/>
          </w:tcPr>
          <w:p w14:paraId="07107DCA" w14:textId="77777777" w:rsidR="000E3D0B" w:rsidRPr="000E3D0B" w:rsidRDefault="000E3D0B" w:rsidP="000E3D0B">
            <w:pPr>
              <w:spacing w:before="0"/>
              <w:jc w:val="left"/>
              <w:rPr>
                <w:rFonts w:eastAsia="Times New Roman" w:cs="Times New Roman"/>
                <w:i w:val="0"/>
                <w:iCs w:val="0"/>
                <w:color w:val="000000"/>
                <w:sz w:val="22"/>
                <w:szCs w:val="20"/>
              </w:rPr>
            </w:pPr>
            <w:r w:rsidRPr="000E3D0B">
              <w:rPr>
                <w:rFonts w:eastAsia="Times New Roman" w:cs="Times New Roman"/>
                <w:i w:val="0"/>
                <w:iCs w:val="0"/>
                <w:color w:val="000000"/>
                <w:sz w:val="22"/>
                <w:szCs w:val="20"/>
              </w:rPr>
              <w:t>Tesco Resource/Capability</w:t>
            </w:r>
          </w:p>
        </w:tc>
        <w:tc>
          <w:tcPr>
            <w:tcW w:w="1235" w:type="dxa"/>
            <w:tcBorders>
              <w:top w:val="none" w:sz="0" w:space="0" w:color="auto"/>
              <w:left w:val="none" w:sz="0" w:space="0" w:color="auto"/>
              <w:right w:val="none" w:sz="0" w:space="0" w:color="auto"/>
            </w:tcBorders>
            <w:hideMark/>
          </w:tcPr>
          <w:p w14:paraId="1EB65E7D" w14:textId="77777777" w:rsidR="000E3D0B" w:rsidRPr="000E3D0B" w:rsidRDefault="000E3D0B" w:rsidP="000E3D0B">
            <w:pPr>
              <w:spacing w:before="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Valuable?</w:t>
            </w:r>
          </w:p>
        </w:tc>
        <w:tc>
          <w:tcPr>
            <w:tcW w:w="754" w:type="dxa"/>
            <w:tcBorders>
              <w:top w:val="none" w:sz="0" w:space="0" w:color="auto"/>
              <w:left w:val="none" w:sz="0" w:space="0" w:color="auto"/>
              <w:right w:val="none" w:sz="0" w:space="0" w:color="auto"/>
            </w:tcBorders>
            <w:hideMark/>
          </w:tcPr>
          <w:p w14:paraId="5553AC6A" w14:textId="77777777" w:rsidR="000E3D0B" w:rsidRPr="000E3D0B" w:rsidRDefault="000E3D0B" w:rsidP="000E3D0B">
            <w:pPr>
              <w:spacing w:before="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Rare?</w:t>
            </w:r>
          </w:p>
        </w:tc>
        <w:tc>
          <w:tcPr>
            <w:tcW w:w="1109" w:type="dxa"/>
            <w:tcBorders>
              <w:top w:val="none" w:sz="0" w:space="0" w:color="auto"/>
              <w:left w:val="none" w:sz="0" w:space="0" w:color="auto"/>
              <w:right w:val="none" w:sz="0" w:space="0" w:color="auto"/>
            </w:tcBorders>
            <w:hideMark/>
          </w:tcPr>
          <w:p w14:paraId="060A3188" w14:textId="77777777" w:rsidR="000E3D0B" w:rsidRPr="000E3D0B" w:rsidRDefault="000E3D0B" w:rsidP="000E3D0B">
            <w:pPr>
              <w:spacing w:before="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Expensive to imitate?</w:t>
            </w:r>
          </w:p>
        </w:tc>
        <w:tc>
          <w:tcPr>
            <w:tcW w:w="1428" w:type="dxa"/>
            <w:tcBorders>
              <w:top w:val="none" w:sz="0" w:space="0" w:color="auto"/>
              <w:left w:val="none" w:sz="0" w:space="0" w:color="auto"/>
              <w:right w:val="none" w:sz="0" w:space="0" w:color="auto"/>
            </w:tcBorders>
            <w:hideMark/>
          </w:tcPr>
          <w:p w14:paraId="501AEBC6" w14:textId="4CD30C9F" w:rsidR="000E3D0B" w:rsidRPr="000E3D0B" w:rsidRDefault="000E3D0B" w:rsidP="000E3D0B">
            <w:pPr>
              <w:spacing w:before="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 xml:space="preserve">Used by </w:t>
            </w:r>
            <w:r w:rsidR="00165D8F" w:rsidRPr="00064832">
              <w:rPr>
                <w:rFonts w:eastAsia="Times New Roman" w:cs="Times New Roman"/>
                <w:color w:val="000000"/>
                <w:sz w:val="22"/>
                <w:szCs w:val="20"/>
              </w:rPr>
              <w:t>organization</w:t>
            </w:r>
            <w:r w:rsidRPr="000E3D0B">
              <w:rPr>
                <w:rFonts w:eastAsia="Times New Roman" w:cs="Times New Roman"/>
                <w:color w:val="000000"/>
                <w:sz w:val="22"/>
                <w:szCs w:val="20"/>
              </w:rPr>
              <w:t>?</w:t>
            </w:r>
          </w:p>
        </w:tc>
        <w:tc>
          <w:tcPr>
            <w:tcW w:w="1257" w:type="dxa"/>
            <w:tcBorders>
              <w:top w:val="none" w:sz="0" w:space="0" w:color="auto"/>
              <w:left w:val="none" w:sz="0" w:space="0" w:color="auto"/>
              <w:right w:val="none" w:sz="0" w:space="0" w:color="auto"/>
            </w:tcBorders>
            <w:hideMark/>
          </w:tcPr>
          <w:p w14:paraId="33D3DBB4" w14:textId="77777777" w:rsidR="000E3D0B" w:rsidRPr="000E3D0B" w:rsidRDefault="000E3D0B" w:rsidP="000E3D0B">
            <w:pPr>
              <w:spacing w:before="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Impact on competition</w:t>
            </w:r>
          </w:p>
        </w:tc>
        <w:tc>
          <w:tcPr>
            <w:tcW w:w="1348" w:type="dxa"/>
            <w:tcBorders>
              <w:top w:val="none" w:sz="0" w:space="0" w:color="auto"/>
              <w:left w:val="none" w:sz="0" w:space="0" w:color="auto"/>
              <w:right w:val="none" w:sz="0" w:space="0" w:color="auto"/>
            </w:tcBorders>
            <w:hideMark/>
          </w:tcPr>
          <w:p w14:paraId="61A05AE3" w14:textId="77777777" w:rsidR="000E3D0B" w:rsidRPr="000E3D0B" w:rsidRDefault="000E3D0B" w:rsidP="000E3D0B">
            <w:pPr>
              <w:spacing w:before="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Company performance</w:t>
            </w:r>
          </w:p>
        </w:tc>
      </w:tr>
      <w:tr w:rsidR="00B96877" w:rsidRPr="00F23636" w14:paraId="55ED1B03" w14:textId="77777777" w:rsidTr="00064832">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1885" w:type="dxa"/>
            <w:tcBorders>
              <w:top w:val="none" w:sz="0" w:space="0" w:color="auto"/>
              <w:left w:val="none" w:sz="0" w:space="0" w:color="auto"/>
              <w:bottom w:val="none" w:sz="0" w:space="0" w:color="auto"/>
            </w:tcBorders>
            <w:hideMark/>
          </w:tcPr>
          <w:p w14:paraId="1F57B2EA" w14:textId="77777777" w:rsidR="000E3D0B" w:rsidRPr="000E3D0B" w:rsidRDefault="000E3D0B" w:rsidP="000E3D0B">
            <w:pPr>
              <w:spacing w:before="0"/>
              <w:jc w:val="left"/>
              <w:rPr>
                <w:rFonts w:eastAsia="Times New Roman" w:cs="Times New Roman"/>
                <w:b/>
                <w:bCs/>
                <w:i w:val="0"/>
                <w:iCs w:val="0"/>
                <w:color w:val="000000"/>
                <w:sz w:val="22"/>
                <w:szCs w:val="20"/>
              </w:rPr>
            </w:pPr>
            <w:r w:rsidRPr="000E3D0B">
              <w:rPr>
                <w:rFonts w:eastAsia="Times New Roman" w:cs="Times New Roman"/>
                <w:b/>
                <w:bCs/>
                <w:i w:val="0"/>
                <w:iCs w:val="0"/>
                <w:color w:val="000000"/>
                <w:sz w:val="22"/>
                <w:szCs w:val="20"/>
              </w:rPr>
              <w:t>Brand &amp; Market Leadership</w:t>
            </w:r>
          </w:p>
        </w:tc>
        <w:tc>
          <w:tcPr>
            <w:tcW w:w="1235" w:type="dxa"/>
            <w:hideMark/>
          </w:tcPr>
          <w:p w14:paraId="02778AE3"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754" w:type="dxa"/>
            <w:hideMark/>
          </w:tcPr>
          <w:p w14:paraId="3F17CBB4"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109" w:type="dxa"/>
            <w:hideMark/>
          </w:tcPr>
          <w:p w14:paraId="0EEE9CCD"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428" w:type="dxa"/>
            <w:hideMark/>
          </w:tcPr>
          <w:p w14:paraId="730217DF"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257" w:type="dxa"/>
            <w:hideMark/>
          </w:tcPr>
          <w:p w14:paraId="325AB714"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Sustained competitive advantage</w:t>
            </w:r>
          </w:p>
        </w:tc>
        <w:tc>
          <w:tcPr>
            <w:tcW w:w="1348" w:type="dxa"/>
            <w:hideMark/>
          </w:tcPr>
          <w:p w14:paraId="5D2E57D9"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Consistently above average</w:t>
            </w:r>
          </w:p>
        </w:tc>
      </w:tr>
      <w:tr w:rsidR="00B96877" w:rsidRPr="00F23636" w14:paraId="65045DA1" w14:textId="77777777" w:rsidTr="00064832">
        <w:trPr>
          <w:trHeight w:val="915"/>
        </w:trPr>
        <w:tc>
          <w:tcPr>
            <w:cnfStyle w:val="001000000000" w:firstRow="0" w:lastRow="0" w:firstColumn="1" w:lastColumn="0" w:oddVBand="0" w:evenVBand="0" w:oddHBand="0" w:evenHBand="0" w:firstRowFirstColumn="0" w:firstRowLastColumn="0" w:lastRowFirstColumn="0" w:lastRowLastColumn="0"/>
            <w:tcW w:w="1885" w:type="dxa"/>
            <w:tcBorders>
              <w:top w:val="none" w:sz="0" w:space="0" w:color="auto"/>
              <w:left w:val="none" w:sz="0" w:space="0" w:color="auto"/>
              <w:bottom w:val="none" w:sz="0" w:space="0" w:color="auto"/>
            </w:tcBorders>
            <w:hideMark/>
          </w:tcPr>
          <w:p w14:paraId="0432339C" w14:textId="77777777" w:rsidR="000E3D0B" w:rsidRPr="000E3D0B" w:rsidRDefault="000E3D0B" w:rsidP="000E3D0B">
            <w:pPr>
              <w:spacing w:before="0"/>
              <w:jc w:val="left"/>
              <w:rPr>
                <w:rFonts w:eastAsia="Times New Roman" w:cs="Times New Roman"/>
                <w:b/>
                <w:bCs/>
                <w:i w:val="0"/>
                <w:iCs w:val="0"/>
                <w:color w:val="000000"/>
                <w:sz w:val="22"/>
                <w:szCs w:val="20"/>
              </w:rPr>
            </w:pPr>
            <w:r w:rsidRPr="000E3D0B">
              <w:rPr>
                <w:rFonts w:eastAsia="Times New Roman" w:cs="Times New Roman"/>
                <w:b/>
                <w:bCs/>
                <w:i w:val="0"/>
                <w:iCs w:val="0"/>
                <w:color w:val="000000"/>
                <w:sz w:val="22"/>
                <w:szCs w:val="20"/>
              </w:rPr>
              <w:t>Clubcard Data &amp; Analytics</w:t>
            </w:r>
          </w:p>
        </w:tc>
        <w:tc>
          <w:tcPr>
            <w:tcW w:w="1235" w:type="dxa"/>
            <w:hideMark/>
          </w:tcPr>
          <w:p w14:paraId="14F2A245"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754" w:type="dxa"/>
            <w:hideMark/>
          </w:tcPr>
          <w:p w14:paraId="3B47E631"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109" w:type="dxa"/>
            <w:hideMark/>
          </w:tcPr>
          <w:p w14:paraId="5056B752"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428" w:type="dxa"/>
            <w:hideMark/>
          </w:tcPr>
          <w:p w14:paraId="29C3B69B"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257" w:type="dxa"/>
            <w:hideMark/>
          </w:tcPr>
          <w:p w14:paraId="54412EC6"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Sustained competitive advantage</w:t>
            </w:r>
          </w:p>
        </w:tc>
        <w:tc>
          <w:tcPr>
            <w:tcW w:w="1348" w:type="dxa"/>
            <w:hideMark/>
          </w:tcPr>
          <w:p w14:paraId="63AC534B"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Consistently above average</w:t>
            </w:r>
          </w:p>
        </w:tc>
      </w:tr>
      <w:tr w:rsidR="00B96877" w:rsidRPr="00F23636" w14:paraId="6B50CEF5" w14:textId="77777777" w:rsidTr="00064832">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1885" w:type="dxa"/>
            <w:tcBorders>
              <w:top w:val="none" w:sz="0" w:space="0" w:color="auto"/>
              <w:left w:val="none" w:sz="0" w:space="0" w:color="auto"/>
              <w:bottom w:val="none" w:sz="0" w:space="0" w:color="auto"/>
            </w:tcBorders>
            <w:hideMark/>
          </w:tcPr>
          <w:p w14:paraId="7388CD37" w14:textId="77777777" w:rsidR="000E3D0B" w:rsidRPr="000E3D0B" w:rsidRDefault="000E3D0B" w:rsidP="000E3D0B">
            <w:pPr>
              <w:spacing w:before="0"/>
              <w:jc w:val="left"/>
              <w:rPr>
                <w:rFonts w:eastAsia="Times New Roman" w:cs="Times New Roman"/>
                <w:b/>
                <w:bCs/>
                <w:i w:val="0"/>
                <w:iCs w:val="0"/>
                <w:color w:val="000000"/>
                <w:sz w:val="22"/>
                <w:szCs w:val="20"/>
              </w:rPr>
            </w:pPr>
            <w:r w:rsidRPr="000E3D0B">
              <w:rPr>
                <w:rFonts w:eastAsia="Times New Roman" w:cs="Times New Roman"/>
                <w:b/>
                <w:bCs/>
                <w:i w:val="0"/>
                <w:iCs w:val="0"/>
                <w:color w:val="000000"/>
                <w:sz w:val="22"/>
                <w:szCs w:val="20"/>
              </w:rPr>
              <w:t>Supply Chain Efficiency</w:t>
            </w:r>
          </w:p>
        </w:tc>
        <w:tc>
          <w:tcPr>
            <w:tcW w:w="1235" w:type="dxa"/>
            <w:hideMark/>
          </w:tcPr>
          <w:p w14:paraId="6235AE1D"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754" w:type="dxa"/>
            <w:hideMark/>
          </w:tcPr>
          <w:p w14:paraId="4065878B"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No</w:t>
            </w:r>
          </w:p>
        </w:tc>
        <w:tc>
          <w:tcPr>
            <w:tcW w:w="1109" w:type="dxa"/>
            <w:hideMark/>
          </w:tcPr>
          <w:p w14:paraId="120DC6C0"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No</w:t>
            </w:r>
          </w:p>
        </w:tc>
        <w:tc>
          <w:tcPr>
            <w:tcW w:w="1428" w:type="dxa"/>
            <w:hideMark/>
          </w:tcPr>
          <w:p w14:paraId="358E72C4"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257" w:type="dxa"/>
            <w:hideMark/>
          </w:tcPr>
          <w:p w14:paraId="34D599D4"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Competitive parity</w:t>
            </w:r>
          </w:p>
        </w:tc>
        <w:tc>
          <w:tcPr>
            <w:tcW w:w="1348" w:type="dxa"/>
            <w:hideMark/>
          </w:tcPr>
          <w:p w14:paraId="017B1E94"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Average</w:t>
            </w:r>
          </w:p>
        </w:tc>
      </w:tr>
      <w:tr w:rsidR="00B96877" w:rsidRPr="00F23636" w14:paraId="3E012E7A" w14:textId="77777777" w:rsidTr="00064832">
        <w:trPr>
          <w:trHeight w:val="915"/>
        </w:trPr>
        <w:tc>
          <w:tcPr>
            <w:cnfStyle w:val="001000000000" w:firstRow="0" w:lastRow="0" w:firstColumn="1" w:lastColumn="0" w:oddVBand="0" w:evenVBand="0" w:oddHBand="0" w:evenHBand="0" w:firstRowFirstColumn="0" w:firstRowLastColumn="0" w:lastRowFirstColumn="0" w:lastRowLastColumn="0"/>
            <w:tcW w:w="1885" w:type="dxa"/>
            <w:tcBorders>
              <w:top w:val="none" w:sz="0" w:space="0" w:color="auto"/>
              <w:left w:val="none" w:sz="0" w:space="0" w:color="auto"/>
              <w:bottom w:val="none" w:sz="0" w:space="0" w:color="auto"/>
            </w:tcBorders>
            <w:hideMark/>
          </w:tcPr>
          <w:p w14:paraId="162079E1" w14:textId="77777777" w:rsidR="000E3D0B" w:rsidRPr="000E3D0B" w:rsidRDefault="000E3D0B" w:rsidP="000E3D0B">
            <w:pPr>
              <w:spacing w:before="0"/>
              <w:jc w:val="left"/>
              <w:rPr>
                <w:rFonts w:eastAsia="Times New Roman" w:cs="Times New Roman"/>
                <w:b/>
                <w:bCs/>
                <w:i w:val="0"/>
                <w:iCs w:val="0"/>
                <w:color w:val="000000"/>
                <w:sz w:val="22"/>
                <w:szCs w:val="20"/>
              </w:rPr>
            </w:pPr>
            <w:r w:rsidRPr="000E3D0B">
              <w:rPr>
                <w:rFonts w:eastAsia="Times New Roman" w:cs="Times New Roman"/>
                <w:b/>
                <w:bCs/>
                <w:i w:val="0"/>
                <w:iCs w:val="0"/>
                <w:color w:val="000000"/>
                <w:sz w:val="22"/>
                <w:szCs w:val="20"/>
              </w:rPr>
              <w:t>Sustainability Integration</w:t>
            </w:r>
          </w:p>
        </w:tc>
        <w:tc>
          <w:tcPr>
            <w:tcW w:w="1235" w:type="dxa"/>
            <w:hideMark/>
          </w:tcPr>
          <w:p w14:paraId="76F068E7"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754" w:type="dxa"/>
            <w:hideMark/>
          </w:tcPr>
          <w:p w14:paraId="7FF560A6"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109" w:type="dxa"/>
            <w:hideMark/>
          </w:tcPr>
          <w:p w14:paraId="0389AE87"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No</w:t>
            </w:r>
          </w:p>
        </w:tc>
        <w:tc>
          <w:tcPr>
            <w:tcW w:w="1428" w:type="dxa"/>
            <w:hideMark/>
          </w:tcPr>
          <w:p w14:paraId="53F92C03"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257" w:type="dxa"/>
            <w:hideMark/>
          </w:tcPr>
          <w:p w14:paraId="191A470F"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Temporary competitive advantage</w:t>
            </w:r>
          </w:p>
        </w:tc>
        <w:tc>
          <w:tcPr>
            <w:tcW w:w="1348" w:type="dxa"/>
            <w:hideMark/>
          </w:tcPr>
          <w:p w14:paraId="2024C75E" w14:textId="77777777" w:rsidR="000E3D0B" w:rsidRPr="000E3D0B" w:rsidRDefault="000E3D0B" w:rsidP="000E3D0B">
            <w:pPr>
              <w:spacing w:before="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Superior to average</w:t>
            </w:r>
          </w:p>
        </w:tc>
      </w:tr>
      <w:tr w:rsidR="00B96877" w:rsidRPr="00F23636" w14:paraId="3F4A10E2" w14:textId="77777777" w:rsidTr="00064832">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1885" w:type="dxa"/>
            <w:tcBorders>
              <w:top w:val="none" w:sz="0" w:space="0" w:color="auto"/>
              <w:left w:val="none" w:sz="0" w:space="0" w:color="auto"/>
              <w:bottom w:val="none" w:sz="0" w:space="0" w:color="auto"/>
            </w:tcBorders>
            <w:hideMark/>
          </w:tcPr>
          <w:p w14:paraId="4E60C32E" w14:textId="77777777" w:rsidR="000E3D0B" w:rsidRPr="000E3D0B" w:rsidRDefault="000E3D0B" w:rsidP="000E3D0B">
            <w:pPr>
              <w:spacing w:before="0"/>
              <w:jc w:val="left"/>
              <w:rPr>
                <w:rFonts w:eastAsia="Times New Roman" w:cs="Times New Roman"/>
                <w:b/>
                <w:bCs/>
                <w:i w:val="0"/>
                <w:iCs w:val="0"/>
                <w:color w:val="000000"/>
                <w:sz w:val="22"/>
                <w:szCs w:val="20"/>
              </w:rPr>
            </w:pPr>
            <w:r w:rsidRPr="000E3D0B">
              <w:rPr>
                <w:rFonts w:eastAsia="Times New Roman" w:cs="Times New Roman"/>
                <w:b/>
                <w:bCs/>
                <w:i w:val="0"/>
                <w:iCs w:val="0"/>
                <w:color w:val="000000"/>
                <w:sz w:val="22"/>
                <w:szCs w:val="20"/>
              </w:rPr>
              <w:t>Convenience Store Network</w:t>
            </w:r>
          </w:p>
        </w:tc>
        <w:tc>
          <w:tcPr>
            <w:tcW w:w="1235" w:type="dxa"/>
            <w:hideMark/>
          </w:tcPr>
          <w:p w14:paraId="712C92C6"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754" w:type="dxa"/>
            <w:hideMark/>
          </w:tcPr>
          <w:p w14:paraId="5607B8AE"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109" w:type="dxa"/>
            <w:hideMark/>
          </w:tcPr>
          <w:p w14:paraId="0144C3B5"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428" w:type="dxa"/>
            <w:hideMark/>
          </w:tcPr>
          <w:p w14:paraId="461497B9"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Yes</w:t>
            </w:r>
          </w:p>
        </w:tc>
        <w:tc>
          <w:tcPr>
            <w:tcW w:w="1257" w:type="dxa"/>
            <w:hideMark/>
          </w:tcPr>
          <w:p w14:paraId="1F0D6B0D" w14:textId="77777777" w:rsidR="000E3D0B" w:rsidRPr="000E3D0B" w:rsidRDefault="000E3D0B" w:rsidP="000E3D0B">
            <w:pPr>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Sustained competitive advantage</w:t>
            </w:r>
          </w:p>
        </w:tc>
        <w:tc>
          <w:tcPr>
            <w:tcW w:w="1348" w:type="dxa"/>
            <w:hideMark/>
          </w:tcPr>
          <w:p w14:paraId="60D0A4AB" w14:textId="77777777" w:rsidR="000E3D0B" w:rsidRPr="000E3D0B" w:rsidRDefault="000E3D0B" w:rsidP="00A63A35">
            <w:pPr>
              <w:keepNext/>
              <w:spacing w:before="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0"/>
              </w:rPr>
            </w:pPr>
            <w:r w:rsidRPr="000E3D0B">
              <w:rPr>
                <w:rFonts w:eastAsia="Times New Roman" w:cs="Times New Roman"/>
                <w:color w:val="000000"/>
                <w:sz w:val="22"/>
                <w:szCs w:val="20"/>
              </w:rPr>
              <w:t>Consistently above average</w:t>
            </w:r>
          </w:p>
        </w:tc>
      </w:tr>
    </w:tbl>
    <w:p w14:paraId="53F13530" w14:textId="45AC805C" w:rsidR="00A63A35" w:rsidRPr="00165D8F" w:rsidRDefault="00A63A35" w:rsidP="00A63A35">
      <w:pPr>
        <w:pStyle w:val="Caption"/>
        <w:jc w:val="center"/>
        <w:rPr>
          <w:b/>
          <w:bCs/>
          <w:i w:val="0"/>
          <w:iCs w:val="0"/>
          <w:color w:val="auto"/>
        </w:rPr>
      </w:pPr>
      <w:bookmarkStart w:id="13" w:name="_Toc221712369"/>
      <w:r w:rsidRPr="00165D8F">
        <w:rPr>
          <w:b/>
          <w:bCs/>
          <w:i w:val="0"/>
          <w:iCs w:val="0"/>
          <w:color w:val="auto"/>
        </w:rPr>
        <w:t xml:space="preserve">Figure </w:t>
      </w:r>
      <w:r w:rsidRPr="00165D8F">
        <w:rPr>
          <w:b/>
          <w:bCs/>
          <w:i w:val="0"/>
          <w:iCs w:val="0"/>
          <w:color w:val="auto"/>
        </w:rPr>
        <w:fldChar w:fldCharType="begin"/>
      </w:r>
      <w:r w:rsidRPr="00165D8F">
        <w:rPr>
          <w:b/>
          <w:bCs/>
          <w:i w:val="0"/>
          <w:iCs w:val="0"/>
          <w:color w:val="auto"/>
        </w:rPr>
        <w:instrText xml:space="preserve"> SEQ Figure \* ARABIC </w:instrText>
      </w:r>
      <w:r w:rsidRPr="00165D8F">
        <w:rPr>
          <w:b/>
          <w:bCs/>
          <w:i w:val="0"/>
          <w:iCs w:val="0"/>
          <w:color w:val="auto"/>
        </w:rPr>
        <w:fldChar w:fldCharType="separate"/>
      </w:r>
      <w:r w:rsidR="00B75601">
        <w:rPr>
          <w:b/>
          <w:bCs/>
          <w:i w:val="0"/>
          <w:iCs w:val="0"/>
          <w:noProof/>
          <w:color w:val="auto"/>
        </w:rPr>
        <w:t>4</w:t>
      </w:r>
      <w:r w:rsidRPr="00165D8F">
        <w:rPr>
          <w:b/>
          <w:bCs/>
          <w:i w:val="0"/>
          <w:iCs w:val="0"/>
          <w:color w:val="auto"/>
        </w:rPr>
        <w:fldChar w:fldCharType="end"/>
      </w:r>
      <w:r w:rsidRPr="00165D8F">
        <w:rPr>
          <w:b/>
          <w:bCs/>
          <w:i w:val="0"/>
          <w:iCs w:val="0"/>
          <w:color w:val="auto"/>
        </w:rPr>
        <w:t xml:space="preserve"> Tesco VRIO Analysis</w:t>
      </w:r>
      <w:bookmarkEnd w:id="13"/>
    </w:p>
    <w:p w14:paraId="6C73E6FF" w14:textId="288148AA" w:rsidR="00EF762D" w:rsidRPr="00165D8F" w:rsidRDefault="00EF762D" w:rsidP="00F95E0B">
      <w:pPr>
        <w:rPr>
          <w:b/>
          <w:bCs/>
        </w:rPr>
      </w:pPr>
      <w:r w:rsidRPr="00165D8F">
        <w:rPr>
          <w:b/>
          <w:bCs/>
        </w:rPr>
        <w:t>Value</w:t>
      </w:r>
    </w:p>
    <w:p w14:paraId="06DB94DA" w14:textId="7ED6D0BF" w:rsidR="001A0176" w:rsidRPr="00165D8F" w:rsidRDefault="001A0176" w:rsidP="00F95E0B">
      <w:r w:rsidRPr="00165D8F">
        <w:t xml:space="preserve">Tesco has a great brand awareness and high level of market share which generates a value that attracts clients and bargaining good deals with suppliers. Branding is easy to imitate by competitors, but decades of customer relationships and brand associations are decades-long </w:t>
      </w:r>
      <w:r w:rsidRPr="00165D8F">
        <w:lastRenderedPageBreak/>
        <w:t xml:space="preserve">path-dependent. Tesco is structured to take advantage of this with put together marketing and uniform value propositions, which argues of a </w:t>
      </w:r>
      <w:r w:rsidR="00EF762D" w:rsidRPr="00165D8F">
        <w:t>long-term</w:t>
      </w:r>
      <w:r w:rsidRPr="00165D8F">
        <w:t xml:space="preserve"> competitive edge (</w:t>
      </w:r>
      <w:proofErr w:type="spellStart"/>
      <w:r w:rsidRPr="00165D8F">
        <w:t>DCFModeling</w:t>
      </w:r>
      <w:proofErr w:type="spellEnd"/>
      <w:r w:rsidRPr="00165D8F">
        <w:t>, 2025; Statista, 2025).</w:t>
      </w:r>
    </w:p>
    <w:p w14:paraId="1FF46F4A" w14:textId="692676CC" w:rsidR="00EF762D" w:rsidRPr="00165D8F" w:rsidRDefault="00EF762D" w:rsidP="00F95E0B">
      <w:pPr>
        <w:rPr>
          <w:b/>
          <w:bCs/>
        </w:rPr>
      </w:pPr>
      <w:r w:rsidRPr="00165D8F">
        <w:rPr>
          <w:b/>
          <w:bCs/>
        </w:rPr>
        <w:t>Rarity</w:t>
      </w:r>
    </w:p>
    <w:p w14:paraId="30EA2705" w14:textId="00F2C697" w:rsidR="001A0176" w:rsidRPr="00165D8F" w:rsidRDefault="001A0176" w:rsidP="00F95E0B">
      <w:r w:rsidRPr="00165D8F">
        <w:t>Platform, richer transaction information on millions of households, enhanced analytics and AI informed pricing is very useful in optimising promotions, assortment, and customer retention (</w:t>
      </w:r>
      <w:proofErr w:type="spellStart"/>
      <w:r w:rsidRPr="00165D8F">
        <w:t>AInvest</w:t>
      </w:r>
      <w:proofErr w:type="spellEnd"/>
      <w:r w:rsidRPr="00165D8F">
        <w:t>, 2025). This resource is rather uncommon at the scale of Tesco</w:t>
      </w:r>
      <w:r w:rsidR="00F20E30" w:rsidRPr="00165D8F">
        <w:t>. A</w:t>
      </w:r>
      <w:r w:rsidRPr="00165D8F">
        <w:t>lthough Sainsbury has Nectar and other programs, Tesco has a strong penetration and level of data. The cost of imitation, in terms of investment in IT, analytics talent and behavioural insight, would be high and time consuming to completely imitate. Tesco can make the most of this ability by incorporating organisational structures, including special data and digital teams and integration into decision making.</w:t>
      </w:r>
    </w:p>
    <w:p w14:paraId="7CB92C99" w14:textId="525AF53F" w:rsidR="00F20E30" w:rsidRPr="00165D8F" w:rsidRDefault="00F20E30" w:rsidP="00F95E0B">
      <w:pPr>
        <w:rPr>
          <w:b/>
          <w:bCs/>
        </w:rPr>
      </w:pPr>
      <w:r w:rsidRPr="00165D8F">
        <w:rPr>
          <w:b/>
          <w:bCs/>
        </w:rPr>
        <w:t>Limitability</w:t>
      </w:r>
    </w:p>
    <w:p w14:paraId="21E7AAA8" w14:textId="2D400DE7" w:rsidR="001A0176" w:rsidRPr="00165D8F" w:rsidRDefault="001A0176" w:rsidP="00F95E0B">
      <w:r w:rsidRPr="00165D8F">
        <w:t>Tesco has an efficient distribution network, which includes automated distribution centres and online fulfilment picking (store based)</w:t>
      </w:r>
      <w:r w:rsidR="00F20E30" w:rsidRPr="00165D8F">
        <w:t>. It therefore</w:t>
      </w:r>
      <w:r w:rsidRPr="00165D8F">
        <w:t xml:space="preserve"> brings value due to reduced costs and enhanced availability (Anon, 2014; McKinnon, 2022). Although the other significant competitors also spend a lot on supply chains, the scale of Tesco provides monopsony and the possibility to bargain better conditions (Grocery Doppio, 2024). This is because competitors can copy numerous aspects of logistics best practice, and as such this is a valuable capability and to some degree unique but not exactly inimitable, providing at least a temporary advantage.</w:t>
      </w:r>
    </w:p>
    <w:p w14:paraId="0D622C31" w14:textId="2A63592B" w:rsidR="000528DF" w:rsidRPr="00165D8F" w:rsidRDefault="000528DF" w:rsidP="00F95E0B">
      <w:pPr>
        <w:rPr>
          <w:b/>
          <w:bCs/>
        </w:rPr>
      </w:pPr>
      <w:r w:rsidRPr="00165D8F">
        <w:rPr>
          <w:b/>
          <w:bCs/>
        </w:rPr>
        <w:t>Organization</w:t>
      </w:r>
    </w:p>
    <w:p w14:paraId="7EE17965" w14:textId="1E1CB896" w:rsidR="00C6701C" w:rsidRPr="00165D8F" w:rsidRDefault="00C6701C" w:rsidP="00F95E0B">
      <w:r w:rsidRPr="00165D8F">
        <w:t xml:space="preserve">Tesco has been one of the first businesses to incorporate </w:t>
      </w:r>
      <w:r w:rsidR="000528DF" w:rsidRPr="00165D8F">
        <w:t>science-based</w:t>
      </w:r>
      <w:r w:rsidRPr="00165D8F">
        <w:t xml:space="preserve"> targets, net zero commitments, and structured approaches based on People, Product, Places and Planet, which create a distinction in the marketplace compared to the behind pack, consequently diminishing regulatory and reputational risk (IFAC, 2023; Tesco PLC, 2023b). The presence of cross functional ESG committees and clear KPIs in Tesco means that the organisation aligns and facilitates a temporary benefit at minimum and a longer-lasting one as the regulation increases (IFAC, 2023).</w:t>
      </w:r>
    </w:p>
    <w:p w14:paraId="4EE218ED" w14:textId="50FFCBBB" w:rsidR="000528DF" w:rsidRPr="00165D8F" w:rsidRDefault="000528DF" w:rsidP="00F95E0B">
      <w:pPr>
        <w:rPr>
          <w:b/>
          <w:bCs/>
        </w:rPr>
      </w:pPr>
      <w:r w:rsidRPr="00165D8F">
        <w:rPr>
          <w:b/>
          <w:bCs/>
        </w:rPr>
        <w:t>Competitive Advantage</w:t>
      </w:r>
    </w:p>
    <w:p w14:paraId="2AFB089C" w14:textId="26C85A35" w:rsidR="00C6701C" w:rsidRPr="00165D8F" w:rsidRDefault="00C6701C" w:rsidP="00F95E0B">
      <w:r w:rsidRPr="00165D8F">
        <w:lastRenderedPageBreak/>
        <w:t xml:space="preserve">The Tesco network of Tesco Express and Tesco convenience formats also provides Tesco with a high degree of proximity and little and often shopping opportunities that </w:t>
      </w:r>
      <w:r w:rsidR="00047E3A" w:rsidRPr="00165D8F">
        <w:t>intimidates</w:t>
      </w:r>
      <w:r w:rsidRPr="00165D8F">
        <w:t xml:space="preserve"> rival</w:t>
      </w:r>
      <w:r w:rsidR="000E3D0B" w:rsidRPr="00165D8F">
        <w:t>s</w:t>
      </w:r>
      <w:r w:rsidRPr="00165D8F">
        <w:t xml:space="preserve"> (Flavor365, 2025; Consumer Edge, 2025). Although convenience formats are not novel, the size and location footprint </w:t>
      </w:r>
      <w:r w:rsidR="000E3D0B" w:rsidRPr="00165D8F">
        <w:t>are</w:t>
      </w:r>
      <w:r w:rsidRPr="00165D8F">
        <w:t xml:space="preserve"> fairly distinct and expensive to duplicate in consideration of planning restrictions and property expenses. Tesco organisation with its specific format strategies and local merchandising allows it to fully utilise this asset and provide a sustainable competitive advantage in convenience retailing.</w:t>
      </w:r>
    </w:p>
    <w:p w14:paraId="5AB29968" w14:textId="77777777" w:rsidR="00443B36" w:rsidRPr="00165D8F" w:rsidRDefault="00443B36" w:rsidP="001972B1">
      <w:pPr>
        <w:pStyle w:val="Heading2"/>
      </w:pPr>
      <w:bookmarkStart w:id="14" w:name="_Toc221712031"/>
      <w:r w:rsidRPr="00165D8F">
        <w:t>2.5 Internal Strengths and Competitive Advantage</w:t>
      </w:r>
      <w:bookmarkEnd w:id="14"/>
    </w:p>
    <w:p w14:paraId="2A5F6501" w14:textId="77777777" w:rsidR="00C6701C" w:rsidRPr="00165D8F" w:rsidRDefault="00C6701C" w:rsidP="00C6701C">
      <w:r w:rsidRPr="00165D8F">
        <w:t xml:space="preserve">The scale, data driven insight, brand trust and operational efficiency are Tesco internal strengths that underpin a hybrid approach that unites cost leadership with some aspects of differentiation (Porter, 1985). The scale and supply chain allows the company to maintain low operating costs and provide wide assortments, own label brands and services that distinguish it among pure discounters (Grocery Doppio, 2024; </w:t>
      </w:r>
      <w:proofErr w:type="spellStart"/>
      <w:r w:rsidRPr="00165D8F">
        <w:t>Desklib</w:t>
      </w:r>
      <w:proofErr w:type="spellEnd"/>
      <w:r w:rsidRPr="00165D8F">
        <w:t>, 2023).</w:t>
      </w:r>
    </w:p>
    <w:p w14:paraId="674B2BD5" w14:textId="105777EC" w:rsidR="00C6701C" w:rsidRPr="00165D8F" w:rsidRDefault="00C6701C" w:rsidP="00C6701C">
      <w:r w:rsidRPr="00165D8F">
        <w:t>The Clubcard scheme is also rather strategic, as it allows granular price discrimination, control of specific promotions and personal communication, which generate loyalty and enlarge a basket (</w:t>
      </w:r>
      <w:proofErr w:type="spellStart"/>
      <w:r w:rsidRPr="00165D8F">
        <w:t>CCSENet</w:t>
      </w:r>
      <w:proofErr w:type="spellEnd"/>
      <w:r w:rsidRPr="00165D8F">
        <w:t xml:space="preserve">, 2010; </w:t>
      </w:r>
      <w:proofErr w:type="spellStart"/>
      <w:r w:rsidRPr="00165D8F">
        <w:t>AInvest</w:t>
      </w:r>
      <w:proofErr w:type="spellEnd"/>
      <w:r w:rsidRPr="00165D8F">
        <w:t>, 2025). The insights derived through data are also used to support category management and innovation so that Tesco can pursue and influence directions in healthier diets, plant-based diets and premiumisation (Tesco Finest) and thus attract both cost-conscious and quality conscious segments.</w:t>
      </w:r>
      <w:r w:rsidR="00BF5BD3">
        <w:t xml:space="preserve"> </w:t>
      </w:r>
      <w:r w:rsidRPr="00165D8F">
        <w:t xml:space="preserve">These internal capabilities, which have been orchestrated in a </w:t>
      </w:r>
      <w:r w:rsidR="00D41CC8" w:rsidRPr="00165D8F">
        <w:t>well-structured</w:t>
      </w:r>
      <w:r w:rsidRPr="00165D8F">
        <w:t xml:space="preserve"> manner around the customer focused mission and the disciplined use of capital, enable Tesco to protect its market leadership and realise above average returns in a low margin industry.</w:t>
      </w:r>
    </w:p>
    <w:p w14:paraId="16D3B522" w14:textId="77777777" w:rsidR="00664395" w:rsidRDefault="00664395">
      <w:pPr>
        <w:rPr>
          <w:rFonts w:eastAsiaTheme="majorEastAsia" w:cstheme="majorBidi"/>
          <w:b/>
          <w:color w:val="000000" w:themeColor="text1"/>
          <w:sz w:val="32"/>
          <w:szCs w:val="32"/>
        </w:rPr>
      </w:pPr>
      <w:bookmarkStart w:id="15" w:name="_Toc221712032"/>
      <w:r>
        <w:br w:type="page"/>
      </w:r>
    </w:p>
    <w:p w14:paraId="61470E3F" w14:textId="62B3626C" w:rsidR="00443B36" w:rsidRPr="00165D8F" w:rsidRDefault="00443B36" w:rsidP="001972B1">
      <w:pPr>
        <w:pStyle w:val="Heading1"/>
      </w:pPr>
      <w:r w:rsidRPr="00165D8F">
        <w:lastRenderedPageBreak/>
        <w:t>3</w:t>
      </w:r>
      <w:r w:rsidR="000E295F" w:rsidRPr="00165D8F">
        <w:t xml:space="preserve">. </w:t>
      </w:r>
      <w:r w:rsidRPr="00165D8F">
        <w:t>CSR and Sustainability Objectives</w:t>
      </w:r>
      <w:bookmarkEnd w:id="15"/>
    </w:p>
    <w:p w14:paraId="68BC3B62" w14:textId="77777777" w:rsidR="00C6701C" w:rsidRPr="00165D8F" w:rsidRDefault="00C6701C" w:rsidP="00C6701C">
      <w:r w:rsidRPr="00165D8F">
        <w:t>The corporate social responsibility (CSR) and sustainability strategy of Tesco is designed into four pillars of People, Product, Places and Planet, which is consistent with the UN Sustainable Development Goals and is characterized by a broad stakeholder orientation (IFAC, 2023). Tesco pays attention to fair employment, diversity and inclusion, and health and safety of colleagues under the People. Under Product, it prioritises the food safety, healthy diets, responsible sourcing and minimizing food waste. The category Places is related to community support, donations and local involvement, whereas the category Planet is devoted to climate change, sustainable agriculture, marine protection and deforestation (Tesco PLC, 2023a; Tesco PLC, 2023b).</w:t>
      </w:r>
    </w:p>
    <w:p w14:paraId="183F1DAF" w14:textId="77777777" w:rsidR="00C6701C" w:rsidRPr="00165D8F" w:rsidRDefault="00C6701C" w:rsidP="00C6701C">
      <w:r w:rsidRPr="00165D8F">
        <w:t>The main sustainability ambitions are to have net zero carbon emissions in the UK operation by 2035 and the entire value chain by 2050, Scope 1 and Scope 2 emissions reduction by 60 per cent in 2025 relative to a 2015 base (a trajectory whereby Tesco had already reached about a 52 per cent reduction as of 2022), and a food waste reduction of 50 per cent in 2030 (IFAC, 2023; Tesco PLC, 2 Tesco similarly has also issued sustainability linked bonds, where the cost of financing is pegged to its performance in reducing greenhouse gas emissions, and has put in place schemes like the UK Soy Manifesto to address deforestation in supply chains (Tesco PLC, 2023b).</w:t>
      </w:r>
    </w:p>
    <w:p w14:paraId="48627873" w14:textId="4BE0E9F4" w:rsidR="00C6701C" w:rsidRPr="00165D8F" w:rsidRDefault="00C6701C" w:rsidP="00C6701C">
      <w:r w:rsidRPr="00165D8F">
        <w:t xml:space="preserve">More importantly, the CSR strategy of Tesco is not completely unselfish; it is directly connected with its commercial aims. Sustainability initiatives minimize the </w:t>
      </w:r>
      <w:r w:rsidR="00D41CC8" w:rsidRPr="00165D8F">
        <w:t>long-term</w:t>
      </w:r>
      <w:r w:rsidRPr="00165D8F">
        <w:t xml:space="preserve"> costs and risk (e.g. by using less energy and maintaining supply of energy and other resources), assist in brand differentiation, and address investor expectations of sustainability (IFAC, 2023). </w:t>
      </w:r>
    </w:p>
    <w:p w14:paraId="5BDB4D71" w14:textId="77777777" w:rsidR="00664395" w:rsidRDefault="00664395">
      <w:pPr>
        <w:rPr>
          <w:rFonts w:eastAsiaTheme="majorEastAsia" w:cstheme="majorBidi"/>
          <w:b/>
          <w:color w:val="000000" w:themeColor="text1"/>
          <w:sz w:val="32"/>
          <w:szCs w:val="32"/>
        </w:rPr>
      </w:pPr>
      <w:bookmarkStart w:id="16" w:name="_Toc221712033"/>
      <w:r>
        <w:br w:type="page"/>
      </w:r>
    </w:p>
    <w:p w14:paraId="1FAAC819" w14:textId="52D8A268" w:rsidR="00443B36" w:rsidRPr="00165D8F" w:rsidRDefault="00443B36" w:rsidP="001972B1">
      <w:pPr>
        <w:pStyle w:val="Heading1"/>
      </w:pPr>
      <w:r w:rsidRPr="00165D8F">
        <w:lastRenderedPageBreak/>
        <w:t>4</w:t>
      </w:r>
      <w:r w:rsidR="000E295F" w:rsidRPr="00165D8F">
        <w:t xml:space="preserve">. </w:t>
      </w:r>
      <w:r w:rsidRPr="00165D8F">
        <w:t>Balanced Scorecard and a Holistic View</w:t>
      </w:r>
      <w:bookmarkEnd w:id="16"/>
    </w:p>
    <w:p w14:paraId="2A70D61F" w14:textId="026A4DE2" w:rsidR="00C6701C" w:rsidRPr="00165D8F" w:rsidRDefault="00C6701C" w:rsidP="00C6701C">
      <w:r w:rsidRPr="00165D8F">
        <w:t>The Balanced Scorecard (BSC) is a tool that has been created by Kaplan and Norton (1992) to relate strategy to a coherent group of performance measures that are organized into Financial, Customer, Internal Business Processes</w:t>
      </w:r>
      <w:r w:rsidR="00F81FB7">
        <w:t>,</w:t>
      </w:r>
      <w:r w:rsidRPr="00165D8F">
        <w:t xml:space="preserve"> and Learning and Growth. The analysis below suggests </w:t>
      </w:r>
      <w:r w:rsidR="00F81FB7">
        <w:t>Tesco’s</w:t>
      </w:r>
      <w:r w:rsidRPr="00165D8F">
        <w:t xml:space="preserve"> goals, key performance indicators (KPIs), and activities in line with the priorities outlined by Tesco.</w:t>
      </w:r>
    </w:p>
    <w:p w14:paraId="0F7E26D1" w14:textId="4B135EF2" w:rsidR="00443B36" w:rsidRDefault="00443B36" w:rsidP="00443B36">
      <w:pPr>
        <w:rPr>
          <w:b/>
          <w:bCs/>
        </w:rPr>
      </w:pPr>
      <w:r w:rsidRPr="00165D8F">
        <w:rPr>
          <w:b/>
          <w:bCs/>
        </w:rPr>
        <w:t>4.1 Financial Perspective</w:t>
      </w:r>
    </w:p>
    <w:p w14:paraId="412E3D3C" w14:textId="3AA8F232" w:rsidR="00AC6DAE" w:rsidRPr="00375D98" w:rsidRDefault="00AC6DAE" w:rsidP="00443B36">
      <w:pPr>
        <w:rPr>
          <w:b/>
          <w:bCs/>
        </w:rPr>
      </w:pPr>
      <w:r w:rsidRPr="00375D98">
        <w:rPr>
          <w:b/>
          <w:bCs/>
        </w:rPr>
        <w:t>Objectives:</w:t>
      </w:r>
    </w:p>
    <w:p w14:paraId="4A55DA20" w14:textId="77777777" w:rsidR="00AC6DAE" w:rsidRPr="00165D8F" w:rsidRDefault="00AC6DAE" w:rsidP="00375D98">
      <w:pPr>
        <w:pStyle w:val="ListParagraph"/>
        <w:numPr>
          <w:ilvl w:val="0"/>
          <w:numId w:val="27"/>
        </w:numPr>
        <w:spacing w:before="0" w:after="0"/>
      </w:pPr>
      <w:r w:rsidRPr="00165D8F">
        <w:t>Maintain good growth in the main UK grocery business.</w:t>
      </w:r>
    </w:p>
    <w:p w14:paraId="5A9DE28D" w14:textId="77777777" w:rsidR="00AC6DAE" w:rsidRPr="00165D8F" w:rsidRDefault="00AC6DAE" w:rsidP="00375D98">
      <w:pPr>
        <w:pStyle w:val="ListParagraph"/>
        <w:numPr>
          <w:ilvl w:val="0"/>
          <w:numId w:val="27"/>
        </w:numPr>
        <w:spacing w:before="0" w:after="0"/>
      </w:pPr>
      <w:r w:rsidRPr="00165D8F">
        <w:t>Enhance operating margin by way of cost efficiencies and mix management.</w:t>
      </w:r>
    </w:p>
    <w:p w14:paraId="7E602AC6" w14:textId="2D468007" w:rsidR="00AC6DAE" w:rsidRPr="00AC6DAE" w:rsidRDefault="00AC6DAE" w:rsidP="00375D98">
      <w:pPr>
        <w:pStyle w:val="ListParagraph"/>
        <w:numPr>
          <w:ilvl w:val="0"/>
          <w:numId w:val="27"/>
        </w:numPr>
        <w:spacing w:before="0"/>
      </w:pPr>
      <w:r w:rsidRPr="00165D8F">
        <w:t>Increase capital productivity and returns to the shareholders.</w:t>
      </w:r>
    </w:p>
    <w:tbl>
      <w:tblPr>
        <w:tblStyle w:val="TableGrid"/>
        <w:tblW w:w="5000" w:type="pct"/>
        <w:tblInd w:w="-113" w:type="dxa"/>
        <w:tblLook w:val="04A0" w:firstRow="1" w:lastRow="0" w:firstColumn="1" w:lastColumn="0" w:noHBand="0" w:noVBand="1"/>
      </w:tblPr>
      <w:tblGrid>
        <w:gridCol w:w="4508"/>
        <w:gridCol w:w="4508"/>
      </w:tblGrid>
      <w:tr w:rsidR="00AC6DAE" w14:paraId="151C976D" w14:textId="77777777" w:rsidTr="00AC6DAE">
        <w:tc>
          <w:tcPr>
            <w:tcW w:w="2500" w:type="pct"/>
          </w:tcPr>
          <w:p w14:paraId="3B7D1CA8" w14:textId="17B39618" w:rsidR="00AC6DAE" w:rsidRPr="00AC6DAE" w:rsidRDefault="00AC6DAE" w:rsidP="00F7245A">
            <w:pPr>
              <w:spacing w:line="360" w:lineRule="auto"/>
              <w:rPr>
                <w:b/>
                <w:bCs/>
              </w:rPr>
            </w:pPr>
            <w:r w:rsidRPr="00AC6DAE">
              <w:rPr>
                <w:b/>
                <w:bCs/>
              </w:rPr>
              <w:t xml:space="preserve">Possible KPIs and </w:t>
            </w:r>
            <w:r>
              <w:rPr>
                <w:b/>
                <w:bCs/>
              </w:rPr>
              <w:t>T</w:t>
            </w:r>
            <w:r w:rsidRPr="00AC6DAE">
              <w:rPr>
                <w:b/>
                <w:bCs/>
              </w:rPr>
              <w:t>argets:</w:t>
            </w:r>
          </w:p>
        </w:tc>
        <w:tc>
          <w:tcPr>
            <w:tcW w:w="2500" w:type="pct"/>
          </w:tcPr>
          <w:p w14:paraId="49C13BB6" w14:textId="77123151" w:rsidR="00AC6DAE" w:rsidRPr="00AC6DAE" w:rsidRDefault="00AC6DAE" w:rsidP="00F7245A">
            <w:pPr>
              <w:spacing w:line="360" w:lineRule="auto"/>
              <w:ind w:left="360"/>
              <w:rPr>
                <w:b/>
                <w:bCs/>
              </w:rPr>
            </w:pPr>
            <w:r w:rsidRPr="00AC6DAE">
              <w:rPr>
                <w:b/>
                <w:bCs/>
              </w:rPr>
              <w:t xml:space="preserve">Key </w:t>
            </w:r>
            <w:r>
              <w:rPr>
                <w:b/>
                <w:bCs/>
              </w:rPr>
              <w:t>I</w:t>
            </w:r>
            <w:r w:rsidRPr="00AC6DAE">
              <w:rPr>
                <w:b/>
                <w:bCs/>
              </w:rPr>
              <w:t>nitiatives:</w:t>
            </w:r>
          </w:p>
        </w:tc>
      </w:tr>
      <w:tr w:rsidR="00AC6DAE" w14:paraId="1848A86B" w14:textId="77777777" w:rsidTr="00AC6DAE">
        <w:tc>
          <w:tcPr>
            <w:tcW w:w="2500" w:type="pct"/>
          </w:tcPr>
          <w:p w14:paraId="21D3526E" w14:textId="39FFF220" w:rsidR="00AC6DAE" w:rsidRPr="00165D8F" w:rsidRDefault="00AC6DAE" w:rsidP="00F7245A">
            <w:pPr>
              <w:pStyle w:val="ListParagraph"/>
              <w:numPr>
                <w:ilvl w:val="0"/>
                <w:numId w:val="27"/>
              </w:numPr>
              <w:spacing w:line="360" w:lineRule="auto"/>
            </w:pPr>
            <w:r w:rsidRPr="00165D8F">
              <w:t>Growth in revenues (in percentage per year) in the core UK and online (Tesco PLC, 2024a).</w:t>
            </w:r>
          </w:p>
          <w:p w14:paraId="430DFB89" w14:textId="77777777" w:rsidR="00AC6DAE" w:rsidRPr="00165D8F" w:rsidRDefault="00AC6DAE" w:rsidP="00F7245A">
            <w:pPr>
              <w:pStyle w:val="ListParagraph"/>
              <w:numPr>
                <w:ilvl w:val="0"/>
                <w:numId w:val="27"/>
              </w:numPr>
              <w:spacing w:line="360" w:lineRule="auto"/>
            </w:pPr>
            <w:r w:rsidRPr="00165D8F">
              <w:t>Adjusted operating margin percentage, and targets to stabilize or grow slowly even in the face of price investment pressure.</w:t>
            </w:r>
          </w:p>
          <w:p w14:paraId="0A778BBE" w14:textId="1E1313D1" w:rsidR="00AC6DAE" w:rsidRPr="00165D8F" w:rsidRDefault="00AC6DAE" w:rsidP="00F7245A">
            <w:pPr>
              <w:pStyle w:val="ListParagraph"/>
              <w:numPr>
                <w:ilvl w:val="0"/>
                <w:numId w:val="27"/>
              </w:numPr>
              <w:spacing w:line="360" w:lineRule="auto"/>
            </w:pPr>
            <w:r w:rsidRPr="00165D8F">
              <w:t xml:space="preserve">ROCE and total shareholder return </w:t>
            </w:r>
            <w:r w:rsidR="00375D98" w:rsidRPr="00165D8F">
              <w:t>(Tesco</w:t>
            </w:r>
            <w:r w:rsidRPr="00165D8F">
              <w:t xml:space="preserve"> PLC, 2024a).</w:t>
            </w:r>
          </w:p>
          <w:p w14:paraId="1DAB69E2" w14:textId="77777777" w:rsidR="00AC6DAE" w:rsidRDefault="00AC6DAE" w:rsidP="00F7245A">
            <w:pPr>
              <w:spacing w:line="360" w:lineRule="auto"/>
              <w:rPr>
                <w:b/>
                <w:bCs/>
              </w:rPr>
            </w:pPr>
          </w:p>
        </w:tc>
        <w:tc>
          <w:tcPr>
            <w:tcW w:w="2500" w:type="pct"/>
          </w:tcPr>
          <w:p w14:paraId="5FA478EE" w14:textId="77777777" w:rsidR="00AC6DAE" w:rsidRPr="00165D8F" w:rsidRDefault="00AC6DAE" w:rsidP="00F7245A">
            <w:pPr>
              <w:pStyle w:val="ListParagraph"/>
              <w:numPr>
                <w:ilvl w:val="0"/>
                <w:numId w:val="27"/>
              </w:numPr>
              <w:spacing w:line="360" w:lineRule="auto"/>
            </w:pPr>
            <w:r w:rsidRPr="00165D8F">
              <w:t>Current cost saving programmes through automation, supply chain streamlining and simplification, aiming at serving hundreds of millions of pounds in cumulative savings (</w:t>
            </w:r>
            <w:proofErr w:type="spellStart"/>
            <w:r w:rsidRPr="00165D8F">
              <w:t>AInvest</w:t>
            </w:r>
            <w:proofErr w:type="spellEnd"/>
            <w:r w:rsidRPr="00165D8F">
              <w:t>, 2025).</w:t>
            </w:r>
          </w:p>
          <w:p w14:paraId="5409D54C" w14:textId="711C4AA6" w:rsidR="00AC6DAE" w:rsidRPr="00F7245A" w:rsidRDefault="00AC6DAE" w:rsidP="00F7245A">
            <w:pPr>
              <w:pStyle w:val="ListParagraph"/>
              <w:numPr>
                <w:ilvl w:val="0"/>
                <w:numId w:val="27"/>
              </w:numPr>
              <w:spacing w:line="360" w:lineRule="auto"/>
            </w:pPr>
            <w:r w:rsidRPr="00165D8F">
              <w:t xml:space="preserve">Portfolio optimisation, disposition of </w:t>
            </w:r>
            <w:r w:rsidR="00375D98" w:rsidRPr="00165D8F">
              <w:t>non-core</w:t>
            </w:r>
            <w:r w:rsidRPr="00165D8F">
              <w:t xml:space="preserve"> and concentration of capital in high return formats and digital capabilities.</w:t>
            </w:r>
          </w:p>
        </w:tc>
      </w:tr>
    </w:tbl>
    <w:p w14:paraId="7B649AAB" w14:textId="77777777" w:rsidR="00443B36" w:rsidRPr="00165D8F" w:rsidRDefault="00443B36" w:rsidP="001972B1">
      <w:pPr>
        <w:pStyle w:val="Heading2"/>
      </w:pPr>
      <w:bookmarkStart w:id="17" w:name="_Toc221712034"/>
      <w:r w:rsidRPr="00165D8F">
        <w:t>4.2 Customer Perspective</w:t>
      </w:r>
      <w:bookmarkEnd w:id="17"/>
    </w:p>
    <w:p w14:paraId="7F71DDBB" w14:textId="77777777" w:rsidR="00122EA1" w:rsidRPr="007512B0" w:rsidRDefault="00122EA1" w:rsidP="00122EA1">
      <w:pPr>
        <w:rPr>
          <w:b/>
          <w:bCs/>
        </w:rPr>
      </w:pPr>
      <w:bookmarkStart w:id="18" w:name="_Hlk221578151"/>
      <w:r w:rsidRPr="007512B0">
        <w:rPr>
          <w:b/>
          <w:bCs/>
        </w:rPr>
        <w:t>Objectives:</w:t>
      </w:r>
    </w:p>
    <w:p w14:paraId="4E544073" w14:textId="06FA37FF" w:rsidR="00122EA1" w:rsidRPr="00165D8F" w:rsidRDefault="00122EA1" w:rsidP="00D9102B">
      <w:pPr>
        <w:pStyle w:val="ListParagraph"/>
        <w:numPr>
          <w:ilvl w:val="0"/>
          <w:numId w:val="11"/>
        </w:numPr>
      </w:pPr>
      <w:r w:rsidRPr="00165D8F">
        <w:t>Become the value, quality and convenience supermarket of choice.</w:t>
      </w:r>
    </w:p>
    <w:p w14:paraId="1139685A" w14:textId="2B34E8DD" w:rsidR="00122EA1" w:rsidRPr="00165D8F" w:rsidRDefault="00122EA1" w:rsidP="00D9102B">
      <w:pPr>
        <w:pStyle w:val="ListParagraph"/>
        <w:numPr>
          <w:ilvl w:val="0"/>
          <w:numId w:val="11"/>
        </w:numPr>
      </w:pPr>
      <w:r w:rsidRPr="00165D8F">
        <w:t>Gain customer loyalty and share of wallet.</w:t>
      </w:r>
    </w:p>
    <w:p w14:paraId="6264FFBD" w14:textId="562187E1" w:rsidR="00122EA1" w:rsidRPr="00165D8F" w:rsidRDefault="00122EA1" w:rsidP="00D9102B">
      <w:pPr>
        <w:pStyle w:val="ListParagraph"/>
        <w:numPr>
          <w:ilvl w:val="0"/>
          <w:numId w:val="11"/>
        </w:numPr>
      </w:pPr>
      <w:r w:rsidRPr="00165D8F">
        <w:t>Improve the perceptions of the customers regarding Tesco as a responsible and sustainable retailer.</w:t>
      </w:r>
    </w:p>
    <w:tbl>
      <w:tblPr>
        <w:tblStyle w:val="TableGrid"/>
        <w:tblW w:w="0" w:type="auto"/>
        <w:tblLook w:val="04A0" w:firstRow="1" w:lastRow="0" w:firstColumn="1" w:lastColumn="0" w:noHBand="0" w:noVBand="1"/>
      </w:tblPr>
      <w:tblGrid>
        <w:gridCol w:w="4508"/>
        <w:gridCol w:w="4508"/>
      </w:tblGrid>
      <w:tr w:rsidR="00F7245A" w14:paraId="4C9D16EC" w14:textId="77777777" w:rsidTr="00F7245A">
        <w:tc>
          <w:tcPr>
            <w:tcW w:w="4508" w:type="dxa"/>
          </w:tcPr>
          <w:p w14:paraId="33E04708" w14:textId="7C992E91" w:rsidR="00F7245A" w:rsidRPr="007512B0" w:rsidRDefault="00F7245A" w:rsidP="00F7245A">
            <w:pPr>
              <w:spacing w:line="360" w:lineRule="auto"/>
              <w:rPr>
                <w:b/>
                <w:bCs/>
              </w:rPr>
            </w:pPr>
            <w:r w:rsidRPr="007512B0">
              <w:rPr>
                <w:b/>
                <w:bCs/>
              </w:rPr>
              <w:t xml:space="preserve">Possible KPIs and </w:t>
            </w:r>
            <w:r w:rsidR="007512B0">
              <w:rPr>
                <w:b/>
                <w:bCs/>
              </w:rPr>
              <w:t>T</w:t>
            </w:r>
            <w:r w:rsidRPr="007512B0">
              <w:rPr>
                <w:b/>
                <w:bCs/>
              </w:rPr>
              <w:t>argets:</w:t>
            </w:r>
          </w:p>
        </w:tc>
        <w:tc>
          <w:tcPr>
            <w:tcW w:w="4508" w:type="dxa"/>
          </w:tcPr>
          <w:p w14:paraId="3E11D174" w14:textId="59AF0FFD" w:rsidR="00F7245A" w:rsidRPr="007512B0" w:rsidRDefault="00F7245A" w:rsidP="00F7245A">
            <w:pPr>
              <w:spacing w:line="360" w:lineRule="auto"/>
              <w:rPr>
                <w:b/>
                <w:bCs/>
              </w:rPr>
            </w:pPr>
            <w:r w:rsidRPr="007512B0">
              <w:rPr>
                <w:b/>
                <w:bCs/>
              </w:rPr>
              <w:t xml:space="preserve">Key </w:t>
            </w:r>
            <w:r w:rsidR="007512B0">
              <w:rPr>
                <w:b/>
                <w:bCs/>
              </w:rPr>
              <w:t>I</w:t>
            </w:r>
            <w:r w:rsidRPr="007512B0">
              <w:rPr>
                <w:b/>
                <w:bCs/>
              </w:rPr>
              <w:t>nitiatives:</w:t>
            </w:r>
          </w:p>
        </w:tc>
      </w:tr>
      <w:tr w:rsidR="00F7245A" w14:paraId="0D4C9FA4" w14:textId="77777777" w:rsidTr="00F7245A">
        <w:tc>
          <w:tcPr>
            <w:tcW w:w="4508" w:type="dxa"/>
          </w:tcPr>
          <w:p w14:paraId="18C6397D" w14:textId="77777777" w:rsidR="00F7245A" w:rsidRPr="00165D8F" w:rsidRDefault="00F7245A" w:rsidP="00F7245A">
            <w:pPr>
              <w:pStyle w:val="ListParagraph"/>
              <w:numPr>
                <w:ilvl w:val="0"/>
                <w:numId w:val="12"/>
              </w:numPr>
              <w:spacing w:line="360" w:lineRule="auto"/>
            </w:pPr>
            <w:r w:rsidRPr="00165D8F">
              <w:lastRenderedPageBreak/>
              <w:t>Customer satisfaction average and Net Promoter Score, including uplift targets (</w:t>
            </w:r>
            <w:proofErr w:type="spellStart"/>
            <w:r w:rsidRPr="00165D8F">
              <w:t>DCFModeling</w:t>
            </w:r>
            <w:proofErr w:type="spellEnd"/>
            <w:r w:rsidRPr="00165D8F">
              <w:t>, 2025).</w:t>
            </w:r>
          </w:p>
          <w:p w14:paraId="07983A5E" w14:textId="77777777" w:rsidR="00F7245A" w:rsidRPr="00165D8F" w:rsidRDefault="00F7245A" w:rsidP="00F7245A">
            <w:pPr>
              <w:pStyle w:val="ListParagraph"/>
              <w:numPr>
                <w:ilvl w:val="0"/>
                <w:numId w:val="12"/>
              </w:numPr>
              <w:spacing w:line="360" w:lineRule="auto"/>
            </w:pPr>
            <w:r w:rsidRPr="00165D8F">
              <w:t>Sharing of market in primary segments (all grocery, convenience, online) (Statista, 2025).</w:t>
            </w:r>
          </w:p>
          <w:p w14:paraId="7603E656" w14:textId="0478470C" w:rsidR="00F7245A" w:rsidRPr="00165D8F" w:rsidRDefault="00F7245A" w:rsidP="00F7245A">
            <w:pPr>
              <w:pStyle w:val="ListParagraph"/>
              <w:numPr>
                <w:ilvl w:val="0"/>
                <w:numId w:val="12"/>
              </w:numPr>
              <w:spacing w:line="360" w:lineRule="auto"/>
            </w:pPr>
            <w:r w:rsidRPr="00165D8F">
              <w:t>Penetration of club</w:t>
            </w:r>
            <w:r w:rsidR="000A7EA6">
              <w:t xml:space="preserve"> </w:t>
            </w:r>
            <w:r w:rsidRPr="00165D8F">
              <w:t>card (as a percentage of sales made on loyalty card) and active usage rates (</w:t>
            </w:r>
            <w:proofErr w:type="spellStart"/>
            <w:r w:rsidRPr="00165D8F">
              <w:t>AInvest</w:t>
            </w:r>
            <w:proofErr w:type="spellEnd"/>
            <w:r w:rsidRPr="00165D8F">
              <w:t>, 2025).</w:t>
            </w:r>
          </w:p>
          <w:p w14:paraId="0EA8684E" w14:textId="77777777" w:rsidR="00F7245A" w:rsidRPr="00165D8F" w:rsidRDefault="00F7245A" w:rsidP="00F7245A">
            <w:pPr>
              <w:pStyle w:val="ListParagraph"/>
              <w:numPr>
                <w:ilvl w:val="0"/>
                <w:numId w:val="12"/>
              </w:numPr>
              <w:spacing w:line="360" w:lineRule="auto"/>
            </w:pPr>
            <w:r w:rsidRPr="00165D8F">
              <w:t>Sustainability, value and trust brand perception measures.</w:t>
            </w:r>
          </w:p>
          <w:p w14:paraId="41853606" w14:textId="77777777" w:rsidR="00F7245A" w:rsidRDefault="00F7245A" w:rsidP="00F7245A">
            <w:pPr>
              <w:spacing w:line="360" w:lineRule="auto"/>
            </w:pPr>
          </w:p>
        </w:tc>
        <w:tc>
          <w:tcPr>
            <w:tcW w:w="4508" w:type="dxa"/>
          </w:tcPr>
          <w:p w14:paraId="5EDB1E03" w14:textId="77777777" w:rsidR="00F7245A" w:rsidRPr="00165D8F" w:rsidRDefault="00F7245A" w:rsidP="00F7245A">
            <w:pPr>
              <w:pStyle w:val="ListParagraph"/>
              <w:numPr>
                <w:ilvl w:val="0"/>
                <w:numId w:val="13"/>
              </w:numPr>
              <w:spacing w:line="360" w:lineRule="auto"/>
            </w:pPr>
            <w:r w:rsidRPr="00165D8F">
              <w:t>Further evolution of Aldi Price Match and Clubcard Prices to cement the value perception.</w:t>
            </w:r>
          </w:p>
          <w:p w14:paraId="171B315C" w14:textId="77777777" w:rsidR="00F7245A" w:rsidRPr="00165D8F" w:rsidRDefault="00F7245A" w:rsidP="00F7245A">
            <w:pPr>
              <w:pStyle w:val="ListParagraph"/>
              <w:numPr>
                <w:ilvl w:val="0"/>
                <w:numId w:val="13"/>
              </w:numPr>
              <w:spacing w:line="360" w:lineRule="auto"/>
            </w:pPr>
            <w:r w:rsidRPr="00165D8F">
              <w:t>Improvement of Tesco Finest and healthy lines to quality and health requirements.</w:t>
            </w:r>
          </w:p>
          <w:p w14:paraId="2E76594D" w14:textId="30B3C877" w:rsidR="00F7245A" w:rsidRDefault="00F7245A" w:rsidP="00F7245A">
            <w:pPr>
              <w:pStyle w:val="ListParagraph"/>
              <w:numPr>
                <w:ilvl w:val="0"/>
                <w:numId w:val="13"/>
              </w:numPr>
              <w:spacing w:line="360" w:lineRule="auto"/>
            </w:pPr>
            <w:r w:rsidRPr="00165D8F">
              <w:t>Communication on sustainability achievements and community programmes in store and online (Tesco PLC, 2023b).</w:t>
            </w:r>
          </w:p>
        </w:tc>
      </w:tr>
    </w:tbl>
    <w:p w14:paraId="6C644522" w14:textId="77777777" w:rsidR="00443B36" w:rsidRPr="00165D8F" w:rsidRDefault="00443B36" w:rsidP="001972B1">
      <w:pPr>
        <w:pStyle w:val="Heading2"/>
      </w:pPr>
      <w:bookmarkStart w:id="19" w:name="_Toc221712035"/>
      <w:r w:rsidRPr="00165D8F">
        <w:t>4.3 Internal Business Processes Perspective</w:t>
      </w:r>
      <w:bookmarkEnd w:id="19"/>
    </w:p>
    <w:bookmarkEnd w:id="18"/>
    <w:p w14:paraId="3EA03A7C" w14:textId="77777777" w:rsidR="00232E7E" w:rsidRPr="000A7EA6" w:rsidRDefault="00232E7E" w:rsidP="00232E7E">
      <w:pPr>
        <w:rPr>
          <w:b/>
          <w:bCs/>
        </w:rPr>
      </w:pPr>
      <w:r w:rsidRPr="000A7EA6">
        <w:rPr>
          <w:b/>
          <w:bCs/>
        </w:rPr>
        <w:t>Objectives:</w:t>
      </w:r>
    </w:p>
    <w:p w14:paraId="23F07E57" w14:textId="33132BEC" w:rsidR="00232E7E" w:rsidRPr="00165D8F" w:rsidRDefault="00232E7E" w:rsidP="00D9102B">
      <w:pPr>
        <w:pStyle w:val="ListParagraph"/>
        <w:numPr>
          <w:ilvl w:val="0"/>
          <w:numId w:val="8"/>
        </w:numPr>
      </w:pPr>
      <w:r w:rsidRPr="00165D8F">
        <w:t>Streamline supply chain effectiveness and robustness.</w:t>
      </w:r>
    </w:p>
    <w:p w14:paraId="5C2B9A88" w14:textId="1F72E7DE" w:rsidR="00232E7E" w:rsidRPr="00165D8F" w:rsidRDefault="00232E7E" w:rsidP="00D9102B">
      <w:pPr>
        <w:pStyle w:val="ListParagraph"/>
        <w:numPr>
          <w:ilvl w:val="0"/>
          <w:numId w:val="8"/>
        </w:numPr>
      </w:pPr>
      <w:r w:rsidRPr="00165D8F">
        <w:t>Minimize environmental impact of operations and value chain.</w:t>
      </w:r>
    </w:p>
    <w:p w14:paraId="0FD445D3" w14:textId="673DA486" w:rsidR="00232E7E" w:rsidRPr="00165D8F" w:rsidRDefault="00232E7E" w:rsidP="00D9102B">
      <w:pPr>
        <w:pStyle w:val="ListParagraph"/>
        <w:numPr>
          <w:ilvl w:val="0"/>
          <w:numId w:val="8"/>
        </w:numPr>
      </w:pPr>
      <w:r w:rsidRPr="00165D8F">
        <w:t>Enhance online fulfilment availability, accuracy and speed.</w:t>
      </w:r>
    </w:p>
    <w:tbl>
      <w:tblPr>
        <w:tblStyle w:val="TableGrid"/>
        <w:tblW w:w="0" w:type="auto"/>
        <w:tblLook w:val="04A0" w:firstRow="1" w:lastRow="0" w:firstColumn="1" w:lastColumn="0" w:noHBand="0" w:noVBand="1"/>
      </w:tblPr>
      <w:tblGrid>
        <w:gridCol w:w="4508"/>
        <w:gridCol w:w="4508"/>
      </w:tblGrid>
      <w:tr w:rsidR="000A7EA6" w:rsidRPr="000A7EA6" w14:paraId="1670130C" w14:textId="77777777" w:rsidTr="000A7EA6">
        <w:tc>
          <w:tcPr>
            <w:tcW w:w="4508" w:type="dxa"/>
          </w:tcPr>
          <w:p w14:paraId="22488CC1" w14:textId="0E132E9D" w:rsidR="000A7EA6" w:rsidRPr="000A7EA6" w:rsidRDefault="000A7EA6" w:rsidP="000A7EA6">
            <w:pPr>
              <w:spacing w:line="360" w:lineRule="auto"/>
              <w:rPr>
                <w:b/>
                <w:bCs/>
              </w:rPr>
            </w:pPr>
            <w:r w:rsidRPr="000A7EA6">
              <w:rPr>
                <w:b/>
                <w:bCs/>
              </w:rPr>
              <w:t xml:space="preserve">Possible KPIs and </w:t>
            </w:r>
            <w:r>
              <w:rPr>
                <w:b/>
                <w:bCs/>
              </w:rPr>
              <w:t>T</w:t>
            </w:r>
            <w:r w:rsidRPr="000A7EA6">
              <w:rPr>
                <w:b/>
                <w:bCs/>
              </w:rPr>
              <w:t>argets:</w:t>
            </w:r>
          </w:p>
        </w:tc>
        <w:tc>
          <w:tcPr>
            <w:tcW w:w="4508" w:type="dxa"/>
          </w:tcPr>
          <w:p w14:paraId="544C83FB" w14:textId="6140B3DF" w:rsidR="000A7EA6" w:rsidRPr="000A7EA6" w:rsidRDefault="000A7EA6" w:rsidP="000A7EA6">
            <w:pPr>
              <w:spacing w:line="360" w:lineRule="auto"/>
              <w:rPr>
                <w:b/>
                <w:bCs/>
              </w:rPr>
            </w:pPr>
            <w:r w:rsidRPr="000A7EA6">
              <w:rPr>
                <w:b/>
                <w:bCs/>
              </w:rPr>
              <w:t xml:space="preserve">Key </w:t>
            </w:r>
            <w:r>
              <w:rPr>
                <w:b/>
                <w:bCs/>
              </w:rPr>
              <w:t>I</w:t>
            </w:r>
            <w:r w:rsidRPr="000A7EA6">
              <w:rPr>
                <w:b/>
                <w:bCs/>
              </w:rPr>
              <w:t>nitiatives:</w:t>
            </w:r>
          </w:p>
        </w:tc>
      </w:tr>
      <w:tr w:rsidR="000A7EA6" w14:paraId="053D2F4E" w14:textId="77777777" w:rsidTr="000A7EA6">
        <w:tc>
          <w:tcPr>
            <w:tcW w:w="4508" w:type="dxa"/>
          </w:tcPr>
          <w:p w14:paraId="2BE5D284" w14:textId="77777777" w:rsidR="000A7EA6" w:rsidRPr="00165D8F" w:rsidRDefault="000A7EA6" w:rsidP="000A7EA6">
            <w:pPr>
              <w:pStyle w:val="ListParagraph"/>
              <w:numPr>
                <w:ilvl w:val="0"/>
                <w:numId w:val="9"/>
              </w:numPr>
              <w:spacing w:line="360" w:lineRule="auto"/>
            </w:pPr>
            <w:r w:rsidRPr="00165D8F">
              <w:t>On shelf availability and order fulfilment rates (percentage of order met on time, in full).</w:t>
            </w:r>
          </w:p>
          <w:p w14:paraId="2AC9D983" w14:textId="77777777" w:rsidR="000A7EA6" w:rsidRPr="00165D8F" w:rsidRDefault="000A7EA6" w:rsidP="000A7EA6">
            <w:pPr>
              <w:pStyle w:val="ListParagraph"/>
              <w:numPr>
                <w:ilvl w:val="0"/>
                <w:numId w:val="9"/>
              </w:numPr>
              <w:spacing w:line="360" w:lineRule="auto"/>
            </w:pPr>
            <w:r w:rsidRPr="00165D8F">
              <w:t>Energy consumption and CO2e per square metre of selling space and per case delivered, and targets are in line with net zero pathways (IFAC, 2023).</w:t>
            </w:r>
          </w:p>
          <w:p w14:paraId="1CAA3BFA" w14:textId="77777777" w:rsidR="000A7EA6" w:rsidRPr="00165D8F" w:rsidRDefault="000A7EA6" w:rsidP="000A7EA6">
            <w:pPr>
              <w:pStyle w:val="ListParagraph"/>
              <w:numPr>
                <w:ilvl w:val="0"/>
                <w:numId w:val="9"/>
              </w:numPr>
              <w:spacing w:line="360" w:lineRule="auto"/>
            </w:pPr>
            <w:r w:rsidRPr="00165D8F">
              <w:t>Store-wise and distribution centre-wise food waste and yearly reduction targets (Tesco PLC, 2023a).</w:t>
            </w:r>
          </w:p>
          <w:p w14:paraId="6497652F" w14:textId="6FAA5003" w:rsidR="000A7EA6" w:rsidRDefault="000A7EA6" w:rsidP="000A7EA6">
            <w:pPr>
              <w:pStyle w:val="ListParagraph"/>
              <w:numPr>
                <w:ilvl w:val="0"/>
                <w:numId w:val="9"/>
              </w:numPr>
              <w:spacing w:line="360" w:lineRule="auto"/>
            </w:pPr>
            <w:r w:rsidRPr="00165D8F">
              <w:t>Costs of picking and delivering each online order, on average (McKinnon, 2022).</w:t>
            </w:r>
          </w:p>
        </w:tc>
        <w:tc>
          <w:tcPr>
            <w:tcW w:w="4508" w:type="dxa"/>
          </w:tcPr>
          <w:p w14:paraId="3545310D" w14:textId="77777777" w:rsidR="000A7EA6" w:rsidRPr="00165D8F" w:rsidRDefault="000A7EA6" w:rsidP="000A7EA6">
            <w:pPr>
              <w:pStyle w:val="ListParagraph"/>
              <w:numPr>
                <w:ilvl w:val="0"/>
                <w:numId w:val="9"/>
              </w:numPr>
              <w:spacing w:line="360" w:lineRule="auto"/>
            </w:pPr>
            <w:r w:rsidRPr="00165D8F">
              <w:t>The use of AI to predict demand, automated warehouses and route optimization was made possible through investment (</w:t>
            </w:r>
            <w:proofErr w:type="spellStart"/>
            <w:r w:rsidRPr="00165D8F">
              <w:t>AInvest</w:t>
            </w:r>
            <w:proofErr w:type="spellEnd"/>
            <w:r w:rsidRPr="00165D8F">
              <w:t>, 2026).</w:t>
            </w:r>
          </w:p>
          <w:p w14:paraId="3A779B96" w14:textId="77777777" w:rsidR="000A7EA6" w:rsidRPr="00165D8F" w:rsidRDefault="000A7EA6" w:rsidP="000A7EA6">
            <w:pPr>
              <w:pStyle w:val="ListParagraph"/>
              <w:numPr>
                <w:ilvl w:val="0"/>
                <w:numId w:val="9"/>
              </w:numPr>
              <w:spacing w:line="360" w:lineRule="auto"/>
            </w:pPr>
            <w:r w:rsidRPr="00165D8F">
              <w:t>Refrigerant upgrades, LED and renewable energy contract roll outs.</w:t>
            </w:r>
          </w:p>
          <w:p w14:paraId="1F11B443" w14:textId="7D515FF8" w:rsidR="000A7EA6" w:rsidRDefault="000A7EA6" w:rsidP="000A7EA6">
            <w:pPr>
              <w:pStyle w:val="ListParagraph"/>
              <w:numPr>
                <w:ilvl w:val="0"/>
                <w:numId w:val="9"/>
              </w:numPr>
              <w:spacing w:line="360" w:lineRule="auto"/>
            </w:pPr>
            <w:r w:rsidRPr="00165D8F">
              <w:t>Upstream emission and waste reduction through collaborative programmes with suppliers.</w:t>
            </w:r>
          </w:p>
        </w:tc>
      </w:tr>
    </w:tbl>
    <w:p w14:paraId="5EC6BE2C" w14:textId="77777777" w:rsidR="000A7EA6" w:rsidRDefault="000A7EA6" w:rsidP="00232E7E"/>
    <w:p w14:paraId="0C8E71B1" w14:textId="77777777" w:rsidR="00443B36" w:rsidRPr="00165D8F" w:rsidRDefault="00443B36" w:rsidP="001972B1">
      <w:pPr>
        <w:pStyle w:val="Heading2"/>
      </w:pPr>
      <w:bookmarkStart w:id="20" w:name="_Toc221712036"/>
      <w:r w:rsidRPr="00165D8F">
        <w:t>4.4 Learning and Growth Perspective</w:t>
      </w:r>
      <w:bookmarkEnd w:id="20"/>
    </w:p>
    <w:p w14:paraId="453B16E7" w14:textId="77777777" w:rsidR="00232E7E" w:rsidRPr="002C1CAD" w:rsidRDefault="00232E7E" w:rsidP="00232E7E">
      <w:pPr>
        <w:rPr>
          <w:b/>
          <w:bCs/>
        </w:rPr>
      </w:pPr>
      <w:r w:rsidRPr="002C1CAD">
        <w:rPr>
          <w:b/>
          <w:bCs/>
        </w:rPr>
        <w:t>Objectives:</w:t>
      </w:r>
    </w:p>
    <w:p w14:paraId="06EA789C" w14:textId="112CF164" w:rsidR="00232E7E" w:rsidRPr="00165D8F" w:rsidRDefault="00232E7E" w:rsidP="00D9102B">
      <w:pPr>
        <w:pStyle w:val="ListParagraph"/>
        <w:numPr>
          <w:ilvl w:val="0"/>
          <w:numId w:val="7"/>
        </w:numPr>
      </w:pPr>
      <w:r w:rsidRPr="00165D8F">
        <w:t>Establish digital, analytical and sustainability skills within the labour force.</w:t>
      </w:r>
    </w:p>
    <w:p w14:paraId="6C21A03B" w14:textId="2F89BB4B" w:rsidR="00232E7E" w:rsidRPr="00165D8F" w:rsidRDefault="00232E7E" w:rsidP="00D9102B">
      <w:pPr>
        <w:pStyle w:val="ListParagraph"/>
        <w:numPr>
          <w:ilvl w:val="0"/>
          <w:numId w:val="7"/>
        </w:numPr>
      </w:pPr>
      <w:r w:rsidRPr="00165D8F">
        <w:t>Enhance a culture of inclusion that is in line with the values of Tesco.</w:t>
      </w:r>
    </w:p>
    <w:p w14:paraId="610CF40A" w14:textId="535AD4B5" w:rsidR="00232E7E" w:rsidRPr="00165D8F" w:rsidRDefault="00232E7E" w:rsidP="00D9102B">
      <w:pPr>
        <w:pStyle w:val="ListParagraph"/>
        <w:numPr>
          <w:ilvl w:val="0"/>
          <w:numId w:val="7"/>
        </w:numPr>
      </w:pPr>
      <w:r w:rsidRPr="00165D8F">
        <w:t>Foster constant improvement and introducing new formats, products and processes.</w:t>
      </w:r>
    </w:p>
    <w:tbl>
      <w:tblPr>
        <w:tblStyle w:val="TableGrid"/>
        <w:tblW w:w="0" w:type="auto"/>
        <w:tblLook w:val="04A0" w:firstRow="1" w:lastRow="0" w:firstColumn="1" w:lastColumn="0" w:noHBand="0" w:noVBand="1"/>
      </w:tblPr>
      <w:tblGrid>
        <w:gridCol w:w="4508"/>
        <w:gridCol w:w="4508"/>
      </w:tblGrid>
      <w:tr w:rsidR="00744D01" w:rsidRPr="00496C35" w14:paraId="00965769" w14:textId="77777777" w:rsidTr="00744D01">
        <w:tc>
          <w:tcPr>
            <w:tcW w:w="4508" w:type="dxa"/>
          </w:tcPr>
          <w:p w14:paraId="4BB3AED3" w14:textId="1647CE4B" w:rsidR="00744D01" w:rsidRPr="00496C35" w:rsidRDefault="00744D01" w:rsidP="00744D01">
            <w:pPr>
              <w:spacing w:line="360" w:lineRule="auto"/>
              <w:rPr>
                <w:b/>
                <w:bCs/>
              </w:rPr>
            </w:pPr>
            <w:r w:rsidRPr="00496C35">
              <w:rPr>
                <w:b/>
                <w:bCs/>
              </w:rPr>
              <w:t xml:space="preserve">Possible KPIs and </w:t>
            </w:r>
            <w:r w:rsidR="00496C35">
              <w:rPr>
                <w:b/>
                <w:bCs/>
              </w:rPr>
              <w:t>T</w:t>
            </w:r>
            <w:r w:rsidRPr="00496C35">
              <w:rPr>
                <w:b/>
                <w:bCs/>
              </w:rPr>
              <w:t>argets:</w:t>
            </w:r>
          </w:p>
        </w:tc>
        <w:tc>
          <w:tcPr>
            <w:tcW w:w="4508" w:type="dxa"/>
          </w:tcPr>
          <w:p w14:paraId="4746C23C" w14:textId="36DA0E63" w:rsidR="00744D01" w:rsidRPr="00496C35" w:rsidRDefault="00744D01" w:rsidP="00744D01">
            <w:pPr>
              <w:spacing w:line="360" w:lineRule="auto"/>
              <w:rPr>
                <w:b/>
                <w:bCs/>
              </w:rPr>
            </w:pPr>
            <w:r w:rsidRPr="00496C35">
              <w:rPr>
                <w:b/>
                <w:bCs/>
              </w:rPr>
              <w:t xml:space="preserve">Key </w:t>
            </w:r>
            <w:r w:rsidR="00496C35">
              <w:rPr>
                <w:b/>
                <w:bCs/>
              </w:rPr>
              <w:t>I</w:t>
            </w:r>
            <w:r w:rsidRPr="00496C35">
              <w:rPr>
                <w:b/>
                <w:bCs/>
              </w:rPr>
              <w:t>nitiatives:</w:t>
            </w:r>
          </w:p>
        </w:tc>
      </w:tr>
      <w:tr w:rsidR="00744D01" w14:paraId="343156E6" w14:textId="77777777" w:rsidTr="00744D01">
        <w:tc>
          <w:tcPr>
            <w:tcW w:w="4508" w:type="dxa"/>
          </w:tcPr>
          <w:p w14:paraId="323C382D" w14:textId="77777777" w:rsidR="00744D01" w:rsidRPr="00165D8F" w:rsidRDefault="00744D01" w:rsidP="00744D01">
            <w:pPr>
              <w:pStyle w:val="ListParagraph"/>
              <w:numPr>
                <w:ilvl w:val="0"/>
                <w:numId w:val="6"/>
              </w:numPr>
              <w:spacing w:line="360" w:lineRule="auto"/>
            </w:pPr>
            <w:r w:rsidRPr="00165D8F">
              <w:t>Digital skills; Customer service and sustainability: Hours per employee of training.</w:t>
            </w:r>
          </w:p>
          <w:p w14:paraId="4B43EC4A" w14:textId="77777777" w:rsidR="00744D01" w:rsidRPr="00165D8F" w:rsidRDefault="00744D01" w:rsidP="00744D01">
            <w:pPr>
              <w:pStyle w:val="ListParagraph"/>
              <w:numPr>
                <w:ilvl w:val="0"/>
                <w:numId w:val="6"/>
              </w:numPr>
              <w:spacing w:line="360" w:lineRule="auto"/>
            </w:pPr>
            <w:r w:rsidRPr="00165D8F">
              <w:t>Scoring of employee engagement and retention.</w:t>
            </w:r>
          </w:p>
          <w:p w14:paraId="07CCB9D7" w14:textId="77777777" w:rsidR="00744D01" w:rsidRPr="00165D8F" w:rsidRDefault="00744D01" w:rsidP="00744D01">
            <w:pPr>
              <w:pStyle w:val="ListParagraph"/>
              <w:numPr>
                <w:ilvl w:val="0"/>
                <w:numId w:val="6"/>
              </w:numPr>
              <w:spacing w:line="360" w:lineRule="auto"/>
            </w:pPr>
            <w:r w:rsidRPr="00165D8F">
              <w:t>Leadership diversity and workforce diversity.</w:t>
            </w:r>
          </w:p>
          <w:p w14:paraId="22A401EE" w14:textId="519CD835" w:rsidR="00744D01" w:rsidRDefault="00744D01" w:rsidP="00744D01">
            <w:pPr>
              <w:pStyle w:val="ListParagraph"/>
              <w:numPr>
                <w:ilvl w:val="0"/>
                <w:numId w:val="6"/>
              </w:numPr>
              <w:spacing w:line="360" w:lineRule="auto"/>
            </w:pPr>
            <w:r w:rsidRPr="00165D8F">
              <w:t>The number of new innovations (e.g. new format or product range) that have been successfully introduced in terms of their contribution to sales in a given year.</w:t>
            </w:r>
          </w:p>
        </w:tc>
        <w:tc>
          <w:tcPr>
            <w:tcW w:w="4508" w:type="dxa"/>
          </w:tcPr>
          <w:p w14:paraId="6EEB99A0" w14:textId="77777777" w:rsidR="00744D01" w:rsidRPr="00165D8F" w:rsidRDefault="00744D01" w:rsidP="00744D01">
            <w:pPr>
              <w:pStyle w:val="ListParagraph"/>
              <w:numPr>
                <w:ilvl w:val="0"/>
                <w:numId w:val="6"/>
              </w:numPr>
              <w:spacing w:line="360" w:lineRule="auto"/>
            </w:pPr>
            <w:r w:rsidRPr="00165D8F">
              <w:t>Data analytics, customer experience and ESG continuous learning programmes.</w:t>
            </w:r>
          </w:p>
          <w:p w14:paraId="5F71929F" w14:textId="77777777" w:rsidR="00744D01" w:rsidRPr="00165D8F" w:rsidRDefault="00744D01" w:rsidP="00744D01">
            <w:pPr>
              <w:pStyle w:val="ListParagraph"/>
              <w:numPr>
                <w:ilvl w:val="0"/>
                <w:numId w:val="6"/>
              </w:numPr>
              <w:spacing w:line="360" w:lineRule="auto"/>
            </w:pPr>
            <w:r w:rsidRPr="00165D8F">
              <w:t>Diversity-oriented leadership development and talent pipelines.</w:t>
            </w:r>
          </w:p>
          <w:p w14:paraId="08EAD671" w14:textId="63170E34" w:rsidR="00744D01" w:rsidRDefault="00744D01" w:rsidP="00744D01">
            <w:pPr>
              <w:pStyle w:val="ListParagraph"/>
              <w:numPr>
                <w:ilvl w:val="0"/>
                <w:numId w:val="6"/>
              </w:numPr>
              <w:spacing w:line="360" w:lineRule="auto"/>
            </w:pPr>
            <w:r w:rsidRPr="00165D8F">
              <w:t>Organized innovation practices based on customer understanding and experimentation (e.g. testing new store concepts or online services).</w:t>
            </w:r>
          </w:p>
        </w:tc>
      </w:tr>
    </w:tbl>
    <w:p w14:paraId="71B04EC0" w14:textId="77777777" w:rsidR="00744D01" w:rsidRDefault="00744D01" w:rsidP="00232E7E"/>
    <w:p w14:paraId="6AE0D9E1" w14:textId="272DC3D5" w:rsidR="00443B36" w:rsidRDefault="00443B36" w:rsidP="001972B1">
      <w:pPr>
        <w:pStyle w:val="Heading1"/>
      </w:pPr>
      <w:bookmarkStart w:id="21" w:name="_Toc221712037"/>
      <w:r w:rsidRPr="00165D8F">
        <w:lastRenderedPageBreak/>
        <w:t>5</w:t>
      </w:r>
      <w:r w:rsidR="000E295F" w:rsidRPr="00165D8F">
        <w:t xml:space="preserve">. </w:t>
      </w:r>
      <w:r w:rsidRPr="00165D8F">
        <w:t>Strategic Choices and Implementation</w:t>
      </w:r>
      <w:bookmarkEnd w:id="21"/>
    </w:p>
    <w:p w14:paraId="3E071CCB" w14:textId="77777777" w:rsidR="00130A6F" w:rsidRDefault="00130A6F" w:rsidP="00130A6F">
      <w:pPr>
        <w:keepNext/>
      </w:pPr>
      <w:r w:rsidRPr="00130A6F">
        <w:rPr>
          <w:noProof/>
        </w:rPr>
        <w:drawing>
          <wp:inline distT="0" distB="0" distL="0" distR="0" wp14:anchorId="25EA5DDB" wp14:editId="69D84D15">
            <wp:extent cx="5731510" cy="29578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57830"/>
                    </a:xfrm>
                    <a:prstGeom prst="rect">
                      <a:avLst/>
                    </a:prstGeom>
                  </pic:spPr>
                </pic:pic>
              </a:graphicData>
            </a:graphic>
          </wp:inline>
        </w:drawing>
      </w:r>
    </w:p>
    <w:p w14:paraId="608304B3" w14:textId="676A5772" w:rsidR="00130A6F" w:rsidRPr="00130A6F" w:rsidRDefault="00130A6F" w:rsidP="00130A6F">
      <w:pPr>
        <w:pStyle w:val="Caption"/>
        <w:jc w:val="center"/>
        <w:rPr>
          <w:b/>
          <w:bCs/>
          <w:i w:val="0"/>
          <w:iCs w:val="0"/>
          <w:color w:val="auto"/>
        </w:rPr>
      </w:pPr>
      <w:bookmarkStart w:id="22" w:name="_Toc221712370"/>
      <w:r w:rsidRPr="00130A6F">
        <w:rPr>
          <w:b/>
          <w:bCs/>
          <w:i w:val="0"/>
          <w:iCs w:val="0"/>
          <w:color w:val="auto"/>
        </w:rPr>
        <w:t xml:space="preserve">Figure </w:t>
      </w:r>
      <w:r w:rsidRPr="00130A6F">
        <w:rPr>
          <w:b/>
          <w:bCs/>
          <w:i w:val="0"/>
          <w:iCs w:val="0"/>
          <w:color w:val="auto"/>
        </w:rPr>
        <w:fldChar w:fldCharType="begin"/>
      </w:r>
      <w:r w:rsidRPr="00130A6F">
        <w:rPr>
          <w:b/>
          <w:bCs/>
          <w:i w:val="0"/>
          <w:iCs w:val="0"/>
          <w:color w:val="auto"/>
        </w:rPr>
        <w:instrText xml:space="preserve"> SEQ Figure \* ARABIC </w:instrText>
      </w:r>
      <w:r w:rsidRPr="00130A6F">
        <w:rPr>
          <w:b/>
          <w:bCs/>
          <w:i w:val="0"/>
          <w:iCs w:val="0"/>
          <w:color w:val="auto"/>
        </w:rPr>
        <w:fldChar w:fldCharType="separate"/>
      </w:r>
      <w:r w:rsidR="00B75601">
        <w:rPr>
          <w:b/>
          <w:bCs/>
          <w:i w:val="0"/>
          <w:iCs w:val="0"/>
          <w:noProof/>
          <w:color w:val="auto"/>
        </w:rPr>
        <w:t>5</w:t>
      </w:r>
      <w:r w:rsidRPr="00130A6F">
        <w:rPr>
          <w:b/>
          <w:bCs/>
          <w:i w:val="0"/>
          <w:iCs w:val="0"/>
          <w:color w:val="auto"/>
        </w:rPr>
        <w:fldChar w:fldCharType="end"/>
      </w:r>
      <w:r w:rsidR="00304445">
        <w:rPr>
          <w:b/>
          <w:bCs/>
          <w:i w:val="0"/>
          <w:iCs w:val="0"/>
          <w:color w:val="auto"/>
        </w:rPr>
        <w:t>:</w:t>
      </w:r>
      <w:r w:rsidRPr="00130A6F">
        <w:rPr>
          <w:b/>
          <w:bCs/>
          <w:i w:val="0"/>
          <w:iCs w:val="0"/>
          <w:color w:val="auto"/>
        </w:rPr>
        <w:t xml:space="preserve"> Corporate and Business Level Strategy Formation</w:t>
      </w:r>
      <w:bookmarkEnd w:id="22"/>
    </w:p>
    <w:p w14:paraId="21BE7E40" w14:textId="5515B774" w:rsidR="00130A6F" w:rsidRPr="00130A6F" w:rsidRDefault="00130A6F" w:rsidP="00130A6F">
      <w:pPr>
        <w:pStyle w:val="Caption"/>
        <w:jc w:val="center"/>
        <w:rPr>
          <w:b/>
          <w:bCs/>
          <w:i w:val="0"/>
          <w:iCs w:val="0"/>
          <w:color w:val="auto"/>
        </w:rPr>
      </w:pPr>
      <w:r w:rsidRPr="00130A6F">
        <w:rPr>
          <w:b/>
          <w:bCs/>
          <w:i w:val="0"/>
          <w:iCs w:val="0"/>
          <w:color w:val="auto"/>
        </w:rPr>
        <w:t>Source: Github.io</w:t>
      </w:r>
      <w:r>
        <w:rPr>
          <w:b/>
          <w:bCs/>
          <w:i w:val="0"/>
          <w:iCs w:val="0"/>
          <w:color w:val="auto"/>
        </w:rPr>
        <w:t xml:space="preserve">; </w:t>
      </w:r>
      <w:r w:rsidRPr="00130A6F">
        <w:rPr>
          <w:b/>
          <w:bCs/>
          <w:i w:val="0"/>
          <w:iCs w:val="0"/>
          <w:color w:val="auto"/>
        </w:rPr>
        <w:t>International Business</w:t>
      </w:r>
    </w:p>
    <w:p w14:paraId="4F138E10" w14:textId="77777777" w:rsidR="00443B36" w:rsidRPr="00165D8F" w:rsidRDefault="00443B36" w:rsidP="001972B1">
      <w:pPr>
        <w:pStyle w:val="Heading2"/>
      </w:pPr>
      <w:bookmarkStart w:id="23" w:name="_Toc221712038"/>
      <w:r w:rsidRPr="00165D8F">
        <w:t>5.1 Business</w:t>
      </w:r>
      <w:r w:rsidRPr="00165D8F">
        <w:noBreakHyphen/>
        <w:t>Level Strategy</w:t>
      </w:r>
      <w:bookmarkEnd w:id="23"/>
    </w:p>
    <w:p w14:paraId="154414E2" w14:textId="77777777" w:rsidR="00C6701C" w:rsidRPr="00165D8F" w:rsidRDefault="00C6701C" w:rsidP="00C6701C">
      <w:bookmarkStart w:id="24" w:name="_Hlk221578398"/>
      <w:r w:rsidRPr="00165D8F">
        <w:t>At business level, Tesco is mainly competing by adopting a hybrid approach of cost leadership and differentiation at the mass market in the grocery sector (Porter, 1985). Cost leadership manifests itself in the unrelenting price investments, supply chain management, and economies of scale which allow it to offer low prices compared to full line competitors (</w:t>
      </w:r>
      <w:proofErr w:type="spellStart"/>
      <w:r w:rsidRPr="00165D8F">
        <w:t>Desklib</w:t>
      </w:r>
      <w:proofErr w:type="spellEnd"/>
      <w:r w:rsidRPr="00165D8F">
        <w:t>, 2023). The differentiation is also attained by large product lines (such as the premium Tesco Finest lines), large amounts of own branding, high levels of convenience and a sophisticated loyalty and data system via Clubcard (</w:t>
      </w:r>
      <w:proofErr w:type="spellStart"/>
      <w:r w:rsidRPr="00165D8F">
        <w:t>CCSENet</w:t>
      </w:r>
      <w:proofErr w:type="spellEnd"/>
      <w:r w:rsidRPr="00165D8F">
        <w:t xml:space="preserve">, 2010; </w:t>
      </w:r>
      <w:proofErr w:type="spellStart"/>
      <w:r w:rsidRPr="00165D8F">
        <w:t>DCFModeling</w:t>
      </w:r>
      <w:proofErr w:type="spellEnd"/>
      <w:r w:rsidRPr="00165D8F">
        <w:t>, 2025).</w:t>
      </w:r>
    </w:p>
    <w:p w14:paraId="6FE1CD55" w14:textId="70BDF3F3" w:rsidR="00C6701C" w:rsidRPr="00165D8F" w:rsidRDefault="00C6701C" w:rsidP="00C6701C">
      <w:r w:rsidRPr="00165D8F">
        <w:t xml:space="preserve">The other business level options would involve pure cost leadership (reducing range and eliminating services to become discounters) or more differentiation by targeting premium, ethical or experience positioning. The transition to pure cost leadership might potentially ruin brand equity and lose middle market and </w:t>
      </w:r>
      <w:r w:rsidR="00130A6F" w:rsidRPr="00165D8F">
        <w:t>high-end</w:t>
      </w:r>
      <w:r w:rsidRPr="00165D8F">
        <w:t xml:space="preserve"> shoppers whereas too much focus on differentiation may forfeit the value ground to Aldi and Lidl. Since the UK market is polarised, the existing hybrid value plus quality positioning is fitting</w:t>
      </w:r>
      <w:r w:rsidR="00FE4D96">
        <w:t>. Therefore,</w:t>
      </w:r>
      <w:r w:rsidRPr="00165D8F">
        <w:t xml:space="preserve"> it needs to be reinforced on a regular basis with the help of innovation, </w:t>
      </w:r>
      <w:r w:rsidR="00130A6F" w:rsidRPr="00165D8F">
        <w:t>data-based</w:t>
      </w:r>
      <w:r w:rsidRPr="00165D8F">
        <w:t xml:space="preserve"> personalisation, and value propositions (</w:t>
      </w:r>
      <w:proofErr w:type="spellStart"/>
      <w:r w:rsidRPr="00165D8F">
        <w:t>AInvest</w:t>
      </w:r>
      <w:proofErr w:type="spellEnd"/>
      <w:r w:rsidRPr="00165D8F">
        <w:t>, 2026).</w:t>
      </w:r>
    </w:p>
    <w:p w14:paraId="2C53CB22" w14:textId="77777777" w:rsidR="00443B36" w:rsidRPr="00165D8F" w:rsidRDefault="00443B36" w:rsidP="001972B1">
      <w:pPr>
        <w:pStyle w:val="Heading2"/>
      </w:pPr>
      <w:bookmarkStart w:id="25" w:name="_Toc221712039"/>
      <w:r w:rsidRPr="00165D8F">
        <w:lastRenderedPageBreak/>
        <w:t>5.2 Corporate</w:t>
      </w:r>
      <w:r w:rsidRPr="00165D8F">
        <w:noBreakHyphen/>
        <w:t>Level Strategy</w:t>
      </w:r>
      <w:bookmarkEnd w:id="25"/>
    </w:p>
    <w:bookmarkEnd w:id="24"/>
    <w:p w14:paraId="48B74381" w14:textId="51E9D546" w:rsidR="00C6701C" w:rsidRPr="00165D8F" w:rsidRDefault="00C6701C" w:rsidP="00C6701C">
      <w:r w:rsidRPr="00165D8F">
        <w:t xml:space="preserve">Further diversification, vertical integration and international expansion are the corporate level options. Tesco already has diversification in related financial service (Tesco Bank) and telecoms and </w:t>
      </w:r>
      <w:r w:rsidR="00130A6F" w:rsidRPr="00165D8F">
        <w:t>non-food</w:t>
      </w:r>
      <w:r w:rsidRPr="00165D8F">
        <w:t xml:space="preserve"> retail, cross selling services using its brand, stores and data (Tesco PLC, 2024a). Following a spell of retrenchment caused by declining performance in international operations, including the US and portions of Asia, the present strategy of Tesco focuses on consolidation within the domestic markets and strategic international operations in the present strategy.</w:t>
      </w:r>
    </w:p>
    <w:p w14:paraId="39A57991" w14:textId="77777777" w:rsidR="00C6701C" w:rsidRPr="00165D8F" w:rsidRDefault="00C6701C" w:rsidP="00C6701C">
      <w:r w:rsidRPr="00165D8F">
        <w:t>Corporate level strategies that could be considered are:</w:t>
      </w:r>
    </w:p>
    <w:p w14:paraId="1C357104" w14:textId="08332B37" w:rsidR="00C6701C" w:rsidRPr="00165D8F" w:rsidRDefault="00C6701C" w:rsidP="00D9102B">
      <w:pPr>
        <w:pStyle w:val="ListParagraph"/>
        <w:numPr>
          <w:ilvl w:val="0"/>
          <w:numId w:val="4"/>
        </w:numPr>
      </w:pPr>
      <w:r w:rsidRPr="00165D8F">
        <w:t xml:space="preserve">Further digital and platform diversification: </w:t>
      </w:r>
      <w:r w:rsidR="00BC1C6B">
        <w:t>E</w:t>
      </w:r>
      <w:r w:rsidRPr="00165D8F">
        <w:t>xpanding into digital market places, advertising platforms (with Clubcard data) and collaborating with technology companies.</w:t>
      </w:r>
    </w:p>
    <w:p w14:paraId="493D68EA" w14:textId="584C371B" w:rsidR="00C6701C" w:rsidRPr="00165D8F" w:rsidRDefault="00C6701C" w:rsidP="00D9102B">
      <w:pPr>
        <w:pStyle w:val="ListParagraph"/>
        <w:numPr>
          <w:ilvl w:val="0"/>
          <w:numId w:val="4"/>
        </w:numPr>
      </w:pPr>
      <w:r w:rsidRPr="00165D8F">
        <w:t xml:space="preserve">Selective vertical integration: </w:t>
      </w:r>
      <w:r w:rsidR="00BC1C6B">
        <w:t>F</w:t>
      </w:r>
      <w:r w:rsidRPr="00165D8F">
        <w:t>urther upstream integration/investment in primary farm and manufacturing partners to achieve sustainable supply.</w:t>
      </w:r>
    </w:p>
    <w:p w14:paraId="53EEB744" w14:textId="17EC219D" w:rsidR="00C6701C" w:rsidRPr="00165D8F" w:rsidRDefault="00C6701C" w:rsidP="00D9102B">
      <w:pPr>
        <w:pStyle w:val="ListParagraph"/>
        <w:numPr>
          <w:ilvl w:val="0"/>
          <w:numId w:val="4"/>
        </w:numPr>
      </w:pPr>
      <w:r w:rsidRPr="00165D8F">
        <w:t xml:space="preserve">Revitalized international growth: </w:t>
      </w:r>
      <w:r w:rsidR="00BC1C6B">
        <w:t>F</w:t>
      </w:r>
      <w:r w:rsidRPr="00165D8F">
        <w:t>ocused entry into high growth markets either through partnerships or joint ventures as opposed to complete owned expansion.</w:t>
      </w:r>
    </w:p>
    <w:p w14:paraId="6442ACBA" w14:textId="77777777" w:rsidR="00443B36" w:rsidRPr="00165D8F" w:rsidRDefault="00443B36" w:rsidP="001972B1">
      <w:pPr>
        <w:pStyle w:val="Heading2"/>
      </w:pPr>
      <w:bookmarkStart w:id="26" w:name="_Toc221712040"/>
      <w:r w:rsidRPr="00165D8F">
        <w:t>5.3 Managing Change and Strategic Implementation</w:t>
      </w:r>
      <w:bookmarkEnd w:id="26"/>
    </w:p>
    <w:p w14:paraId="1593041B" w14:textId="29C22E17" w:rsidR="001353A7" w:rsidRPr="00165D8F" w:rsidRDefault="001353A7" w:rsidP="001353A7">
      <w:r w:rsidRPr="00165D8F">
        <w:t>The strategic application of Tesco, which has been executed in the last decade, was associated with significant organisational change, including leadership change, reorganisation, and asset disposal and cultural rejuvenation following the 2014 accounting scandal (Anon, 2014). Later leaders undertook to streamline the Tesco business, better the governance, enhance financial discipline, and new purpose as a common one: serving shoppers a little better every day (Tesco PLC, 2024a).</w:t>
      </w:r>
    </w:p>
    <w:p w14:paraId="64D1F334" w14:textId="6BA2C332" w:rsidR="001353A7" w:rsidRPr="00165D8F" w:rsidRDefault="001353A7" w:rsidP="001353A7">
      <w:r w:rsidRPr="00165D8F">
        <w:t>The management of change has been facilitated using strategic priorities (</w:t>
      </w:r>
      <w:r w:rsidR="00F6418B" w:rsidRPr="00165D8F">
        <w:t>e.g.,</w:t>
      </w:r>
      <w:r w:rsidRPr="00165D8F">
        <w:t xml:space="preserve"> competitiveness, customer satisfaction, cash generation), strict performance management and stakeholder engagement, such as employees and suppliers. Nevertheless, certain programs - closure of stores, shifting employment conditions and automation - have created friction in labour relations and media authorities, which is also the example of social costs of restructuring (Pestel analysis.com, 2026). The recent focus of Tesco on colleague wellbeing, pay investments and inclusion, in part, is a reflection of a realization that an implementation needs to be largely employee buy in and not just top-down directives (IFAC, 2023).</w:t>
      </w:r>
      <w:r w:rsidR="00F6418B">
        <w:t xml:space="preserve"> Thus</w:t>
      </w:r>
      <w:r w:rsidRPr="00165D8F">
        <w:t xml:space="preserve">, Tesco has shown a high </w:t>
      </w:r>
      <w:r w:rsidRPr="00165D8F">
        <w:lastRenderedPageBreak/>
        <w:t xml:space="preserve">level of changeability, </w:t>
      </w:r>
      <w:r w:rsidR="00F6418B" w:rsidRPr="00165D8F">
        <w:t>reversed</w:t>
      </w:r>
      <w:r w:rsidRPr="00165D8F">
        <w:t xml:space="preserve"> a strategic drift</w:t>
      </w:r>
      <w:r w:rsidR="00F6418B">
        <w:t>,</w:t>
      </w:r>
      <w:r w:rsidRPr="00165D8F">
        <w:t xml:space="preserve"> and reclaim</w:t>
      </w:r>
      <w:r w:rsidR="00F6418B">
        <w:t>ed</w:t>
      </w:r>
      <w:r w:rsidRPr="00165D8F">
        <w:t xml:space="preserve"> its market leadership and profitability. </w:t>
      </w:r>
    </w:p>
    <w:p w14:paraId="035469BB" w14:textId="2D9DB493" w:rsidR="00443B36" w:rsidRPr="00165D8F" w:rsidRDefault="00443B36" w:rsidP="001972B1">
      <w:pPr>
        <w:pStyle w:val="Heading1"/>
      </w:pPr>
      <w:bookmarkStart w:id="27" w:name="_Toc221712041"/>
      <w:r w:rsidRPr="00165D8F">
        <w:t>6</w:t>
      </w:r>
      <w:r w:rsidR="000E295F" w:rsidRPr="00165D8F">
        <w:t xml:space="preserve">. </w:t>
      </w:r>
      <w:r w:rsidRPr="00165D8F">
        <w:t>Strategic Evaluation and Recommendations</w:t>
      </w:r>
      <w:bookmarkEnd w:id="27"/>
    </w:p>
    <w:p w14:paraId="5868DA4A" w14:textId="152B7CB4" w:rsidR="00443B36" w:rsidRDefault="00443B36" w:rsidP="001972B1">
      <w:pPr>
        <w:pStyle w:val="Heading2"/>
      </w:pPr>
      <w:bookmarkStart w:id="28" w:name="_Toc221712042"/>
      <w:r w:rsidRPr="00165D8F">
        <w:t>6.1 SWOT Analysis</w:t>
      </w:r>
      <w:bookmarkEnd w:id="28"/>
    </w:p>
    <w:tbl>
      <w:tblPr>
        <w:tblStyle w:val="TableGrid"/>
        <w:tblW w:w="0" w:type="auto"/>
        <w:tblLook w:val="04A0" w:firstRow="1" w:lastRow="0" w:firstColumn="1" w:lastColumn="0" w:noHBand="0" w:noVBand="1"/>
      </w:tblPr>
      <w:tblGrid>
        <w:gridCol w:w="4508"/>
        <w:gridCol w:w="4508"/>
      </w:tblGrid>
      <w:tr w:rsidR="009B231F" w:rsidRPr="009B231F" w14:paraId="3189A708" w14:textId="77777777" w:rsidTr="009B231F">
        <w:tc>
          <w:tcPr>
            <w:tcW w:w="4508" w:type="dxa"/>
          </w:tcPr>
          <w:p w14:paraId="2045C893" w14:textId="2254E277" w:rsidR="009B231F" w:rsidRPr="009B231F" w:rsidRDefault="009B231F" w:rsidP="009B231F">
            <w:pPr>
              <w:spacing w:line="360" w:lineRule="auto"/>
              <w:rPr>
                <w:b/>
                <w:bCs/>
              </w:rPr>
            </w:pPr>
            <w:r w:rsidRPr="009B231F">
              <w:rPr>
                <w:b/>
                <w:bCs/>
              </w:rPr>
              <w:t>Strengths:</w:t>
            </w:r>
          </w:p>
        </w:tc>
        <w:tc>
          <w:tcPr>
            <w:tcW w:w="4508" w:type="dxa"/>
          </w:tcPr>
          <w:p w14:paraId="302C60C8" w14:textId="64DA2947" w:rsidR="009B231F" w:rsidRPr="009B231F" w:rsidRDefault="009B231F" w:rsidP="009B231F">
            <w:pPr>
              <w:spacing w:line="360" w:lineRule="auto"/>
              <w:rPr>
                <w:b/>
                <w:bCs/>
              </w:rPr>
            </w:pPr>
            <w:r w:rsidRPr="009B231F">
              <w:rPr>
                <w:b/>
                <w:bCs/>
              </w:rPr>
              <w:t>Opportunities:</w:t>
            </w:r>
          </w:p>
        </w:tc>
      </w:tr>
      <w:tr w:rsidR="009B231F" w14:paraId="7B62010E" w14:textId="77777777" w:rsidTr="009B231F">
        <w:tc>
          <w:tcPr>
            <w:tcW w:w="4508" w:type="dxa"/>
          </w:tcPr>
          <w:p w14:paraId="43FB3BE2" w14:textId="77777777" w:rsidR="009B231F" w:rsidRPr="00165D8F" w:rsidRDefault="009B231F" w:rsidP="009B231F">
            <w:pPr>
              <w:pStyle w:val="ListParagraph"/>
              <w:numPr>
                <w:ilvl w:val="0"/>
                <w:numId w:val="20"/>
              </w:numPr>
              <w:spacing w:line="360" w:lineRule="auto"/>
            </w:pPr>
            <w:r w:rsidRPr="00165D8F">
              <w:t>Good brand recognition and market leadership in UK (Statista, 2025).</w:t>
            </w:r>
          </w:p>
          <w:p w14:paraId="18352E96" w14:textId="77777777" w:rsidR="009B231F" w:rsidRPr="00165D8F" w:rsidRDefault="009B231F" w:rsidP="009B231F">
            <w:pPr>
              <w:pStyle w:val="ListParagraph"/>
              <w:numPr>
                <w:ilvl w:val="0"/>
                <w:numId w:val="20"/>
              </w:numPr>
              <w:spacing w:line="360" w:lineRule="auto"/>
            </w:pPr>
            <w:r w:rsidRPr="00165D8F">
              <w:t>Wide chain of stores, supermarkets and convenience formats.</w:t>
            </w:r>
          </w:p>
          <w:p w14:paraId="4B48F008" w14:textId="77777777" w:rsidR="009B231F" w:rsidRPr="00165D8F" w:rsidRDefault="009B231F" w:rsidP="009B231F">
            <w:pPr>
              <w:pStyle w:val="ListParagraph"/>
              <w:numPr>
                <w:ilvl w:val="0"/>
                <w:numId w:val="20"/>
              </w:numPr>
              <w:spacing w:line="360" w:lineRule="auto"/>
            </w:pPr>
            <w:r w:rsidRPr="00165D8F">
              <w:t>Strong data and analytics capacity through Clubcard, which requires personalisation and loyalty (</w:t>
            </w:r>
            <w:proofErr w:type="spellStart"/>
            <w:r w:rsidRPr="00165D8F">
              <w:t>AInvest</w:t>
            </w:r>
            <w:proofErr w:type="spellEnd"/>
            <w:r w:rsidRPr="00165D8F">
              <w:t>, 2025).</w:t>
            </w:r>
          </w:p>
          <w:p w14:paraId="482D3DF2" w14:textId="77777777" w:rsidR="009B231F" w:rsidRPr="00165D8F" w:rsidRDefault="009B231F" w:rsidP="009B231F">
            <w:pPr>
              <w:pStyle w:val="ListParagraph"/>
              <w:numPr>
                <w:ilvl w:val="0"/>
                <w:numId w:val="20"/>
              </w:numPr>
              <w:spacing w:line="360" w:lineRule="auto"/>
            </w:pPr>
            <w:r w:rsidRPr="00165D8F">
              <w:t>Effective supply chain and economies of scale.</w:t>
            </w:r>
          </w:p>
          <w:p w14:paraId="08D9B799" w14:textId="1AB7B017" w:rsidR="009B231F" w:rsidRDefault="009B231F" w:rsidP="009B231F">
            <w:pPr>
              <w:pStyle w:val="ListParagraph"/>
              <w:numPr>
                <w:ilvl w:val="0"/>
                <w:numId w:val="20"/>
              </w:numPr>
              <w:spacing w:line="360" w:lineRule="auto"/>
            </w:pPr>
            <w:r w:rsidRPr="00165D8F">
              <w:t>Combined sustainability and CSR plan and plausible net zero dedication (IFAC, 2023).</w:t>
            </w:r>
          </w:p>
        </w:tc>
        <w:tc>
          <w:tcPr>
            <w:tcW w:w="4508" w:type="dxa"/>
          </w:tcPr>
          <w:p w14:paraId="165BF77C" w14:textId="77777777" w:rsidR="009B231F" w:rsidRPr="00165D8F" w:rsidRDefault="009B231F" w:rsidP="009B231F">
            <w:pPr>
              <w:pStyle w:val="ListParagraph"/>
              <w:numPr>
                <w:ilvl w:val="0"/>
                <w:numId w:val="20"/>
              </w:numPr>
              <w:spacing w:line="360" w:lineRule="auto"/>
            </w:pPr>
            <w:r w:rsidRPr="00165D8F">
              <w:t>The development of online grocery and fast delivery (McKinnon, 2022).</w:t>
            </w:r>
          </w:p>
          <w:p w14:paraId="61321102" w14:textId="737FA707" w:rsidR="009B231F" w:rsidRPr="00165D8F" w:rsidRDefault="009B231F" w:rsidP="009B231F">
            <w:pPr>
              <w:pStyle w:val="ListParagraph"/>
              <w:numPr>
                <w:ilvl w:val="0"/>
                <w:numId w:val="20"/>
              </w:numPr>
              <w:spacing w:line="360" w:lineRule="auto"/>
            </w:pPr>
            <w:r w:rsidRPr="00165D8F">
              <w:t xml:space="preserve">Growth of retail media and </w:t>
            </w:r>
            <w:r w:rsidR="00AF3960" w:rsidRPr="00165D8F">
              <w:t>information-based</w:t>
            </w:r>
            <w:r w:rsidRPr="00165D8F">
              <w:t xml:space="preserve"> services, based on Clubcard.</w:t>
            </w:r>
          </w:p>
          <w:p w14:paraId="58C36612" w14:textId="77777777" w:rsidR="009B231F" w:rsidRPr="00165D8F" w:rsidRDefault="009B231F" w:rsidP="009B231F">
            <w:pPr>
              <w:pStyle w:val="ListParagraph"/>
              <w:numPr>
                <w:ilvl w:val="0"/>
                <w:numId w:val="20"/>
              </w:numPr>
              <w:spacing w:line="360" w:lineRule="auto"/>
            </w:pPr>
            <w:r w:rsidRPr="00165D8F">
              <w:t>Growth in consumer interest in sustainable, healthy and local product consumption (Jones et al., 2009).</w:t>
            </w:r>
          </w:p>
          <w:p w14:paraId="23652C52" w14:textId="677BA151" w:rsidR="009B231F" w:rsidRDefault="009B231F" w:rsidP="009B231F">
            <w:pPr>
              <w:pStyle w:val="ListParagraph"/>
              <w:numPr>
                <w:ilvl w:val="0"/>
                <w:numId w:val="20"/>
              </w:numPr>
              <w:spacing w:line="360" w:lineRule="auto"/>
            </w:pPr>
            <w:r w:rsidRPr="00165D8F">
              <w:t>Further social progress in automation, AI and robotics to enhance efficiency (</w:t>
            </w:r>
            <w:proofErr w:type="spellStart"/>
            <w:r w:rsidRPr="00165D8F">
              <w:t>AInvest</w:t>
            </w:r>
            <w:proofErr w:type="spellEnd"/>
            <w:r w:rsidRPr="00165D8F">
              <w:t>, 2026).</w:t>
            </w:r>
          </w:p>
        </w:tc>
      </w:tr>
      <w:tr w:rsidR="009B231F" w:rsidRPr="009B231F" w14:paraId="43E68ED5" w14:textId="77777777" w:rsidTr="009B231F">
        <w:tc>
          <w:tcPr>
            <w:tcW w:w="4508" w:type="dxa"/>
          </w:tcPr>
          <w:p w14:paraId="79CF69EC" w14:textId="3D313F06" w:rsidR="009B231F" w:rsidRPr="009B231F" w:rsidRDefault="009B231F" w:rsidP="009B231F">
            <w:pPr>
              <w:spacing w:line="360" w:lineRule="auto"/>
              <w:rPr>
                <w:b/>
                <w:bCs/>
              </w:rPr>
            </w:pPr>
            <w:r w:rsidRPr="009B231F">
              <w:rPr>
                <w:b/>
                <w:bCs/>
              </w:rPr>
              <w:t>Weaknesses:</w:t>
            </w:r>
          </w:p>
        </w:tc>
        <w:tc>
          <w:tcPr>
            <w:tcW w:w="4508" w:type="dxa"/>
          </w:tcPr>
          <w:p w14:paraId="251F7C0C" w14:textId="4DF05510" w:rsidR="009B231F" w:rsidRPr="009B231F" w:rsidRDefault="009B231F" w:rsidP="009B231F">
            <w:pPr>
              <w:spacing w:line="360" w:lineRule="auto"/>
              <w:rPr>
                <w:b/>
                <w:bCs/>
              </w:rPr>
            </w:pPr>
            <w:r w:rsidRPr="009B231F">
              <w:rPr>
                <w:b/>
                <w:bCs/>
              </w:rPr>
              <w:t>Threats:</w:t>
            </w:r>
          </w:p>
        </w:tc>
      </w:tr>
      <w:tr w:rsidR="009B231F" w14:paraId="143BAEF8" w14:textId="77777777" w:rsidTr="009B231F">
        <w:tc>
          <w:tcPr>
            <w:tcW w:w="4508" w:type="dxa"/>
          </w:tcPr>
          <w:p w14:paraId="26E31707" w14:textId="77777777" w:rsidR="009B231F" w:rsidRPr="00165D8F" w:rsidRDefault="009B231F" w:rsidP="009B231F">
            <w:pPr>
              <w:pStyle w:val="ListParagraph"/>
              <w:numPr>
                <w:ilvl w:val="0"/>
                <w:numId w:val="19"/>
              </w:numPr>
              <w:spacing w:line="360" w:lineRule="auto"/>
            </w:pPr>
            <w:r w:rsidRPr="00165D8F">
              <w:t>Reliance on the existing and competitive UK market.</w:t>
            </w:r>
          </w:p>
          <w:p w14:paraId="70F7243B" w14:textId="77777777" w:rsidR="009B231F" w:rsidRPr="00165D8F" w:rsidRDefault="009B231F" w:rsidP="009B231F">
            <w:pPr>
              <w:pStyle w:val="ListParagraph"/>
              <w:numPr>
                <w:ilvl w:val="0"/>
                <w:numId w:val="19"/>
              </w:numPr>
              <w:spacing w:line="360" w:lineRule="auto"/>
            </w:pPr>
            <w:r w:rsidRPr="00165D8F">
              <w:t>Old reputational risks of previous scandals and labour conflicts.</w:t>
            </w:r>
          </w:p>
          <w:p w14:paraId="5435F095" w14:textId="77777777" w:rsidR="009B231F" w:rsidRPr="00165D8F" w:rsidRDefault="009B231F" w:rsidP="009B231F">
            <w:pPr>
              <w:pStyle w:val="ListParagraph"/>
              <w:numPr>
                <w:ilvl w:val="0"/>
                <w:numId w:val="19"/>
              </w:numPr>
              <w:spacing w:line="360" w:lineRule="auto"/>
            </w:pPr>
            <w:r w:rsidRPr="00165D8F">
              <w:t>Multi format, omnichannel operations are complex and costly to maintain.</w:t>
            </w:r>
          </w:p>
          <w:p w14:paraId="7F025D3D" w14:textId="0F2B8946" w:rsidR="009B231F" w:rsidRDefault="009B231F" w:rsidP="009B231F">
            <w:pPr>
              <w:pStyle w:val="ListParagraph"/>
              <w:numPr>
                <w:ilvl w:val="0"/>
                <w:numId w:val="19"/>
              </w:numPr>
              <w:spacing w:line="360" w:lineRule="auto"/>
            </w:pPr>
            <w:r w:rsidRPr="00165D8F">
              <w:t>Slim margins and vulnerability to price volatility.</w:t>
            </w:r>
          </w:p>
        </w:tc>
        <w:tc>
          <w:tcPr>
            <w:tcW w:w="4508" w:type="dxa"/>
          </w:tcPr>
          <w:p w14:paraId="328E2010" w14:textId="1E456EA5" w:rsidR="009B231F" w:rsidRPr="00165D8F" w:rsidRDefault="009B231F" w:rsidP="009B231F">
            <w:pPr>
              <w:pStyle w:val="ListParagraph"/>
              <w:numPr>
                <w:ilvl w:val="0"/>
                <w:numId w:val="19"/>
              </w:numPr>
              <w:spacing w:line="360" w:lineRule="auto"/>
            </w:pPr>
            <w:r w:rsidRPr="00165D8F">
              <w:t>Increased competition by discounters and high-end competitors.</w:t>
            </w:r>
          </w:p>
          <w:p w14:paraId="1170C20F" w14:textId="77777777" w:rsidR="009B231F" w:rsidRPr="00165D8F" w:rsidRDefault="009B231F" w:rsidP="009B231F">
            <w:pPr>
              <w:pStyle w:val="ListParagraph"/>
              <w:numPr>
                <w:ilvl w:val="0"/>
                <w:numId w:val="19"/>
              </w:numPr>
              <w:spacing w:line="360" w:lineRule="auto"/>
            </w:pPr>
            <w:r w:rsidRPr="00165D8F">
              <w:t>Financial fluctuations and sustained cost of living.</w:t>
            </w:r>
          </w:p>
          <w:p w14:paraId="2DD1856E" w14:textId="77777777" w:rsidR="009B231F" w:rsidRPr="00165D8F" w:rsidRDefault="009B231F" w:rsidP="009B231F">
            <w:pPr>
              <w:pStyle w:val="ListParagraph"/>
              <w:numPr>
                <w:ilvl w:val="0"/>
                <w:numId w:val="19"/>
              </w:numPr>
              <w:spacing w:line="360" w:lineRule="auto"/>
            </w:pPr>
            <w:r w:rsidRPr="00165D8F">
              <w:t>Tightening of regulations on health, employment, data and environment.</w:t>
            </w:r>
          </w:p>
          <w:p w14:paraId="18BFE187" w14:textId="722BD88F" w:rsidR="009B231F" w:rsidRDefault="009B231F" w:rsidP="009B231F">
            <w:pPr>
              <w:pStyle w:val="ListParagraph"/>
              <w:numPr>
                <w:ilvl w:val="0"/>
                <w:numId w:val="19"/>
              </w:numPr>
              <w:spacing w:line="360" w:lineRule="auto"/>
            </w:pPr>
            <w:r w:rsidRPr="00165D8F">
              <w:t>Entry threats in quick commerce or e commerce.</w:t>
            </w:r>
          </w:p>
        </w:tc>
      </w:tr>
    </w:tbl>
    <w:p w14:paraId="1AEC5E10" w14:textId="77777777" w:rsidR="00AF3960" w:rsidRDefault="00AF3960" w:rsidP="001972B1">
      <w:pPr>
        <w:pStyle w:val="Heading2"/>
      </w:pPr>
    </w:p>
    <w:p w14:paraId="78679BF6" w14:textId="77777777" w:rsidR="00AF3960" w:rsidRDefault="00AF3960">
      <w:pPr>
        <w:rPr>
          <w:rFonts w:eastAsiaTheme="majorEastAsia" w:cstheme="majorBidi"/>
          <w:b/>
          <w:sz w:val="28"/>
          <w:szCs w:val="32"/>
        </w:rPr>
      </w:pPr>
      <w:r>
        <w:br w:type="page"/>
      </w:r>
    </w:p>
    <w:p w14:paraId="574AF169" w14:textId="78E15ADC" w:rsidR="00443B36" w:rsidRDefault="00443B36" w:rsidP="001972B1">
      <w:pPr>
        <w:pStyle w:val="Heading2"/>
      </w:pPr>
      <w:bookmarkStart w:id="29" w:name="_Toc221712043"/>
      <w:r w:rsidRPr="00165D8F">
        <w:lastRenderedPageBreak/>
        <w:t>6.2 Ansoff Matrix: Growth Options</w:t>
      </w:r>
      <w:bookmarkEnd w:id="29"/>
    </w:p>
    <w:p w14:paraId="3E8CF8BD" w14:textId="77777777" w:rsidR="00AF3960" w:rsidRDefault="00AF3960" w:rsidP="00AF3960">
      <w:pPr>
        <w:keepNext/>
        <w:jc w:val="center"/>
      </w:pPr>
      <w:r w:rsidRPr="00AF3960">
        <w:rPr>
          <w:noProof/>
        </w:rPr>
        <w:drawing>
          <wp:inline distT="0" distB="0" distL="0" distR="0" wp14:anchorId="0FA2E8F8" wp14:editId="15862536">
            <wp:extent cx="5612914" cy="3490181"/>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971" t="1551" r="1087" b="1207"/>
                    <a:stretch/>
                  </pic:blipFill>
                  <pic:spPr bwMode="auto">
                    <a:xfrm>
                      <a:off x="0" y="0"/>
                      <a:ext cx="5613614" cy="3490616"/>
                    </a:xfrm>
                    <a:prstGeom prst="rect">
                      <a:avLst/>
                    </a:prstGeom>
                    <a:ln>
                      <a:noFill/>
                    </a:ln>
                    <a:extLst>
                      <a:ext uri="{53640926-AAD7-44D8-BBD7-CCE9431645EC}">
                        <a14:shadowObscured xmlns:a14="http://schemas.microsoft.com/office/drawing/2010/main"/>
                      </a:ext>
                    </a:extLst>
                  </pic:spPr>
                </pic:pic>
              </a:graphicData>
            </a:graphic>
          </wp:inline>
        </w:drawing>
      </w:r>
    </w:p>
    <w:p w14:paraId="360DC7A1" w14:textId="32024EC3" w:rsidR="00AF3960" w:rsidRPr="00AF3960" w:rsidRDefault="00AF3960" w:rsidP="00AF3960">
      <w:pPr>
        <w:pStyle w:val="Caption"/>
        <w:jc w:val="center"/>
        <w:rPr>
          <w:b/>
          <w:bCs/>
          <w:i w:val="0"/>
          <w:iCs w:val="0"/>
          <w:color w:val="auto"/>
        </w:rPr>
      </w:pPr>
      <w:bookmarkStart w:id="30" w:name="_Toc221712371"/>
      <w:r w:rsidRPr="00AF3960">
        <w:rPr>
          <w:b/>
          <w:bCs/>
          <w:i w:val="0"/>
          <w:iCs w:val="0"/>
          <w:color w:val="auto"/>
        </w:rPr>
        <w:t xml:space="preserve">Figure </w:t>
      </w:r>
      <w:r w:rsidRPr="00AF3960">
        <w:rPr>
          <w:b/>
          <w:bCs/>
          <w:i w:val="0"/>
          <w:iCs w:val="0"/>
          <w:color w:val="auto"/>
        </w:rPr>
        <w:fldChar w:fldCharType="begin"/>
      </w:r>
      <w:r w:rsidRPr="00AF3960">
        <w:rPr>
          <w:b/>
          <w:bCs/>
          <w:i w:val="0"/>
          <w:iCs w:val="0"/>
          <w:color w:val="auto"/>
        </w:rPr>
        <w:instrText xml:space="preserve"> SEQ Figure \* ARABIC </w:instrText>
      </w:r>
      <w:r w:rsidRPr="00AF3960">
        <w:rPr>
          <w:b/>
          <w:bCs/>
          <w:i w:val="0"/>
          <w:iCs w:val="0"/>
          <w:color w:val="auto"/>
        </w:rPr>
        <w:fldChar w:fldCharType="separate"/>
      </w:r>
      <w:r w:rsidR="00B75601">
        <w:rPr>
          <w:b/>
          <w:bCs/>
          <w:i w:val="0"/>
          <w:iCs w:val="0"/>
          <w:noProof/>
          <w:color w:val="auto"/>
        </w:rPr>
        <w:t>6</w:t>
      </w:r>
      <w:r w:rsidRPr="00AF3960">
        <w:rPr>
          <w:b/>
          <w:bCs/>
          <w:i w:val="0"/>
          <w:iCs w:val="0"/>
          <w:color w:val="auto"/>
        </w:rPr>
        <w:fldChar w:fldCharType="end"/>
      </w:r>
      <w:r w:rsidRPr="00AF3960">
        <w:rPr>
          <w:b/>
          <w:bCs/>
          <w:i w:val="0"/>
          <w:iCs w:val="0"/>
          <w:color w:val="auto"/>
        </w:rPr>
        <w:t>: Ansoff Matrix</w:t>
      </w:r>
      <w:bookmarkEnd w:id="30"/>
    </w:p>
    <w:p w14:paraId="0A7FD859" w14:textId="1EB8E3F4" w:rsidR="00AF3960" w:rsidRPr="00AF3960" w:rsidRDefault="00AF3960" w:rsidP="00AF3960">
      <w:pPr>
        <w:pStyle w:val="Caption"/>
        <w:jc w:val="center"/>
        <w:rPr>
          <w:b/>
          <w:bCs/>
          <w:i w:val="0"/>
          <w:iCs w:val="0"/>
          <w:color w:val="auto"/>
        </w:rPr>
      </w:pPr>
      <w:r w:rsidRPr="00AF3960">
        <w:rPr>
          <w:b/>
          <w:bCs/>
          <w:i w:val="0"/>
          <w:iCs w:val="0"/>
          <w:color w:val="auto"/>
        </w:rPr>
        <w:t xml:space="preserve">Source: Peter </w:t>
      </w:r>
      <w:proofErr w:type="spellStart"/>
      <w:r w:rsidRPr="00AF3960">
        <w:rPr>
          <w:b/>
          <w:bCs/>
          <w:i w:val="0"/>
          <w:iCs w:val="0"/>
          <w:color w:val="auto"/>
        </w:rPr>
        <w:t>Boolkah</w:t>
      </w:r>
      <w:proofErr w:type="spellEnd"/>
    </w:p>
    <w:p w14:paraId="76132695" w14:textId="77777777" w:rsidR="00C52E0A" w:rsidRPr="00165D8F" w:rsidRDefault="00C52E0A" w:rsidP="00C52E0A">
      <w:r w:rsidRPr="00165D8F">
        <w:t>The growth options of Tesco can be assessed by means of the Ansoff Matrix (Ansoff, 1957):</w:t>
      </w:r>
    </w:p>
    <w:p w14:paraId="6535B9CB" w14:textId="77777777" w:rsidR="00E045EB" w:rsidRPr="00E045EB" w:rsidRDefault="00C52E0A" w:rsidP="00E045EB">
      <w:pPr>
        <w:rPr>
          <w:b/>
          <w:bCs/>
        </w:rPr>
      </w:pPr>
      <w:r w:rsidRPr="00E045EB">
        <w:rPr>
          <w:b/>
          <w:bCs/>
        </w:rPr>
        <w:t xml:space="preserve">Penetration (existing markets, existing products): </w:t>
      </w:r>
    </w:p>
    <w:p w14:paraId="57BC2062" w14:textId="13169A9A" w:rsidR="00C52E0A" w:rsidRPr="00165D8F" w:rsidRDefault="00C52E0A" w:rsidP="00E045EB">
      <w:r w:rsidRPr="00165D8F">
        <w:t>Tesco already does it by way of price promotion, loyalty programs and better customer experience. The further optimisation of Aldi Price Match, Clubcard Prices and the expansion of convenience stores will assist in penetrating UK grocery market even further (</w:t>
      </w:r>
      <w:proofErr w:type="spellStart"/>
      <w:r w:rsidRPr="00165D8F">
        <w:t>AInvest</w:t>
      </w:r>
      <w:proofErr w:type="spellEnd"/>
      <w:r w:rsidRPr="00165D8F">
        <w:t>, 2026; Flavor365, 2025).</w:t>
      </w:r>
    </w:p>
    <w:p w14:paraId="2890D8C8" w14:textId="77777777" w:rsidR="00E045EB" w:rsidRPr="00E045EB" w:rsidRDefault="00C52E0A" w:rsidP="00E045EB">
      <w:pPr>
        <w:rPr>
          <w:b/>
          <w:bCs/>
        </w:rPr>
      </w:pPr>
      <w:r w:rsidRPr="00E045EB">
        <w:rPr>
          <w:b/>
          <w:bCs/>
        </w:rPr>
        <w:t xml:space="preserve">Product development (existing markets, new products): </w:t>
      </w:r>
    </w:p>
    <w:p w14:paraId="67332BFC" w14:textId="3CD23C14" w:rsidR="00C52E0A" w:rsidRPr="00165D8F" w:rsidRDefault="00C52E0A" w:rsidP="00E045EB">
      <w:r w:rsidRPr="00165D8F">
        <w:t xml:space="preserve">Tesco product development in terms of its innovation in the own label products (Finest, plant based, value levels), the </w:t>
      </w:r>
      <w:r w:rsidR="001F5E7B" w:rsidRPr="00165D8F">
        <w:t>health-oriented</w:t>
      </w:r>
      <w:r w:rsidRPr="00165D8F">
        <w:t xml:space="preserve"> products and ready-to-eat solutions </w:t>
      </w:r>
      <w:r w:rsidR="002D71A9">
        <w:t>constitutes as</w:t>
      </w:r>
      <w:r w:rsidRPr="00165D8F">
        <w:t xml:space="preserve"> product development. The possibility of developing sustainable, low carbon and functional foods in line with the trends toward health and environment remains (Jones et al., 2009; Tesco PLC, 2023a).</w:t>
      </w:r>
    </w:p>
    <w:p w14:paraId="01893BED" w14:textId="77777777" w:rsidR="00E045EB" w:rsidRPr="00E045EB" w:rsidRDefault="00C52E0A" w:rsidP="00E045EB">
      <w:pPr>
        <w:rPr>
          <w:b/>
          <w:bCs/>
        </w:rPr>
      </w:pPr>
      <w:r w:rsidRPr="00E045EB">
        <w:rPr>
          <w:b/>
          <w:bCs/>
        </w:rPr>
        <w:t xml:space="preserve">Market development (new markets, existing products): </w:t>
      </w:r>
    </w:p>
    <w:p w14:paraId="312B6154" w14:textId="78FC48FE" w:rsidR="00C52E0A" w:rsidRPr="00165D8F" w:rsidRDefault="00C52E0A" w:rsidP="00E045EB">
      <w:r w:rsidRPr="00165D8F">
        <w:lastRenderedPageBreak/>
        <w:t>In the UK, it may involve more penetration into under-served geographic or demographic markets as well as reinforcement of online and quick delivery. This may be viewed as a cautious re-entry into the select markets internationally through partnerships, however according to past experience, this should be done cautiously (Anon, 2014).</w:t>
      </w:r>
    </w:p>
    <w:p w14:paraId="53D3363A" w14:textId="77777777" w:rsidR="00E045EB" w:rsidRPr="00E045EB" w:rsidRDefault="00C52E0A" w:rsidP="00E045EB">
      <w:pPr>
        <w:rPr>
          <w:b/>
          <w:bCs/>
        </w:rPr>
      </w:pPr>
      <w:r w:rsidRPr="00E045EB">
        <w:rPr>
          <w:b/>
          <w:bCs/>
        </w:rPr>
        <w:t xml:space="preserve">Diversification (new markets, new products): </w:t>
      </w:r>
    </w:p>
    <w:p w14:paraId="684193E0" w14:textId="7FE01D5B" w:rsidR="00C52E0A" w:rsidRPr="00165D8F" w:rsidRDefault="00C52E0A" w:rsidP="00E045EB">
      <w:r w:rsidRPr="00165D8F">
        <w:t>Tesco has entered into banking, mobile and digital advertising which are related forms of diversification. Future enhancements can be data based B2B or sustainability solution partnerships. Non-related diversification would however cause more risk and distract core competencies.</w:t>
      </w:r>
    </w:p>
    <w:p w14:paraId="508C0C39" w14:textId="77777777" w:rsidR="00443B36" w:rsidRPr="00165D8F" w:rsidRDefault="00443B36" w:rsidP="001972B1">
      <w:pPr>
        <w:pStyle w:val="Heading2"/>
      </w:pPr>
      <w:bookmarkStart w:id="31" w:name="_Toc221712044"/>
      <w:r w:rsidRPr="00165D8F">
        <w:t>6.3 Recommendations</w:t>
      </w:r>
      <w:bookmarkEnd w:id="31"/>
    </w:p>
    <w:p w14:paraId="4B09CAF9" w14:textId="77777777" w:rsidR="00C52E0A" w:rsidRPr="00165D8F" w:rsidRDefault="00C52E0A" w:rsidP="00C52E0A">
      <w:r w:rsidRPr="00165D8F">
        <w:t>On the basis of the analysis conducted above, the strategic management theory, the following recommendations are offered:</w:t>
      </w:r>
    </w:p>
    <w:p w14:paraId="10C8144B" w14:textId="77777777" w:rsidR="0070198C" w:rsidRPr="0070198C" w:rsidRDefault="00C52E0A" w:rsidP="00D9102B">
      <w:pPr>
        <w:pStyle w:val="ListParagraph"/>
        <w:numPr>
          <w:ilvl w:val="0"/>
          <w:numId w:val="22"/>
        </w:numPr>
        <w:rPr>
          <w:b/>
          <w:bCs/>
        </w:rPr>
      </w:pPr>
      <w:r w:rsidRPr="0070198C">
        <w:rPr>
          <w:b/>
          <w:bCs/>
        </w:rPr>
        <w:t xml:space="preserve">Increase the intensity of the data-driven hybrid approach: </w:t>
      </w:r>
    </w:p>
    <w:p w14:paraId="51BC80C2" w14:textId="5E80D5AF" w:rsidR="00C52E0A" w:rsidRPr="00165D8F" w:rsidRDefault="00C52E0A" w:rsidP="0070198C">
      <w:pPr>
        <w:pStyle w:val="ListParagraph"/>
        <w:ind w:left="360"/>
      </w:pPr>
      <w:r w:rsidRPr="00165D8F">
        <w:t xml:space="preserve">Tesco needs to further develop its hybrid cost leadership and differentiation approach through the utilization of Clubcard data and artificial intelligence to apply value propositions at a more detailed level. This is in line with RBV and VRIO logic, which exploits the rare and difficult-to-copy ability (Barney, 1991; </w:t>
      </w:r>
      <w:proofErr w:type="spellStart"/>
      <w:r w:rsidRPr="00165D8F">
        <w:t>AInvest</w:t>
      </w:r>
      <w:proofErr w:type="spellEnd"/>
      <w:r w:rsidRPr="00165D8F">
        <w:t xml:space="preserve">, 2025). </w:t>
      </w:r>
    </w:p>
    <w:p w14:paraId="4ED82014" w14:textId="77777777" w:rsidR="0070198C" w:rsidRPr="0070198C" w:rsidRDefault="00C52E0A" w:rsidP="00D9102B">
      <w:pPr>
        <w:pStyle w:val="ListParagraph"/>
        <w:numPr>
          <w:ilvl w:val="0"/>
          <w:numId w:val="22"/>
        </w:numPr>
        <w:rPr>
          <w:b/>
          <w:bCs/>
        </w:rPr>
      </w:pPr>
      <w:r w:rsidRPr="0070198C">
        <w:rPr>
          <w:b/>
          <w:bCs/>
        </w:rPr>
        <w:t xml:space="preserve">Enhance sustainable competitive advantage by integrating ESG: </w:t>
      </w:r>
    </w:p>
    <w:p w14:paraId="47A46532" w14:textId="66BF2AC1" w:rsidR="00C52E0A" w:rsidRPr="00165D8F" w:rsidRDefault="00C52E0A" w:rsidP="0070198C">
      <w:pPr>
        <w:pStyle w:val="ListParagraph"/>
        <w:ind w:left="360"/>
      </w:pPr>
      <w:r w:rsidRPr="00165D8F">
        <w:t>To ensure the company remains legitimate and pre avoid regulatory risk, Tesco needs to increase efforts on net zero and circular economy targets, including environmental scoring on supplier scorecards, capex decisions and executive rewards (IFAC, 2023). This helps in not only minimizing the cost (by saving energy and waste) but also differentiation (improving brand trust), which is in line with the concept of shared value.</w:t>
      </w:r>
    </w:p>
    <w:p w14:paraId="22EF203F" w14:textId="77777777" w:rsidR="0070198C" w:rsidRPr="0070198C" w:rsidRDefault="00C52E0A" w:rsidP="00D9102B">
      <w:pPr>
        <w:pStyle w:val="ListParagraph"/>
        <w:numPr>
          <w:ilvl w:val="0"/>
          <w:numId w:val="22"/>
        </w:numPr>
        <w:rPr>
          <w:b/>
          <w:bCs/>
        </w:rPr>
      </w:pPr>
      <w:r w:rsidRPr="0070198C">
        <w:rPr>
          <w:b/>
          <w:bCs/>
        </w:rPr>
        <w:t xml:space="preserve">Invest more in excellence in omnichannel and last mile innovation: </w:t>
      </w:r>
    </w:p>
    <w:p w14:paraId="08CB1D63" w14:textId="545383AB" w:rsidR="00C52E0A" w:rsidRPr="00165D8F" w:rsidRDefault="00C52E0A" w:rsidP="0070198C">
      <w:pPr>
        <w:pStyle w:val="ListParagraph"/>
        <w:ind w:left="360"/>
      </w:pPr>
      <w:r w:rsidRPr="00165D8F">
        <w:t>Tesco has a robust e commerce base and should invest in capacity and technology to offer efficient last mile fulfilment, such as micro fulfilment centres, flexible delivery options and partnership where suitable (McKinnon, 2022). This helps Ansoff in share defence against discounters and online competitors through supporting its market penetration and development strategies.</w:t>
      </w:r>
    </w:p>
    <w:p w14:paraId="18B4DDB8" w14:textId="0FAAC226" w:rsidR="0070198C" w:rsidRPr="0070198C" w:rsidRDefault="004A7F4A" w:rsidP="00D9102B">
      <w:pPr>
        <w:pStyle w:val="ListParagraph"/>
        <w:numPr>
          <w:ilvl w:val="0"/>
          <w:numId w:val="22"/>
        </w:numPr>
        <w:rPr>
          <w:b/>
          <w:bCs/>
        </w:rPr>
      </w:pPr>
      <w:r>
        <w:rPr>
          <w:b/>
          <w:bCs/>
        </w:rPr>
        <w:t>C</w:t>
      </w:r>
      <w:r w:rsidR="00C52E0A" w:rsidRPr="0070198C">
        <w:rPr>
          <w:b/>
          <w:bCs/>
        </w:rPr>
        <w:t xml:space="preserve">hange management and human resources development: </w:t>
      </w:r>
    </w:p>
    <w:p w14:paraId="7C7C52D8" w14:textId="77777777" w:rsidR="00B858A5" w:rsidRDefault="00C52E0A" w:rsidP="00B833DE">
      <w:pPr>
        <w:pStyle w:val="ListParagraph"/>
        <w:ind w:left="360"/>
      </w:pPr>
      <w:r w:rsidRPr="00165D8F">
        <w:t xml:space="preserve">Future strategic change - </w:t>
      </w:r>
      <w:r w:rsidR="00B833DE" w:rsidRPr="00165D8F">
        <w:t>e.g.,</w:t>
      </w:r>
      <w:r w:rsidRPr="00165D8F">
        <w:t xml:space="preserve"> automation or format rationalisation - must be supported with a strong involvement in relationships with colleagues, upskilling programs and </w:t>
      </w:r>
      <w:r w:rsidRPr="00165D8F">
        <w:lastRenderedPageBreak/>
        <w:t>communication to prevent the demoralisation and destruction of brand image. Nurturing skills of employees in the digital, analytics, sustainability will support the Learning and Growth view of the Balanced Scorecard and boost dynamic capabilities (Kaplan and Norton, 1992).</w:t>
      </w:r>
    </w:p>
    <w:p w14:paraId="43C302B5" w14:textId="77777777" w:rsidR="00B858A5" w:rsidRPr="00B858A5" w:rsidRDefault="00B858A5" w:rsidP="00B858A5">
      <w:pPr>
        <w:pStyle w:val="Heading1"/>
      </w:pPr>
      <w:bookmarkStart w:id="32" w:name="_Toc221712045"/>
      <w:r w:rsidRPr="00B858A5">
        <w:t>Conclusion</w:t>
      </w:r>
      <w:bookmarkEnd w:id="32"/>
    </w:p>
    <w:p w14:paraId="2B4BBDB6" w14:textId="2D57CA1D" w:rsidR="00B858A5" w:rsidRDefault="00B858A5" w:rsidP="00B858A5">
      <w:r>
        <w:t xml:space="preserve">The analysis shows that Tesco has been able to use its size, brand power, data analytics power and large store network to remain ahead of the competition in the UK grocery market, and is increasingly incorporating the idea of sustainability and CSR in its strategic agenda. The company however is experiencing huge challenges such as intense </w:t>
      </w:r>
      <w:r w:rsidR="00D3692D">
        <w:t>price-based</w:t>
      </w:r>
      <w:r>
        <w:t xml:space="preserve"> competition, cost pressures, regulatory oversight and the decarbonisation of a complicated global value chain. Raising its data-based hybrid approach, reinforcing its integration of ESG, investing more in its omnichannel potential and change management in a more participative manner, Tesco can better be able to sustain and prolong its competitive edge. The relevance of strategic management theory and reflective practice highlight the necessity to align the resources, capabilities and stakeholder expectations in the dynamic and uncertain environment.</w:t>
      </w:r>
    </w:p>
    <w:p w14:paraId="1F631028" w14:textId="69765A8A" w:rsidR="00443B36" w:rsidRPr="00B833DE" w:rsidRDefault="00443B36" w:rsidP="00B833DE">
      <w:pPr>
        <w:pStyle w:val="ListParagraph"/>
        <w:ind w:left="360"/>
      </w:pPr>
      <w:r w:rsidRPr="00165D8F">
        <w:rPr>
          <w:b/>
          <w:bCs/>
        </w:rPr>
        <w:br w:type="page"/>
      </w:r>
    </w:p>
    <w:p w14:paraId="5DAF09F0" w14:textId="1F1D149B" w:rsidR="004B62F5" w:rsidRPr="00165D8F" w:rsidRDefault="004B62F5" w:rsidP="004B62F5">
      <w:pPr>
        <w:pStyle w:val="Heading1"/>
      </w:pPr>
      <w:bookmarkStart w:id="33" w:name="_Toc221712046"/>
      <w:r w:rsidRPr="00165D8F">
        <w:lastRenderedPageBreak/>
        <w:t>Part 2</w:t>
      </w:r>
      <w:bookmarkEnd w:id="33"/>
    </w:p>
    <w:p w14:paraId="27785B5B" w14:textId="1C2BAC4A" w:rsidR="00443B36" w:rsidRPr="00165D8F" w:rsidRDefault="00443B36" w:rsidP="001972B1">
      <w:pPr>
        <w:pStyle w:val="Heading1"/>
      </w:pPr>
      <w:bookmarkStart w:id="34" w:name="_Toc221712047"/>
      <w:r w:rsidRPr="00165D8F">
        <w:t>Reflective Account Using Gibbs’ Reflective Cycle</w:t>
      </w:r>
      <w:bookmarkEnd w:id="34"/>
      <w:r w:rsidRPr="00165D8F">
        <w:t xml:space="preserve"> </w:t>
      </w:r>
    </w:p>
    <w:p w14:paraId="6F19EAB5" w14:textId="378A7670" w:rsidR="00B75601" w:rsidRDefault="00321A64" w:rsidP="00B75601">
      <w:pPr>
        <w:keepNext/>
        <w:jc w:val="center"/>
      </w:pPr>
      <w:r>
        <w:rPr>
          <w:noProof/>
        </w:rPr>
        <w:drawing>
          <wp:inline distT="0" distB="0" distL="0" distR="0" wp14:anchorId="7CB08FC7" wp14:editId="1DEB1769">
            <wp:extent cx="27559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55900" cy="2755900"/>
                    </a:xfrm>
                    <a:prstGeom prst="rect">
                      <a:avLst/>
                    </a:prstGeom>
                    <a:noFill/>
                    <a:ln>
                      <a:noFill/>
                    </a:ln>
                  </pic:spPr>
                </pic:pic>
              </a:graphicData>
            </a:graphic>
          </wp:inline>
        </w:drawing>
      </w:r>
    </w:p>
    <w:p w14:paraId="4DA23AB6" w14:textId="63B32F7B" w:rsidR="00B75601" w:rsidRPr="00B75601" w:rsidRDefault="00B75601" w:rsidP="00B75601">
      <w:pPr>
        <w:pStyle w:val="Caption"/>
        <w:jc w:val="center"/>
        <w:rPr>
          <w:b/>
          <w:bCs/>
          <w:i w:val="0"/>
          <w:iCs w:val="0"/>
          <w:color w:val="auto"/>
        </w:rPr>
      </w:pPr>
      <w:bookmarkStart w:id="35" w:name="_Toc221712372"/>
      <w:r w:rsidRPr="00B75601">
        <w:rPr>
          <w:b/>
          <w:bCs/>
          <w:i w:val="0"/>
          <w:iCs w:val="0"/>
          <w:color w:val="auto"/>
        </w:rPr>
        <w:t xml:space="preserve">Figure </w:t>
      </w:r>
      <w:r w:rsidRPr="00B75601">
        <w:rPr>
          <w:b/>
          <w:bCs/>
          <w:i w:val="0"/>
          <w:iCs w:val="0"/>
          <w:color w:val="auto"/>
        </w:rPr>
        <w:fldChar w:fldCharType="begin"/>
      </w:r>
      <w:r w:rsidRPr="00B75601">
        <w:rPr>
          <w:b/>
          <w:bCs/>
          <w:i w:val="0"/>
          <w:iCs w:val="0"/>
          <w:color w:val="auto"/>
        </w:rPr>
        <w:instrText xml:space="preserve"> SEQ Figure \* ARABIC </w:instrText>
      </w:r>
      <w:r w:rsidRPr="00B75601">
        <w:rPr>
          <w:b/>
          <w:bCs/>
          <w:i w:val="0"/>
          <w:iCs w:val="0"/>
          <w:color w:val="auto"/>
        </w:rPr>
        <w:fldChar w:fldCharType="separate"/>
      </w:r>
      <w:r w:rsidRPr="00B75601">
        <w:rPr>
          <w:b/>
          <w:bCs/>
          <w:i w:val="0"/>
          <w:iCs w:val="0"/>
          <w:noProof/>
          <w:color w:val="auto"/>
        </w:rPr>
        <w:t>7</w:t>
      </w:r>
      <w:r w:rsidRPr="00B75601">
        <w:rPr>
          <w:b/>
          <w:bCs/>
          <w:i w:val="0"/>
          <w:iCs w:val="0"/>
          <w:color w:val="auto"/>
        </w:rPr>
        <w:fldChar w:fldCharType="end"/>
      </w:r>
      <w:r>
        <w:rPr>
          <w:b/>
          <w:bCs/>
          <w:i w:val="0"/>
          <w:iCs w:val="0"/>
          <w:color w:val="auto"/>
        </w:rPr>
        <w:t>:</w:t>
      </w:r>
      <w:r w:rsidRPr="00B75601">
        <w:rPr>
          <w:b/>
          <w:bCs/>
          <w:i w:val="0"/>
          <w:iCs w:val="0"/>
          <w:color w:val="auto"/>
        </w:rPr>
        <w:t xml:space="preserve"> Gibbs Reflective Cycle</w:t>
      </w:r>
      <w:bookmarkEnd w:id="35"/>
      <w:r w:rsidRPr="00B75601">
        <w:rPr>
          <w:b/>
          <w:bCs/>
          <w:i w:val="0"/>
          <w:iCs w:val="0"/>
          <w:color w:val="auto"/>
        </w:rPr>
        <w:t xml:space="preserve"> </w:t>
      </w:r>
    </w:p>
    <w:p w14:paraId="047FD5C9" w14:textId="3F08BF5D" w:rsidR="00B75601" w:rsidRPr="00B75601" w:rsidRDefault="00B75601" w:rsidP="00B75601">
      <w:pPr>
        <w:pStyle w:val="Caption"/>
        <w:jc w:val="center"/>
        <w:rPr>
          <w:b/>
          <w:bCs/>
          <w:i w:val="0"/>
          <w:iCs w:val="0"/>
          <w:color w:val="auto"/>
        </w:rPr>
      </w:pPr>
      <w:r w:rsidRPr="00B75601">
        <w:rPr>
          <w:b/>
          <w:bCs/>
          <w:i w:val="0"/>
          <w:iCs w:val="0"/>
          <w:color w:val="auto"/>
        </w:rPr>
        <w:t xml:space="preserve">Source: </w:t>
      </w:r>
      <w:proofErr w:type="spellStart"/>
      <w:r w:rsidRPr="00B75601">
        <w:rPr>
          <w:b/>
          <w:bCs/>
          <w:i w:val="0"/>
          <w:iCs w:val="0"/>
          <w:color w:val="auto"/>
        </w:rPr>
        <w:t>Dr.</w:t>
      </w:r>
      <w:proofErr w:type="spellEnd"/>
      <w:r w:rsidRPr="00B75601">
        <w:rPr>
          <w:b/>
          <w:bCs/>
          <w:i w:val="0"/>
          <w:iCs w:val="0"/>
          <w:color w:val="auto"/>
        </w:rPr>
        <w:t xml:space="preserve"> Krishna </w:t>
      </w:r>
      <w:proofErr w:type="spellStart"/>
      <w:r w:rsidRPr="00B75601">
        <w:rPr>
          <w:b/>
          <w:bCs/>
          <w:i w:val="0"/>
          <w:iCs w:val="0"/>
          <w:color w:val="auto"/>
        </w:rPr>
        <w:t>Athal</w:t>
      </w:r>
      <w:proofErr w:type="spellEnd"/>
      <w:r w:rsidRPr="00B75601">
        <w:rPr>
          <w:b/>
          <w:bCs/>
          <w:i w:val="0"/>
          <w:iCs w:val="0"/>
          <w:color w:val="auto"/>
        </w:rPr>
        <w:t xml:space="preserve"> (Life and Executive Coach)</w:t>
      </w:r>
    </w:p>
    <w:p w14:paraId="4F556755" w14:textId="1D02839D" w:rsidR="00443B36" w:rsidRPr="00165D8F" w:rsidRDefault="00443B36" w:rsidP="001972B1">
      <w:pPr>
        <w:pStyle w:val="Heading2"/>
      </w:pPr>
      <w:bookmarkStart w:id="36" w:name="_Toc221712048"/>
      <w:r w:rsidRPr="00165D8F">
        <w:t>1. Description</w:t>
      </w:r>
      <w:bookmarkEnd w:id="36"/>
    </w:p>
    <w:p w14:paraId="1EF7045E" w14:textId="77777777" w:rsidR="00E61107" w:rsidRPr="00165D8F" w:rsidRDefault="00E61107" w:rsidP="00E61107">
      <w:r w:rsidRPr="00165D8F">
        <w:t>The assignment involved critical review of the strategic management practice at Tesco, both in the external and internal environment, competitive positioning, resource competencies and sustainable competitive advantage and a reflective account of the experience using a recognised model of reflection. It starts with the choice of the focal organisation, Tesco, due to the fact that it is a large UK-based retailer with plenty of information available publicly, significant strategic changes over the past ten years and high applicability to strategic management theory.</w:t>
      </w:r>
    </w:p>
    <w:p w14:paraId="056F3A08" w14:textId="581649F4" w:rsidR="00E61107" w:rsidRPr="00165D8F" w:rsidRDefault="00E61107" w:rsidP="00E61107">
      <w:r w:rsidRPr="00165D8F">
        <w:t>The research stage was the collection of the data of Tesco annual and sustainability reports, independent research on the mission, vision and competitive strategy of Tesco, scholarly articles on the topic of the UK grocery retail, PESTEL frameworks, VRIO frameworks, Balanced Scorecard frameworks and the Ansoff Matrix. Industry statistics (</w:t>
      </w:r>
      <w:r w:rsidR="00D437BC" w:rsidRPr="00165D8F">
        <w:t>e.g.,</w:t>
      </w:r>
      <w:r w:rsidRPr="00165D8F">
        <w:t xml:space="preserve"> Statista), professional and practitioner commentary (</w:t>
      </w:r>
      <w:r w:rsidR="00D437BC" w:rsidRPr="00165D8F">
        <w:t>e.g.,</w:t>
      </w:r>
      <w:r w:rsidRPr="00165D8F">
        <w:t xml:space="preserve"> IFAC case on Tesco net zero commitments) and academic literature on sustainable consumption and retail operations (Jones et al., 2009; Anon, 2014) were used as the sources.</w:t>
      </w:r>
    </w:p>
    <w:p w14:paraId="1711FB02" w14:textId="1CF85276" w:rsidR="00E61107" w:rsidRPr="00165D8F" w:rsidRDefault="00E61107" w:rsidP="00E61107">
      <w:r w:rsidRPr="00165D8F">
        <w:lastRenderedPageBreak/>
        <w:t>This was then collated into an organised report in accordance to the assessment brief</w:t>
      </w:r>
      <w:r w:rsidR="00D437BC">
        <w:t xml:space="preserve">. </w:t>
      </w:r>
      <w:r w:rsidRPr="00165D8F">
        <w:t>The second section used the reflective cycle of Gibbs (1988) to criticize the manner in which the research, analysis and writing were conducted.</w:t>
      </w:r>
    </w:p>
    <w:p w14:paraId="2D9A8367" w14:textId="77777777" w:rsidR="00443B36" w:rsidRPr="00165D8F" w:rsidRDefault="00443B36" w:rsidP="001972B1">
      <w:pPr>
        <w:pStyle w:val="Heading2"/>
      </w:pPr>
      <w:bookmarkStart w:id="37" w:name="_Toc221712049"/>
      <w:r w:rsidRPr="00165D8F">
        <w:t>2. Feelings</w:t>
      </w:r>
      <w:bookmarkEnd w:id="37"/>
    </w:p>
    <w:p w14:paraId="7D242F38" w14:textId="4718BA27" w:rsidR="00E61107" w:rsidRPr="00165D8F" w:rsidRDefault="00E61107" w:rsidP="00E61107">
      <w:r w:rsidRPr="00165D8F">
        <w:t xml:space="preserve">At the beginning, there was both a sense of confidence and fear. The confidence was based on the experience with some of the strategic management models and the overall awareness of Tesco as a large UK brand. Nonetheless, </w:t>
      </w:r>
      <w:r w:rsidR="00D437BC">
        <w:t>there was a fear of doing justice</w:t>
      </w:r>
      <w:r w:rsidRPr="00165D8F">
        <w:t xml:space="preserve"> to the complexity of the Tesco strategy and not </w:t>
      </w:r>
      <w:r w:rsidR="0085389D">
        <w:t xml:space="preserve">to </w:t>
      </w:r>
      <w:r w:rsidRPr="00165D8F">
        <w:t>provide superficial description but critical analysis.</w:t>
      </w:r>
    </w:p>
    <w:p w14:paraId="70346FC0" w14:textId="1AAA38C5" w:rsidR="00E61107" w:rsidRPr="00165D8F" w:rsidRDefault="00E61107" w:rsidP="00E61107">
      <w:r w:rsidRPr="00165D8F">
        <w:t xml:space="preserve">There was information overload and relief in the fact that there was so much information about Tesco. However, on the one hand, it indicated that data and commentary were easily available; and on the other, it questioned what sources to give precedence, how to maintain currency and how to avoid over-reliance on second-order summaries, which could be considered casually academic. </w:t>
      </w:r>
    </w:p>
    <w:p w14:paraId="26B0150F" w14:textId="35B470FB" w:rsidR="00E61107" w:rsidRPr="00165D8F" w:rsidRDefault="0085389D" w:rsidP="00E61107">
      <w:r>
        <w:t>S</w:t>
      </w:r>
      <w:r w:rsidR="00E61107" w:rsidRPr="00165D8F">
        <w:t xml:space="preserve">atisfaction increased during the analysis as it became possible to relate the theoretical concepts like RBV, VRIO and the Matrix of Ansoff to real examples in the strategy of Tesco. </w:t>
      </w:r>
    </w:p>
    <w:p w14:paraId="0CC1C2BC" w14:textId="77777777" w:rsidR="00443B36" w:rsidRPr="00165D8F" w:rsidRDefault="00443B36" w:rsidP="001972B1">
      <w:pPr>
        <w:pStyle w:val="Heading2"/>
      </w:pPr>
      <w:bookmarkStart w:id="38" w:name="_Toc221712050"/>
      <w:r w:rsidRPr="00165D8F">
        <w:t>3. Evaluation</w:t>
      </w:r>
      <w:bookmarkEnd w:id="38"/>
    </w:p>
    <w:p w14:paraId="363EF2F3" w14:textId="347F182C" w:rsidR="00E61107" w:rsidRPr="00165D8F" w:rsidRDefault="00E61107" w:rsidP="00E61107">
      <w:r w:rsidRPr="00165D8F">
        <w:t>To start with, the selection of Tesco was suitable as its size and exposure implied that the key dimensions of the brief - between external environment and CSR - could be considered with significant evidence. Second, adhering to the assignment headings to structure the report facilitated the coherence and all the aspects, including the balanced scorecard and reflective section, were addressed in a systematic manner.</w:t>
      </w:r>
    </w:p>
    <w:p w14:paraId="27FB2594" w14:textId="4805DB04" w:rsidR="00E61107" w:rsidRPr="00165D8F" w:rsidRDefault="00E61107" w:rsidP="00E61107">
      <w:r w:rsidRPr="00165D8F">
        <w:t>It was also beneficial that various frameworks were used (PESTEL, VRIO, SWOT, Ansoff, Balanced Scorecard). The VRIO analysis gave an additional example at this point in that the data and analytics skill of Tesco was a primary source of sustainable competitive advantage, which guided the recommendations based on the conclusions.</w:t>
      </w:r>
    </w:p>
    <w:p w14:paraId="68DD5550" w14:textId="355B5609" w:rsidR="00E61107" w:rsidRPr="00165D8F" w:rsidRDefault="00E61107" w:rsidP="00E61107">
      <w:r w:rsidRPr="00165D8F">
        <w:t xml:space="preserve">Nevertheless, weaknesses existed as well. One was the unequal quality of sources; not all </w:t>
      </w:r>
      <w:r w:rsidR="00A02BCB" w:rsidRPr="00165D8F">
        <w:t>web-based</w:t>
      </w:r>
      <w:r w:rsidRPr="00165D8F">
        <w:t xml:space="preserve"> analyses and case summaries were peer reviewed as this could bring into doubt the reliability of these sources. Existence of limited time implied that not every claim would be tracked to the main corporate documents or academic journals. The other weakness lay in the possible overemphasis on the positive aspects of the Tesco strategy since corporate and professional sources tend to highlight stories of success. Even though some risks and criticisms </w:t>
      </w:r>
      <w:r w:rsidRPr="00165D8F">
        <w:lastRenderedPageBreak/>
        <w:t>were raised (</w:t>
      </w:r>
      <w:r w:rsidR="00A02BCB" w:rsidRPr="00165D8F">
        <w:t>e.g.,</w:t>
      </w:r>
      <w:r w:rsidRPr="00165D8F">
        <w:t xml:space="preserve"> historical scandals, labour concerns), one can take a more critical theme perspective, such as stakeholder and union opinion or consumer reports.</w:t>
      </w:r>
    </w:p>
    <w:p w14:paraId="48F82C54" w14:textId="77777777" w:rsidR="00443B36" w:rsidRPr="00165D8F" w:rsidRDefault="00443B36" w:rsidP="001972B1">
      <w:pPr>
        <w:pStyle w:val="Heading2"/>
      </w:pPr>
      <w:bookmarkStart w:id="39" w:name="_Toc221712051"/>
      <w:r w:rsidRPr="00165D8F">
        <w:t>4. Analysis</w:t>
      </w:r>
      <w:bookmarkEnd w:id="39"/>
    </w:p>
    <w:p w14:paraId="706FC13A" w14:textId="30B11BCD" w:rsidR="00E61107" w:rsidRPr="00165D8F" w:rsidRDefault="00443B36" w:rsidP="00E61107">
      <w:r w:rsidRPr="00165D8F">
        <w:t xml:space="preserve">Using Gibbs’ (1988) model encourages deeper examination of why these strengths and </w:t>
      </w:r>
      <w:r w:rsidR="00A02BCB" w:rsidRPr="00165D8F">
        <w:t>applying</w:t>
      </w:r>
      <w:r w:rsidR="00E61107" w:rsidRPr="00165D8F">
        <w:t xml:space="preserve"> the model will prompt further investigation into the reasons as to why such strengths and weaknesses were experienced. This ability to structure the report properly can be attributed to the knowledge of what is required in academia with regard to business and management: the use of known models, the presence of clear headings, even the connection to the mark scheme, all enhance clarity. </w:t>
      </w:r>
    </w:p>
    <w:p w14:paraId="0A54D29F" w14:textId="77777777" w:rsidR="00E61107" w:rsidRPr="00165D8F" w:rsidRDefault="00E61107" w:rsidP="00E61107">
      <w:r w:rsidRPr="00165D8F">
        <w:t>The tension of breadth and depth can be attributed to the over dependence on the secondary and practitioner sources. Given the vast array of issues (including external environment, CSR and strategic implementation), the research strategy had been inclined towards coverage as opposed to intensive involvement of a limited number of highly academic materials. This is in line with what Kolb (1984) would term as a divergent learning style, which is appreciative of different viewpoints but does not offer theoretical accuracy at times.</w:t>
      </w:r>
    </w:p>
    <w:p w14:paraId="7320DDAC" w14:textId="10B32177" w:rsidR="00E61107" w:rsidRPr="00165D8F" w:rsidRDefault="00E61107" w:rsidP="00E61107">
      <w:r w:rsidRPr="00165D8F">
        <w:t xml:space="preserve">The other valuable lesson is the use of frameworks as facilitators and inhibitors. Cognitive scaffolding is offered by frameworks like PESTEL and SWOT that enable one to deal with a complex reality. Nevertheless, they are also capable of simplifying dynamic and overlapping factors. As an example, the economic and social trends (such as the </w:t>
      </w:r>
      <w:r w:rsidR="00E73F7F" w:rsidRPr="00165D8F">
        <w:t>cost-of-living</w:t>
      </w:r>
      <w:r w:rsidRPr="00165D8F">
        <w:t xml:space="preserve"> crisis and the shift in consumer behaviour) are closely interconnected, but PESTEL demands a separation between them. The identification of this aided in the comprehension of the models as heuristic devices and not as conclusive presentations.</w:t>
      </w:r>
    </w:p>
    <w:p w14:paraId="4EE50D5D" w14:textId="31F69FFC" w:rsidR="00E61107" w:rsidRPr="00165D8F" w:rsidRDefault="000071A4" w:rsidP="00E61107">
      <w:r>
        <w:t>Moreover, in case of CSR activities i</w:t>
      </w:r>
      <w:r w:rsidR="00E61107" w:rsidRPr="00165D8F">
        <w:t>t was easy to accept Tesco</w:t>
      </w:r>
      <w:r w:rsidR="002E0FD4">
        <w:t>’s</w:t>
      </w:r>
      <w:r w:rsidR="00E61107" w:rsidRPr="00165D8F">
        <w:t xml:space="preserve"> net zero statements as is but the reflective process made it doubtful whether this was possible, relied on offsetting or actual reduction and how to affect Scope 3 emissions. This reflects the arguments of scholars about the idea of whether CSR is truly transformative or merely instrumental (Porter and Kramer, 2006).</w:t>
      </w:r>
    </w:p>
    <w:p w14:paraId="42FA5270" w14:textId="443E889E" w:rsidR="00443B36" w:rsidRPr="00165D8F" w:rsidRDefault="00443B36" w:rsidP="00E61107">
      <w:pPr>
        <w:pStyle w:val="Heading2"/>
      </w:pPr>
      <w:bookmarkStart w:id="40" w:name="_Toc221712052"/>
      <w:r w:rsidRPr="00165D8F">
        <w:t>5. Conclusion</w:t>
      </w:r>
      <w:bookmarkEnd w:id="40"/>
    </w:p>
    <w:p w14:paraId="44E03AD8" w14:textId="77777777" w:rsidR="00E61107" w:rsidRPr="00165D8F" w:rsidRDefault="00E61107" w:rsidP="00E61107">
      <w:r w:rsidRPr="00165D8F">
        <w:t xml:space="preserve">On balance, research and writing of the report have helped to strengthen the knowledge on the work of strategic management theories in practice. It has demonstrated that such concepts as RBV, VRIO, and Ansoff Matrix are not abstract, they can be directly applied to actual </w:t>
      </w:r>
      <w:r w:rsidRPr="00165D8F">
        <w:lastRenderedPageBreak/>
        <w:t>companies, however, only with the help of close evidence collection and critical analysis. It was also important to point out in the experience the value of an integrated approach that links financial performance, customer value, operational processes and sustainability.</w:t>
      </w:r>
    </w:p>
    <w:p w14:paraId="693E45A9" w14:textId="77777777" w:rsidR="00E61107" w:rsidRPr="00165D8F" w:rsidRDefault="00E61107" w:rsidP="007850FE">
      <w:r w:rsidRPr="00165D8F">
        <w:t>The most important lessons can be seen as the necessity to:</w:t>
      </w:r>
    </w:p>
    <w:p w14:paraId="15035264" w14:textId="3E10B769" w:rsidR="00E61107" w:rsidRPr="00165D8F" w:rsidRDefault="007850FE" w:rsidP="007850FE">
      <w:pPr>
        <w:pStyle w:val="ListParagraph"/>
        <w:numPr>
          <w:ilvl w:val="0"/>
          <w:numId w:val="22"/>
        </w:numPr>
      </w:pPr>
      <w:r>
        <w:t>P</w:t>
      </w:r>
      <w:r w:rsidR="00E61107" w:rsidRPr="00165D8F">
        <w:t>rimary sources should be given the first priority, especially corporate reports and peer reviewed articles.</w:t>
      </w:r>
    </w:p>
    <w:p w14:paraId="3B7C92AE" w14:textId="0DA9213D" w:rsidR="00E61107" w:rsidRPr="00165D8F" w:rsidRDefault="00E61107" w:rsidP="007850FE">
      <w:pPr>
        <w:pStyle w:val="ListParagraph"/>
        <w:numPr>
          <w:ilvl w:val="0"/>
          <w:numId w:val="22"/>
        </w:numPr>
      </w:pPr>
      <w:r w:rsidRPr="00165D8F">
        <w:t>Apply</w:t>
      </w:r>
      <w:r w:rsidR="00567D7C">
        <w:t>ing</w:t>
      </w:r>
      <w:r w:rsidRPr="00165D8F">
        <w:t xml:space="preserve"> a variety of different frameworks but be cognizant of their shortcomings and the danger of automatism.</w:t>
      </w:r>
    </w:p>
    <w:p w14:paraId="3513FA93" w14:textId="218A0D55" w:rsidR="00E61107" w:rsidRPr="00165D8F" w:rsidRDefault="00E61107" w:rsidP="007850FE">
      <w:pPr>
        <w:pStyle w:val="ListParagraph"/>
        <w:numPr>
          <w:ilvl w:val="0"/>
          <w:numId w:val="22"/>
        </w:numPr>
      </w:pPr>
      <w:r w:rsidRPr="00165D8F">
        <w:t>Address</w:t>
      </w:r>
      <w:r w:rsidR="00567D7C">
        <w:t>ing</w:t>
      </w:r>
      <w:r w:rsidRPr="00165D8F">
        <w:t xml:space="preserve"> CSR and sustainability as part of competitive strategy and not a distinct and marginal domain.</w:t>
      </w:r>
    </w:p>
    <w:p w14:paraId="12868FF2" w14:textId="16585AA3" w:rsidR="00E61107" w:rsidRPr="00165D8F" w:rsidRDefault="00E61107" w:rsidP="007850FE">
      <w:pPr>
        <w:pStyle w:val="ListParagraph"/>
        <w:numPr>
          <w:ilvl w:val="0"/>
          <w:numId w:val="22"/>
        </w:numPr>
      </w:pPr>
      <w:r w:rsidRPr="00165D8F">
        <w:t>Be</w:t>
      </w:r>
      <w:r w:rsidR="00567D7C">
        <w:t>ing</w:t>
      </w:r>
      <w:r w:rsidRPr="00165D8F">
        <w:t xml:space="preserve"> aware of possible biasness within sources and search for opposing or opposing opinions.</w:t>
      </w:r>
    </w:p>
    <w:p w14:paraId="4FEA90B3" w14:textId="77777777" w:rsidR="00443B36" w:rsidRPr="00165D8F" w:rsidRDefault="00443B36" w:rsidP="001972B1">
      <w:pPr>
        <w:pStyle w:val="Heading2"/>
      </w:pPr>
      <w:bookmarkStart w:id="41" w:name="_Toc221712053"/>
      <w:r w:rsidRPr="00165D8F">
        <w:t>6. Action Plan</w:t>
      </w:r>
      <w:bookmarkEnd w:id="41"/>
    </w:p>
    <w:p w14:paraId="69182243" w14:textId="77777777" w:rsidR="00E61107" w:rsidRPr="00165D8F" w:rsidRDefault="00E61107" w:rsidP="00E61107">
      <w:r w:rsidRPr="00165D8F">
        <w:t>In order to enhance the strategic management assessment and research projects in future, the following specific actions can be distinguished:</w:t>
      </w:r>
    </w:p>
    <w:p w14:paraId="0BF677B8" w14:textId="3DEF3FE5" w:rsidR="00852C22" w:rsidRPr="00852C22" w:rsidRDefault="00E61107" w:rsidP="00D9102B">
      <w:pPr>
        <w:pStyle w:val="ListParagraph"/>
        <w:numPr>
          <w:ilvl w:val="0"/>
          <w:numId w:val="24"/>
        </w:numPr>
        <w:rPr>
          <w:b/>
          <w:bCs/>
        </w:rPr>
      </w:pPr>
      <w:r w:rsidRPr="00852C22">
        <w:rPr>
          <w:b/>
          <w:bCs/>
        </w:rPr>
        <w:t>Be</w:t>
      </w:r>
      <w:r w:rsidR="00852C22">
        <w:rPr>
          <w:b/>
          <w:bCs/>
        </w:rPr>
        <w:t>ing</w:t>
      </w:r>
      <w:r w:rsidRPr="00852C22">
        <w:rPr>
          <w:b/>
          <w:bCs/>
        </w:rPr>
        <w:t xml:space="preserve"> more systematic in search: </w:t>
      </w:r>
    </w:p>
    <w:p w14:paraId="5DE759FA" w14:textId="4D067655" w:rsidR="00E61107" w:rsidRPr="00165D8F" w:rsidRDefault="00E61107" w:rsidP="00852C22">
      <w:pPr>
        <w:pStyle w:val="ListParagraph"/>
        <w:ind w:left="360"/>
      </w:pPr>
      <w:r w:rsidRPr="00165D8F">
        <w:t>Search academic databases (</w:t>
      </w:r>
      <w:r w:rsidR="006A3C9B" w:rsidRPr="00165D8F">
        <w:t>e.g.,</w:t>
      </w:r>
      <w:r w:rsidRPr="00165D8F">
        <w:t xml:space="preserve"> Scopus, Web of Science, Business Source Complete) as well as general web searches, and bring additional inclusion criteria such as prioritising peer reviewed and primary sources. Keeping a research log is to trace the quality and relevance of sources.</w:t>
      </w:r>
    </w:p>
    <w:p w14:paraId="74C1CB4D" w14:textId="2C87C15E" w:rsidR="00852C22" w:rsidRPr="00852C22" w:rsidRDefault="00E61107" w:rsidP="00D9102B">
      <w:pPr>
        <w:pStyle w:val="ListParagraph"/>
        <w:numPr>
          <w:ilvl w:val="0"/>
          <w:numId w:val="24"/>
        </w:numPr>
        <w:rPr>
          <w:b/>
          <w:bCs/>
        </w:rPr>
      </w:pPr>
      <w:r w:rsidRPr="00852C22">
        <w:rPr>
          <w:b/>
          <w:bCs/>
        </w:rPr>
        <w:t>Read</w:t>
      </w:r>
      <w:r w:rsidR="00852C22">
        <w:rPr>
          <w:b/>
          <w:bCs/>
        </w:rPr>
        <w:t>ing</w:t>
      </w:r>
      <w:r w:rsidRPr="00852C22">
        <w:rPr>
          <w:b/>
          <w:bCs/>
        </w:rPr>
        <w:t xml:space="preserve"> more theory than action:</w:t>
      </w:r>
    </w:p>
    <w:p w14:paraId="0F73AC68" w14:textId="16CA94F9" w:rsidR="00E61107" w:rsidRPr="00165D8F" w:rsidRDefault="00E61107" w:rsidP="00852C22">
      <w:pPr>
        <w:pStyle w:val="ListParagraph"/>
        <w:ind w:left="360"/>
      </w:pPr>
      <w:r w:rsidRPr="00165D8F">
        <w:t>Before implementing a theory, reread the original theoretical sources (</w:t>
      </w:r>
      <w:r w:rsidR="00E7795F" w:rsidRPr="00165D8F">
        <w:t>e.g.,</w:t>
      </w:r>
      <w:r w:rsidRPr="00165D8F">
        <w:t xml:space="preserve"> Barney on RBV, Kaplan and Norton on the Balanced Scorecard) to be able to interpret it correctly. Note down major assumptions and restrictions and carefully address them when using the models.</w:t>
      </w:r>
    </w:p>
    <w:p w14:paraId="144DA443" w14:textId="11BAF4A0" w:rsidR="00852C22" w:rsidRPr="00852C22" w:rsidRDefault="00E61107" w:rsidP="00D9102B">
      <w:pPr>
        <w:pStyle w:val="ListParagraph"/>
        <w:numPr>
          <w:ilvl w:val="0"/>
          <w:numId w:val="24"/>
        </w:numPr>
        <w:rPr>
          <w:b/>
          <w:bCs/>
        </w:rPr>
      </w:pPr>
      <w:r w:rsidRPr="00852C22">
        <w:rPr>
          <w:b/>
          <w:bCs/>
        </w:rPr>
        <w:t>Develop</w:t>
      </w:r>
      <w:r w:rsidR="00667756">
        <w:rPr>
          <w:b/>
          <w:bCs/>
        </w:rPr>
        <w:t>ing</w:t>
      </w:r>
      <w:r w:rsidRPr="00852C22">
        <w:rPr>
          <w:b/>
          <w:bCs/>
        </w:rPr>
        <w:t xml:space="preserve"> brief synthesis and argumentation: </w:t>
      </w:r>
    </w:p>
    <w:p w14:paraId="03C79DBB" w14:textId="5FE5F750" w:rsidR="00E61107" w:rsidRPr="00165D8F" w:rsidRDefault="00E61107" w:rsidP="00852C22">
      <w:pPr>
        <w:pStyle w:val="ListParagraph"/>
        <w:ind w:left="360"/>
      </w:pPr>
      <w:r w:rsidRPr="00165D8F">
        <w:t>Train to summarise complex information in a much shorter form, paying attention to the most strategically important things and not repeating. Write first bullet point summaries of each section then develop complete paragraphs to define the organization of arguments.</w:t>
      </w:r>
    </w:p>
    <w:p w14:paraId="500E898C" w14:textId="77777777" w:rsidR="00443B36" w:rsidRPr="00165D8F" w:rsidRDefault="00443B36">
      <w:pPr>
        <w:rPr>
          <w:b/>
          <w:bCs/>
        </w:rPr>
      </w:pPr>
      <w:r w:rsidRPr="00165D8F">
        <w:rPr>
          <w:b/>
          <w:bCs/>
        </w:rPr>
        <w:br w:type="page"/>
      </w:r>
    </w:p>
    <w:p w14:paraId="4CF5D279" w14:textId="46D0CD8F" w:rsidR="00443B36" w:rsidRPr="00165D8F" w:rsidRDefault="00443B36" w:rsidP="001972B1">
      <w:pPr>
        <w:pStyle w:val="Heading1"/>
      </w:pPr>
      <w:bookmarkStart w:id="42" w:name="_Toc221712054"/>
      <w:r w:rsidRPr="00165D8F">
        <w:lastRenderedPageBreak/>
        <w:t>Reference</w:t>
      </w:r>
      <w:r w:rsidR="00B12433" w:rsidRPr="00165D8F">
        <w:t>s</w:t>
      </w:r>
      <w:bookmarkEnd w:id="42"/>
    </w:p>
    <w:p w14:paraId="5FD31DCE" w14:textId="77777777" w:rsidR="00664395" w:rsidRPr="00165D8F" w:rsidRDefault="00664395" w:rsidP="00664395">
      <w:pPr>
        <w:ind w:left="720" w:hanging="720"/>
      </w:pPr>
      <w:r w:rsidRPr="00165D8F">
        <w:t xml:space="preserve">Anon, 2014. </w:t>
      </w:r>
      <w:proofErr w:type="spellStart"/>
      <w:r w:rsidRPr="00165D8F">
        <w:t>Analyzing</w:t>
      </w:r>
      <w:proofErr w:type="spellEnd"/>
      <w:r w:rsidRPr="00165D8F">
        <w:t xml:space="preserve"> and evaluating critically Tesco’s current operations management. </w:t>
      </w:r>
      <w:r w:rsidRPr="00165D8F">
        <w:rPr>
          <w:i/>
          <w:iCs/>
        </w:rPr>
        <w:t>Journal of Management Studies</w:t>
      </w:r>
      <w:r w:rsidRPr="00165D8F">
        <w:t>, 6(4), pp.1–15.​</w:t>
      </w:r>
    </w:p>
    <w:p w14:paraId="412B4319" w14:textId="77777777" w:rsidR="00664395" w:rsidRPr="00165D8F" w:rsidRDefault="00664395" w:rsidP="00664395">
      <w:pPr>
        <w:ind w:left="720" w:hanging="720"/>
      </w:pPr>
      <w:r w:rsidRPr="00165D8F">
        <w:t>Ansoff, H.I., 1957. Strategies for diversification. </w:t>
      </w:r>
      <w:r w:rsidRPr="00165D8F">
        <w:rPr>
          <w:i/>
          <w:iCs/>
        </w:rPr>
        <w:t>Harvard Business Review</w:t>
      </w:r>
      <w:r w:rsidRPr="00165D8F">
        <w:t>, 35(5), pp.113–124.</w:t>
      </w:r>
    </w:p>
    <w:p w14:paraId="33B9F910" w14:textId="77777777" w:rsidR="00664395" w:rsidRPr="00165D8F" w:rsidRDefault="00664395" w:rsidP="00664395">
      <w:pPr>
        <w:ind w:left="720" w:hanging="720"/>
      </w:pPr>
      <w:r w:rsidRPr="00165D8F">
        <w:t>Barney, J.B., 1991. Firm resources and sustained competitive advantage. </w:t>
      </w:r>
      <w:r w:rsidRPr="00165D8F">
        <w:rPr>
          <w:i/>
          <w:iCs/>
        </w:rPr>
        <w:t>Journal of Management</w:t>
      </w:r>
      <w:r w:rsidRPr="00165D8F">
        <w:t>, 17(1), pp.99–120.</w:t>
      </w:r>
    </w:p>
    <w:p w14:paraId="0094B2A2" w14:textId="77777777" w:rsidR="00664395" w:rsidRPr="00165D8F" w:rsidRDefault="00664395" w:rsidP="00664395">
      <w:pPr>
        <w:ind w:left="720" w:hanging="720"/>
      </w:pPr>
      <w:proofErr w:type="spellStart"/>
      <w:r w:rsidRPr="00165D8F">
        <w:t>CCSENet</w:t>
      </w:r>
      <w:proofErr w:type="spellEnd"/>
      <w:r w:rsidRPr="00165D8F">
        <w:t>, 2010. Delivering customer value based on service process: The example of Tesco.com. </w:t>
      </w:r>
      <w:r w:rsidRPr="00165D8F">
        <w:rPr>
          <w:i/>
          <w:iCs/>
        </w:rPr>
        <w:t>International Business Research</w:t>
      </w:r>
      <w:r w:rsidRPr="00165D8F">
        <w:t>, 3(4), pp.131–137.​</w:t>
      </w:r>
    </w:p>
    <w:p w14:paraId="63959FD4" w14:textId="77777777" w:rsidR="00664395" w:rsidRPr="00165D8F" w:rsidRDefault="00664395" w:rsidP="00664395">
      <w:pPr>
        <w:ind w:left="720" w:hanging="720"/>
      </w:pPr>
      <w:r w:rsidRPr="00165D8F">
        <w:t>Consumer Edge, 2025. Checking out the state of the UK grocery market. Consumer Edge Insight Flash Report.​</w:t>
      </w:r>
    </w:p>
    <w:p w14:paraId="7E2183F2" w14:textId="77777777" w:rsidR="00664395" w:rsidRPr="00165D8F" w:rsidRDefault="00664395" w:rsidP="00664395">
      <w:pPr>
        <w:ind w:left="720" w:hanging="720"/>
      </w:pPr>
      <w:proofErr w:type="spellStart"/>
      <w:r w:rsidRPr="00165D8F">
        <w:t>DCFModeling</w:t>
      </w:r>
      <w:proofErr w:type="spellEnd"/>
      <w:r w:rsidRPr="00165D8F">
        <w:t>, 2025. Mission statement, vision, &amp; core values (2025) of Tesco PLC. Available at: </w:t>
      </w:r>
      <w:hyperlink r:id="rId23" w:tgtFrame="_blank" w:history="1">
        <w:r w:rsidRPr="00165D8F">
          <w:rPr>
            <w:rStyle w:val="Hyperlink"/>
          </w:rPr>
          <w:t>https://dcfmodeling.com</w:t>
        </w:r>
      </w:hyperlink>
      <w:r w:rsidRPr="00165D8F">
        <w:t> [Accessed 7 February 2026].​</w:t>
      </w:r>
    </w:p>
    <w:p w14:paraId="66CFD0D9" w14:textId="77777777" w:rsidR="00664395" w:rsidRPr="00165D8F" w:rsidRDefault="00664395" w:rsidP="00664395">
      <w:pPr>
        <w:ind w:left="720" w:hanging="720"/>
      </w:pPr>
      <w:proofErr w:type="spellStart"/>
      <w:r w:rsidRPr="00165D8F">
        <w:t>Desklib</w:t>
      </w:r>
      <w:proofErr w:type="spellEnd"/>
      <w:r w:rsidRPr="00165D8F">
        <w:t>, 2023. Business case study: Tesco’s market position and strategies. Available at: </w:t>
      </w:r>
      <w:hyperlink r:id="rId24" w:tgtFrame="_blank" w:history="1">
        <w:r w:rsidRPr="00165D8F">
          <w:rPr>
            <w:rStyle w:val="Hyperlink"/>
          </w:rPr>
          <w:t>https://desklib.com</w:t>
        </w:r>
      </w:hyperlink>
      <w:r w:rsidRPr="00165D8F">
        <w:t> [Accessed 7 February 2026].​</w:t>
      </w:r>
    </w:p>
    <w:p w14:paraId="4D8C1170" w14:textId="77777777" w:rsidR="00664395" w:rsidRPr="00165D8F" w:rsidRDefault="00664395" w:rsidP="00664395">
      <w:pPr>
        <w:ind w:left="720" w:hanging="720"/>
      </w:pPr>
      <w:proofErr w:type="spellStart"/>
      <w:r w:rsidRPr="00165D8F">
        <w:t>Desklib</w:t>
      </w:r>
      <w:proofErr w:type="spellEnd"/>
      <w:r w:rsidRPr="00165D8F">
        <w:t>, 2024. UK supermarket business environment: PESTEL, SWOT &amp; Five Forces. Available at: </w:t>
      </w:r>
      <w:hyperlink r:id="rId25" w:tgtFrame="_blank" w:history="1">
        <w:r w:rsidRPr="00165D8F">
          <w:rPr>
            <w:rStyle w:val="Hyperlink"/>
          </w:rPr>
          <w:t>https://desklib.com</w:t>
        </w:r>
      </w:hyperlink>
      <w:r w:rsidRPr="00165D8F">
        <w:t> [Accessed 7 February 2026].​</w:t>
      </w:r>
    </w:p>
    <w:p w14:paraId="1185D227" w14:textId="77777777" w:rsidR="00664395" w:rsidRPr="00165D8F" w:rsidRDefault="00664395" w:rsidP="00664395">
      <w:pPr>
        <w:ind w:left="720" w:hanging="720"/>
      </w:pPr>
      <w:r w:rsidRPr="00165D8F">
        <w:t>Flavor365, 2025. UK supermarkets vs Aldi &amp; Lidl: 2025 competition guide. Available at: </w:t>
      </w:r>
      <w:hyperlink r:id="rId26" w:tgtFrame="_blank" w:history="1">
        <w:r w:rsidRPr="00165D8F">
          <w:rPr>
            <w:rStyle w:val="Hyperlink"/>
          </w:rPr>
          <w:t>https://flavor365.com</w:t>
        </w:r>
      </w:hyperlink>
      <w:r w:rsidRPr="00165D8F">
        <w:t> [Accessed 7 February 2026].​</w:t>
      </w:r>
    </w:p>
    <w:p w14:paraId="55DBDB30" w14:textId="77777777" w:rsidR="00664395" w:rsidRPr="00165D8F" w:rsidRDefault="00664395" w:rsidP="00664395">
      <w:pPr>
        <w:ind w:left="720" w:hanging="720"/>
      </w:pPr>
      <w:r w:rsidRPr="00165D8F">
        <w:t>Gibbs, G., 1988. </w:t>
      </w:r>
      <w:r w:rsidRPr="00165D8F">
        <w:rPr>
          <w:i/>
          <w:iCs/>
        </w:rPr>
        <w:t>Learning by Doing: A Guide to Teaching and Learning Methods</w:t>
      </w:r>
      <w:r w:rsidRPr="00165D8F">
        <w:t>. Oxford: Oxford Polytechnic.</w:t>
      </w:r>
    </w:p>
    <w:p w14:paraId="6E74A30A" w14:textId="77777777" w:rsidR="00664395" w:rsidRPr="00165D8F" w:rsidRDefault="00664395" w:rsidP="00664395">
      <w:pPr>
        <w:ind w:left="720" w:hanging="720"/>
      </w:pPr>
      <w:r w:rsidRPr="00165D8F">
        <w:t>Grocery Doppio, 2024. Tesco: The pillars of success and market leadership. </w:t>
      </w:r>
      <w:r w:rsidRPr="00165D8F">
        <w:rPr>
          <w:i/>
          <w:iCs/>
        </w:rPr>
        <w:t>Grocery Doppio</w:t>
      </w:r>
      <w:r w:rsidRPr="00165D8F">
        <w:t>, 17 July.​</w:t>
      </w:r>
    </w:p>
    <w:p w14:paraId="0B9FB856" w14:textId="77777777" w:rsidR="00664395" w:rsidRPr="00165D8F" w:rsidRDefault="00664395" w:rsidP="00664395">
      <w:pPr>
        <w:ind w:left="720" w:hanging="720"/>
      </w:pPr>
      <w:r w:rsidRPr="00165D8F">
        <w:t>Howandwhat.net, 2023. PESTEL analysis of the grocery and supermarket (retail) industry. Available at: </w:t>
      </w:r>
      <w:hyperlink r:id="rId27" w:tgtFrame="_blank" w:history="1">
        <w:r w:rsidRPr="00165D8F">
          <w:rPr>
            <w:rStyle w:val="Hyperlink"/>
          </w:rPr>
          <w:t>https://www.howandwhat.net</w:t>
        </w:r>
      </w:hyperlink>
      <w:r w:rsidRPr="00165D8F">
        <w:t> [Accessed 7 February 2026].​</w:t>
      </w:r>
    </w:p>
    <w:p w14:paraId="096F7EE8" w14:textId="77777777" w:rsidR="00664395" w:rsidRPr="00165D8F" w:rsidRDefault="00664395" w:rsidP="00664395">
      <w:pPr>
        <w:ind w:left="720" w:hanging="720"/>
      </w:pPr>
      <w:r w:rsidRPr="00165D8F">
        <w:t>IFAC, 2023. Tesco PLC – Finance teams partnering to enable net zero commitments. International Federation of Accountants, 4 July.​</w:t>
      </w:r>
    </w:p>
    <w:p w14:paraId="15643E96" w14:textId="77777777" w:rsidR="00664395" w:rsidRPr="00165D8F" w:rsidRDefault="00664395" w:rsidP="00664395">
      <w:pPr>
        <w:ind w:left="720" w:hanging="720"/>
      </w:pPr>
      <w:r w:rsidRPr="00165D8F">
        <w:lastRenderedPageBreak/>
        <w:t xml:space="preserve">Johnson, G., Whittington, R., </w:t>
      </w:r>
      <w:proofErr w:type="spellStart"/>
      <w:r w:rsidRPr="00165D8F">
        <w:t>Regnér</w:t>
      </w:r>
      <w:proofErr w:type="spellEnd"/>
      <w:r w:rsidRPr="00165D8F">
        <w:t>, P., Scholes, K. and Angwin, D., 2020. </w:t>
      </w:r>
      <w:r w:rsidRPr="00165D8F">
        <w:rPr>
          <w:i/>
          <w:iCs/>
        </w:rPr>
        <w:t>Exploring Strategy</w:t>
      </w:r>
      <w:r w:rsidRPr="00165D8F">
        <w:t>, 12th ed. Harlow: Pearson.</w:t>
      </w:r>
    </w:p>
    <w:p w14:paraId="41C1ABBA" w14:textId="77777777" w:rsidR="00664395" w:rsidRPr="00165D8F" w:rsidRDefault="00664395" w:rsidP="00664395">
      <w:pPr>
        <w:ind w:left="720" w:hanging="720"/>
      </w:pPr>
      <w:r w:rsidRPr="00165D8F">
        <w:t>Jones, P., Comfort, D., Hillier, D. and Eastwood, I., 2009. Marketing sustainable consumption within stores: A case study of the UK’s leading food retailers. </w:t>
      </w:r>
      <w:r w:rsidRPr="00165D8F">
        <w:rPr>
          <w:i/>
          <w:iCs/>
        </w:rPr>
        <w:t>International Journal of Retail &amp; Distribution Management</w:t>
      </w:r>
      <w:r w:rsidRPr="00165D8F">
        <w:t>, 37(3), pp.255–269.​</w:t>
      </w:r>
    </w:p>
    <w:p w14:paraId="3DE5D0FE" w14:textId="77777777" w:rsidR="00664395" w:rsidRPr="00165D8F" w:rsidRDefault="00664395" w:rsidP="00664395">
      <w:pPr>
        <w:ind w:left="720" w:hanging="720"/>
      </w:pPr>
      <w:r w:rsidRPr="00165D8F">
        <w:t>Kaplan, R.S. and Norton, D.P., 1992. The balanced scorecard: Measures that drive performance. </w:t>
      </w:r>
      <w:r w:rsidRPr="00165D8F">
        <w:rPr>
          <w:i/>
          <w:iCs/>
        </w:rPr>
        <w:t>Harvard Business Review</w:t>
      </w:r>
      <w:r w:rsidRPr="00165D8F">
        <w:t>, 70(1), pp.71–79.</w:t>
      </w:r>
    </w:p>
    <w:p w14:paraId="348F729F" w14:textId="77777777" w:rsidR="00664395" w:rsidRPr="00165D8F" w:rsidRDefault="00664395" w:rsidP="00664395">
      <w:pPr>
        <w:ind w:left="720" w:hanging="720"/>
      </w:pPr>
      <w:r w:rsidRPr="00165D8F">
        <w:t>Kolb, D.A., 1984. </w:t>
      </w:r>
      <w:r w:rsidRPr="00165D8F">
        <w:rPr>
          <w:i/>
          <w:iCs/>
        </w:rPr>
        <w:t>Experiential Learning: Experience as the Source of Learning and Development</w:t>
      </w:r>
      <w:r w:rsidRPr="00165D8F">
        <w:t>. Englewood Cliffs: Prentice Hall.</w:t>
      </w:r>
    </w:p>
    <w:p w14:paraId="7E2D0923" w14:textId="77777777" w:rsidR="00664395" w:rsidRPr="00165D8F" w:rsidRDefault="00664395" w:rsidP="00664395">
      <w:pPr>
        <w:ind w:left="720" w:hanging="720"/>
      </w:pPr>
      <w:r w:rsidRPr="00165D8F">
        <w:t>McKinnon, A.C., 2022. Last</w:t>
      </w:r>
      <w:r w:rsidRPr="00165D8F">
        <w:noBreakHyphen/>
        <w:t>mile capacity constraints in online grocery fulfilment in Great Britain. </w:t>
      </w:r>
      <w:r w:rsidRPr="00165D8F">
        <w:rPr>
          <w:i/>
          <w:iCs/>
        </w:rPr>
        <w:t>Sustainability</w:t>
      </w:r>
      <w:r w:rsidRPr="00165D8F">
        <w:t>, 14(9), 1522.​</w:t>
      </w:r>
    </w:p>
    <w:p w14:paraId="20C47994" w14:textId="77777777" w:rsidR="00664395" w:rsidRPr="00165D8F" w:rsidRDefault="00664395" w:rsidP="00664395">
      <w:pPr>
        <w:ind w:left="720" w:hanging="720"/>
      </w:pPr>
      <w:r w:rsidRPr="00165D8F">
        <w:t>Mintel, 2021. Ethical and sustainable grocery retailing – UK. London: Mintel Group Ltd.​</w:t>
      </w:r>
    </w:p>
    <w:p w14:paraId="2C78F1F7" w14:textId="77777777" w:rsidR="00664395" w:rsidRPr="00165D8F" w:rsidRDefault="00664395" w:rsidP="00664395">
      <w:pPr>
        <w:ind w:left="720" w:hanging="720"/>
      </w:pPr>
      <w:r w:rsidRPr="00165D8F">
        <w:t>Pestel</w:t>
      </w:r>
      <w:r w:rsidRPr="00165D8F">
        <w:noBreakHyphen/>
        <w:t>analysis.com, 2026. Tesco PESTLE analysis. Available at: </w:t>
      </w:r>
      <w:hyperlink r:id="rId28" w:tgtFrame="_blank" w:history="1">
        <w:r w:rsidRPr="00165D8F">
          <w:rPr>
            <w:rStyle w:val="Hyperlink"/>
          </w:rPr>
          <w:t>https://pestel-analysis.com</w:t>
        </w:r>
      </w:hyperlink>
      <w:r w:rsidRPr="00165D8F">
        <w:t> [Accessed 7 February 2026].​</w:t>
      </w:r>
    </w:p>
    <w:p w14:paraId="36E76A58" w14:textId="77777777" w:rsidR="00664395" w:rsidRPr="00165D8F" w:rsidRDefault="00664395" w:rsidP="00664395">
      <w:pPr>
        <w:ind w:left="720" w:hanging="720"/>
      </w:pPr>
      <w:r w:rsidRPr="00165D8F">
        <w:t>Porter, M.E. and Kramer, M.R., 2006. Strategy and society: The link between competitive advantage and corporate social responsibility. </w:t>
      </w:r>
      <w:r w:rsidRPr="00165D8F">
        <w:rPr>
          <w:i/>
          <w:iCs/>
        </w:rPr>
        <w:t>Harvard Business Review</w:t>
      </w:r>
      <w:r w:rsidRPr="00165D8F">
        <w:t>, 84(12), pp.78–92.</w:t>
      </w:r>
    </w:p>
    <w:p w14:paraId="66E79519" w14:textId="77777777" w:rsidR="00664395" w:rsidRPr="00165D8F" w:rsidRDefault="00664395" w:rsidP="00664395">
      <w:pPr>
        <w:ind w:left="720" w:hanging="720"/>
      </w:pPr>
      <w:r w:rsidRPr="00165D8F">
        <w:t>Porter, M.E., 1985. </w:t>
      </w:r>
      <w:r w:rsidRPr="00165D8F">
        <w:rPr>
          <w:i/>
          <w:iCs/>
        </w:rPr>
        <w:t>Competitive Advantage: Creating and Sustaining Superior Performance</w:t>
      </w:r>
      <w:r w:rsidRPr="00165D8F">
        <w:t>. New York: Free Press.</w:t>
      </w:r>
    </w:p>
    <w:p w14:paraId="5D4FC5D5" w14:textId="77777777" w:rsidR="00664395" w:rsidRPr="00165D8F" w:rsidRDefault="00664395" w:rsidP="00664395">
      <w:pPr>
        <w:ind w:left="720" w:hanging="720"/>
      </w:pPr>
      <w:r w:rsidRPr="00165D8F">
        <w:t>Statista, 2025. Great Britain: Grocery market share 2017–2025. Statista Research Department, April.​</w:t>
      </w:r>
    </w:p>
    <w:p w14:paraId="58656FD8" w14:textId="77777777" w:rsidR="00664395" w:rsidRPr="00165D8F" w:rsidRDefault="00664395" w:rsidP="00664395">
      <w:pPr>
        <w:ind w:left="720" w:hanging="720"/>
      </w:pPr>
      <w:r w:rsidRPr="00165D8F">
        <w:t>Tesco PLC, 2023a. Farming and nature factsheet 2023. Welwyn Garden City: Tesco PLC.​</w:t>
      </w:r>
    </w:p>
    <w:p w14:paraId="468087C9" w14:textId="77777777" w:rsidR="00664395" w:rsidRPr="00165D8F" w:rsidRDefault="00664395" w:rsidP="00664395">
      <w:pPr>
        <w:ind w:left="720" w:hanging="720"/>
      </w:pPr>
      <w:r w:rsidRPr="00165D8F">
        <w:t>Tesco PLC, 2023b. Sustainability factsheet 2023/24. Welwyn Garden City: Tesco PLC.​</w:t>
      </w:r>
    </w:p>
    <w:p w14:paraId="4BE60D73" w14:textId="77777777" w:rsidR="00664395" w:rsidRPr="00165D8F" w:rsidRDefault="00664395" w:rsidP="00664395">
      <w:pPr>
        <w:ind w:left="720" w:hanging="720"/>
      </w:pPr>
      <w:r w:rsidRPr="00165D8F">
        <w:t>Tesco PLC, 2024a. </w:t>
      </w:r>
      <w:r w:rsidRPr="00165D8F">
        <w:rPr>
          <w:i/>
          <w:iCs/>
        </w:rPr>
        <w:t>Annual Report and Financial Statements 2024</w:t>
      </w:r>
      <w:r w:rsidRPr="00165D8F">
        <w:t>. Welwyn Garden City: Tesco PLC.​</w:t>
      </w:r>
    </w:p>
    <w:p w14:paraId="539ED00A" w14:textId="77777777" w:rsidR="00664395" w:rsidRPr="00165D8F" w:rsidRDefault="00664395" w:rsidP="00664395">
      <w:pPr>
        <w:ind w:left="720" w:hanging="720"/>
      </w:pPr>
      <w:proofErr w:type="spellStart"/>
      <w:r w:rsidRPr="00165D8F">
        <w:t>Uniwriter</w:t>
      </w:r>
      <w:proofErr w:type="spellEnd"/>
      <w:r w:rsidRPr="00165D8F">
        <w:t>, 2025. Supermarket PESTLE analysis. Available at: </w:t>
      </w:r>
      <w:hyperlink r:id="rId29" w:tgtFrame="_blank" w:history="1">
        <w:r w:rsidRPr="00165D8F">
          <w:rPr>
            <w:rStyle w:val="Hyperlink"/>
          </w:rPr>
          <w:t>https://www.uniwriter.ai</w:t>
        </w:r>
      </w:hyperlink>
      <w:r w:rsidRPr="00165D8F">
        <w:t> [Accessed 7 February 2026].​</w:t>
      </w:r>
    </w:p>
    <w:p w14:paraId="0E9FF29E" w14:textId="77777777" w:rsidR="00664395" w:rsidRPr="00165D8F" w:rsidRDefault="00664395" w:rsidP="00664395">
      <w:pPr>
        <w:ind w:left="720" w:hanging="720"/>
      </w:pPr>
      <w:r w:rsidRPr="00165D8F">
        <w:lastRenderedPageBreak/>
        <w:t xml:space="preserve">Walker, J. and </w:t>
      </w:r>
      <w:proofErr w:type="spellStart"/>
      <w:r w:rsidRPr="00165D8F">
        <w:t>Mugudubi</w:t>
      </w:r>
      <w:proofErr w:type="spellEnd"/>
      <w:r w:rsidRPr="00165D8F">
        <w:t>, T., 2021. Brexit, food imports and the UK grocery supply chain. </w:t>
      </w:r>
      <w:r w:rsidRPr="00165D8F">
        <w:rPr>
          <w:i/>
          <w:iCs/>
        </w:rPr>
        <w:t>Journal of Supply Chain Management</w:t>
      </w:r>
      <w:r w:rsidRPr="00165D8F">
        <w:t>, 57(4), pp.55–70.​</w:t>
      </w:r>
    </w:p>
    <w:p w14:paraId="7A6E97B8" w14:textId="77777777" w:rsidR="00E12B67" w:rsidRPr="00165D8F" w:rsidRDefault="00E12B67"/>
    <w:sectPr w:rsidR="00E12B67" w:rsidRPr="00165D8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DC259" w14:textId="77777777" w:rsidR="0079331E" w:rsidRDefault="0079331E" w:rsidP="00181496">
      <w:pPr>
        <w:spacing w:before="0" w:after="0" w:line="240" w:lineRule="auto"/>
      </w:pPr>
      <w:r>
        <w:separator/>
      </w:r>
    </w:p>
  </w:endnote>
  <w:endnote w:type="continuationSeparator" w:id="0">
    <w:p w14:paraId="280DEB58" w14:textId="77777777" w:rsidR="0079331E" w:rsidRDefault="0079331E" w:rsidP="0018149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A4542" w14:textId="77777777" w:rsidR="0079331E" w:rsidRDefault="0079331E" w:rsidP="00181496">
      <w:pPr>
        <w:spacing w:before="0" w:after="0" w:line="240" w:lineRule="auto"/>
      </w:pPr>
      <w:r>
        <w:separator/>
      </w:r>
    </w:p>
  </w:footnote>
  <w:footnote w:type="continuationSeparator" w:id="0">
    <w:p w14:paraId="22B016A0" w14:textId="77777777" w:rsidR="0079331E" w:rsidRDefault="0079331E" w:rsidP="0018149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508EE"/>
    <w:multiLevelType w:val="hybridMultilevel"/>
    <w:tmpl w:val="684A6F3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6DE33E9"/>
    <w:multiLevelType w:val="hybridMultilevel"/>
    <w:tmpl w:val="4738B3B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86C2F5C"/>
    <w:multiLevelType w:val="hybridMultilevel"/>
    <w:tmpl w:val="0D200B3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0BC7BC4"/>
    <w:multiLevelType w:val="hybridMultilevel"/>
    <w:tmpl w:val="CD942EB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81D2914"/>
    <w:multiLevelType w:val="hybridMultilevel"/>
    <w:tmpl w:val="33CEDD2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BE249BE"/>
    <w:multiLevelType w:val="hybridMultilevel"/>
    <w:tmpl w:val="006C8E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CE16210"/>
    <w:multiLevelType w:val="hybridMultilevel"/>
    <w:tmpl w:val="82602F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3A7F24"/>
    <w:multiLevelType w:val="hybridMultilevel"/>
    <w:tmpl w:val="A7F4AF9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FB7444D"/>
    <w:multiLevelType w:val="hybridMultilevel"/>
    <w:tmpl w:val="26DE725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3933F62"/>
    <w:multiLevelType w:val="hybridMultilevel"/>
    <w:tmpl w:val="8F064F7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4D87243"/>
    <w:multiLevelType w:val="hybridMultilevel"/>
    <w:tmpl w:val="7EA4C32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421446B1"/>
    <w:multiLevelType w:val="multilevel"/>
    <w:tmpl w:val="4F82A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A411BC"/>
    <w:multiLevelType w:val="hybridMultilevel"/>
    <w:tmpl w:val="F690A6D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51B96EC8"/>
    <w:multiLevelType w:val="hybridMultilevel"/>
    <w:tmpl w:val="A1E68D1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53D029C6"/>
    <w:multiLevelType w:val="hybridMultilevel"/>
    <w:tmpl w:val="B6546BF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568A41D4"/>
    <w:multiLevelType w:val="hybridMultilevel"/>
    <w:tmpl w:val="AF96B9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6DA34BD"/>
    <w:multiLevelType w:val="hybridMultilevel"/>
    <w:tmpl w:val="07F0BFA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5A873C9A"/>
    <w:multiLevelType w:val="hybridMultilevel"/>
    <w:tmpl w:val="5322B3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C1B3B2B"/>
    <w:multiLevelType w:val="hybridMultilevel"/>
    <w:tmpl w:val="4D62358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643E6706"/>
    <w:multiLevelType w:val="hybridMultilevel"/>
    <w:tmpl w:val="6066B37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594353E"/>
    <w:multiLevelType w:val="hybridMultilevel"/>
    <w:tmpl w:val="AF947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9A8278A"/>
    <w:multiLevelType w:val="hybridMultilevel"/>
    <w:tmpl w:val="0694BB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60E399E"/>
    <w:multiLevelType w:val="hybridMultilevel"/>
    <w:tmpl w:val="544651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77D27A57"/>
    <w:multiLevelType w:val="hybridMultilevel"/>
    <w:tmpl w:val="4B6861F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7ED19DC"/>
    <w:multiLevelType w:val="hybridMultilevel"/>
    <w:tmpl w:val="85464BD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7C272C48"/>
    <w:multiLevelType w:val="hybridMultilevel"/>
    <w:tmpl w:val="FE86EB3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7E585CE4"/>
    <w:multiLevelType w:val="hybridMultilevel"/>
    <w:tmpl w:val="BC24501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1"/>
  </w:num>
  <w:num w:numId="2">
    <w:abstractNumId w:val="24"/>
  </w:num>
  <w:num w:numId="3">
    <w:abstractNumId w:val="5"/>
  </w:num>
  <w:num w:numId="4">
    <w:abstractNumId w:val="16"/>
  </w:num>
  <w:num w:numId="5">
    <w:abstractNumId w:val="0"/>
  </w:num>
  <w:num w:numId="6">
    <w:abstractNumId w:val="19"/>
  </w:num>
  <w:num w:numId="7">
    <w:abstractNumId w:val="3"/>
  </w:num>
  <w:num w:numId="8">
    <w:abstractNumId w:val="8"/>
  </w:num>
  <w:num w:numId="9">
    <w:abstractNumId w:val="22"/>
  </w:num>
  <w:num w:numId="10">
    <w:abstractNumId w:val="9"/>
  </w:num>
  <w:num w:numId="11">
    <w:abstractNumId w:val="10"/>
  </w:num>
  <w:num w:numId="12">
    <w:abstractNumId w:val="13"/>
  </w:num>
  <w:num w:numId="13">
    <w:abstractNumId w:val="23"/>
  </w:num>
  <w:num w:numId="14">
    <w:abstractNumId w:val="7"/>
  </w:num>
  <w:num w:numId="15">
    <w:abstractNumId w:val="12"/>
  </w:num>
  <w:num w:numId="16">
    <w:abstractNumId w:val="4"/>
  </w:num>
  <w:num w:numId="17">
    <w:abstractNumId w:val="1"/>
  </w:num>
  <w:num w:numId="18">
    <w:abstractNumId w:val="25"/>
  </w:num>
  <w:num w:numId="19">
    <w:abstractNumId w:val="26"/>
  </w:num>
  <w:num w:numId="20">
    <w:abstractNumId w:val="18"/>
  </w:num>
  <w:num w:numId="21">
    <w:abstractNumId w:val="14"/>
  </w:num>
  <w:num w:numId="22">
    <w:abstractNumId w:val="15"/>
  </w:num>
  <w:num w:numId="23">
    <w:abstractNumId w:val="6"/>
  </w:num>
  <w:num w:numId="24">
    <w:abstractNumId w:val="2"/>
  </w:num>
  <w:num w:numId="25">
    <w:abstractNumId w:val="20"/>
  </w:num>
  <w:num w:numId="26">
    <w:abstractNumId w:val="21"/>
  </w:num>
  <w:num w:numId="27">
    <w:abstractNumId w:val="17"/>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B36"/>
    <w:rsid w:val="000071A4"/>
    <w:rsid w:val="000425D9"/>
    <w:rsid w:val="00047E3A"/>
    <w:rsid w:val="000528DF"/>
    <w:rsid w:val="00064832"/>
    <w:rsid w:val="000A35B1"/>
    <w:rsid w:val="000A7EA6"/>
    <w:rsid w:val="000E295F"/>
    <w:rsid w:val="000E3D0B"/>
    <w:rsid w:val="001148FA"/>
    <w:rsid w:val="00116AB5"/>
    <w:rsid w:val="00122EA1"/>
    <w:rsid w:val="00130A6F"/>
    <w:rsid w:val="001353A7"/>
    <w:rsid w:val="00155C12"/>
    <w:rsid w:val="00165D8F"/>
    <w:rsid w:val="00166445"/>
    <w:rsid w:val="00181496"/>
    <w:rsid w:val="001972B1"/>
    <w:rsid w:val="001A0176"/>
    <w:rsid w:val="001B6BC2"/>
    <w:rsid w:val="001B7F8F"/>
    <w:rsid w:val="001C3E1C"/>
    <w:rsid w:val="001F5E7B"/>
    <w:rsid w:val="00221E41"/>
    <w:rsid w:val="00232E7E"/>
    <w:rsid w:val="002725A3"/>
    <w:rsid w:val="00295C87"/>
    <w:rsid w:val="002C1CAD"/>
    <w:rsid w:val="002D71A9"/>
    <w:rsid w:val="002E0FD4"/>
    <w:rsid w:val="00304445"/>
    <w:rsid w:val="00321A64"/>
    <w:rsid w:val="00375D98"/>
    <w:rsid w:val="003B60EC"/>
    <w:rsid w:val="00405ADA"/>
    <w:rsid w:val="00443B36"/>
    <w:rsid w:val="00445B9E"/>
    <w:rsid w:val="00486F2F"/>
    <w:rsid w:val="00496C35"/>
    <w:rsid w:val="004A7F4A"/>
    <w:rsid w:val="004B62F5"/>
    <w:rsid w:val="004E5F85"/>
    <w:rsid w:val="00531C08"/>
    <w:rsid w:val="00567D7C"/>
    <w:rsid w:val="00583790"/>
    <w:rsid w:val="005943B8"/>
    <w:rsid w:val="005F6FC5"/>
    <w:rsid w:val="00664395"/>
    <w:rsid w:val="00667756"/>
    <w:rsid w:val="006708DC"/>
    <w:rsid w:val="00691252"/>
    <w:rsid w:val="006A3C9B"/>
    <w:rsid w:val="0070198C"/>
    <w:rsid w:val="00743783"/>
    <w:rsid w:val="00744D01"/>
    <w:rsid w:val="007512B0"/>
    <w:rsid w:val="00765935"/>
    <w:rsid w:val="007777A1"/>
    <w:rsid w:val="007850FE"/>
    <w:rsid w:val="0079331E"/>
    <w:rsid w:val="007A1CFC"/>
    <w:rsid w:val="0081305A"/>
    <w:rsid w:val="00850FE8"/>
    <w:rsid w:val="00852C22"/>
    <w:rsid w:val="0085389D"/>
    <w:rsid w:val="008E458F"/>
    <w:rsid w:val="00914113"/>
    <w:rsid w:val="009B231F"/>
    <w:rsid w:val="009F773D"/>
    <w:rsid w:val="00A02BCB"/>
    <w:rsid w:val="00A63A35"/>
    <w:rsid w:val="00AA406F"/>
    <w:rsid w:val="00AA6FA2"/>
    <w:rsid w:val="00AB772A"/>
    <w:rsid w:val="00AC27C4"/>
    <w:rsid w:val="00AC6DAE"/>
    <w:rsid w:val="00AD10CC"/>
    <w:rsid w:val="00AF3960"/>
    <w:rsid w:val="00B12433"/>
    <w:rsid w:val="00B50F40"/>
    <w:rsid w:val="00B75601"/>
    <w:rsid w:val="00B833DE"/>
    <w:rsid w:val="00B858A5"/>
    <w:rsid w:val="00B96877"/>
    <w:rsid w:val="00BC1C6B"/>
    <w:rsid w:val="00BC3ADE"/>
    <w:rsid w:val="00BD52A9"/>
    <w:rsid w:val="00BF5BD3"/>
    <w:rsid w:val="00BF6EEA"/>
    <w:rsid w:val="00C03216"/>
    <w:rsid w:val="00C52E0A"/>
    <w:rsid w:val="00C558B5"/>
    <w:rsid w:val="00C6701C"/>
    <w:rsid w:val="00CE2E0C"/>
    <w:rsid w:val="00D252DA"/>
    <w:rsid w:val="00D3692D"/>
    <w:rsid w:val="00D41CC8"/>
    <w:rsid w:val="00D437BC"/>
    <w:rsid w:val="00D9102B"/>
    <w:rsid w:val="00DE23EE"/>
    <w:rsid w:val="00E045EB"/>
    <w:rsid w:val="00E12B67"/>
    <w:rsid w:val="00E61107"/>
    <w:rsid w:val="00E73F7F"/>
    <w:rsid w:val="00E7795F"/>
    <w:rsid w:val="00EF762D"/>
    <w:rsid w:val="00F05D8D"/>
    <w:rsid w:val="00F124A9"/>
    <w:rsid w:val="00F14857"/>
    <w:rsid w:val="00F20E30"/>
    <w:rsid w:val="00F23636"/>
    <w:rsid w:val="00F361D8"/>
    <w:rsid w:val="00F63F36"/>
    <w:rsid w:val="00F6418B"/>
    <w:rsid w:val="00F7245A"/>
    <w:rsid w:val="00F81FB7"/>
    <w:rsid w:val="00F95E0B"/>
    <w:rsid w:val="00FE4D96"/>
    <w:rsid w:val="00FF1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DC29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DAE"/>
    <w:rPr>
      <w:rFonts w:ascii="Times New Roman" w:hAnsi="Times New Roman"/>
      <w:sz w:val="24"/>
    </w:rPr>
  </w:style>
  <w:style w:type="paragraph" w:styleId="Heading1">
    <w:name w:val="heading 1"/>
    <w:basedOn w:val="Normal"/>
    <w:next w:val="Normal"/>
    <w:link w:val="Heading1Char"/>
    <w:autoRedefine/>
    <w:uiPriority w:val="9"/>
    <w:qFormat/>
    <w:rsid w:val="00B858A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5F6FC5"/>
    <w:pPr>
      <w:keepNext/>
      <w:keepLines/>
      <w:spacing w:before="160" w:after="80" w:line="278" w:lineRule="auto"/>
      <w:jc w:val="left"/>
      <w:outlineLvl w:val="1"/>
    </w:pPr>
    <w:rPr>
      <w:rFonts w:eastAsiaTheme="majorEastAsia" w:cstheme="majorBidi"/>
      <w:b/>
      <w:sz w:val="28"/>
      <w:szCs w:val="32"/>
    </w:rPr>
  </w:style>
  <w:style w:type="paragraph" w:styleId="Heading3">
    <w:name w:val="heading 3"/>
    <w:basedOn w:val="Normal"/>
    <w:next w:val="Normal"/>
    <w:link w:val="Heading3Char"/>
    <w:autoRedefine/>
    <w:uiPriority w:val="9"/>
    <w:semiHidden/>
    <w:unhideWhenUsed/>
    <w:qFormat/>
    <w:rsid w:val="00C558B5"/>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F6FC5"/>
    <w:rPr>
      <w:rFonts w:ascii="Times New Roman" w:eastAsiaTheme="majorEastAsia" w:hAnsi="Times New Roman" w:cstheme="majorBidi"/>
      <w:b/>
      <w:sz w:val="28"/>
      <w:szCs w:val="32"/>
    </w:rPr>
  </w:style>
  <w:style w:type="character" w:customStyle="1" w:styleId="Heading1Char">
    <w:name w:val="Heading 1 Char"/>
    <w:basedOn w:val="DefaultParagraphFont"/>
    <w:link w:val="Heading1"/>
    <w:uiPriority w:val="9"/>
    <w:rsid w:val="00B858A5"/>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semiHidden/>
    <w:rsid w:val="00C558B5"/>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443B36"/>
    <w:rPr>
      <w:color w:val="0563C1" w:themeColor="hyperlink"/>
      <w:u w:val="single"/>
    </w:rPr>
  </w:style>
  <w:style w:type="character" w:styleId="UnresolvedMention">
    <w:name w:val="Unresolved Mention"/>
    <w:basedOn w:val="DefaultParagraphFont"/>
    <w:uiPriority w:val="99"/>
    <w:semiHidden/>
    <w:unhideWhenUsed/>
    <w:rsid w:val="00443B36"/>
    <w:rPr>
      <w:color w:val="605E5C"/>
      <w:shd w:val="clear" w:color="auto" w:fill="E1DFDD"/>
    </w:rPr>
  </w:style>
  <w:style w:type="paragraph" w:styleId="TOCHeading">
    <w:name w:val="TOC Heading"/>
    <w:basedOn w:val="Heading1"/>
    <w:next w:val="Normal"/>
    <w:uiPriority w:val="39"/>
    <w:unhideWhenUsed/>
    <w:qFormat/>
    <w:rsid w:val="00850FE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50FE8"/>
    <w:pPr>
      <w:spacing w:after="100"/>
    </w:pPr>
  </w:style>
  <w:style w:type="paragraph" w:styleId="TOC2">
    <w:name w:val="toc 2"/>
    <w:basedOn w:val="Normal"/>
    <w:next w:val="Normal"/>
    <w:autoRedefine/>
    <w:uiPriority w:val="39"/>
    <w:unhideWhenUsed/>
    <w:rsid w:val="00850FE8"/>
    <w:pPr>
      <w:spacing w:after="100"/>
      <w:ind w:left="240"/>
    </w:pPr>
  </w:style>
  <w:style w:type="paragraph" w:styleId="Header">
    <w:name w:val="header"/>
    <w:basedOn w:val="Normal"/>
    <w:link w:val="HeaderChar"/>
    <w:uiPriority w:val="99"/>
    <w:unhideWhenUsed/>
    <w:rsid w:val="0018149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81496"/>
    <w:rPr>
      <w:rFonts w:ascii="Times New Roman" w:hAnsi="Times New Roman"/>
      <w:sz w:val="24"/>
    </w:rPr>
  </w:style>
  <w:style w:type="paragraph" w:styleId="Footer">
    <w:name w:val="footer"/>
    <w:basedOn w:val="Normal"/>
    <w:link w:val="FooterChar"/>
    <w:uiPriority w:val="99"/>
    <w:unhideWhenUsed/>
    <w:rsid w:val="0018149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81496"/>
    <w:rPr>
      <w:rFonts w:ascii="Times New Roman" w:hAnsi="Times New Roman"/>
      <w:sz w:val="24"/>
    </w:rPr>
  </w:style>
  <w:style w:type="paragraph" w:styleId="ListParagraph">
    <w:name w:val="List Paragraph"/>
    <w:basedOn w:val="Normal"/>
    <w:uiPriority w:val="34"/>
    <w:qFormat/>
    <w:rsid w:val="00691252"/>
    <w:pPr>
      <w:ind w:left="720"/>
      <w:contextualSpacing/>
    </w:pPr>
  </w:style>
  <w:style w:type="paragraph" w:styleId="Caption">
    <w:name w:val="caption"/>
    <w:basedOn w:val="Normal"/>
    <w:next w:val="Normal"/>
    <w:uiPriority w:val="35"/>
    <w:unhideWhenUsed/>
    <w:qFormat/>
    <w:rsid w:val="00F14857"/>
    <w:pPr>
      <w:spacing w:before="0" w:after="200" w:line="240" w:lineRule="auto"/>
    </w:pPr>
    <w:rPr>
      <w:i/>
      <w:iCs/>
      <w:color w:val="44546A" w:themeColor="text2"/>
      <w:sz w:val="18"/>
      <w:szCs w:val="18"/>
    </w:rPr>
  </w:style>
  <w:style w:type="table" w:styleId="TableGridLight">
    <w:name w:val="Grid Table Light"/>
    <w:basedOn w:val="TableNormal"/>
    <w:uiPriority w:val="40"/>
    <w:rsid w:val="000E3D0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
    <w:name w:val="Grid Table 4"/>
    <w:basedOn w:val="TableNormal"/>
    <w:uiPriority w:val="49"/>
    <w:rsid w:val="00B9687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6">
    <w:name w:val="Grid Table 5 Dark Accent 6"/>
    <w:basedOn w:val="TableNormal"/>
    <w:uiPriority w:val="50"/>
    <w:rsid w:val="00B9687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7Colorful">
    <w:name w:val="Grid Table 7 Colorful"/>
    <w:basedOn w:val="TableNormal"/>
    <w:uiPriority w:val="52"/>
    <w:rsid w:val="00B9687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leGrid">
    <w:name w:val="Table Grid"/>
    <w:basedOn w:val="TableNormal"/>
    <w:uiPriority w:val="39"/>
    <w:rsid w:val="00AC6DA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05A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17090">
      <w:bodyDiv w:val="1"/>
      <w:marLeft w:val="0"/>
      <w:marRight w:val="0"/>
      <w:marTop w:val="0"/>
      <w:marBottom w:val="0"/>
      <w:divBdr>
        <w:top w:val="none" w:sz="0" w:space="0" w:color="auto"/>
        <w:left w:val="none" w:sz="0" w:space="0" w:color="auto"/>
        <w:bottom w:val="none" w:sz="0" w:space="0" w:color="auto"/>
        <w:right w:val="none" w:sz="0" w:space="0" w:color="auto"/>
      </w:divBdr>
    </w:div>
    <w:div w:id="216673017">
      <w:bodyDiv w:val="1"/>
      <w:marLeft w:val="0"/>
      <w:marRight w:val="0"/>
      <w:marTop w:val="0"/>
      <w:marBottom w:val="0"/>
      <w:divBdr>
        <w:top w:val="none" w:sz="0" w:space="0" w:color="auto"/>
        <w:left w:val="none" w:sz="0" w:space="0" w:color="auto"/>
        <w:bottom w:val="none" w:sz="0" w:space="0" w:color="auto"/>
        <w:right w:val="none" w:sz="0" w:space="0" w:color="auto"/>
      </w:divBdr>
    </w:div>
    <w:div w:id="404257356">
      <w:bodyDiv w:val="1"/>
      <w:marLeft w:val="0"/>
      <w:marRight w:val="0"/>
      <w:marTop w:val="0"/>
      <w:marBottom w:val="0"/>
      <w:divBdr>
        <w:top w:val="none" w:sz="0" w:space="0" w:color="auto"/>
        <w:left w:val="none" w:sz="0" w:space="0" w:color="auto"/>
        <w:bottom w:val="none" w:sz="0" w:space="0" w:color="auto"/>
        <w:right w:val="none" w:sz="0" w:space="0" w:color="auto"/>
      </w:divBdr>
    </w:div>
    <w:div w:id="872614292">
      <w:bodyDiv w:val="1"/>
      <w:marLeft w:val="0"/>
      <w:marRight w:val="0"/>
      <w:marTop w:val="0"/>
      <w:marBottom w:val="0"/>
      <w:divBdr>
        <w:top w:val="none" w:sz="0" w:space="0" w:color="auto"/>
        <w:left w:val="none" w:sz="0" w:space="0" w:color="auto"/>
        <w:bottom w:val="none" w:sz="0" w:space="0" w:color="auto"/>
        <w:right w:val="none" w:sz="0" w:space="0" w:color="auto"/>
      </w:divBdr>
    </w:div>
    <w:div w:id="980816460">
      <w:bodyDiv w:val="1"/>
      <w:marLeft w:val="0"/>
      <w:marRight w:val="0"/>
      <w:marTop w:val="0"/>
      <w:marBottom w:val="0"/>
      <w:divBdr>
        <w:top w:val="none" w:sz="0" w:space="0" w:color="auto"/>
        <w:left w:val="none" w:sz="0" w:space="0" w:color="auto"/>
        <w:bottom w:val="none" w:sz="0" w:space="0" w:color="auto"/>
        <w:right w:val="none" w:sz="0" w:space="0" w:color="auto"/>
      </w:divBdr>
    </w:div>
    <w:div w:id="1467776304">
      <w:bodyDiv w:val="1"/>
      <w:marLeft w:val="0"/>
      <w:marRight w:val="0"/>
      <w:marTop w:val="0"/>
      <w:marBottom w:val="0"/>
      <w:divBdr>
        <w:top w:val="none" w:sz="0" w:space="0" w:color="auto"/>
        <w:left w:val="none" w:sz="0" w:space="0" w:color="auto"/>
        <w:bottom w:val="none" w:sz="0" w:space="0" w:color="auto"/>
        <w:right w:val="none" w:sz="0" w:space="0" w:color="auto"/>
      </w:divBdr>
    </w:div>
    <w:div w:id="1506094769">
      <w:bodyDiv w:val="1"/>
      <w:marLeft w:val="0"/>
      <w:marRight w:val="0"/>
      <w:marTop w:val="0"/>
      <w:marBottom w:val="0"/>
      <w:divBdr>
        <w:top w:val="none" w:sz="0" w:space="0" w:color="auto"/>
        <w:left w:val="none" w:sz="0" w:space="0" w:color="auto"/>
        <w:bottom w:val="none" w:sz="0" w:space="0" w:color="auto"/>
        <w:right w:val="none" w:sz="0" w:space="0" w:color="auto"/>
      </w:divBdr>
    </w:div>
    <w:div w:id="1671837256">
      <w:bodyDiv w:val="1"/>
      <w:marLeft w:val="0"/>
      <w:marRight w:val="0"/>
      <w:marTop w:val="0"/>
      <w:marBottom w:val="0"/>
      <w:divBdr>
        <w:top w:val="none" w:sz="0" w:space="0" w:color="auto"/>
        <w:left w:val="none" w:sz="0" w:space="0" w:color="auto"/>
        <w:bottom w:val="none" w:sz="0" w:space="0" w:color="auto"/>
        <w:right w:val="none" w:sz="0" w:space="0" w:color="auto"/>
      </w:divBdr>
    </w:div>
    <w:div w:id="1708602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flavor365.com/"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desklib.com/"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hyperlink" Target="https://www.uniwriter.a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esklib.com/" TargetMode="Externa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dcfmodeling.com/" TargetMode="External"/><Relationship Id="rId28" Type="http://schemas.openxmlformats.org/officeDocument/2006/relationships/hyperlink" Target="https://pestel-analysis.com/"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5.png"/><Relationship Id="rId27" Type="http://schemas.openxmlformats.org/officeDocument/2006/relationships/hyperlink" Target="https://www.howandwhat.net/"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F7A53B-98A1-4A89-9DC5-84FD2BF0F671}" type="doc">
      <dgm:prSet loTypeId="urn:microsoft.com/office/officeart/2005/8/layout/list1" loCatId="list" qsTypeId="urn:microsoft.com/office/officeart/2005/8/quickstyle/simple4" qsCatId="simple" csTypeId="urn:microsoft.com/office/officeart/2005/8/colors/colorful2" csCatId="colorful" phldr="1"/>
      <dgm:spPr/>
      <dgm:t>
        <a:bodyPr/>
        <a:lstStyle/>
        <a:p>
          <a:endParaRPr lang="en-US"/>
        </a:p>
      </dgm:t>
    </dgm:pt>
    <dgm:pt modelId="{879EF38E-00CD-4CEA-B24C-5C579FA1C463}">
      <dgm:prSet phldrT="[Text]"/>
      <dgm:spPr/>
      <dgm:t>
        <a:bodyPr/>
        <a:lstStyle/>
        <a:p>
          <a:pPr algn="ctr"/>
          <a:r>
            <a:rPr lang="en-US" b="1">
              <a:latin typeface="Times New Roman" panose="02020603050405020304" pitchFamily="18" charset="0"/>
              <a:cs typeface="Times New Roman" panose="02020603050405020304" pitchFamily="18" charset="0"/>
            </a:rPr>
            <a:t>Political</a:t>
          </a:r>
        </a:p>
      </dgm:t>
    </dgm:pt>
    <dgm:pt modelId="{36D5CA00-85CD-4775-BA74-C6D8DD7900F4}" type="parTrans" cxnId="{FE5B596D-DCFA-4A52-AEBA-388E01D60CDC}">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516736E9-F727-4D05-84A1-69953380C7BB}" type="sibTrans" cxnId="{FE5B596D-DCFA-4A52-AEBA-388E01D60CDC}">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969A3B6-8151-4F42-BBF7-412F6EE7A599}">
      <dgm:prSet phldrT="[Text]"/>
      <dgm:spPr/>
      <dgm:t>
        <a:bodyPr/>
        <a:lstStyle/>
        <a:p>
          <a:pPr algn="ctr"/>
          <a:r>
            <a:rPr lang="en-US" b="1">
              <a:latin typeface="Times New Roman" panose="02020603050405020304" pitchFamily="18" charset="0"/>
              <a:cs typeface="Times New Roman" panose="02020603050405020304" pitchFamily="18" charset="0"/>
            </a:rPr>
            <a:t>Economic</a:t>
          </a:r>
        </a:p>
      </dgm:t>
    </dgm:pt>
    <dgm:pt modelId="{EF2ABD9C-636E-48F0-B204-824C68E65856}" type="parTrans" cxnId="{17768778-9DB8-41C7-94AA-C3067DE8163B}">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D626DCE0-A5AB-4305-894D-FA1946F604AF}" type="sibTrans" cxnId="{17768778-9DB8-41C7-94AA-C3067DE8163B}">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24B717FD-F170-4210-93FB-AC7A64B440CB}">
      <dgm:prSet phldrT="[Text]"/>
      <dgm:spPr/>
      <dgm:t>
        <a:bodyPr/>
        <a:lstStyle/>
        <a:p>
          <a:pPr algn="ctr"/>
          <a:r>
            <a:rPr lang="en-US" b="1">
              <a:latin typeface="Times New Roman" panose="02020603050405020304" pitchFamily="18" charset="0"/>
              <a:cs typeface="Times New Roman" panose="02020603050405020304" pitchFamily="18" charset="0"/>
            </a:rPr>
            <a:t>Social</a:t>
          </a:r>
        </a:p>
      </dgm:t>
    </dgm:pt>
    <dgm:pt modelId="{B157557E-0CAE-4592-961C-6D1356311175}" type="parTrans" cxnId="{52E80EEA-D780-4A36-A0FC-223CE5894223}">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55CD2846-EDF9-4F74-8F5A-8185E3899927}" type="sibTrans" cxnId="{52E80EEA-D780-4A36-A0FC-223CE5894223}">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DF959C33-778D-4455-A76C-BC3C447DB529}">
      <dgm:prSet phldrT="[Text]"/>
      <dgm:spPr/>
      <dgm:t>
        <a:bodyPr/>
        <a:lstStyle/>
        <a:p>
          <a:pPr algn="ctr"/>
          <a:r>
            <a:rPr lang="en-US" b="1">
              <a:latin typeface="Times New Roman" panose="02020603050405020304" pitchFamily="18" charset="0"/>
              <a:cs typeface="Times New Roman" panose="02020603050405020304" pitchFamily="18" charset="0"/>
            </a:rPr>
            <a:t>Technological</a:t>
          </a:r>
        </a:p>
      </dgm:t>
    </dgm:pt>
    <dgm:pt modelId="{886E54CF-4E46-41A2-BEDB-EBEE94F03829}" type="parTrans" cxnId="{BAB8CFA5-7823-489C-A25E-0CF982F2304F}">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5DE23DC-2BF3-4D8A-B87F-2DF313F332A5}" type="sibTrans" cxnId="{BAB8CFA5-7823-489C-A25E-0CF982F2304F}">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DD9B734E-B6EA-4077-8FB8-0D9694501C14}">
      <dgm:prSet phldrT="[Text]"/>
      <dgm:spPr/>
      <dgm:t>
        <a:bodyPr/>
        <a:lstStyle/>
        <a:p>
          <a:pPr algn="ctr"/>
          <a:r>
            <a:rPr lang="en-US" b="1">
              <a:latin typeface="Times New Roman" panose="02020603050405020304" pitchFamily="18" charset="0"/>
              <a:cs typeface="Times New Roman" panose="02020603050405020304" pitchFamily="18" charset="0"/>
            </a:rPr>
            <a:t>Environmental</a:t>
          </a:r>
        </a:p>
      </dgm:t>
    </dgm:pt>
    <dgm:pt modelId="{235F4C9D-9C1B-468F-89FF-8BD1377140AE}" type="parTrans" cxnId="{9641C032-B75B-44A1-A54B-C1FDAA41F35B}">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53773A5-EF4F-4E11-9A77-9F3E4740E8F1}" type="sibTrans" cxnId="{9641C032-B75B-44A1-A54B-C1FDAA41F35B}">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6D69055E-25A5-4609-A208-DC05ABA0DA59}">
      <dgm:prSet phldrT="[Text]"/>
      <dgm:spPr/>
      <dgm:t>
        <a:bodyPr/>
        <a:lstStyle/>
        <a:p>
          <a:pPr algn="ctr"/>
          <a:r>
            <a:rPr lang="en-US" b="1">
              <a:latin typeface="Times New Roman" panose="02020603050405020304" pitchFamily="18" charset="0"/>
              <a:cs typeface="Times New Roman" panose="02020603050405020304" pitchFamily="18" charset="0"/>
            </a:rPr>
            <a:t>Legal</a:t>
          </a:r>
        </a:p>
      </dgm:t>
    </dgm:pt>
    <dgm:pt modelId="{3BBC6485-7755-409C-8D89-7C913526E6BA}" type="parTrans" cxnId="{F4E7F324-98E4-4341-B3C5-B4FFBFD17D30}">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8BFDFB2B-83BB-4104-9A35-2ED3DEEE69B5}" type="sibTrans" cxnId="{F4E7F324-98E4-4341-B3C5-B4FFBFD17D30}">
      <dgm:prSet/>
      <dgm:spPr/>
      <dgm:t>
        <a:bodyPr/>
        <a:lstStyle/>
        <a:p>
          <a:pPr algn="ct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C9037357-C6B8-4020-B736-089E950BBAE0}" type="pres">
      <dgm:prSet presAssocID="{41F7A53B-98A1-4A89-9DC5-84FD2BF0F671}" presName="linear" presStyleCnt="0">
        <dgm:presLayoutVars>
          <dgm:dir/>
          <dgm:animLvl val="lvl"/>
          <dgm:resizeHandles val="exact"/>
        </dgm:presLayoutVars>
      </dgm:prSet>
      <dgm:spPr/>
    </dgm:pt>
    <dgm:pt modelId="{D7EBA293-DFF7-405C-B90E-262F8DD149A8}" type="pres">
      <dgm:prSet presAssocID="{879EF38E-00CD-4CEA-B24C-5C579FA1C463}" presName="parentLin" presStyleCnt="0"/>
      <dgm:spPr/>
    </dgm:pt>
    <dgm:pt modelId="{4707E47F-A7FB-41FA-92CE-FBEAEB60E2E9}" type="pres">
      <dgm:prSet presAssocID="{879EF38E-00CD-4CEA-B24C-5C579FA1C463}" presName="parentLeftMargin" presStyleLbl="node1" presStyleIdx="0" presStyleCnt="6"/>
      <dgm:spPr/>
    </dgm:pt>
    <dgm:pt modelId="{FBF04726-4663-4504-9C89-C34F0DE22EBA}" type="pres">
      <dgm:prSet presAssocID="{879EF38E-00CD-4CEA-B24C-5C579FA1C463}" presName="parentText" presStyleLbl="node1" presStyleIdx="0" presStyleCnt="6">
        <dgm:presLayoutVars>
          <dgm:chMax val="0"/>
          <dgm:bulletEnabled val="1"/>
        </dgm:presLayoutVars>
      </dgm:prSet>
      <dgm:spPr/>
    </dgm:pt>
    <dgm:pt modelId="{DA0F6C95-94E4-4406-A995-89331E4AD35A}" type="pres">
      <dgm:prSet presAssocID="{879EF38E-00CD-4CEA-B24C-5C579FA1C463}" presName="negativeSpace" presStyleCnt="0"/>
      <dgm:spPr/>
    </dgm:pt>
    <dgm:pt modelId="{A5BD8C7C-938D-4134-A1D0-7675D78B9EA9}" type="pres">
      <dgm:prSet presAssocID="{879EF38E-00CD-4CEA-B24C-5C579FA1C463}" presName="childText" presStyleLbl="conFgAcc1" presStyleIdx="0" presStyleCnt="6">
        <dgm:presLayoutVars>
          <dgm:bulletEnabled val="1"/>
        </dgm:presLayoutVars>
      </dgm:prSet>
      <dgm:spPr/>
    </dgm:pt>
    <dgm:pt modelId="{B5177B03-36C2-4601-8D69-42C64E51C609}" type="pres">
      <dgm:prSet presAssocID="{516736E9-F727-4D05-84A1-69953380C7BB}" presName="spaceBetweenRectangles" presStyleCnt="0"/>
      <dgm:spPr/>
    </dgm:pt>
    <dgm:pt modelId="{C7A1476C-07A5-47E1-AC92-91EEABECAF71}" type="pres">
      <dgm:prSet presAssocID="{E969A3B6-8151-4F42-BBF7-412F6EE7A599}" presName="parentLin" presStyleCnt="0"/>
      <dgm:spPr/>
    </dgm:pt>
    <dgm:pt modelId="{1C97B6BA-2C9F-40E2-87C0-5D15A54E6079}" type="pres">
      <dgm:prSet presAssocID="{E969A3B6-8151-4F42-BBF7-412F6EE7A599}" presName="parentLeftMargin" presStyleLbl="node1" presStyleIdx="0" presStyleCnt="6"/>
      <dgm:spPr/>
    </dgm:pt>
    <dgm:pt modelId="{AEF7320C-A700-43FA-A892-F02EB9ECA569}" type="pres">
      <dgm:prSet presAssocID="{E969A3B6-8151-4F42-BBF7-412F6EE7A599}" presName="parentText" presStyleLbl="node1" presStyleIdx="1" presStyleCnt="6">
        <dgm:presLayoutVars>
          <dgm:chMax val="0"/>
          <dgm:bulletEnabled val="1"/>
        </dgm:presLayoutVars>
      </dgm:prSet>
      <dgm:spPr/>
    </dgm:pt>
    <dgm:pt modelId="{22CDE06C-6289-4F6F-8DEE-A99A2E05FBC0}" type="pres">
      <dgm:prSet presAssocID="{E969A3B6-8151-4F42-BBF7-412F6EE7A599}" presName="negativeSpace" presStyleCnt="0"/>
      <dgm:spPr/>
    </dgm:pt>
    <dgm:pt modelId="{8B2A718E-6D4D-4781-8735-2F1B625746A0}" type="pres">
      <dgm:prSet presAssocID="{E969A3B6-8151-4F42-BBF7-412F6EE7A599}" presName="childText" presStyleLbl="conFgAcc1" presStyleIdx="1" presStyleCnt="6">
        <dgm:presLayoutVars>
          <dgm:bulletEnabled val="1"/>
        </dgm:presLayoutVars>
      </dgm:prSet>
      <dgm:spPr/>
    </dgm:pt>
    <dgm:pt modelId="{2FF7BEE6-9A5D-4844-9793-2AD9F76759B3}" type="pres">
      <dgm:prSet presAssocID="{D626DCE0-A5AB-4305-894D-FA1946F604AF}" presName="spaceBetweenRectangles" presStyleCnt="0"/>
      <dgm:spPr/>
    </dgm:pt>
    <dgm:pt modelId="{CF5F4568-3C30-411B-B938-EFBC3C049F01}" type="pres">
      <dgm:prSet presAssocID="{24B717FD-F170-4210-93FB-AC7A64B440CB}" presName="parentLin" presStyleCnt="0"/>
      <dgm:spPr/>
    </dgm:pt>
    <dgm:pt modelId="{3EAB23C9-B6E6-4255-BBD4-D7276F656D48}" type="pres">
      <dgm:prSet presAssocID="{24B717FD-F170-4210-93FB-AC7A64B440CB}" presName="parentLeftMargin" presStyleLbl="node1" presStyleIdx="1" presStyleCnt="6"/>
      <dgm:spPr/>
    </dgm:pt>
    <dgm:pt modelId="{0E48DA7E-6C60-4619-AAEA-D7B4FC09C2B9}" type="pres">
      <dgm:prSet presAssocID="{24B717FD-F170-4210-93FB-AC7A64B440CB}" presName="parentText" presStyleLbl="node1" presStyleIdx="2" presStyleCnt="6">
        <dgm:presLayoutVars>
          <dgm:chMax val="0"/>
          <dgm:bulletEnabled val="1"/>
        </dgm:presLayoutVars>
      </dgm:prSet>
      <dgm:spPr/>
    </dgm:pt>
    <dgm:pt modelId="{FBE7C2D8-BBF1-4A2C-AC79-5A29AF12C568}" type="pres">
      <dgm:prSet presAssocID="{24B717FD-F170-4210-93FB-AC7A64B440CB}" presName="negativeSpace" presStyleCnt="0"/>
      <dgm:spPr/>
    </dgm:pt>
    <dgm:pt modelId="{FB13334D-4D59-4AB1-AF93-DC242C211496}" type="pres">
      <dgm:prSet presAssocID="{24B717FD-F170-4210-93FB-AC7A64B440CB}" presName="childText" presStyleLbl="conFgAcc1" presStyleIdx="2" presStyleCnt="6">
        <dgm:presLayoutVars>
          <dgm:bulletEnabled val="1"/>
        </dgm:presLayoutVars>
      </dgm:prSet>
      <dgm:spPr/>
    </dgm:pt>
    <dgm:pt modelId="{5D738003-B98A-498A-8C3F-AEC5B9FDA0AE}" type="pres">
      <dgm:prSet presAssocID="{55CD2846-EDF9-4F74-8F5A-8185E3899927}" presName="spaceBetweenRectangles" presStyleCnt="0"/>
      <dgm:spPr/>
    </dgm:pt>
    <dgm:pt modelId="{030152A2-3924-470D-99D4-44EB55A7D95B}" type="pres">
      <dgm:prSet presAssocID="{DF959C33-778D-4455-A76C-BC3C447DB529}" presName="parentLin" presStyleCnt="0"/>
      <dgm:spPr/>
    </dgm:pt>
    <dgm:pt modelId="{5C424156-F4D7-4F2C-B8EE-E5AB3F619BFD}" type="pres">
      <dgm:prSet presAssocID="{DF959C33-778D-4455-A76C-BC3C447DB529}" presName="parentLeftMargin" presStyleLbl="node1" presStyleIdx="2" presStyleCnt="6"/>
      <dgm:spPr/>
    </dgm:pt>
    <dgm:pt modelId="{6648C3E7-0F28-4C1D-A3C0-EC24D7AEDEFB}" type="pres">
      <dgm:prSet presAssocID="{DF959C33-778D-4455-A76C-BC3C447DB529}" presName="parentText" presStyleLbl="node1" presStyleIdx="3" presStyleCnt="6">
        <dgm:presLayoutVars>
          <dgm:chMax val="0"/>
          <dgm:bulletEnabled val="1"/>
        </dgm:presLayoutVars>
      </dgm:prSet>
      <dgm:spPr/>
    </dgm:pt>
    <dgm:pt modelId="{1EDEC5AF-5C28-496A-B7D1-E97FE62EE129}" type="pres">
      <dgm:prSet presAssocID="{DF959C33-778D-4455-A76C-BC3C447DB529}" presName="negativeSpace" presStyleCnt="0"/>
      <dgm:spPr/>
    </dgm:pt>
    <dgm:pt modelId="{20E9C37B-7009-4D44-BD0B-F195A506FC28}" type="pres">
      <dgm:prSet presAssocID="{DF959C33-778D-4455-A76C-BC3C447DB529}" presName="childText" presStyleLbl="conFgAcc1" presStyleIdx="3" presStyleCnt="6">
        <dgm:presLayoutVars>
          <dgm:bulletEnabled val="1"/>
        </dgm:presLayoutVars>
      </dgm:prSet>
      <dgm:spPr/>
    </dgm:pt>
    <dgm:pt modelId="{A782B0B5-F5B5-4041-9669-14F8DCFCA08B}" type="pres">
      <dgm:prSet presAssocID="{05DE23DC-2BF3-4D8A-B87F-2DF313F332A5}" presName="spaceBetweenRectangles" presStyleCnt="0"/>
      <dgm:spPr/>
    </dgm:pt>
    <dgm:pt modelId="{D721D0AF-76C9-41CF-940B-7276C65AE4B7}" type="pres">
      <dgm:prSet presAssocID="{DD9B734E-B6EA-4077-8FB8-0D9694501C14}" presName="parentLin" presStyleCnt="0"/>
      <dgm:spPr/>
    </dgm:pt>
    <dgm:pt modelId="{F66C6278-7F15-4FB9-9837-35949133595B}" type="pres">
      <dgm:prSet presAssocID="{DD9B734E-B6EA-4077-8FB8-0D9694501C14}" presName="parentLeftMargin" presStyleLbl="node1" presStyleIdx="3" presStyleCnt="6"/>
      <dgm:spPr/>
    </dgm:pt>
    <dgm:pt modelId="{246E6642-7190-41CD-ADE1-25B27926F8A4}" type="pres">
      <dgm:prSet presAssocID="{DD9B734E-B6EA-4077-8FB8-0D9694501C14}" presName="parentText" presStyleLbl="node1" presStyleIdx="4" presStyleCnt="6">
        <dgm:presLayoutVars>
          <dgm:chMax val="0"/>
          <dgm:bulletEnabled val="1"/>
        </dgm:presLayoutVars>
      </dgm:prSet>
      <dgm:spPr/>
    </dgm:pt>
    <dgm:pt modelId="{CC884F9B-C191-4E5A-944E-13E5EC638584}" type="pres">
      <dgm:prSet presAssocID="{DD9B734E-B6EA-4077-8FB8-0D9694501C14}" presName="negativeSpace" presStyleCnt="0"/>
      <dgm:spPr/>
    </dgm:pt>
    <dgm:pt modelId="{A33A9555-8DF7-449F-912C-F6C77003D438}" type="pres">
      <dgm:prSet presAssocID="{DD9B734E-B6EA-4077-8FB8-0D9694501C14}" presName="childText" presStyleLbl="conFgAcc1" presStyleIdx="4" presStyleCnt="6">
        <dgm:presLayoutVars>
          <dgm:bulletEnabled val="1"/>
        </dgm:presLayoutVars>
      </dgm:prSet>
      <dgm:spPr/>
    </dgm:pt>
    <dgm:pt modelId="{040C691A-1B00-4A88-B16E-C41E85B95586}" type="pres">
      <dgm:prSet presAssocID="{E53773A5-EF4F-4E11-9A77-9F3E4740E8F1}" presName="spaceBetweenRectangles" presStyleCnt="0"/>
      <dgm:spPr/>
    </dgm:pt>
    <dgm:pt modelId="{9669612C-49FE-4970-8583-24C3DCE07F60}" type="pres">
      <dgm:prSet presAssocID="{6D69055E-25A5-4609-A208-DC05ABA0DA59}" presName="parentLin" presStyleCnt="0"/>
      <dgm:spPr/>
    </dgm:pt>
    <dgm:pt modelId="{E411A009-E19B-4927-A62E-08E746C6AA5B}" type="pres">
      <dgm:prSet presAssocID="{6D69055E-25A5-4609-A208-DC05ABA0DA59}" presName="parentLeftMargin" presStyleLbl="node1" presStyleIdx="4" presStyleCnt="6"/>
      <dgm:spPr/>
    </dgm:pt>
    <dgm:pt modelId="{3D97DD35-BD4D-4508-93F7-19C67A8B52A5}" type="pres">
      <dgm:prSet presAssocID="{6D69055E-25A5-4609-A208-DC05ABA0DA59}" presName="parentText" presStyleLbl="node1" presStyleIdx="5" presStyleCnt="6">
        <dgm:presLayoutVars>
          <dgm:chMax val="0"/>
          <dgm:bulletEnabled val="1"/>
        </dgm:presLayoutVars>
      </dgm:prSet>
      <dgm:spPr/>
    </dgm:pt>
    <dgm:pt modelId="{11C18ADF-8C22-44DE-BC50-9BA1311321D0}" type="pres">
      <dgm:prSet presAssocID="{6D69055E-25A5-4609-A208-DC05ABA0DA59}" presName="negativeSpace" presStyleCnt="0"/>
      <dgm:spPr/>
    </dgm:pt>
    <dgm:pt modelId="{F96649B7-1ECD-4183-95CD-64A151595F84}" type="pres">
      <dgm:prSet presAssocID="{6D69055E-25A5-4609-A208-DC05ABA0DA59}" presName="childText" presStyleLbl="conFgAcc1" presStyleIdx="5" presStyleCnt="6">
        <dgm:presLayoutVars>
          <dgm:bulletEnabled val="1"/>
        </dgm:presLayoutVars>
      </dgm:prSet>
      <dgm:spPr/>
    </dgm:pt>
  </dgm:ptLst>
  <dgm:cxnLst>
    <dgm:cxn modelId="{7177BB14-B781-40FF-B535-B3A0B69B3291}" type="presOf" srcId="{DD9B734E-B6EA-4077-8FB8-0D9694501C14}" destId="{F66C6278-7F15-4FB9-9837-35949133595B}" srcOrd="0" destOrd="0" presId="urn:microsoft.com/office/officeart/2005/8/layout/list1"/>
    <dgm:cxn modelId="{7EE8CD14-4454-446B-97C1-C21DC8BA287E}" type="presOf" srcId="{6D69055E-25A5-4609-A208-DC05ABA0DA59}" destId="{3D97DD35-BD4D-4508-93F7-19C67A8B52A5}" srcOrd="1" destOrd="0" presId="urn:microsoft.com/office/officeart/2005/8/layout/list1"/>
    <dgm:cxn modelId="{F4E7F324-98E4-4341-B3C5-B4FFBFD17D30}" srcId="{41F7A53B-98A1-4A89-9DC5-84FD2BF0F671}" destId="{6D69055E-25A5-4609-A208-DC05ABA0DA59}" srcOrd="5" destOrd="0" parTransId="{3BBC6485-7755-409C-8D89-7C913526E6BA}" sibTransId="{8BFDFB2B-83BB-4104-9A35-2ED3DEEE69B5}"/>
    <dgm:cxn modelId="{849B5929-5F3F-4F25-96E3-5FC0466D858C}" type="presOf" srcId="{41F7A53B-98A1-4A89-9DC5-84FD2BF0F671}" destId="{C9037357-C6B8-4020-B736-089E950BBAE0}" srcOrd="0" destOrd="0" presId="urn:microsoft.com/office/officeart/2005/8/layout/list1"/>
    <dgm:cxn modelId="{9641C032-B75B-44A1-A54B-C1FDAA41F35B}" srcId="{41F7A53B-98A1-4A89-9DC5-84FD2BF0F671}" destId="{DD9B734E-B6EA-4077-8FB8-0D9694501C14}" srcOrd="4" destOrd="0" parTransId="{235F4C9D-9C1B-468F-89FF-8BD1377140AE}" sibTransId="{E53773A5-EF4F-4E11-9A77-9F3E4740E8F1}"/>
    <dgm:cxn modelId="{3E773339-3262-4DB0-9938-D96BBD52C7EC}" type="presOf" srcId="{6D69055E-25A5-4609-A208-DC05ABA0DA59}" destId="{E411A009-E19B-4927-A62E-08E746C6AA5B}" srcOrd="0" destOrd="0" presId="urn:microsoft.com/office/officeart/2005/8/layout/list1"/>
    <dgm:cxn modelId="{97AD9143-F1E5-48DA-ADBB-44588F3143FD}" type="presOf" srcId="{24B717FD-F170-4210-93FB-AC7A64B440CB}" destId="{0E48DA7E-6C60-4619-AAEA-D7B4FC09C2B9}" srcOrd="1" destOrd="0" presId="urn:microsoft.com/office/officeart/2005/8/layout/list1"/>
    <dgm:cxn modelId="{6A95F968-9EF2-4718-9CEE-40B240AD37FC}" type="presOf" srcId="{DF959C33-778D-4455-A76C-BC3C447DB529}" destId="{6648C3E7-0F28-4C1D-A3C0-EC24D7AEDEFB}" srcOrd="1" destOrd="0" presId="urn:microsoft.com/office/officeart/2005/8/layout/list1"/>
    <dgm:cxn modelId="{FE5B596D-DCFA-4A52-AEBA-388E01D60CDC}" srcId="{41F7A53B-98A1-4A89-9DC5-84FD2BF0F671}" destId="{879EF38E-00CD-4CEA-B24C-5C579FA1C463}" srcOrd="0" destOrd="0" parTransId="{36D5CA00-85CD-4775-BA74-C6D8DD7900F4}" sibTransId="{516736E9-F727-4D05-84A1-69953380C7BB}"/>
    <dgm:cxn modelId="{0910ED6E-A7A6-4CB2-AE81-1BDAFD5DD7E4}" type="presOf" srcId="{E969A3B6-8151-4F42-BBF7-412F6EE7A599}" destId="{AEF7320C-A700-43FA-A892-F02EB9ECA569}" srcOrd="1" destOrd="0" presId="urn:microsoft.com/office/officeart/2005/8/layout/list1"/>
    <dgm:cxn modelId="{17768778-9DB8-41C7-94AA-C3067DE8163B}" srcId="{41F7A53B-98A1-4A89-9DC5-84FD2BF0F671}" destId="{E969A3B6-8151-4F42-BBF7-412F6EE7A599}" srcOrd="1" destOrd="0" parTransId="{EF2ABD9C-636E-48F0-B204-824C68E65856}" sibTransId="{D626DCE0-A5AB-4305-894D-FA1946F604AF}"/>
    <dgm:cxn modelId="{BAB8CFA5-7823-489C-A25E-0CF982F2304F}" srcId="{41F7A53B-98A1-4A89-9DC5-84FD2BF0F671}" destId="{DF959C33-778D-4455-A76C-BC3C447DB529}" srcOrd="3" destOrd="0" parTransId="{886E54CF-4E46-41A2-BEDB-EBEE94F03829}" sibTransId="{05DE23DC-2BF3-4D8A-B87F-2DF313F332A5}"/>
    <dgm:cxn modelId="{5DEC50AB-EFAF-4ECD-982C-0A27A8B653D0}" type="presOf" srcId="{24B717FD-F170-4210-93FB-AC7A64B440CB}" destId="{3EAB23C9-B6E6-4255-BBD4-D7276F656D48}" srcOrd="0" destOrd="0" presId="urn:microsoft.com/office/officeart/2005/8/layout/list1"/>
    <dgm:cxn modelId="{9AC5FFC5-BC79-47CE-843A-E72781074B3E}" type="presOf" srcId="{879EF38E-00CD-4CEA-B24C-5C579FA1C463}" destId="{FBF04726-4663-4504-9C89-C34F0DE22EBA}" srcOrd="1" destOrd="0" presId="urn:microsoft.com/office/officeart/2005/8/layout/list1"/>
    <dgm:cxn modelId="{E2A194D2-81A7-49A1-9982-103F0B55ECBF}" type="presOf" srcId="{879EF38E-00CD-4CEA-B24C-5C579FA1C463}" destId="{4707E47F-A7FB-41FA-92CE-FBEAEB60E2E9}" srcOrd="0" destOrd="0" presId="urn:microsoft.com/office/officeart/2005/8/layout/list1"/>
    <dgm:cxn modelId="{50E61BD5-0AC8-4E02-951B-8D0B5FE300D1}" type="presOf" srcId="{DD9B734E-B6EA-4077-8FB8-0D9694501C14}" destId="{246E6642-7190-41CD-ADE1-25B27926F8A4}" srcOrd="1" destOrd="0" presId="urn:microsoft.com/office/officeart/2005/8/layout/list1"/>
    <dgm:cxn modelId="{1CD33BDA-8E4B-4DC1-9770-88C1CF3E03B8}" type="presOf" srcId="{E969A3B6-8151-4F42-BBF7-412F6EE7A599}" destId="{1C97B6BA-2C9F-40E2-87C0-5D15A54E6079}" srcOrd="0" destOrd="0" presId="urn:microsoft.com/office/officeart/2005/8/layout/list1"/>
    <dgm:cxn modelId="{2B6355DD-08EB-4C2C-8251-D1637CF0312F}" type="presOf" srcId="{DF959C33-778D-4455-A76C-BC3C447DB529}" destId="{5C424156-F4D7-4F2C-B8EE-E5AB3F619BFD}" srcOrd="0" destOrd="0" presId="urn:microsoft.com/office/officeart/2005/8/layout/list1"/>
    <dgm:cxn modelId="{52E80EEA-D780-4A36-A0FC-223CE5894223}" srcId="{41F7A53B-98A1-4A89-9DC5-84FD2BF0F671}" destId="{24B717FD-F170-4210-93FB-AC7A64B440CB}" srcOrd="2" destOrd="0" parTransId="{B157557E-0CAE-4592-961C-6D1356311175}" sibTransId="{55CD2846-EDF9-4F74-8F5A-8185E3899927}"/>
    <dgm:cxn modelId="{914C4297-B2B7-4CEA-8137-F36A9D95BAC2}" type="presParOf" srcId="{C9037357-C6B8-4020-B736-089E950BBAE0}" destId="{D7EBA293-DFF7-405C-B90E-262F8DD149A8}" srcOrd="0" destOrd="0" presId="urn:microsoft.com/office/officeart/2005/8/layout/list1"/>
    <dgm:cxn modelId="{4B781425-E3DE-4C12-8C8E-9A4C47E1F7CA}" type="presParOf" srcId="{D7EBA293-DFF7-405C-B90E-262F8DD149A8}" destId="{4707E47F-A7FB-41FA-92CE-FBEAEB60E2E9}" srcOrd="0" destOrd="0" presId="urn:microsoft.com/office/officeart/2005/8/layout/list1"/>
    <dgm:cxn modelId="{9160B375-2646-4E44-952D-E17EF4B8F274}" type="presParOf" srcId="{D7EBA293-DFF7-405C-B90E-262F8DD149A8}" destId="{FBF04726-4663-4504-9C89-C34F0DE22EBA}" srcOrd="1" destOrd="0" presId="urn:microsoft.com/office/officeart/2005/8/layout/list1"/>
    <dgm:cxn modelId="{5BF8C4D0-656E-40D7-BA0C-264A18FBD909}" type="presParOf" srcId="{C9037357-C6B8-4020-B736-089E950BBAE0}" destId="{DA0F6C95-94E4-4406-A995-89331E4AD35A}" srcOrd="1" destOrd="0" presId="urn:microsoft.com/office/officeart/2005/8/layout/list1"/>
    <dgm:cxn modelId="{E4089AC4-2C28-4804-A497-963D3CE146CE}" type="presParOf" srcId="{C9037357-C6B8-4020-B736-089E950BBAE0}" destId="{A5BD8C7C-938D-4134-A1D0-7675D78B9EA9}" srcOrd="2" destOrd="0" presId="urn:microsoft.com/office/officeart/2005/8/layout/list1"/>
    <dgm:cxn modelId="{4BAB8E90-0DD2-4642-AF93-B45EACF58A44}" type="presParOf" srcId="{C9037357-C6B8-4020-B736-089E950BBAE0}" destId="{B5177B03-36C2-4601-8D69-42C64E51C609}" srcOrd="3" destOrd="0" presId="urn:microsoft.com/office/officeart/2005/8/layout/list1"/>
    <dgm:cxn modelId="{E5E46F02-1B87-481B-A584-F0FFE6AD10C1}" type="presParOf" srcId="{C9037357-C6B8-4020-B736-089E950BBAE0}" destId="{C7A1476C-07A5-47E1-AC92-91EEABECAF71}" srcOrd="4" destOrd="0" presId="urn:microsoft.com/office/officeart/2005/8/layout/list1"/>
    <dgm:cxn modelId="{D29CBFBF-3C54-4221-A8C4-F9704530D437}" type="presParOf" srcId="{C7A1476C-07A5-47E1-AC92-91EEABECAF71}" destId="{1C97B6BA-2C9F-40E2-87C0-5D15A54E6079}" srcOrd="0" destOrd="0" presId="urn:microsoft.com/office/officeart/2005/8/layout/list1"/>
    <dgm:cxn modelId="{4469B0E5-7369-4CE0-9017-8ACCC3430C54}" type="presParOf" srcId="{C7A1476C-07A5-47E1-AC92-91EEABECAF71}" destId="{AEF7320C-A700-43FA-A892-F02EB9ECA569}" srcOrd="1" destOrd="0" presId="urn:microsoft.com/office/officeart/2005/8/layout/list1"/>
    <dgm:cxn modelId="{6DB31A67-B381-4FE6-8F08-69FA552223F2}" type="presParOf" srcId="{C9037357-C6B8-4020-B736-089E950BBAE0}" destId="{22CDE06C-6289-4F6F-8DEE-A99A2E05FBC0}" srcOrd="5" destOrd="0" presId="urn:microsoft.com/office/officeart/2005/8/layout/list1"/>
    <dgm:cxn modelId="{98A6699F-1DD6-469F-97FB-01EBB6D6047D}" type="presParOf" srcId="{C9037357-C6B8-4020-B736-089E950BBAE0}" destId="{8B2A718E-6D4D-4781-8735-2F1B625746A0}" srcOrd="6" destOrd="0" presId="urn:microsoft.com/office/officeart/2005/8/layout/list1"/>
    <dgm:cxn modelId="{0ACC264B-0FB0-46E2-A369-FA9DCF4802A9}" type="presParOf" srcId="{C9037357-C6B8-4020-B736-089E950BBAE0}" destId="{2FF7BEE6-9A5D-4844-9793-2AD9F76759B3}" srcOrd="7" destOrd="0" presId="urn:microsoft.com/office/officeart/2005/8/layout/list1"/>
    <dgm:cxn modelId="{E4892D9E-D1B6-4A6B-ADF8-81BB4C03FB24}" type="presParOf" srcId="{C9037357-C6B8-4020-B736-089E950BBAE0}" destId="{CF5F4568-3C30-411B-B938-EFBC3C049F01}" srcOrd="8" destOrd="0" presId="urn:microsoft.com/office/officeart/2005/8/layout/list1"/>
    <dgm:cxn modelId="{C5E492BF-10F8-4263-A9DF-1D6CFEAC7C3F}" type="presParOf" srcId="{CF5F4568-3C30-411B-B938-EFBC3C049F01}" destId="{3EAB23C9-B6E6-4255-BBD4-D7276F656D48}" srcOrd="0" destOrd="0" presId="urn:microsoft.com/office/officeart/2005/8/layout/list1"/>
    <dgm:cxn modelId="{B3A5ECEA-4F09-440E-8E40-3B0E4075D860}" type="presParOf" srcId="{CF5F4568-3C30-411B-B938-EFBC3C049F01}" destId="{0E48DA7E-6C60-4619-AAEA-D7B4FC09C2B9}" srcOrd="1" destOrd="0" presId="urn:microsoft.com/office/officeart/2005/8/layout/list1"/>
    <dgm:cxn modelId="{927C30AB-A796-4316-9DBF-3308F4754FE3}" type="presParOf" srcId="{C9037357-C6B8-4020-B736-089E950BBAE0}" destId="{FBE7C2D8-BBF1-4A2C-AC79-5A29AF12C568}" srcOrd="9" destOrd="0" presId="urn:microsoft.com/office/officeart/2005/8/layout/list1"/>
    <dgm:cxn modelId="{A4006C04-832B-4A2D-8791-76ACB13D1092}" type="presParOf" srcId="{C9037357-C6B8-4020-B736-089E950BBAE0}" destId="{FB13334D-4D59-4AB1-AF93-DC242C211496}" srcOrd="10" destOrd="0" presId="urn:microsoft.com/office/officeart/2005/8/layout/list1"/>
    <dgm:cxn modelId="{E224A1FD-4BE2-42B9-858C-7D3C09CC881F}" type="presParOf" srcId="{C9037357-C6B8-4020-B736-089E950BBAE0}" destId="{5D738003-B98A-498A-8C3F-AEC5B9FDA0AE}" srcOrd="11" destOrd="0" presId="urn:microsoft.com/office/officeart/2005/8/layout/list1"/>
    <dgm:cxn modelId="{C47FD99F-7901-4B7B-9CDD-0E3D021819F8}" type="presParOf" srcId="{C9037357-C6B8-4020-B736-089E950BBAE0}" destId="{030152A2-3924-470D-99D4-44EB55A7D95B}" srcOrd="12" destOrd="0" presId="urn:microsoft.com/office/officeart/2005/8/layout/list1"/>
    <dgm:cxn modelId="{4AE1C3E7-901E-47E9-B71C-A8CB382FC31F}" type="presParOf" srcId="{030152A2-3924-470D-99D4-44EB55A7D95B}" destId="{5C424156-F4D7-4F2C-B8EE-E5AB3F619BFD}" srcOrd="0" destOrd="0" presId="urn:microsoft.com/office/officeart/2005/8/layout/list1"/>
    <dgm:cxn modelId="{3E7E2E8A-28E3-47E2-B48C-D1F28C2B626B}" type="presParOf" srcId="{030152A2-3924-470D-99D4-44EB55A7D95B}" destId="{6648C3E7-0F28-4C1D-A3C0-EC24D7AEDEFB}" srcOrd="1" destOrd="0" presId="urn:microsoft.com/office/officeart/2005/8/layout/list1"/>
    <dgm:cxn modelId="{2CDF827C-3A5C-401B-AD89-F07EFA568CDC}" type="presParOf" srcId="{C9037357-C6B8-4020-B736-089E950BBAE0}" destId="{1EDEC5AF-5C28-496A-B7D1-E97FE62EE129}" srcOrd="13" destOrd="0" presId="urn:microsoft.com/office/officeart/2005/8/layout/list1"/>
    <dgm:cxn modelId="{DCBA7BD8-55CB-4C75-A374-1DB9931B82E3}" type="presParOf" srcId="{C9037357-C6B8-4020-B736-089E950BBAE0}" destId="{20E9C37B-7009-4D44-BD0B-F195A506FC28}" srcOrd="14" destOrd="0" presId="urn:microsoft.com/office/officeart/2005/8/layout/list1"/>
    <dgm:cxn modelId="{4C617E59-39C0-4D57-AD31-064150EED045}" type="presParOf" srcId="{C9037357-C6B8-4020-B736-089E950BBAE0}" destId="{A782B0B5-F5B5-4041-9669-14F8DCFCA08B}" srcOrd="15" destOrd="0" presId="urn:microsoft.com/office/officeart/2005/8/layout/list1"/>
    <dgm:cxn modelId="{6F5B29D1-10F8-425E-8456-B837BEE066EB}" type="presParOf" srcId="{C9037357-C6B8-4020-B736-089E950BBAE0}" destId="{D721D0AF-76C9-41CF-940B-7276C65AE4B7}" srcOrd="16" destOrd="0" presId="urn:microsoft.com/office/officeart/2005/8/layout/list1"/>
    <dgm:cxn modelId="{E007ED52-24D6-43ED-97C8-AEC6F4FE31E9}" type="presParOf" srcId="{D721D0AF-76C9-41CF-940B-7276C65AE4B7}" destId="{F66C6278-7F15-4FB9-9837-35949133595B}" srcOrd="0" destOrd="0" presId="urn:microsoft.com/office/officeart/2005/8/layout/list1"/>
    <dgm:cxn modelId="{61251F88-5C5B-4CCA-AC7A-46A7E099467D}" type="presParOf" srcId="{D721D0AF-76C9-41CF-940B-7276C65AE4B7}" destId="{246E6642-7190-41CD-ADE1-25B27926F8A4}" srcOrd="1" destOrd="0" presId="urn:microsoft.com/office/officeart/2005/8/layout/list1"/>
    <dgm:cxn modelId="{58273DD5-1F8F-46DA-BC55-2E898AF5341B}" type="presParOf" srcId="{C9037357-C6B8-4020-B736-089E950BBAE0}" destId="{CC884F9B-C191-4E5A-944E-13E5EC638584}" srcOrd="17" destOrd="0" presId="urn:microsoft.com/office/officeart/2005/8/layout/list1"/>
    <dgm:cxn modelId="{8541F5F2-785F-4307-B654-3FA9F043850C}" type="presParOf" srcId="{C9037357-C6B8-4020-B736-089E950BBAE0}" destId="{A33A9555-8DF7-449F-912C-F6C77003D438}" srcOrd="18" destOrd="0" presId="urn:microsoft.com/office/officeart/2005/8/layout/list1"/>
    <dgm:cxn modelId="{CF99AFA3-237A-4AA6-B0C5-A12F40D065C3}" type="presParOf" srcId="{C9037357-C6B8-4020-B736-089E950BBAE0}" destId="{040C691A-1B00-4A88-B16E-C41E85B95586}" srcOrd="19" destOrd="0" presId="urn:microsoft.com/office/officeart/2005/8/layout/list1"/>
    <dgm:cxn modelId="{2ECC539E-3D10-4605-A0EB-BDAB378916D2}" type="presParOf" srcId="{C9037357-C6B8-4020-B736-089E950BBAE0}" destId="{9669612C-49FE-4970-8583-24C3DCE07F60}" srcOrd="20" destOrd="0" presId="urn:microsoft.com/office/officeart/2005/8/layout/list1"/>
    <dgm:cxn modelId="{D31B0454-A59A-4474-A97B-F39C9BD2F30C}" type="presParOf" srcId="{9669612C-49FE-4970-8583-24C3DCE07F60}" destId="{E411A009-E19B-4927-A62E-08E746C6AA5B}" srcOrd="0" destOrd="0" presId="urn:microsoft.com/office/officeart/2005/8/layout/list1"/>
    <dgm:cxn modelId="{E0E9A82F-431A-482A-906A-02B039122073}" type="presParOf" srcId="{9669612C-49FE-4970-8583-24C3DCE07F60}" destId="{3D97DD35-BD4D-4508-93F7-19C67A8B52A5}" srcOrd="1" destOrd="0" presId="urn:microsoft.com/office/officeart/2005/8/layout/list1"/>
    <dgm:cxn modelId="{476E3787-F947-486A-9BDF-3C9A254AB952}" type="presParOf" srcId="{C9037357-C6B8-4020-B736-089E950BBAE0}" destId="{11C18ADF-8C22-44DE-BC50-9BA1311321D0}" srcOrd="21" destOrd="0" presId="urn:microsoft.com/office/officeart/2005/8/layout/list1"/>
    <dgm:cxn modelId="{0EC32657-51ED-42BD-9099-6861B60B0CBB}" type="presParOf" srcId="{C9037357-C6B8-4020-B736-089E950BBAE0}" destId="{F96649B7-1ECD-4183-95CD-64A151595F84}" srcOrd="22"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307316E-3D9D-47A7-A657-50877D2B6D85}" type="doc">
      <dgm:prSet loTypeId="urn:microsoft.com/office/officeart/2005/8/layout/hProcess9" loCatId="process" qsTypeId="urn:microsoft.com/office/officeart/2005/8/quickstyle/simple2" qsCatId="simple" csTypeId="urn:microsoft.com/office/officeart/2005/8/colors/colorful2" csCatId="colorful" phldr="1"/>
      <dgm:spPr/>
    </dgm:pt>
    <dgm:pt modelId="{A0271535-4089-4FC1-BB59-907BD381E8DB}">
      <dgm:prSet phldrT="[Text]" custT="1"/>
      <dgm:spPr/>
      <dgm:t>
        <a:bodyPr/>
        <a:lstStyle/>
        <a:p>
          <a:r>
            <a:rPr lang="en-US" sz="1200" b="1">
              <a:latin typeface="Times New Roman" panose="02020603050405020304" pitchFamily="18" charset="0"/>
              <a:cs typeface="Times New Roman" panose="02020603050405020304" pitchFamily="18" charset="0"/>
            </a:rPr>
            <a:t>Resouces</a:t>
          </a:r>
        </a:p>
      </dgm:t>
    </dgm:pt>
    <dgm:pt modelId="{B9538D74-75C7-4CA4-B947-3EC15408374D}" type="parTrans" cxnId="{BEC4AE6D-9143-464A-9DB8-51E0D34CDC9D}">
      <dgm:prSet/>
      <dgm:spPr/>
      <dgm:t>
        <a:bodyPr/>
        <a:lstStyle/>
        <a:p>
          <a:endParaRPr lang="en-US" sz="1200" b="1">
            <a:solidFill>
              <a:schemeClr val="bg1"/>
            </a:solidFill>
            <a:latin typeface="Times New Roman" panose="02020603050405020304" pitchFamily="18" charset="0"/>
            <a:cs typeface="Times New Roman" panose="02020603050405020304" pitchFamily="18" charset="0"/>
          </a:endParaRPr>
        </a:p>
      </dgm:t>
    </dgm:pt>
    <dgm:pt modelId="{FADEEB49-E58D-44A1-9411-576ADD1D1EB4}" type="sibTrans" cxnId="{BEC4AE6D-9143-464A-9DB8-51E0D34CDC9D}">
      <dgm:prSet/>
      <dgm:spPr/>
      <dgm:t>
        <a:bodyPr/>
        <a:lstStyle/>
        <a:p>
          <a:endParaRPr lang="en-US" sz="1200" b="1">
            <a:solidFill>
              <a:schemeClr val="bg1"/>
            </a:solidFill>
            <a:latin typeface="Times New Roman" panose="02020603050405020304" pitchFamily="18" charset="0"/>
            <a:cs typeface="Times New Roman" panose="02020603050405020304" pitchFamily="18" charset="0"/>
          </a:endParaRPr>
        </a:p>
      </dgm:t>
    </dgm:pt>
    <dgm:pt modelId="{D877B5F4-6D66-472E-B7C4-8AFD3C31CAA2}">
      <dgm:prSet phldrT="[Text]" custT="1"/>
      <dgm:spPr/>
      <dgm:t>
        <a:bodyPr/>
        <a:lstStyle/>
        <a:p>
          <a:r>
            <a:rPr lang="en-US" sz="1200" b="1">
              <a:latin typeface="Times New Roman" panose="02020603050405020304" pitchFamily="18" charset="0"/>
              <a:cs typeface="Times New Roman" panose="02020603050405020304" pitchFamily="18" charset="0"/>
            </a:rPr>
            <a:t>Capabilities</a:t>
          </a:r>
        </a:p>
      </dgm:t>
    </dgm:pt>
    <dgm:pt modelId="{6101DF7B-441B-4ABB-9062-1A476A01AC4A}" type="parTrans" cxnId="{9B657F31-12CB-454D-AB37-791F5BB42B19}">
      <dgm:prSet/>
      <dgm:spPr/>
      <dgm:t>
        <a:bodyPr/>
        <a:lstStyle/>
        <a:p>
          <a:endParaRPr lang="en-US" sz="1200" b="1">
            <a:solidFill>
              <a:schemeClr val="bg1"/>
            </a:solidFill>
            <a:latin typeface="Times New Roman" panose="02020603050405020304" pitchFamily="18" charset="0"/>
            <a:cs typeface="Times New Roman" panose="02020603050405020304" pitchFamily="18" charset="0"/>
          </a:endParaRPr>
        </a:p>
      </dgm:t>
    </dgm:pt>
    <dgm:pt modelId="{544949E7-E32C-4F0D-A767-0BB1B7769DA8}" type="sibTrans" cxnId="{9B657F31-12CB-454D-AB37-791F5BB42B19}">
      <dgm:prSet/>
      <dgm:spPr/>
      <dgm:t>
        <a:bodyPr/>
        <a:lstStyle/>
        <a:p>
          <a:endParaRPr lang="en-US" sz="1200" b="1">
            <a:solidFill>
              <a:schemeClr val="bg1"/>
            </a:solidFill>
            <a:latin typeface="Times New Roman" panose="02020603050405020304" pitchFamily="18" charset="0"/>
            <a:cs typeface="Times New Roman" panose="02020603050405020304" pitchFamily="18" charset="0"/>
          </a:endParaRPr>
        </a:p>
      </dgm:t>
    </dgm:pt>
    <dgm:pt modelId="{F8EEF472-74C4-4FEE-AEDF-ABEAB133D6F7}">
      <dgm:prSet phldrT="[Text]" custT="1"/>
      <dgm:spPr/>
      <dgm:t>
        <a:bodyPr/>
        <a:lstStyle/>
        <a:p>
          <a:r>
            <a:rPr lang="en-US" sz="1200" b="1">
              <a:latin typeface="Times New Roman" panose="02020603050405020304" pitchFamily="18" charset="0"/>
              <a:cs typeface="Times New Roman" panose="02020603050405020304" pitchFamily="18" charset="0"/>
            </a:rPr>
            <a:t>Core Competencies</a:t>
          </a:r>
        </a:p>
      </dgm:t>
    </dgm:pt>
    <dgm:pt modelId="{DA87F50A-FB48-413A-B6FA-F71BA5FE08C4}" type="parTrans" cxnId="{5E0DC2FE-FBC1-4136-A94C-D0F5ED2F8DDF}">
      <dgm:prSet/>
      <dgm:spPr/>
      <dgm:t>
        <a:bodyPr/>
        <a:lstStyle/>
        <a:p>
          <a:endParaRPr lang="en-US" sz="1200" b="1">
            <a:solidFill>
              <a:schemeClr val="bg1"/>
            </a:solidFill>
            <a:latin typeface="Times New Roman" panose="02020603050405020304" pitchFamily="18" charset="0"/>
            <a:cs typeface="Times New Roman" panose="02020603050405020304" pitchFamily="18" charset="0"/>
          </a:endParaRPr>
        </a:p>
      </dgm:t>
    </dgm:pt>
    <dgm:pt modelId="{734A999B-457F-427C-8D2A-2189D1FE2BE7}" type="sibTrans" cxnId="{5E0DC2FE-FBC1-4136-A94C-D0F5ED2F8DDF}">
      <dgm:prSet/>
      <dgm:spPr/>
      <dgm:t>
        <a:bodyPr/>
        <a:lstStyle/>
        <a:p>
          <a:endParaRPr lang="en-US" sz="1200" b="1">
            <a:solidFill>
              <a:schemeClr val="bg1"/>
            </a:solidFill>
            <a:latin typeface="Times New Roman" panose="02020603050405020304" pitchFamily="18" charset="0"/>
            <a:cs typeface="Times New Roman" panose="02020603050405020304" pitchFamily="18" charset="0"/>
          </a:endParaRPr>
        </a:p>
      </dgm:t>
    </dgm:pt>
    <dgm:pt modelId="{06459F32-B29D-498B-BBBF-11F798DE6463}" type="pres">
      <dgm:prSet presAssocID="{0307316E-3D9D-47A7-A657-50877D2B6D85}" presName="CompostProcess" presStyleCnt="0">
        <dgm:presLayoutVars>
          <dgm:dir/>
          <dgm:resizeHandles val="exact"/>
        </dgm:presLayoutVars>
      </dgm:prSet>
      <dgm:spPr/>
    </dgm:pt>
    <dgm:pt modelId="{C6002E64-3E2C-4576-80B5-1B2DD85EA841}" type="pres">
      <dgm:prSet presAssocID="{0307316E-3D9D-47A7-A657-50877D2B6D85}" presName="arrow" presStyleLbl="bgShp" presStyleIdx="0" presStyleCnt="1"/>
      <dgm:spPr/>
    </dgm:pt>
    <dgm:pt modelId="{1A8FAFD1-FA3B-4F62-9B77-F3F1489C227D}" type="pres">
      <dgm:prSet presAssocID="{0307316E-3D9D-47A7-A657-50877D2B6D85}" presName="linearProcess" presStyleCnt="0"/>
      <dgm:spPr/>
    </dgm:pt>
    <dgm:pt modelId="{8AF10978-8157-453F-99A2-89CBB45C01B5}" type="pres">
      <dgm:prSet presAssocID="{A0271535-4089-4FC1-BB59-907BD381E8DB}" presName="textNode" presStyleLbl="node1" presStyleIdx="0" presStyleCnt="3">
        <dgm:presLayoutVars>
          <dgm:bulletEnabled val="1"/>
        </dgm:presLayoutVars>
      </dgm:prSet>
      <dgm:spPr/>
    </dgm:pt>
    <dgm:pt modelId="{D4ABB26C-B3BE-4D56-A631-974C8F6B8C8A}" type="pres">
      <dgm:prSet presAssocID="{FADEEB49-E58D-44A1-9411-576ADD1D1EB4}" presName="sibTrans" presStyleCnt="0"/>
      <dgm:spPr/>
    </dgm:pt>
    <dgm:pt modelId="{C6D6F516-921F-4968-8F82-426FBC646121}" type="pres">
      <dgm:prSet presAssocID="{D877B5F4-6D66-472E-B7C4-8AFD3C31CAA2}" presName="textNode" presStyleLbl="node1" presStyleIdx="1" presStyleCnt="3">
        <dgm:presLayoutVars>
          <dgm:bulletEnabled val="1"/>
        </dgm:presLayoutVars>
      </dgm:prSet>
      <dgm:spPr/>
    </dgm:pt>
    <dgm:pt modelId="{526FDAF8-CE8B-4AFB-99EA-5E45C9054C98}" type="pres">
      <dgm:prSet presAssocID="{544949E7-E32C-4F0D-A767-0BB1B7769DA8}" presName="sibTrans" presStyleCnt="0"/>
      <dgm:spPr/>
    </dgm:pt>
    <dgm:pt modelId="{5D77EA28-666F-47EA-BC90-3291F113442C}" type="pres">
      <dgm:prSet presAssocID="{F8EEF472-74C4-4FEE-AEDF-ABEAB133D6F7}" presName="textNode" presStyleLbl="node1" presStyleIdx="2" presStyleCnt="3">
        <dgm:presLayoutVars>
          <dgm:bulletEnabled val="1"/>
        </dgm:presLayoutVars>
      </dgm:prSet>
      <dgm:spPr/>
    </dgm:pt>
  </dgm:ptLst>
  <dgm:cxnLst>
    <dgm:cxn modelId="{4708FE0F-72B2-41B1-8A45-106DF9D126F8}" type="presOf" srcId="{A0271535-4089-4FC1-BB59-907BD381E8DB}" destId="{8AF10978-8157-453F-99A2-89CBB45C01B5}" srcOrd="0" destOrd="0" presId="urn:microsoft.com/office/officeart/2005/8/layout/hProcess9"/>
    <dgm:cxn modelId="{9B657F31-12CB-454D-AB37-791F5BB42B19}" srcId="{0307316E-3D9D-47A7-A657-50877D2B6D85}" destId="{D877B5F4-6D66-472E-B7C4-8AFD3C31CAA2}" srcOrd="1" destOrd="0" parTransId="{6101DF7B-441B-4ABB-9062-1A476A01AC4A}" sibTransId="{544949E7-E32C-4F0D-A767-0BB1B7769DA8}"/>
    <dgm:cxn modelId="{D8ACB63D-1CA0-4987-BD8B-D1B54C54F3AA}" type="presOf" srcId="{D877B5F4-6D66-472E-B7C4-8AFD3C31CAA2}" destId="{C6D6F516-921F-4968-8F82-426FBC646121}" srcOrd="0" destOrd="0" presId="urn:microsoft.com/office/officeart/2005/8/layout/hProcess9"/>
    <dgm:cxn modelId="{BEC4AE6D-9143-464A-9DB8-51E0D34CDC9D}" srcId="{0307316E-3D9D-47A7-A657-50877D2B6D85}" destId="{A0271535-4089-4FC1-BB59-907BD381E8DB}" srcOrd="0" destOrd="0" parTransId="{B9538D74-75C7-4CA4-B947-3EC15408374D}" sibTransId="{FADEEB49-E58D-44A1-9411-576ADD1D1EB4}"/>
    <dgm:cxn modelId="{3E178BD2-A888-4808-A1F8-499EF444383B}" type="presOf" srcId="{0307316E-3D9D-47A7-A657-50877D2B6D85}" destId="{06459F32-B29D-498B-BBBF-11F798DE6463}" srcOrd="0" destOrd="0" presId="urn:microsoft.com/office/officeart/2005/8/layout/hProcess9"/>
    <dgm:cxn modelId="{840D0FD7-BF85-49C2-9382-4E7E62C40CBD}" type="presOf" srcId="{F8EEF472-74C4-4FEE-AEDF-ABEAB133D6F7}" destId="{5D77EA28-666F-47EA-BC90-3291F113442C}" srcOrd="0" destOrd="0" presId="urn:microsoft.com/office/officeart/2005/8/layout/hProcess9"/>
    <dgm:cxn modelId="{5E0DC2FE-FBC1-4136-A94C-D0F5ED2F8DDF}" srcId="{0307316E-3D9D-47A7-A657-50877D2B6D85}" destId="{F8EEF472-74C4-4FEE-AEDF-ABEAB133D6F7}" srcOrd="2" destOrd="0" parTransId="{DA87F50A-FB48-413A-B6FA-F71BA5FE08C4}" sibTransId="{734A999B-457F-427C-8D2A-2189D1FE2BE7}"/>
    <dgm:cxn modelId="{82D9FC68-52EB-4A71-9B2B-2E6CC4C8EFA9}" type="presParOf" srcId="{06459F32-B29D-498B-BBBF-11F798DE6463}" destId="{C6002E64-3E2C-4576-80B5-1B2DD85EA841}" srcOrd="0" destOrd="0" presId="urn:microsoft.com/office/officeart/2005/8/layout/hProcess9"/>
    <dgm:cxn modelId="{21733F5A-3DFC-4F75-9AEA-9BC22DD7AD6F}" type="presParOf" srcId="{06459F32-B29D-498B-BBBF-11F798DE6463}" destId="{1A8FAFD1-FA3B-4F62-9B77-F3F1489C227D}" srcOrd="1" destOrd="0" presId="urn:microsoft.com/office/officeart/2005/8/layout/hProcess9"/>
    <dgm:cxn modelId="{CF5325D6-AA8D-4975-9D11-F90B0672BEE9}" type="presParOf" srcId="{1A8FAFD1-FA3B-4F62-9B77-F3F1489C227D}" destId="{8AF10978-8157-453F-99A2-89CBB45C01B5}" srcOrd="0" destOrd="0" presId="urn:microsoft.com/office/officeart/2005/8/layout/hProcess9"/>
    <dgm:cxn modelId="{1FDFBFAB-B10B-4336-A45C-C1A39E759532}" type="presParOf" srcId="{1A8FAFD1-FA3B-4F62-9B77-F3F1489C227D}" destId="{D4ABB26C-B3BE-4D56-A631-974C8F6B8C8A}" srcOrd="1" destOrd="0" presId="urn:microsoft.com/office/officeart/2005/8/layout/hProcess9"/>
    <dgm:cxn modelId="{ACD3C6F0-F07E-4361-80DE-830DA3DE4E2C}" type="presParOf" srcId="{1A8FAFD1-FA3B-4F62-9B77-F3F1489C227D}" destId="{C6D6F516-921F-4968-8F82-426FBC646121}" srcOrd="2" destOrd="0" presId="urn:microsoft.com/office/officeart/2005/8/layout/hProcess9"/>
    <dgm:cxn modelId="{B674F651-B2D1-4EBC-8226-06F6E4E80AB9}" type="presParOf" srcId="{1A8FAFD1-FA3B-4F62-9B77-F3F1489C227D}" destId="{526FDAF8-CE8B-4AFB-99EA-5E45C9054C98}" srcOrd="3" destOrd="0" presId="urn:microsoft.com/office/officeart/2005/8/layout/hProcess9"/>
    <dgm:cxn modelId="{5ECB1A9B-07A4-4EE4-8742-DF85613FB0B4}" type="presParOf" srcId="{1A8FAFD1-FA3B-4F62-9B77-F3F1489C227D}" destId="{5D77EA28-666F-47EA-BC90-3291F113442C}" srcOrd="4" destOrd="0" presId="urn:microsoft.com/office/officeart/2005/8/layout/hProcess9"/>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BD8C7C-938D-4134-A1D0-7675D78B9EA9}">
      <dsp:nvSpPr>
        <dsp:cNvPr id="0" name=""/>
        <dsp:cNvSpPr/>
      </dsp:nvSpPr>
      <dsp:spPr>
        <a:xfrm>
          <a:off x="0" y="295380"/>
          <a:ext cx="4067175" cy="277200"/>
        </a:xfrm>
        <a:prstGeom prst="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FBF04726-4663-4504-9C89-C34F0DE22EBA}">
      <dsp:nvSpPr>
        <dsp:cNvPr id="0" name=""/>
        <dsp:cNvSpPr/>
      </dsp:nvSpPr>
      <dsp:spPr>
        <a:xfrm>
          <a:off x="203358" y="133020"/>
          <a:ext cx="2847022" cy="32472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7611" tIns="0" rIns="107611"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Political</a:t>
          </a:r>
        </a:p>
      </dsp:txBody>
      <dsp:txXfrm>
        <a:off x="219210" y="148872"/>
        <a:ext cx="2815318" cy="293016"/>
      </dsp:txXfrm>
    </dsp:sp>
    <dsp:sp modelId="{8B2A718E-6D4D-4781-8735-2F1B625746A0}">
      <dsp:nvSpPr>
        <dsp:cNvPr id="0" name=""/>
        <dsp:cNvSpPr/>
      </dsp:nvSpPr>
      <dsp:spPr>
        <a:xfrm>
          <a:off x="0" y="794340"/>
          <a:ext cx="4067175" cy="277200"/>
        </a:xfrm>
        <a:prstGeom prst="rect">
          <a:avLst/>
        </a:prstGeom>
        <a:solidFill>
          <a:schemeClr val="lt1">
            <a:alpha val="90000"/>
            <a:hueOff val="0"/>
            <a:satOff val="0"/>
            <a:lumOff val="0"/>
            <a:alphaOff val="0"/>
          </a:schemeClr>
        </a:solidFill>
        <a:ln w="6350" cap="flat" cmpd="sng" algn="ctr">
          <a:solidFill>
            <a:schemeClr val="accent2">
              <a:hueOff val="-291073"/>
              <a:satOff val="-16786"/>
              <a:lumOff val="1726"/>
              <a:alphaOff val="0"/>
            </a:schemeClr>
          </a:solidFill>
          <a:prstDash val="solid"/>
          <a:miter lim="800000"/>
        </a:ln>
        <a:effectLst/>
      </dsp:spPr>
      <dsp:style>
        <a:lnRef idx="1">
          <a:scrgbClr r="0" g="0" b="0"/>
        </a:lnRef>
        <a:fillRef idx="1">
          <a:scrgbClr r="0" g="0" b="0"/>
        </a:fillRef>
        <a:effectRef idx="0">
          <a:scrgbClr r="0" g="0" b="0"/>
        </a:effectRef>
        <a:fontRef idx="minor"/>
      </dsp:style>
    </dsp:sp>
    <dsp:sp modelId="{AEF7320C-A700-43FA-A892-F02EB9ECA569}">
      <dsp:nvSpPr>
        <dsp:cNvPr id="0" name=""/>
        <dsp:cNvSpPr/>
      </dsp:nvSpPr>
      <dsp:spPr>
        <a:xfrm>
          <a:off x="203358" y="631980"/>
          <a:ext cx="2847022" cy="324720"/>
        </a:xfrm>
        <a:prstGeom prst="roundRect">
          <a:avLst/>
        </a:prstGeom>
        <a:gradFill rotWithShape="0">
          <a:gsLst>
            <a:gs pos="0">
              <a:schemeClr val="accent2">
                <a:hueOff val="-291073"/>
                <a:satOff val="-16786"/>
                <a:lumOff val="1726"/>
                <a:alphaOff val="0"/>
                <a:satMod val="103000"/>
                <a:lumMod val="102000"/>
                <a:tint val="94000"/>
              </a:schemeClr>
            </a:gs>
            <a:gs pos="50000">
              <a:schemeClr val="accent2">
                <a:hueOff val="-291073"/>
                <a:satOff val="-16786"/>
                <a:lumOff val="1726"/>
                <a:alphaOff val="0"/>
                <a:satMod val="110000"/>
                <a:lumMod val="100000"/>
                <a:shade val="100000"/>
              </a:schemeClr>
            </a:gs>
            <a:gs pos="100000">
              <a:schemeClr val="accent2">
                <a:hueOff val="-291073"/>
                <a:satOff val="-16786"/>
                <a:lumOff val="172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7611" tIns="0" rIns="107611"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Economic</a:t>
          </a:r>
        </a:p>
      </dsp:txBody>
      <dsp:txXfrm>
        <a:off x="219210" y="647832"/>
        <a:ext cx="2815318" cy="293016"/>
      </dsp:txXfrm>
    </dsp:sp>
    <dsp:sp modelId="{FB13334D-4D59-4AB1-AF93-DC242C211496}">
      <dsp:nvSpPr>
        <dsp:cNvPr id="0" name=""/>
        <dsp:cNvSpPr/>
      </dsp:nvSpPr>
      <dsp:spPr>
        <a:xfrm>
          <a:off x="0" y="1293300"/>
          <a:ext cx="4067175" cy="277200"/>
        </a:xfrm>
        <a:prstGeom prst="rect">
          <a:avLst/>
        </a:prstGeom>
        <a:solidFill>
          <a:schemeClr val="lt1">
            <a:alpha val="90000"/>
            <a:hueOff val="0"/>
            <a:satOff val="0"/>
            <a:lumOff val="0"/>
            <a:alphaOff val="0"/>
          </a:schemeClr>
        </a:solidFill>
        <a:ln w="6350" cap="flat" cmpd="sng" algn="ctr">
          <a:solidFill>
            <a:schemeClr val="accent2">
              <a:hueOff val="-582145"/>
              <a:satOff val="-33571"/>
              <a:lumOff val="3451"/>
              <a:alphaOff val="0"/>
            </a:schemeClr>
          </a:solidFill>
          <a:prstDash val="solid"/>
          <a:miter lim="800000"/>
        </a:ln>
        <a:effectLst/>
      </dsp:spPr>
      <dsp:style>
        <a:lnRef idx="1">
          <a:scrgbClr r="0" g="0" b="0"/>
        </a:lnRef>
        <a:fillRef idx="1">
          <a:scrgbClr r="0" g="0" b="0"/>
        </a:fillRef>
        <a:effectRef idx="0">
          <a:scrgbClr r="0" g="0" b="0"/>
        </a:effectRef>
        <a:fontRef idx="minor"/>
      </dsp:style>
    </dsp:sp>
    <dsp:sp modelId="{0E48DA7E-6C60-4619-AAEA-D7B4FC09C2B9}">
      <dsp:nvSpPr>
        <dsp:cNvPr id="0" name=""/>
        <dsp:cNvSpPr/>
      </dsp:nvSpPr>
      <dsp:spPr>
        <a:xfrm>
          <a:off x="203358" y="1130940"/>
          <a:ext cx="2847022" cy="324720"/>
        </a:xfrm>
        <a:prstGeom prst="roundRect">
          <a:avLst/>
        </a:prstGeom>
        <a:gradFill rotWithShape="0">
          <a:gsLst>
            <a:gs pos="0">
              <a:schemeClr val="accent2">
                <a:hueOff val="-582145"/>
                <a:satOff val="-33571"/>
                <a:lumOff val="3451"/>
                <a:alphaOff val="0"/>
                <a:satMod val="103000"/>
                <a:lumMod val="102000"/>
                <a:tint val="94000"/>
              </a:schemeClr>
            </a:gs>
            <a:gs pos="50000">
              <a:schemeClr val="accent2">
                <a:hueOff val="-582145"/>
                <a:satOff val="-33571"/>
                <a:lumOff val="3451"/>
                <a:alphaOff val="0"/>
                <a:satMod val="110000"/>
                <a:lumMod val="100000"/>
                <a:shade val="100000"/>
              </a:schemeClr>
            </a:gs>
            <a:gs pos="100000">
              <a:schemeClr val="accent2">
                <a:hueOff val="-582145"/>
                <a:satOff val="-33571"/>
                <a:lumOff val="345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7611" tIns="0" rIns="107611"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Social</a:t>
          </a:r>
        </a:p>
      </dsp:txBody>
      <dsp:txXfrm>
        <a:off x="219210" y="1146792"/>
        <a:ext cx="2815318" cy="293016"/>
      </dsp:txXfrm>
    </dsp:sp>
    <dsp:sp modelId="{20E9C37B-7009-4D44-BD0B-F195A506FC28}">
      <dsp:nvSpPr>
        <dsp:cNvPr id="0" name=""/>
        <dsp:cNvSpPr/>
      </dsp:nvSpPr>
      <dsp:spPr>
        <a:xfrm>
          <a:off x="0" y="1792260"/>
          <a:ext cx="4067175" cy="277200"/>
        </a:xfrm>
        <a:prstGeom prst="rect">
          <a:avLst/>
        </a:prstGeom>
        <a:solidFill>
          <a:schemeClr val="lt1">
            <a:alpha val="90000"/>
            <a:hueOff val="0"/>
            <a:satOff val="0"/>
            <a:lumOff val="0"/>
            <a:alphaOff val="0"/>
          </a:schemeClr>
        </a:solidFill>
        <a:ln w="6350" cap="flat" cmpd="sng" algn="ctr">
          <a:solidFill>
            <a:schemeClr val="accent2">
              <a:hueOff val="-873218"/>
              <a:satOff val="-50357"/>
              <a:lumOff val="5177"/>
              <a:alphaOff val="0"/>
            </a:schemeClr>
          </a:solidFill>
          <a:prstDash val="solid"/>
          <a:miter lim="800000"/>
        </a:ln>
        <a:effectLst/>
      </dsp:spPr>
      <dsp:style>
        <a:lnRef idx="1">
          <a:scrgbClr r="0" g="0" b="0"/>
        </a:lnRef>
        <a:fillRef idx="1">
          <a:scrgbClr r="0" g="0" b="0"/>
        </a:fillRef>
        <a:effectRef idx="0">
          <a:scrgbClr r="0" g="0" b="0"/>
        </a:effectRef>
        <a:fontRef idx="minor"/>
      </dsp:style>
    </dsp:sp>
    <dsp:sp modelId="{6648C3E7-0F28-4C1D-A3C0-EC24D7AEDEFB}">
      <dsp:nvSpPr>
        <dsp:cNvPr id="0" name=""/>
        <dsp:cNvSpPr/>
      </dsp:nvSpPr>
      <dsp:spPr>
        <a:xfrm>
          <a:off x="203358" y="1629900"/>
          <a:ext cx="2847022" cy="324720"/>
        </a:xfrm>
        <a:prstGeom prst="roundRect">
          <a:avLst/>
        </a:prstGeom>
        <a:gradFill rotWithShape="0">
          <a:gsLst>
            <a:gs pos="0">
              <a:schemeClr val="accent2">
                <a:hueOff val="-873218"/>
                <a:satOff val="-50357"/>
                <a:lumOff val="5177"/>
                <a:alphaOff val="0"/>
                <a:satMod val="103000"/>
                <a:lumMod val="102000"/>
                <a:tint val="94000"/>
              </a:schemeClr>
            </a:gs>
            <a:gs pos="50000">
              <a:schemeClr val="accent2">
                <a:hueOff val="-873218"/>
                <a:satOff val="-50357"/>
                <a:lumOff val="5177"/>
                <a:alphaOff val="0"/>
                <a:satMod val="110000"/>
                <a:lumMod val="100000"/>
                <a:shade val="100000"/>
              </a:schemeClr>
            </a:gs>
            <a:gs pos="100000">
              <a:schemeClr val="accent2">
                <a:hueOff val="-873218"/>
                <a:satOff val="-50357"/>
                <a:lumOff val="5177"/>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7611" tIns="0" rIns="107611"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Technological</a:t>
          </a:r>
        </a:p>
      </dsp:txBody>
      <dsp:txXfrm>
        <a:off x="219210" y="1645752"/>
        <a:ext cx="2815318" cy="293016"/>
      </dsp:txXfrm>
    </dsp:sp>
    <dsp:sp modelId="{A33A9555-8DF7-449F-912C-F6C77003D438}">
      <dsp:nvSpPr>
        <dsp:cNvPr id="0" name=""/>
        <dsp:cNvSpPr/>
      </dsp:nvSpPr>
      <dsp:spPr>
        <a:xfrm>
          <a:off x="0" y="2291220"/>
          <a:ext cx="4067175" cy="277200"/>
        </a:xfrm>
        <a:prstGeom prst="rect">
          <a:avLst/>
        </a:prstGeom>
        <a:solidFill>
          <a:schemeClr val="lt1">
            <a:alpha val="90000"/>
            <a:hueOff val="0"/>
            <a:satOff val="0"/>
            <a:lumOff val="0"/>
            <a:alphaOff val="0"/>
          </a:schemeClr>
        </a:solidFill>
        <a:ln w="6350" cap="flat" cmpd="sng" algn="ctr">
          <a:solidFill>
            <a:schemeClr val="accent2">
              <a:hueOff val="-1164290"/>
              <a:satOff val="-67142"/>
              <a:lumOff val="6902"/>
              <a:alphaOff val="0"/>
            </a:schemeClr>
          </a:solidFill>
          <a:prstDash val="solid"/>
          <a:miter lim="800000"/>
        </a:ln>
        <a:effectLst/>
      </dsp:spPr>
      <dsp:style>
        <a:lnRef idx="1">
          <a:scrgbClr r="0" g="0" b="0"/>
        </a:lnRef>
        <a:fillRef idx="1">
          <a:scrgbClr r="0" g="0" b="0"/>
        </a:fillRef>
        <a:effectRef idx="0">
          <a:scrgbClr r="0" g="0" b="0"/>
        </a:effectRef>
        <a:fontRef idx="minor"/>
      </dsp:style>
    </dsp:sp>
    <dsp:sp modelId="{246E6642-7190-41CD-ADE1-25B27926F8A4}">
      <dsp:nvSpPr>
        <dsp:cNvPr id="0" name=""/>
        <dsp:cNvSpPr/>
      </dsp:nvSpPr>
      <dsp:spPr>
        <a:xfrm>
          <a:off x="203358" y="2128860"/>
          <a:ext cx="2847022" cy="324720"/>
        </a:xfrm>
        <a:prstGeom prst="roundRect">
          <a:avLst/>
        </a:prstGeom>
        <a:gradFill rotWithShape="0">
          <a:gsLst>
            <a:gs pos="0">
              <a:schemeClr val="accent2">
                <a:hueOff val="-1164290"/>
                <a:satOff val="-67142"/>
                <a:lumOff val="6902"/>
                <a:alphaOff val="0"/>
                <a:satMod val="103000"/>
                <a:lumMod val="102000"/>
                <a:tint val="94000"/>
              </a:schemeClr>
            </a:gs>
            <a:gs pos="50000">
              <a:schemeClr val="accent2">
                <a:hueOff val="-1164290"/>
                <a:satOff val="-67142"/>
                <a:lumOff val="6902"/>
                <a:alphaOff val="0"/>
                <a:satMod val="110000"/>
                <a:lumMod val="100000"/>
                <a:shade val="100000"/>
              </a:schemeClr>
            </a:gs>
            <a:gs pos="100000">
              <a:schemeClr val="accent2">
                <a:hueOff val="-1164290"/>
                <a:satOff val="-67142"/>
                <a:lumOff val="690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7611" tIns="0" rIns="107611"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Environmental</a:t>
          </a:r>
        </a:p>
      </dsp:txBody>
      <dsp:txXfrm>
        <a:off x="219210" y="2144712"/>
        <a:ext cx="2815318" cy="293016"/>
      </dsp:txXfrm>
    </dsp:sp>
    <dsp:sp modelId="{F96649B7-1ECD-4183-95CD-64A151595F84}">
      <dsp:nvSpPr>
        <dsp:cNvPr id="0" name=""/>
        <dsp:cNvSpPr/>
      </dsp:nvSpPr>
      <dsp:spPr>
        <a:xfrm>
          <a:off x="0" y="2790180"/>
          <a:ext cx="4067175" cy="277200"/>
        </a:xfrm>
        <a:prstGeom prst="rect">
          <a:avLst/>
        </a:prstGeom>
        <a:solidFill>
          <a:schemeClr val="lt1">
            <a:alpha val="90000"/>
            <a:hueOff val="0"/>
            <a:satOff val="0"/>
            <a:lumOff val="0"/>
            <a:alphaOff val="0"/>
          </a:schemeClr>
        </a:solidFill>
        <a:ln w="6350" cap="flat" cmpd="sng" algn="ctr">
          <a:solidFill>
            <a:schemeClr val="accent2">
              <a:hueOff val="-1455363"/>
              <a:satOff val="-83928"/>
              <a:lumOff val="8628"/>
              <a:alphaOff val="0"/>
            </a:schemeClr>
          </a:solidFill>
          <a:prstDash val="solid"/>
          <a:miter lim="800000"/>
        </a:ln>
        <a:effectLst/>
      </dsp:spPr>
      <dsp:style>
        <a:lnRef idx="1">
          <a:scrgbClr r="0" g="0" b="0"/>
        </a:lnRef>
        <a:fillRef idx="1">
          <a:scrgbClr r="0" g="0" b="0"/>
        </a:fillRef>
        <a:effectRef idx="0">
          <a:scrgbClr r="0" g="0" b="0"/>
        </a:effectRef>
        <a:fontRef idx="minor"/>
      </dsp:style>
    </dsp:sp>
    <dsp:sp modelId="{3D97DD35-BD4D-4508-93F7-19C67A8B52A5}">
      <dsp:nvSpPr>
        <dsp:cNvPr id="0" name=""/>
        <dsp:cNvSpPr/>
      </dsp:nvSpPr>
      <dsp:spPr>
        <a:xfrm>
          <a:off x="203358" y="2627820"/>
          <a:ext cx="2847022" cy="324720"/>
        </a:xfrm>
        <a:prstGeom prst="round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7611" tIns="0" rIns="107611"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Legal</a:t>
          </a:r>
        </a:p>
      </dsp:txBody>
      <dsp:txXfrm>
        <a:off x="219210" y="2643672"/>
        <a:ext cx="2815318"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002E64-3E2C-4576-80B5-1B2DD85EA841}">
      <dsp:nvSpPr>
        <dsp:cNvPr id="0" name=""/>
        <dsp:cNvSpPr/>
      </dsp:nvSpPr>
      <dsp:spPr>
        <a:xfrm>
          <a:off x="361005" y="0"/>
          <a:ext cx="4091391" cy="2143353"/>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AF10978-8157-453F-99A2-89CBB45C01B5}">
      <dsp:nvSpPr>
        <dsp:cNvPr id="0" name=""/>
        <dsp:cNvSpPr/>
      </dsp:nvSpPr>
      <dsp:spPr>
        <a:xfrm>
          <a:off x="0" y="643005"/>
          <a:ext cx="1444020" cy="857341"/>
        </a:xfrm>
        <a:prstGeom prst="round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Resouces</a:t>
          </a:r>
        </a:p>
      </dsp:txBody>
      <dsp:txXfrm>
        <a:off x="41852" y="684857"/>
        <a:ext cx="1360316" cy="773637"/>
      </dsp:txXfrm>
    </dsp:sp>
    <dsp:sp modelId="{C6D6F516-921F-4968-8F82-426FBC646121}">
      <dsp:nvSpPr>
        <dsp:cNvPr id="0" name=""/>
        <dsp:cNvSpPr/>
      </dsp:nvSpPr>
      <dsp:spPr>
        <a:xfrm>
          <a:off x="1684690" y="643005"/>
          <a:ext cx="1444020" cy="857341"/>
        </a:xfrm>
        <a:prstGeom prst="roundRect">
          <a:avLst/>
        </a:prstGeom>
        <a:solidFill>
          <a:schemeClr val="accent2">
            <a:hueOff val="-727682"/>
            <a:satOff val="-41964"/>
            <a:lumOff val="4314"/>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Capabilities</a:t>
          </a:r>
        </a:p>
      </dsp:txBody>
      <dsp:txXfrm>
        <a:off x="1726542" y="684857"/>
        <a:ext cx="1360316" cy="773637"/>
      </dsp:txXfrm>
    </dsp:sp>
    <dsp:sp modelId="{5D77EA28-666F-47EA-BC90-3291F113442C}">
      <dsp:nvSpPr>
        <dsp:cNvPr id="0" name=""/>
        <dsp:cNvSpPr/>
      </dsp:nvSpPr>
      <dsp:spPr>
        <a:xfrm>
          <a:off x="3369381" y="643005"/>
          <a:ext cx="1444020" cy="857341"/>
        </a:xfrm>
        <a:prstGeom prst="roundRect">
          <a:avLst/>
        </a:prstGeom>
        <a:solidFill>
          <a:schemeClr val="accent2">
            <a:hueOff val="-1455363"/>
            <a:satOff val="-83928"/>
            <a:lumOff val="8628"/>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Core Competencies</a:t>
          </a:r>
        </a:p>
      </dsp:txBody>
      <dsp:txXfrm>
        <a:off x="3411233" y="684857"/>
        <a:ext cx="1360316" cy="773637"/>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40A93-C314-48EA-A0AB-3011D1FA6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7464</Words>
  <Characters>42548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2026-02-07T09:30:00Z</dcterms:created>
  <dcterms:modified xsi:type="dcterms:W3CDTF">2026-03-18T16:00:00Z</dcterms:modified>
</cp:coreProperties>
</file>