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567F1" w14:textId="77777777" w:rsidR="00595128" w:rsidRDefault="00595128" w:rsidP="00F04729">
      <w:pPr>
        <w:spacing w:line="360" w:lineRule="auto"/>
        <w:rPr>
          <w:b/>
        </w:rPr>
      </w:pPr>
      <w:r>
        <w:rPr>
          <w:b/>
        </w:rPr>
        <w:t xml:space="preserve">Rebecca Turtle </w:t>
      </w:r>
    </w:p>
    <w:p w14:paraId="4D42E6DF" w14:textId="77777777" w:rsidR="00595128" w:rsidRDefault="00595128" w:rsidP="00F04729">
      <w:pPr>
        <w:spacing w:line="360" w:lineRule="auto"/>
        <w:rPr>
          <w:b/>
        </w:rPr>
      </w:pPr>
      <w:r>
        <w:rPr>
          <w:b/>
        </w:rPr>
        <w:t>2222448</w:t>
      </w:r>
    </w:p>
    <w:p w14:paraId="7FD06DB8" w14:textId="77777777" w:rsidR="00595128" w:rsidRDefault="00595128" w:rsidP="00F04729">
      <w:pPr>
        <w:spacing w:line="360" w:lineRule="auto"/>
        <w:rPr>
          <w:b/>
        </w:rPr>
      </w:pPr>
    </w:p>
    <w:p w14:paraId="0C04641B" w14:textId="48E32658" w:rsidR="00F04729" w:rsidRPr="00F04729" w:rsidRDefault="00F04729" w:rsidP="00F04729">
      <w:pPr>
        <w:spacing w:line="360" w:lineRule="auto"/>
        <w:rPr>
          <w:b/>
        </w:rPr>
      </w:pPr>
      <w:r w:rsidRPr="00F04729">
        <w:rPr>
          <w:b/>
        </w:rPr>
        <w:t>Essay one: Assess the impact that cultural diversity has had on policing practice (</w:t>
      </w:r>
      <w:proofErr w:type="gramStart"/>
      <w:r w:rsidRPr="00F04729">
        <w:rPr>
          <w:b/>
        </w:rPr>
        <w:t>e.g.</w:t>
      </w:r>
      <w:proofErr w:type="gramEnd"/>
      <w:r w:rsidRPr="00F04729">
        <w:rPr>
          <w:b/>
        </w:rPr>
        <w:t xml:space="preserve"> neighbourhood policing) and professional policies and standards (e.g. PACE, Code of Ethics).</w:t>
      </w:r>
    </w:p>
    <w:p w14:paraId="1F81183B" w14:textId="77777777" w:rsidR="00F04729" w:rsidRDefault="00F04729" w:rsidP="00F04729">
      <w:pPr>
        <w:spacing w:line="360" w:lineRule="auto"/>
      </w:pPr>
      <w:r>
        <w:t>Current emphasis upon the way in which police services around the world address the issue of diversity in its policies and practices have been the subject of many high profile media coverages and far reaching investigations that have included those associated with Stephen Lawrence in the UK in the nineties and more recently in the USA around the treatment of George Floyd. Public confidence in the Police Service undoubtedly plummets during coverage and reporting of such incidents and organisations have to undertake enormous work to regain confidence from the public as a whole and more explicitly within communities of high diverse background.</w:t>
      </w:r>
    </w:p>
    <w:p w14:paraId="368B60A8" w14:textId="77777777" w:rsidR="00F04729" w:rsidRDefault="00F04729" w:rsidP="00F04729">
      <w:pPr>
        <w:spacing w:line="360" w:lineRule="auto"/>
      </w:pPr>
      <w:r>
        <w:t xml:space="preserve">The College of Policing (2021) recognises that the theme of diversity is a key priority for policing in the United Kingdom. This recognition includes emphasis upon improvement in understanding the need for equality, inclusion, collaboration and promoting robust leadership in enabling all police officers and police staff to enhance their understanding and recognition that diversity in communities can reinforce relationships within them and promote sound connections to promote inclusion. This understanding should be embodied in newly recruited police officers, suggests Miles-Johnson (2019),whose research identified that those individuals entering forces and training programmes, do so with positive mind-sets when empathy, compassion and pride is at its highest. </w:t>
      </w:r>
    </w:p>
    <w:p w14:paraId="1C07E2FA" w14:textId="77777777" w:rsidR="00F04729" w:rsidRDefault="00F04729" w:rsidP="00F04729">
      <w:pPr>
        <w:spacing w:line="360" w:lineRule="auto"/>
      </w:pPr>
      <w:r>
        <w:t xml:space="preserve">Public perception of policing is not that of merely fighting crime and catching those responsible for committing those crimes, but is also related to the way in which individuals and communities are treated (Myhill &amp; Quinton , 2010). Whether community policing is founded upon a philosophy or a model (Innes &amp; Roberts et al, 2020), evidence of equality and fairness to communities that have a diverse population, can reinforce connections between them and the police and may result in an organisation that may be considered accountable and just in the actions they take (Bradford &amp; Jackson, 2013).  </w:t>
      </w:r>
    </w:p>
    <w:p w14:paraId="759B5168" w14:textId="77777777" w:rsidR="00F04729" w:rsidRDefault="00F04729" w:rsidP="00F04729">
      <w:pPr>
        <w:spacing w:line="360" w:lineRule="auto"/>
      </w:pPr>
      <w:r>
        <w:t xml:space="preserve">There are assumptions that trust in the police, among both immigrants and communities that have a high population of immigrants, may be lower. Bradford, Sargeant et al (2017), however, reviewed data from the Crime Survey of England &amp; Wales to conclude that trust in policing practices is higher in these instances than amongst the non-immigrant population of the UK. Conversely, there is evidence to suggest that trust in police and policing practice can reduce dependent upon the length </w:t>
      </w:r>
      <w:r>
        <w:lastRenderedPageBreak/>
        <w:t xml:space="preserve">of time that an individual spends in a community within which they are resident (Pass &amp; Madon et al, 2020). This being said, Bryant-Davies, Adams et al (2017) suggest that violent behaviour by police forces against racial and ethnic minority communities adds to the cumulative effect that those individuals experience within the wider social context. </w:t>
      </w:r>
    </w:p>
    <w:p w14:paraId="628EF2A6" w14:textId="77777777" w:rsidR="00F04729" w:rsidRDefault="00F04729" w:rsidP="00F04729">
      <w:pPr>
        <w:spacing w:line="360" w:lineRule="auto"/>
      </w:pPr>
      <w:r>
        <w:t xml:space="preserve">O’Neill (2015) suggests that the neighbourhood policing concept and the implementation of the Police Community Support Officer (PCSO) has developed more multi-agency and multi-individual collaboration across police forces. Recently, the College of Policing (2022) have published the Police Race Action Plan, developed in conjunction with the National Police Chief’s Council, which outlines the aim of creating an anti-racist police service that can be trusted by minority groups within communities. Contrary to the Crime Survey reviewed by Bradford, Sargeant et al (2017), the Police Race Action Plan (College of Policing, 2022) confirms that black individuals are many times more likely to be stopped and searched by police officers than their white peers, with trust in ethnic minorities up to a fifth lower than the wider population.  </w:t>
      </w:r>
    </w:p>
    <w:p w14:paraId="20FFAB7D" w14:textId="77777777" w:rsidR="00F04729" w:rsidRDefault="00F04729" w:rsidP="00F04729">
      <w:pPr>
        <w:spacing w:line="360" w:lineRule="auto"/>
      </w:pPr>
      <w:r>
        <w:t xml:space="preserve">The Code of Ethics (College of Policing, 2014) explicitly mandates that all officers must act with fairness and not discriminate, whist being mindful and sensitive to the needs of particular characteristic groups. Changes to attitudes of communities, media and the police service itself mean that in late 2023-early 2024 this will be </w:t>
      </w:r>
      <w:proofErr w:type="spellStart"/>
      <w:r>
        <w:t>supseded</w:t>
      </w:r>
      <w:proofErr w:type="spellEnd"/>
      <w:r>
        <w:t xml:space="preserve"> by the Code of Practice for Ethical Policing (College of Policing, 2024) which will have more emphasis upon decision-making and includes focus upon awareness of vulnerability, the changing needs of different communities throughout the service, the significance and importance of building trust, as well as developing a culture of non-discrimination through acceptance and understanding. This enhancement of ethics within the police service is supplemented by the view that the recruitment into the service of individuals from diverse backgrounds may encourage better engagement from minority communities and individuals with a more successful outcome on goals as well as public safety (Hong, 2015). The recruitment of officers from diverse backgrounds is seen as progressive in developing positive and successful engagement in communities. However, Donohue Jr (2020) suggests that challenges in the recruitment process including screening, attitudes and motivation can have a negative impact on the success of recruiting such groups.</w:t>
      </w:r>
    </w:p>
    <w:p w14:paraId="0B62A471" w14:textId="77777777" w:rsidR="00595128" w:rsidRDefault="00F04729" w:rsidP="00F04729">
      <w:pPr>
        <w:spacing w:line="360" w:lineRule="auto"/>
      </w:pPr>
      <w:r>
        <w:t xml:space="preserve">The recommendations of the Lammy review (Carr, 2017), highlighted that there is a disproportionate number of individuals from diverse backgrounds in prison or custody at any given moment. As a result of this review and other reports, a tremendous effort, both from a resource and financial perspective is being undertaken by forces, the Ministry of Justice (2020) and other government departments to ensure that recognition of diversity, fairness and equity, alongside the promotion of </w:t>
      </w:r>
      <w:r>
        <w:lastRenderedPageBreak/>
        <w:t>inclusion is a key priority in engaging individuals, diverse groups and whole communities in all neighbourhoods nationwide. This work requires transparency, candour and scrutiny, often not only by forces and departments but by significant stakeholders to ensure progress continues and is ever evolving and dynamic, depending upon the fluid needs of populations.</w:t>
      </w:r>
    </w:p>
    <w:p w14:paraId="624B4835" w14:textId="77777777" w:rsidR="00F04729" w:rsidRDefault="00F04729" w:rsidP="00F04729">
      <w:pPr>
        <w:spacing w:line="360" w:lineRule="auto"/>
      </w:pPr>
    </w:p>
    <w:p w14:paraId="7D1E0C31" w14:textId="77777777" w:rsidR="00F04729" w:rsidRPr="00F04729" w:rsidRDefault="00F04729" w:rsidP="00F04729">
      <w:pPr>
        <w:spacing w:line="360" w:lineRule="auto"/>
        <w:rPr>
          <w:b/>
          <w:u w:val="single"/>
        </w:rPr>
      </w:pPr>
      <w:r w:rsidRPr="00F04729">
        <w:rPr>
          <w:b/>
          <w:u w:val="single"/>
        </w:rPr>
        <w:t>Reference List</w:t>
      </w:r>
    </w:p>
    <w:p w14:paraId="04C6A612" w14:textId="77777777" w:rsidR="00F04729" w:rsidRDefault="00F04729" w:rsidP="00F04729">
      <w:pPr>
        <w:spacing w:line="360" w:lineRule="auto"/>
      </w:pPr>
      <w:r>
        <w:t xml:space="preserve">Bradford, B. &amp; Jackson, J. (2013) Different things to different people? The meaning and measurement of trust and confidence in policing across diverse social groups in London. </w:t>
      </w:r>
      <w:r>
        <w:rPr>
          <w:i/>
        </w:rPr>
        <w:t>Policing: A Journal of Policy and Practice</w:t>
      </w:r>
      <w:r>
        <w:t xml:space="preserve">. Vol. 4, 3, p.241-248 </w:t>
      </w:r>
    </w:p>
    <w:p w14:paraId="53DDB42A" w14:textId="77777777" w:rsidR="00F04729" w:rsidRDefault="00F04729" w:rsidP="00F04729">
      <w:pPr>
        <w:spacing w:line="360" w:lineRule="auto"/>
      </w:pPr>
      <w:r>
        <w:t xml:space="preserve">Bradford, B., Sargeant, E., Murphy, K. &amp; Jackson, J. (2017) A leap of faith? Trust in the police among immigrants in England and Wales. </w:t>
      </w:r>
      <w:r>
        <w:rPr>
          <w:i/>
        </w:rPr>
        <w:t>The British Journal of Criminology</w:t>
      </w:r>
      <w:r>
        <w:t>. Vol. 57, 2, p.381-401</w:t>
      </w:r>
    </w:p>
    <w:p w14:paraId="7B558EDD" w14:textId="77777777" w:rsidR="00F04729" w:rsidRDefault="00F04729" w:rsidP="00F04729">
      <w:pPr>
        <w:spacing w:line="360" w:lineRule="auto"/>
      </w:pPr>
      <w:r>
        <w:t xml:space="preserve">Bryant-Davies, T., Adams, T., Alejandre, A. &amp; Gray, A. (2017) The trauma lens of police violence against racial and ethnic minorities. </w:t>
      </w:r>
      <w:r>
        <w:rPr>
          <w:i/>
        </w:rPr>
        <w:t>Journal of Social Issues</w:t>
      </w:r>
      <w:r>
        <w:t>. Vol. 73, 4 852-871</w:t>
      </w:r>
    </w:p>
    <w:p w14:paraId="1C56ABCC" w14:textId="77777777" w:rsidR="00F04729" w:rsidRPr="00397C7E" w:rsidRDefault="00F04729" w:rsidP="00F04729">
      <w:pPr>
        <w:spacing w:line="360" w:lineRule="auto"/>
      </w:pPr>
      <w:r>
        <w:t xml:space="preserve">Carr, N. (2017) The Lammy review and race and bias in the criminal justice system. </w:t>
      </w:r>
      <w:r>
        <w:rPr>
          <w:i/>
        </w:rPr>
        <w:t>Probation Journal</w:t>
      </w:r>
      <w:r>
        <w:t xml:space="preserve">. Vol. 64, 4, p.333-336 </w:t>
      </w:r>
      <w:hyperlink r:id="rId6" w:history="1">
        <w:r w:rsidRPr="00677937">
          <w:rPr>
            <w:rStyle w:val="Hyperlink"/>
          </w:rPr>
          <w:t>https://doi.org/10.1177/0264550517740461</w:t>
        </w:r>
      </w:hyperlink>
      <w:r>
        <w:t xml:space="preserve"> accessed on 08/01/2024</w:t>
      </w:r>
    </w:p>
    <w:p w14:paraId="44098029" w14:textId="77777777" w:rsidR="00F04729" w:rsidRPr="008819C2" w:rsidRDefault="00F04729" w:rsidP="00F04729">
      <w:pPr>
        <w:spacing w:line="360" w:lineRule="auto"/>
      </w:pPr>
      <w:r>
        <w:t xml:space="preserve">College of Policing (2024) </w:t>
      </w:r>
      <w:r>
        <w:rPr>
          <w:i/>
        </w:rPr>
        <w:t>Code of Practice for Ethical Policing</w:t>
      </w:r>
      <w:r>
        <w:t xml:space="preserve">. </w:t>
      </w:r>
      <w:hyperlink r:id="rId7" w:history="1">
        <w:r>
          <w:rPr>
            <w:rStyle w:val="Hyperlink"/>
          </w:rPr>
          <w:t>Code of Practice for Ethical Policing | College of Policing</w:t>
        </w:r>
      </w:hyperlink>
      <w:r>
        <w:t xml:space="preserve"> accessed on 08/01/2024</w:t>
      </w:r>
    </w:p>
    <w:p w14:paraId="3B867093" w14:textId="77777777" w:rsidR="00F04729" w:rsidRPr="00AF2421" w:rsidRDefault="00F04729" w:rsidP="00F04729">
      <w:pPr>
        <w:spacing w:line="360" w:lineRule="auto"/>
      </w:pPr>
      <w:r>
        <w:t xml:space="preserve">College of Policing (2022) </w:t>
      </w:r>
      <w:r>
        <w:rPr>
          <w:i/>
        </w:rPr>
        <w:t>Police Race Action Plan</w:t>
      </w:r>
      <w:r>
        <w:t xml:space="preserve">. </w:t>
      </w:r>
      <w:hyperlink r:id="rId8" w:history="1">
        <w:r>
          <w:rPr>
            <w:rStyle w:val="Hyperlink"/>
          </w:rPr>
          <w:t>Police Race Action Plan: Improving policing for Black people (college.police.uk)</w:t>
        </w:r>
      </w:hyperlink>
      <w:r>
        <w:t xml:space="preserve"> accessed on 23/12/2023</w:t>
      </w:r>
    </w:p>
    <w:p w14:paraId="2F997C6A" w14:textId="77777777" w:rsidR="00F04729" w:rsidRDefault="00F04729" w:rsidP="00F04729">
      <w:pPr>
        <w:spacing w:line="360" w:lineRule="auto"/>
      </w:pPr>
      <w:r>
        <w:t xml:space="preserve">College of Policing (2021) </w:t>
      </w:r>
      <w:r>
        <w:rPr>
          <w:i/>
        </w:rPr>
        <w:t xml:space="preserve">Diversity, Equality and Inclusion Strategy. 2012-2024. Action on Inclusion for the College Workforce. </w:t>
      </w:r>
      <w:r>
        <w:t>Coventry. College of Policing</w:t>
      </w:r>
    </w:p>
    <w:p w14:paraId="2E46AD26" w14:textId="77777777" w:rsidR="00F04729" w:rsidRDefault="00F04729" w:rsidP="00F04729">
      <w:pPr>
        <w:spacing w:line="360" w:lineRule="auto"/>
      </w:pPr>
      <w:r>
        <w:t xml:space="preserve">College of Policing (2014) </w:t>
      </w:r>
      <w:r>
        <w:rPr>
          <w:i/>
        </w:rPr>
        <w:t xml:space="preserve">Code of Ethics.  </w:t>
      </w:r>
      <w:r w:rsidRPr="00AF2421">
        <w:rPr>
          <w:i/>
        </w:rPr>
        <w:t>A Code of Practice for the Principles and Standards of Professional Behaviour for the Policing Profession of England and Wales</w:t>
      </w:r>
      <w:r>
        <w:t xml:space="preserve">. </w:t>
      </w:r>
      <w:hyperlink r:id="rId9" w:history="1">
        <w:r>
          <w:rPr>
            <w:rStyle w:val="Hyperlink"/>
          </w:rPr>
          <w:t>code_of_ethics.pdf (college.police.uk)</w:t>
        </w:r>
      </w:hyperlink>
      <w:r>
        <w:t xml:space="preserve"> accessed on 23/12/2023</w:t>
      </w:r>
    </w:p>
    <w:p w14:paraId="686D5EF2" w14:textId="77777777" w:rsidR="00F04729" w:rsidRPr="004B4950" w:rsidRDefault="00F04729" w:rsidP="00F04729">
      <w:pPr>
        <w:spacing w:line="360" w:lineRule="auto"/>
      </w:pPr>
      <w:r>
        <w:t xml:space="preserve">Donohue Jr, R. (2020) Shades of blue: a review of the hiring, recruitment and selection of female and minority police officers. </w:t>
      </w:r>
      <w:r>
        <w:rPr>
          <w:i/>
        </w:rPr>
        <w:t>The Social Science Journal</w:t>
      </w:r>
      <w:r>
        <w:t>. Vol.58, 4, p.484-498</w:t>
      </w:r>
    </w:p>
    <w:p w14:paraId="46E06971" w14:textId="77777777" w:rsidR="00F04729" w:rsidRPr="00264CE3" w:rsidRDefault="00F04729" w:rsidP="00F04729">
      <w:pPr>
        <w:spacing w:line="360" w:lineRule="auto"/>
      </w:pPr>
      <w:r>
        <w:t xml:space="preserve">Hong, S. (2015) Representative bureaucracy, organizational integrity and citizen co-production: does an increase in police ethnic representativeness reduce crime? </w:t>
      </w:r>
      <w:r>
        <w:rPr>
          <w:i/>
        </w:rPr>
        <w:t>Journal of Policy Analysis and Management</w:t>
      </w:r>
      <w:r>
        <w:t>. Vol. 35, 1, p.11-33</w:t>
      </w:r>
    </w:p>
    <w:p w14:paraId="2A39F3BC" w14:textId="77777777" w:rsidR="00F04729" w:rsidRPr="00F542A4" w:rsidRDefault="00F04729" w:rsidP="00F04729">
      <w:pPr>
        <w:spacing w:line="360" w:lineRule="auto"/>
      </w:pPr>
      <w:r>
        <w:lastRenderedPageBreak/>
        <w:t xml:space="preserve">Innes, M., Roberts, C., Lowe, T. &amp; Innes, H. (2020) </w:t>
      </w:r>
      <w:r>
        <w:rPr>
          <w:i/>
        </w:rPr>
        <w:t>Neighbourhood Policing: The Rise and Fall of a Policing Model</w:t>
      </w:r>
      <w:r>
        <w:t>. Oxford. Oxford University Press</w:t>
      </w:r>
    </w:p>
    <w:p w14:paraId="0C484B6B" w14:textId="77777777" w:rsidR="00F04729" w:rsidRDefault="00F04729" w:rsidP="00F04729">
      <w:pPr>
        <w:spacing w:line="360" w:lineRule="auto"/>
      </w:pPr>
      <w:r>
        <w:t>Miles-Johnson, T. (2019) Policing diverse people: how occupational attitudes and background characteristics shape police recruits’ perceptions. Sage Open. Vol. 9, 3</w:t>
      </w:r>
    </w:p>
    <w:p w14:paraId="4C81EC5C" w14:textId="77777777" w:rsidR="00F04729" w:rsidRPr="00397C7E" w:rsidRDefault="00F04729" w:rsidP="00F04729">
      <w:pPr>
        <w:spacing w:line="360" w:lineRule="auto"/>
      </w:pPr>
      <w:r>
        <w:t xml:space="preserve">Ministry of Justice (2020) </w:t>
      </w:r>
      <w:r w:rsidRPr="00397C7E">
        <w:rPr>
          <w:i/>
        </w:rPr>
        <w:t>Tackling Racial Disparity in the Criminal Justice System: 2020 Update</w:t>
      </w:r>
      <w:r>
        <w:t xml:space="preserve">. </w:t>
      </w:r>
      <w:hyperlink r:id="rId10" w:history="1">
        <w:r>
          <w:rPr>
            <w:rStyle w:val="Hyperlink"/>
          </w:rPr>
          <w:t>Tackling Racial Disparity in the Criminal Justice System: 2020 Update (publishing.service.gov.uk)</w:t>
        </w:r>
      </w:hyperlink>
      <w:r>
        <w:t xml:space="preserve"> accessed on 08/01/2024</w:t>
      </w:r>
    </w:p>
    <w:p w14:paraId="2F5570DF" w14:textId="77777777" w:rsidR="00F04729" w:rsidRDefault="00F04729" w:rsidP="00F04729">
      <w:pPr>
        <w:spacing w:line="360" w:lineRule="auto"/>
      </w:pPr>
      <w:r>
        <w:t xml:space="preserve">Myhill, A. &amp; Quinton, P. (2010) Confidence, neighbourhood policing and contact: drawing together the evidence. </w:t>
      </w:r>
      <w:r>
        <w:rPr>
          <w:i/>
        </w:rPr>
        <w:t>Policing: A Journal of Policy &amp; Practice</w:t>
      </w:r>
      <w:r>
        <w:t>. Vol. 4,3, p.273-281</w:t>
      </w:r>
    </w:p>
    <w:p w14:paraId="7BD7E09E" w14:textId="77777777" w:rsidR="00F04729" w:rsidRPr="00F542A4" w:rsidRDefault="00F04729" w:rsidP="00F04729">
      <w:pPr>
        <w:spacing w:line="360" w:lineRule="auto"/>
      </w:pPr>
      <w:r>
        <w:t xml:space="preserve">O’Neill, M. (2015) The case for the acceptable ‘other’: the impact of partnership, PCSOs and neighbourhood policing on diversity in policing. </w:t>
      </w:r>
      <w:r>
        <w:rPr>
          <w:i/>
        </w:rPr>
        <w:t>Policing: A Journal of Policy and Practice</w:t>
      </w:r>
      <w:r>
        <w:t>. Vol.9, 1, p.77-88</w:t>
      </w:r>
    </w:p>
    <w:p w14:paraId="23D103CA" w14:textId="77777777" w:rsidR="00F04729" w:rsidRDefault="00F04729" w:rsidP="00F04729">
      <w:pPr>
        <w:spacing w:line="360" w:lineRule="auto"/>
      </w:pPr>
      <w:r>
        <w:t xml:space="preserve">Pass, M., Madon, N., Murphy, K. &amp; Sargeant, E. (2020) To trust or </w:t>
      </w:r>
      <w:proofErr w:type="gramStart"/>
      <w:r>
        <w:t>distrust?;</w:t>
      </w:r>
      <w:proofErr w:type="gramEnd"/>
      <w:r>
        <w:t xml:space="preserve"> unpacking ethnic minority immigrants’ trust in police. </w:t>
      </w:r>
      <w:r>
        <w:rPr>
          <w:i/>
        </w:rPr>
        <w:t>The British Journal of Criminology.</w:t>
      </w:r>
      <w:r>
        <w:t xml:space="preserve"> Vol. 60, 5, p.1320-1341</w:t>
      </w:r>
    </w:p>
    <w:p w14:paraId="248B0F90" w14:textId="77777777" w:rsidR="00F04729" w:rsidRDefault="00F04729" w:rsidP="00F04729">
      <w:pPr>
        <w:spacing w:line="360" w:lineRule="auto"/>
      </w:pPr>
    </w:p>
    <w:p w14:paraId="05E0BD1D" w14:textId="77777777" w:rsidR="00F04729" w:rsidRDefault="00F04729" w:rsidP="00F04729">
      <w:pPr>
        <w:spacing w:line="360" w:lineRule="auto"/>
      </w:pPr>
    </w:p>
    <w:p w14:paraId="19C3C50C" w14:textId="77777777" w:rsidR="00F04729" w:rsidRDefault="00F04729" w:rsidP="00F04729">
      <w:pPr>
        <w:spacing w:line="360" w:lineRule="auto"/>
      </w:pPr>
    </w:p>
    <w:p w14:paraId="066B2A17" w14:textId="77777777" w:rsidR="00F04729" w:rsidRDefault="00F04729" w:rsidP="00F04729">
      <w:pPr>
        <w:spacing w:line="360" w:lineRule="auto"/>
      </w:pPr>
    </w:p>
    <w:p w14:paraId="583A67D4" w14:textId="77777777" w:rsidR="00F04729" w:rsidRDefault="00F04729" w:rsidP="00F04729">
      <w:pPr>
        <w:spacing w:line="360" w:lineRule="auto"/>
      </w:pPr>
    </w:p>
    <w:p w14:paraId="53AE280D" w14:textId="77777777" w:rsidR="00F04729" w:rsidRDefault="00F04729" w:rsidP="00F04729">
      <w:pPr>
        <w:spacing w:line="360" w:lineRule="auto"/>
      </w:pPr>
    </w:p>
    <w:p w14:paraId="5B43541C" w14:textId="77777777" w:rsidR="00F04729" w:rsidRDefault="00F04729" w:rsidP="00F04729">
      <w:pPr>
        <w:spacing w:line="360" w:lineRule="auto"/>
      </w:pPr>
    </w:p>
    <w:p w14:paraId="40FEAAC3" w14:textId="77777777" w:rsidR="00F04729" w:rsidRDefault="00F04729" w:rsidP="00F04729">
      <w:pPr>
        <w:spacing w:line="360" w:lineRule="auto"/>
      </w:pPr>
    </w:p>
    <w:p w14:paraId="04E9C699" w14:textId="77777777" w:rsidR="00F04729" w:rsidRDefault="00F04729" w:rsidP="00F04729">
      <w:pPr>
        <w:spacing w:line="360" w:lineRule="auto"/>
      </w:pPr>
    </w:p>
    <w:p w14:paraId="17748133" w14:textId="77777777" w:rsidR="00F04729" w:rsidRDefault="00F04729" w:rsidP="00F04729">
      <w:pPr>
        <w:spacing w:line="360" w:lineRule="auto"/>
      </w:pPr>
    </w:p>
    <w:p w14:paraId="6B8D3C0B" w14:textId="77777777" w:rsidR="00F04729" w:rsidRDefault="00F04729" w:rsidP="00F04729">
      <w:pPr>
        <w:spacing w:line="360" w:lineRule="auto"/>
      </w:pPr>
    </w:p>
    <w:p w14:paraId="24456CE1" w14:textId="77777777" w:rsidR="00F04729" w:rsidRDefault="00F04729" w:rsidP="00F04729">
      <w:pPr>
        <w:spacing w:line="360" w:lineRule="auto"/>
      </w:pPr>
    </w:p>
    <w:p w14:paraId="166EC962" w14:textId="77777777" w:rsidR="00F04729" w:rsidRDefault="00F04729" w:rsidP="00F04729">
      <w:pPr>
        <w:spacing w:line="360" w:lineRule="auto"/>
      </w:pPr>
    </w:p>
    <w:p w14:paraId="33307FAE" w14:textId="77777777" w:rsidR="00F04729" w:rsidRDefault="00F04729" w:rsidP="00F04729">
      <w:pPr>
        <w:spacing w:line="360" w:lineRule="auto"/>
      </w:pPr>
    </w:p>
    <w:p w14:paraId="669F1033" w14:textId="77777777" w:rsidR="00F04729" w:rsidRDefault="00F04729" w:rsidP="00F04729">
      <w:pPr>
        <w:spacing w:line="360" w:lineRule="auto"/>
      </w:pPr>
    </w:p>
    <w:p w14:paraId="7F3D5422" w14:textId="77777777" w:rsidR="00F04729" w:rsidRDefault="00F04729" w:rsidP="00F04729">
      <w:pPr>
        <w:spacing w:line="360" w:lineRule="auto"/>
      </w:pPr>
    </w:p>
    <w:p w14:paraId="6ED193DC" w14:textId="77777777" w:rsidR="00F04729" w:rsidRPr="00F04729" w:rsidRDefault="00F04729" w:rsidP="00F04729">
      <w:pPr>
        <w:spacing w:line="360" w:lineRule="auto"/>
        <w:rPr>
          <w:b/>
        </w:rPr>
      </w:pPr>
      <w:r w:rsidRPr="00F04729">
        <w:rPr>
          <w:b/>
        </w:rPr>
        <w:t>Essay two: Examine the various socio-economic and psychological characteristics which can make people vulnerable to exploitation by criminal gangs.</w:t>
      </w:r>
    </w:p>
    <w:p w14:paraId="79225455" w14:textId="77777777" w:rsidR="00F04729" w:rsidRDefault="00F04729" w:rsidP="00F04729">
      <w:pPr>
        <w:spacing w:line="360" w:lineRule="auto"/>
      </w:pPr>
      <w:r>
        <w:t xml:space="preserve">The exploitation by criminal gangs and organisations, of vulnerable children, young people and adults has been a much publicised topic in recent years. A recognisable topic on this theme is that of County Lines, whereby vulnerable individuals, often children and young people are violently exploited to move drugs and associated resources such as weapons and money across different parts of the UK, particularly into neighbouring counties and local authorities (Home Office, 2023). Hayes (2021) suggests an increase in youth and gang violence and crime, highlighting that a change to policy is required to enable more funding for organisations to support. Many strategies from UK government agencies, NHS bodies, safeguarding agencies and children’s charities are currently being worked towards, with the aim of reducing the impact that exploitation of this nature has on individuals, families and wider communities. Throughout this work recognition of the psycho-social factors that result in vulnerability to exploitation is highlighted and in policing, having an awareness of these risks can give opportunities to recognise those that may be vulnerable and may support prevention and proactive strategies to reduce the incidence. As a police service, it is important that, as the Code of Ethics (College of Policing, 2024, 2014) advocate that there is recognition of vulnerability in individuals and respect is paid to their needs. Therefore, having an awareness of those at risk will support pro-active policing and interaction.  </w:t>
      </w:r>
    </w:p>
    <w:p w14:paraId="350A32FF" w14:textId="77777777" w:rsidR="00F04729" w:rsidRDefault="00F04729" w:rsidP="00F04729">
      <w:pPr>
        <w:spacing w:line="360" w:lineRule="auto"/>
      </w:pPr>
      <w:r>
        <w:t>The Children’s Society (2019) suggest, in the absence of a formal definition of child criminal exploitation, that a definition from the descriptions of children and young people be considered, whereby it is seen as trusted individuals making vulnerable children and young people commit criminal acts for the benefit of the individual being trusted.</w:t>
      </w:r>
    </w:p>
    <w:p w14:paraId="63532CB0" w14:textId="77777777" w:rsidR="00F04729" w:rsidRDefault="00F04729" w:rsidP="00F04729">
      <w:pPr>
        <w:spacing w:line="360" w:lineRule="auto"/>
      </w:pPr>
      <w:r>
        <w:t xml:space="preserve">Research by Shaw &amp; Greenhow (2020), that sought the views of health and social professionals through interviews and focus groups, highlights that children and young people who reside in the care system in the UK are particularly vulnerable, especially when shortcomings in the care system are factored into findings.  Marshall (2023) adds that children and young people who have had experience of the criminal justice system, through criminal offences, are also susceptible to exploitation by criminal gangs and individuals. Marshall (2023) suggests that relabelling young offenders as victims of exploitation. This, suggests Marshall (2023), opens up support avenues to the </w:t>
      </w:r>
      <w:r>
        <w:lastRenderedPageBreak/>
        <w:t xml:space="preserve">individual to access support and guidance, with the aim of being steered away from reoffending and solicited into more serious, sometimes violent, criminality. </w:t>
      </w:r>
    </w:p>
    <w:p w14:paraId="08E643CB" w14:textId="77777777" w:rsidR="00F04729" w:rsidRDefault="00F04729" w:rsidP="00F04729">
      <w:pPr>
        <w:spacing w:line="360" w:lineRule="auto"/>
      </w:pPr>
      <w:r>
        <w:t xml:space="preserve">Children and young people in the care system, or those reaching formal adulthood and are therefore, care leavers, are greatly vulnerable to exploitation. This can be associated with significant emotional, behavioural and mental health needs, with a lack of stability being experienced as a result of movement between multiple care settings and the inability to form protective relationships with trusting adults (Local Government Association, 2021). Hallett (2015) completed qualitative research using interviews with young people who had experienced exploitation and with professionals involved in the identification of exploitation. Hallett’s (2015) findings reinforce that children &amp; young people who are part of the care system in the UK are more susceptible to exploitation (in this instance sexual exploitation) and that the young people interviewed align themselves, as care receivers, to being exploited. One respondent to the research suggested that despite the exploiters being those that caused her harm, she sought solace in the attention given by them, correlating the concept of lack of stability and meaningful relationships for children and young people in care. </w:t>
      </w:r>
    </w:p>
    <w:p w14:paraId="04C36CC9" w14:textId="77777777" w:rsidR="00F04729" w:rsidRDefault="00F04729" w:rsidP="00F04729">
      <w:pPr>
        <w:spacing w:line="360" w:lineRule="auto"/>
      </w:pPr>
      <w:r>
        <w:t xml:space="preserve">Individuals that have a learning disability experience a higher risk of violence and exploitation, in particular those with communication difficulties (Jones, Bellis, Wood et al 2012). Franklin &amp; Smeaton (2017) suggest that this group of individuals are almost twice as likely to experience exploitation and are less likely to disclose having been the subject of exploitative behaviour, as well as violence and abuse, to professionals. This may be considered a significant factor when police services are interacting with people with learning disabilities and highlights the need to have a robust awareness of needs and circumstances. </w:t>
      </w:r>
    </w:p>
    <w:p w14:paraId="58310AAC" w14:textId="77777777" w:rsidR="00F04729" w:rsidRDefault="00F04729" w:rsidP="00F04729">
      <w:pPr>
        <w:spacing w:line="360" w:lineRule="auto"/>
      </w:pPr>
      <w:r>
        <w:t xml:space="preserve">The National Crime Agency (2019) suggest that more robust and co-ordinated work and approaches are needed to tackle exploitation of vulnerable children, young people and adults and that agencies, especially the police require a collaborative approach with partner agencies, including health, education and local authority, as well as charitable organisations to reduce the incidence and impact of exploitative practices. Support for all vulnerable individuals, with the goal of diversion away from crime and exploitation by criminal gangs is the aim of many interventions within local policing initiatives across the UK. An evaluation of these initiatives highlight the characteristic risks of exploitation that include family breakdown, child abuse, individuals with learning and cognitive disability or difficulty that may be vulnerable to cuckooing and other exploitative practices by organised gangs (College of Policing, 2022). </w:t>
      </w:r>
    </w:p>
    <w:p w14:paraId="6C735667" w14:textId="77777777" w:rsidR="00F04729" w:rsidRDefault="00F04729" w:rsidP="00F04729">
      <w:pPr>
        <w:spacing w:line="360" w:lineRule="auto"/>
      </w:pPr>
      <w:r>
        <w:lastRenderedPageBreak/>
        <w:t xml:space="preserve">An extensive amount of work is being initiated and undertaken by police forces across the UK to reduce the risks and harm that the exploitation of vulnerable people creates to individuals, families and communities. Having an awareness of those most at risk can provide policing services with the tools for better recognition and intervention with the ultimate aim of the eradication of this heinous practice. </w:t>
      </w:r>
    </w:p>
    <w:p w14:paraId="1FC6992B" w14:textId="77777777" w:rsidR="00F04729" w:rsidRDefault="00F04729" w:rsidP="00F04729">
      <w:pPr>
        <w:spacing w:line="360" w:lineRule="auto"/>
      </w:pPr>
    </w:p>
    <w:p w14:paraId="20EEC1E4" w14:textId="77777777" w:rsidR="00F04729" w:rsidRPr="00F04729" w:rsidRDefault="00F04729" w:rsidP="00F04729">
      <w:pPr>
        <w:spacing w:line="360" w:lineRule="auto"/>
        <w:rPr>
          <w:b/>
          <w:u w:val="single"/>
        </w:rPr>
      </w:pPr>
      <w:r w:rsidRPr="00F04729">
        <w:rPr>
          <w:b/>
          <w:u w:val="single"/>
        </w:rPr>
        <w:t>Reference List</w:t>
      </w:r>
    </w:p>
    <w:p w14:paraId="0291154F" w14:textId="77777777" w:rsidR="00F04729" w:rsidRDefault="00F04729" w:rsidP="00F04729">
      <w:pPr>
        <w:spacing w:line="360" w:lineRule="auto"/>
      </w:pPr>
      <w:r>
        <w:t xml:space="preserve">College of Policing (2024) </w:t>
      </w:r>
      <w:r>
        <w:rPr>
          <w:i/>
        </w:rPr>
        <w:t>Code of Practice for Ethical Policing</w:t>
      </w:r>
      <w:r>
        <w:t xml:space="preserve">. </w:t>
      </w:r>
      <w:hyperlink r:id="rId11" w:history="1">
        <w:r>
          <w:rPr>
            <w:rStyle w:val="Hyperlink"/>
          </w:rPr>
          <w:t>Code of Practice for Ethical Policing | College of Policing</w:t>
        </w:r>
      </w:hyperlink>
      <w:r>
        <w:t xml:space="preserve"> accessed on 08/01/2024</w:t>
      </w:r>
    </w:p>
    <w:p w14:paraId="12EB2423" w14:textId="77777777" w:rsidR="00F04729" w:rsidRPr="00AC1640" w:rsidRDefault="00F04729" w:rsidP="00F04729">
      <w:pPr>
        <w:spacing w:line="360" w:lineRule="auto"/>
      </w:pPr>
      <w:r>
        <w:t xml:space="preserve">College of Policing (2022) </w:t>
      </w:r>
      <w:r>
        <w:rPr>
          <w:i/>
        </w:rPr>
        <w:t>Vulnerability and Violent Crimes Interventions</w:t>
      </w:r>
      <w:r>
        <w:t xml:space="preserve">. </w:t>
      </w:r>
      <w:hyperlink r:id="rId12" w:history="1">
        <w:r>
          <w:rPr>
            <w:rStyle w:val="Hyperlink"/>
          </w:rPr>
          <w:t>Vulnerability and violent crime interventions | College of Policing</w:t>
        </w:r>
      </w:hyperlink>
      <w:r>
        <w:t xml:space="preserve"> accessed on 03/01/2024</w:t>
      </w:r>
    </w:p>
    <w:p w14:paraId="61D5FB2D" w14:textId="77777777" w:rsidR="00F04729" w:rsidRDefault="00F04729" w:rsidP="00F04729">
      <w:pPr>
        <w:spacing w:line="360" w:lineRule="auto"/>
      </w:pPr>
      <w:r>
        <w:t xml:space="preserve">College of Policing (2014) </w:t>
      </w:r>
      <w:r>
        <w:rPr>
          <w:i/>
        </w:rPr>
        <w:t xml:space="preserve">Code of Ethics.  </w:t>
      </w:r>
      <w:r w:rsidRPr="00AF2421">
        <w:rPr>
          <w:i/>
        </w:rPr>
        <w:t>A Code of Practice for the Principles and Standards of Professional Behaviour for the Policing Profession of England and Wales</w:t>
      </w:r>
      <w:r>
        <w:t xml:space="preserve">. </w:t>
      </w:r>
      <w:hyperlink r:id="rId13" w:history="1">
        <w:r>
          <w:rPr>
            <w:rStyle w:val="Hyperlink"/>
          </w:rPr>
          <w:t>code_of_ethics.pdf (college.police.uk)</w:t>
        </w:r>
      </w:hyperlink>
      <w:r>
        <w:t xml:space="preserve"> accessed on 23/12/2023</w:t>
      </w:r>
    </w:p>
    <w:p w14:paraId="6911E17C" w14:textId="77777777" w:rsidR="00F04729" w:rsidRPr="00DF530F" w:rsidRDefault="00F04729" w:rsidP="00F04729">
      <w:pPr>
        <w:spacing w:line="360" w:lineRule="auto"/>
      </w:pPr>
      <w:r>
        <w:t xml:space="preserve">Hallett, S. (2015) ‘An uncomfortable comfortableness’: ‘care’, child protection and child sexual exploitation. </w:t>
      </w:r>
      <w:r>
        <w:rPr>
          <w:i/>
        </w:rPr>
        <w:t>British Journal of Social Work</w:t>
      </w:r>
      <w:r>
        <w:t xml:space="preserve">. Vol. 46 p.2137-2152 </w:t>
      </w:r>
    </w:p>
    <w:p w14:paraId="6E0440B7" w14:textId="77777777" w:rsidR="00F04729" w:rsidRPr="009F730B" w:rsidRDefault="00F04729" w:rsidP="00F04729">
      <w:pPr>
        <w:spacing w:line="360" w:lineRule="auto"/>
      </w:pPr>
      <w:r>
        <w:t xml:space="preserve">Hayes, D. (2021) Gangs and criminal exploitation. . </w:t>
      </w:r>
      <w:r>
        <w:rPr>
          <w:i/>
        </w:rPr>
        <w:t>Children and Young People Now</w:t>
      </w:r>
      <w:r>
        <w:t xml:space="preserve">. Vol. 2019, 8 </w:t>
      </w:r>
    </w:p>
    <w:p w14:paraId="3433912F" w14:textId="77777777" w:rsidR="00F04729" w:rsidRDefault="00F04729" w:rsidP="00F04729">
      <w:pPr>
        <w:spacing w:line="360" w:lineRule="auto"/>
      </w:pPr>
      <w:r>
        <w:t xml:space="preserve">Home Office (2023) </w:t>
      </w:r>
      <w:r>
        <w:rPr>
          <w:i/>
        </w:rPr>
        <w:t>Criminal Exploitation of Children and Vulnerable Adults: County Lines</w:t>
      </w:r>
      <w:r>
        <w:t xml:space="preserve">. </w:t>
      </w:r>
      <w:hyperlink r:id="rId14" w:anchor="what-is-county-lines-exploitation" w:history="1">
        <w:r>
          <w:rPr>
            <w:rStyle w:val="Hyperlink"/>
          </w:rPr>
          <w:t>Criminal exploitation of children and vulnerable adults: county lines (accessible version) - GOV.UK (www.gov.uk)</w:t>
        </w:r>
      </w:hyperlink>
      <w:r>
        <w:t xml:space="preserve"> accessed on 22/12/2023</w:t>
      </w:r>
    </w:p>
    <w:p w14:paraId="395596B6" w14:textId="77777777" w:rsidR="00F04729" w:rsidRPr="002E1CFF" w:rsidRDefault="00F04729" w:rsidP="00F04729">
      <w:pPr>
        <w:spacing w:line="360" w:lineRule="auto"/>
      </w:pPr>
      <w:r>
        <w:t xml:space="preserve">Jones, J., Bellis, M., Wood, S. et al (2012) Prevalence and risk of violence against children with disabilities: a systematic review and meta-analysis of observational studies. </w:t>
      </w:r>
      <w:r>
        <w:rPr>
          <w:i/>
        </w:rPr>
        <w:t>Lancet.</w:t>
      </w:r>
      <w:r>
        <w:t xml:space="preserve"> Vol. 8, 380, p.899-907</w:t>
      </w:r>
    </w:p>
    <w:p w14:paraId="23838768" w14:textId="77777777" w:rsidR="00F04729" w:rsidRDefault="00F04729" w:rsidP="00F04729">
      <w:pPr>
        <w:spacing w:line="360" w:lineRule="auto"/>
      </w:pPr>
      <w:r>
        <w:t xml:space="preserve">Local Government Association (2021) </w:t>
      </w:r>
      <w:r>
        <w:rPr>
          <w:i/>
        </w:rPr>
        <w:t>Tackling Child Exploitation. Resource Pack</w:t>
      </w:r>
      <w:r>
        <w:t xml:space="preserve">. </w:t>
      </w:r>
      <w:hyperlink r:id="rId15" w:history="1">
        <w:r w:rsidRPr="00355B9D">
          <w:rPr>
            <w:color w:val="0000FF"/>
            <w:u w:val="single"/>
          </w:rPr>
          <w:t>Tackling child exploitation: resources pack | Local Government Association</w:t>
        </w:r>
      </w:hyperlink>
      <w:r>
        <w:t xml:space="preserve"> accessed on 03/01/2024</w:t>
      </w:r>
    </w:p>
    <w:p w14:paraId="07EE589B" w14:textId="77777777" w:rsidR="00F04729" w:rsidRPr="002C434A" w:rsidRDefault="00F04729" w:rsidP="00F04729">
      <w:pPr>
        <w:spacing w:line="360" w:lineRule="auto"/>
      </w:pPr>
      <w:r>
        <w:t xml:space="preserve">National Crime Agency (2019) </w:t>
      </w:r>
      <w:r>
        <w:rPr>
          <w:i/>
        </w:rPr>
        <w:t>Intelligence Assessment: County Lines Drug Supply, Vulnerability and Harm 2018</w:t>
      </w:r>
      <w:r>
        <w:t xml:space="preserve">. </w:t>
      </w:r>
      <w:hyperlink r:id="rId16" w:history="1">
        <w:r>
          <w:rPr>
            <w:rStyle w:val="Hyperlink"/>
          </w:rPr>
          <w:t>file (nationalcrimeagency.gov.uk)</w:t>
        </w:r>
      </w:hyperlink>
      <w:r>
        <w:t xml:space="preserve"> accessed on </w:t>
      </w:r>
      <w:proofErr w:type="gramStart"/>
      <w:r>
        <w:t>07/01/2024</w:t>
      </w:r>
      <w:proofErr w:type="gramEnd"/>
    </w:p>
    <w:p w14:paraId="5DC9F225" w14:textId="77777777" w:rsidR="00F04729" w:rsidRPr="009F730B" w:rsidRDefault="00F04729" w:rsidP="00F04729">
      <w:pPr>
        <w:spacing w:line="360" w:lineRule="auto"/>
      </w:pPr>
      <w:r>
        <w:t xml:space="preserve">Shaw, J. &amp; Greenhow, S. (2020) Children in care: exploitation, offending and the denial of victimhood in a prosecution-led culture of practice. </w:t>
      </w:r>
      <w:r>
        <w:rPr>
          <w:i/>
        </w:rPr>
        <w:t>The British Journal of Social Work</w:t>
      </w:r>
      <w:r>
        <w:t>. Vol. 50, 5, p.1551-1569</w:t>
      </w:r>
    </w:p>
    <w:p w14:paraId="275B6C5B" w14:textId="77777777" w:rsidR="00F04729" w:rsidRDefault="00F04729" w:rsidP="00F04729">
      <w:pPr>
        <w:spacing w:line="360" w:lineRule="auto"/>
      </w:pPr>
    </w:p>
    <w:p w14:paraId="79589CA5" w14:textId="77777777" w:rsidR="00F04729" w:rsidRDefault="00F04729" w:rsidP="00F04729">
      <w:pPr>
        <w:spacing w:line="360" w:lineRule="auto"/>
      </w:pPr>
    </w:p>
    <w:p w14:paraId="577E71FB" w14:textId="77777777" w:rsidR="00F04729" w:rsidRDefault="00F04729" w:rsidP="00F04729">
      <w:pPr>
        <w:spacing w:line="360" w:lineRule="auto"/>
      </w:pPr>
    </w:p>
    <w:p w14:paraId="28E796C2" w14:textId="77777777" w:rsidR="00F04729" w:rsidRPr="00F04729" w:rsidRDefault="00F04729" w:rsidP="00F04729">
      <w:pPr>
        <w:spacing w:line="360" w:lineRule="auto"/>
        <w:rPr>
          <w:b/>
        </w:rPr>
      </w:pPr>
      <w:r w:rsidRPr="00F04729">
        <w:rPr>
          <w:b/>
        </w:rPr>
        <w:t>Is MAPPA an effective means of managing violent and sexual offenders? What increases or detracts from its effectiveness?</w:t>
      </w:r>
    </w:p>
    <w:p w14:paraId="578F4B85" w14:textId="77777777" w:rsidR="00F04729" w:rsidRDefault="00F04729" w:rsidP="00F04729">
      <w:pPr>
        <w:spacing w:line="360" w:lineRule="auto"/>
      </w:pPr>
      <w:r>
        <w:t xml:space="preserve">The police, as a professional body, have a statutory duty to protect the public from harm and to prevent crime (College of Policing, 2014). For over 20 years Multi-agency Public Protection Arrangement (MAPPA) is an arrangement that has been in place, in England and Wales, to safely manage the risk posed by individuals that may pose a significant harm to the public, achieved through the core functions of; identification of individuals; the assessment and management of the risk posed; and the sharing of relevant information to ensure public safety (Taylor &amp; </w:t>
      </w:r>
      <w:proofErr w:type="spellStart"/>
      <w:r>
        <w:t>Yakeley</w:t>
      </w:r>
      <w:proofErr w:type="spellEnd"/>
      <w:r>
        <w:t xml:space="preserve"> (2019). Those individuals broadly include registered sex offenders and those who have committed, and have been imprisoned for, violent crime (HM Prison &amp; Probation Service, 2023). The MAPPA process places offenders into one of three categories and the subsequent risk assessment and management of the individual place them into an identified and agreed level of management, usually directed  by the number of agencies involved, the intensity of the involvement utilised to manage them.</w:t>
      </w:r>
    </w:p>
    <w:p w14:paraId="2F510C40" w14:textId="77777777" w:rsidR="00F04729" w:rsidRDefault="00F04729" w:rsidP="00F04729">
      <w:pPr>
        <w:spacing w:line="360" w:lineRule="auto"/>
      </w:pPr>
      <w:r>
        <w:t>MAAPA is considered a community protection model that prioritises the rights of communities and victims over those of the offender, through robust restriction, monitoring, treatment and control, achieved through partnership collaboration (</w:t>
      </w:r>
      <w:proofErr w:type="spellStart"/>
      <w:r>
        <w:t>Kemshall</w:t>
      </w:r>
      <w:proofErr w:type="spellEnd"/>
      <w:r>
        <w:t xml:space="preserve">, 2023).  As with many processes that rely upon the collaboration of a range of agencies and professionals, there can be a fallibility associated with the arrangements and whilst the strength of MAPPA may be contributed to robust collaboration, liaison and information sharing across agencies, resulting in the experiences of MAPPA being generally positive (Taylor &amp; </w:t>
      </w:r>
      <w:proofErr w:type="spellStart"/>
      <w:r>
        <w:t>Yakeley</w:t>
      </w:r>
      <w:proofErr w:type="spellEnd"/>
      <w:r>
        <w:t xml:space="preserve">, 2019), the implementation of legal powers for any given agency can often be delayed for a range of factors (van </w:t>
      </w:r>
      <w:proofErr w:type="spellStart"/>
      <w:r>
        <w:t>Felius</w:t>
      </w:r>
      <w:proofErr w:type="spellEnd"/>
      <w:r>
        <w:t xml:space="preserve"> &amp; Bates et al, 2023), including lack of resource, the need for a different agency to act first or an agency or professional considering that the use of legal powers may not be the most appropriate. Despite the authors recognising the limitations of bias and rigour in qualitative research methods, the semi-structured interviews used in this qualitative paper were sourced from a large participant group, intentionally collated to reduce the risk of this. </w:t>
      </w:r>
    </w:p>
    <w:p w14:paraId="534FD268" w14:textId="77777777" w:rsidR="00F04729" w:rsidRDefault="00F04729" w:rsidP="00F04729">
      <w:pPr>
        <w:spacing w:line="360" w:lineRule="auto"/>
      </w:pPr>
      <w:proofErr w:type="spellStart"/>
      <w:r>
        <w:t>Yakeley</w:t>
      </w:r>
      <w:proofErr w:type="spellEnd"/>
      <w:r>
        <w:t xml:space="preserve"> &amp; Taylor (2011) suggest that MAPPA processes may prioritise the safety of the public whilst neglecting the human rights of the offender, from the perspective of privacy and confidentiality with Goethals (2018) adding that ongoing intrusion can have an effect on an individual’s rights. Yet Wong </w:t>
      </w:r>
      <w:r>
        <w:lastRenderedPageBreak/>
        <w:t xml:space="preserve">(2021) implies that the information sharing evoked from MAPPA processes, is a critical concept when considering the work of counter-terrorism agencies. In terms of victims and of resource capacity, however, McCartan, </w:t>
      </w:r>
      <w:proofErr w:type="spellStart"/>
      <w:r>
        <w:t>Hoggett</w:t>
      </w:r>
      <w:proofErr w:type="spellEnd"/>
      <w:r>
        <w:t xml:space="preserve"> &amp; </w:t>
      </w:r>
      <w:proofErr w:type="spellStart"/>
      <w:r>
        <w:t>Kemshall</w:t>
      </w:r>
      <w:proofErr w:type="spellEnd"/>
      <w:r>
        <w:t xml:space="preserve"> (2018) imply form their work that more resource should be prioritised and utilised into crime prevention, to subsequently reduce the resource heavy work required to identify and manage offenders following conviction and subsequent release from prison. </w:t>
      </w:r>
    </w:p>
    <w:p w14:paraId="3847D3D9" w14:textId="77777777" w:rsidR="00F04729" w:rsidRDefault="00F04729" w:rsidP="00F04729">
      <w:pPr>
        <w:spacing w:line="360" w:lineRule="auto"/>
      </w:pPr>
      <w:r>
        <w:t xml:space="preserve">A literature review by Pemberton &amp; Kewley et al (2023) found that MAPPA processes can be successful and effective but there is great importance and responsibility placed upon the specialist individual professionals tasked with the management of sexual or violent offenders (MOSOVO) whose drive and belief that offenders can transition into an alternative lifestyle choice bears the core of MAPPA success. Pemberton &amp; Kewley (2023) add that the training, development and professional support of MOSOVO staff is key to their motivation by providing them with the knowledge and skills to not only identify and manage risk but to also recognise and support the strengths of offenders and utilise these to affect behaviour change. </w:t>
      </w:r>
    </w:p>
    <w:p w14:paraId="3696ED2C" w14:textId="77777777" w:rsidR="00F04729" w:rsidRDefault="00F04729" w:rsidP="00F04729">
      <w:pPr>
        <w:spacing w:line="360" w:lineRule="auto"/>
      </w:pPr>
      <w:r>
        <w:t xml:space="preserve">Christensen &amp; Rayment-McHugh et al (2022) performed a broad-ranging literature review into assessing police management strategies in monitoring child sex offenders, establishing that risk management, alongside the use of available technology were the most reliable factors in increasing and maintaining public safety. The literature simultaneously highlighted that there are extrinsic factors that have negative impacts upon success, when considering the management of offenders that are of high risk, including resource and capacity of any given service and that of reliable and timely information sharing, with the latter being cited as reason for failings on the majority of occasions. There were limitations cited for this paper, however, with the authors suggesting that it was not a full systematic literature review. However, they add that the Rapid Evidence Assessment method is suitable for reviewing policy related material and the effects that those policies may have. </w:t>
      </w:r>
    </w:p>
    <w:p w14:paraId="57157372" w14:textId="77777777" w:rsidR="00F04729" w:rsidRDefault="00F04729" w:rsidP="00F04729">
      <w:pPr>
        <w:spacing w:line="360" w:lineRule="auto"/>
      </w:pPr>
      <w:r>
        <w:t xml:space="preserve">Evidence suggests that success can be borne from the use of processes such as MAPPA when identifying and managing the risk posed to the public by violent offenders and sex offenders. However, those successes care dependent upon a range of factors, mainly external but with some evidence of intrinsic characteristics too. Motivation and passion from those tasked with the role of change agents is key to success. When coupled with training, development, resource and a reliable mechanism for the sharing of critical information about offenders, that may be balanced with the rights of the offender and the victim (whether individually or collectively), success of these high risk situations may increase, with a positive outcome for the offender and more critically for victims and wider communities.  </w:t>
      </w:r>
    </w:p>
    <w:p w14:paraId="6CFABAAC" w14:textId="77777777" w:rsidR="00F04729" w:rsidRDefault="00F04729" w:rsidP="00F04729">
      <w:pPr>
        <w:spacing w:line="360" w:lineRule="auto"/>
      </w:pPr>
    </w:p>
    <w:p w14:paraId="69D845A7" w14:textId="77777777" w:rsidR="00F04729" w:rsidRPr="00F04729" w:rsidRDefault="00F04729" w:rsidP="00F04729">
      <w:pPr>
        <w:spacing w:line="360" w:lineRule="auto"/>
        <w:rPr>
          <w:b/>
          <w:u w:val="single"/>
        </w:rPr>
      </w:pPr>
      <w:r w:rsidRPr="00F04729">
        <w:rPr>
          <w:b/>
          <w:u w:val="single"/>
        </w:rPr>
        <w:t>Reference List</w:t>
      </w:r>
    </w:p>
    <w:p w14:paraId="28F50A89" w14:textId="77777777" w:rsidR="00F04729" w:rsidRDefault="00F04729" w:rsidP="00F04729">
      <w:pPr>
        <w:spacing w:line="360" w:lineRule="auto"/>
      </w:pPr>
      <w:r>
        <w:t xml:space="preserve">Christensen, L., Rayment-McHugh, S. &amp; McKillop, N. et al (2021) Understanding what works in the police management of child sex offenders in community. </w:t>
      </w:r>
      <w:r>
        <w:rPr>
          <w:i/>
        </w:rPr>
        <w:t>The Police Journal: Theory, Practice and Principles</w:t>
      </w:r>
      <w:r>
        <w:t>. Vol. 95, 3, p.508-536</w:t>
      </w:r>
    </w:p>
    <w:p w14:paraId="5BA1EEB4" w14:textId="77777777" w:rsidR="00F04729" w:rsidRDefault="00F04729" w:rsidP="00F04729">
      <w:pPr>
        <w:spacing w:line="360" w:lineRule="auto"/>
      </w:pPr>
      <w:r>
        <w:t xml:space="preserve">College of Policing (2014) </w:t>
      </w:r>
      <w:r>
        <w:rPr>
          <w:i/>
        </w:rPr>
        <w:t xml:space="preserve">Code of Ethics.  </w:t>
      </w:r>
      <w:r w:rsidRPr="00AF2421">
        <w:rPr>
          <w:i/>
        </w:rPr>
        <w:t>A Code of Practice for the Principles and Standards of Professional Behaviour for the Policing Profession of England and Wales</w:t>
      </w:r>
      <w:r>
        <w:t xml:space="preserve">. </w:t>
      </w:r>
      <w:hyperlink r:id="rId17" w:history="1">
        <w:r>
          <w:rPr>
            <w:rStyle w:val="Hyperlink"/>
          </w:rPr>
          <w:t>code_of_ethics.pdf (college.police.uk)</w:t>
        </w:r>
      </w:hyperlink>
      <w:r>
        <w:t xml:space="preserve"> accessed on 23/12/2023</w:t>
      </w:r>
    </w:p>
    <w:p w14:paraId="6E4F4D6C" w14:textId="77777777" w:rsidR="00F04729" w:rsidRDefault="00F04729" w:rsidP="00F04729">
      <w:pPr>
        <w:spacing w:line="360" w:lineRule="auto"/>
      </w:pPr>
      <w:r>
        <w:t xml:space="preserve">HM Prison &amp; Probation Service (2023) </w:t>
      </w:r>
      <w:r>
        <w:rPr>
          <w:i/>
        </w:rPr>
        <w:t>MAPPA Guidance</w:t>
      </w:r>
      <w:r>
        <w:t xml:space="preserve">. </w:t>
      </w:r>
      <w:hyperlink r:id="rId18" w:history="1">
        <w:r>
          <w:rPr>
            <w:rStyle w:val="Hyperlink"/>
          </w:rPr>
          <w:t>MAPPA_Guidance__March_2023_.docx (live.com)</w:t>
        </w:r>
      </w:hyperlink>
      <w:r>
        <w:t xml:space="preserve"> accessed on 04/01/2024 </w:t>
      </w:r>
    </w:p>
    <w:p w14:paraId="735A26DC" w14:textId="77777777" w:rsidR="00F04729" w:rsidRDefault="00F04729" w:rsidP="00F04729">
      <w:pPr>
        <w:spacing w:line="360" w:lineRule="auto"/>
      </w:pPr>
      <w:r>
        <w:t xml:space="preserve">Taylor, R. &amp; </w:t>
      </w:r>
      <w:proofErr w:type="spellStart"/>
      <w:r>
        <w:t>Yakeley</w:t>
      </w:r>
      <w:proofErr w:type="spellEnd"/>
      <w:r>
        <w:t xml:space="preserve">, J. (2019) Working with MAPPA: ethics and pragmatics. </w:t>
      </w:r>
      <w:proofErr w:type="spellStart"/>
      <w:r>
        <w:rPr>
          <w:i/>
        </w:rPr>
        <w:t>BJPsych</w:t>
      </w:r>
      <w:proofErr w:type="spellEnd"/>
      <w:r>
        <w:rPr>
          <w:i/>
        </w:rPr>
        <w:t xml:space="preserve"> Advances</w:t>
      </w:r>
      <w:r>
        <w:t xml:space="preserve">. Vol, 25, 3, p.157-165 </w:t>
      </w:r>
    </w:p>
    <w:p w14:paraId="6491C539" w14:textId="77777777" w:rsidR="00F04729" w:rsidRDefault="00F04729" w:rsidP="00F04729">
      <w:pPr>
        <w:spacing w:line="360" w:lineRule="auto"/>
      </w:pPr>
      <w:r>
        <w:t xml:space="preserve">Goethals, K. (2018) </w:t>
      </w:r>
      <w:r>
        <w:rPr>
          <w:i/>
        </w:rPr>
        <w:t>Forensic Psychiatry and Psychology in Europe</w:t>
      </w:r>
      <w:r>
        <w:t>. New York. Springer</w:t>
      </w:r>
    </w:p>
    <w:p w14:paraId="47480CEC" w14:textId="77777777" w:rsidR="00F04729" w:rsidRPr="00C76108" w:rsidRDefault="00F04729" w:rsidP="00F04729">
      <w:pPr>
        <w:spacing w:line="360" w:lineRule="auto"/>
        <w:rPr>
          <w:i/>
        </w:rPr>
      </w:pPr>
      <w:proofErr w:type="spellStart"/>
      <w:r>
        <w:t>Kemshall</w:t>
      </w:r>
      <w:proofErr w:type="spellEnd"/>
      <w:r>
        <w:t xml:space="preserve">, H. (2023) </w:t>
      </w:r>
      <w:r w:rsidRPr="00C76108">
        <w:rPr>
          <w:i/>
        </w:rPr>
        <w:t>Multi-agency Public Protection Arrangements and Youth Justice</w:t>
      </w:r>
      <w:r>
        <w:t>. London. Jessica Kingsley</w:t>
      </w:r>
    </w:p>
    <w:p w14:paraId="3224A52F" w14:textId="77777777" w:rsidR="00F04729" w:rsidRDefault="00F04729" w:rsidP="00F04729">
      <w:pPr>
        <w:spacing w:line="360" w:lineRule="auto"/>
      </w:pPr>
      <w:r>
        <w:t xml:space="preserve">McCartan, K., </w:t>
      </w:r>
      <w:proofErr w:type="spellStart"/>
      <w:r>
        <w:t>Hoggett</w:t>
      </w:r>
      <w:proofErr w:type="spellEnd"/>
      <w:r>
        <w:t xml:space="preserve">, J. &amp; </w:t>
      </w:r>
      <w:proofErr w:type="spellStart"/>
      <w:r>
        <w:t>Kemshall</w:t>
      </w:r>
      <w:proofErr w:type="spellEnd"/>
      <w:r>
        <w:t xml:space="preserve">, H. (2018) Risk assessment and management of individuals convicted of a sexual offence in the UK. </w:t>
      </w:r>
      <w:r>
        <w:rPr>
          <w:i/>
        </w:rPr>
        <w:t>Sexual Offender Treatment</w:t>
      </w:r>
      <w:r>
        <w:t xml:space="preserve"> Vol. 13, 1, p.1-8</w:t>
      </w:r>
    </w:p>
    <w:p w14:paraId="42E1C1AF" w14:textId="77777777" w:rsidR="00F04729" w:rsidRPr="00B02301" w:rsidRDefault="00F04729" w:rsidP="00F04729">
      <w:pPr>
        <w:spacing w:line="360" w:lineRule="auto"/>
      </w:pPr>
      <w:r>
        <w:t xml:space="preserve">Pemberton, S., Kewley, S. &amp; Mydlowski, L. (2023) The police as formal agents of change: assisting desistance in individuals convicted of sexual offences. </w:t>
      </w:r>
      <w:r>
        <w:rPr>
          <w:i/>
        </w:rPr>
        <w:t>Journal of Community Safety &amp; Well-being</w:t>
      </w:r>
      <w:r>
        <w:t>. Vol. 8, 4, p.191-196</w:t>
      </w:r>
    </w:p>
    <w:p w14:paraId="69D02698" w14:textId="77777777" w:rsidR="00F04729" w:rsidRDefault="00F04729" w:rsidP="00F04729">
      <w:pPr>
        <w:spacing w:line="360" w:lineRule="auto"/>
      </w:pPr>
      <w:r>
        <w:t xml:space="preserve">Van </w:t>
      </w:r>
      <w:proofErr w:type="spellStart"/>
      <w:r>
        <w:t>Felius</w:t>
      </w:r>
      <w:proofErr w:type="spellEnd"/>
      <w:r>
        <w:t xml:space="preserve">, M., Bates, L., Ransley, J. &amp; Martin, P. (2023) Engaging non-policing partners to prevent or respond to crime. </w:t>
      </w:r>
      <w:r>
        <w:rPr>
          <w:i/>
        </w:rPr>
        <w:t>Policing and Society</w:t>
      </w:r>
      <w:r>
        <w:t>. Vol. 33, 6, p.717-731</w:t>
      </w:r>
    </w:p>
    <w:p w14:paraId="7165951E" w14:textId="77777777" w:rsidR="00F04729" w:rsidRPr="00EB0321" w:rsidRDefault="00F04729" w:rsidP="00F04729">
      <w:pPr>
        <w:spacing w:line="360" w:lineRule="auto"/>
      </w:pPr>
      <w:r>
        <w:t xml:space="preserve">Wong, J. (2021) Sharing terrorism intelligence: insights from UK law enforcement agencies. </w:t>
      </w:r>
      <w:r>
        <w:rPr>
          <w:i/>
        </w:rPr>
        <w:t>Journal of Policing, Intelligence and Counter Terrorism</w:t>
      </w:r>
      <w:r>
        <w:t>. Vol. 17, 2, p.218-228</w:t>
      </w:r>
    </w:p>
    <w:p w14:paraId="6116A26C" w14:textId="77777777" w:rsidR="00F04729" w:rsidRDefault="00F04729" w:rsidP="00F04729">
      <w:pPr>
        <w:spacing w:line="360" w:lineRule="auto"/>
      </w:pPr>
      <w:proofErr w:type="spellStart"/>
      <w:r>
        <w:t>Yakeley</w:t>
      </w:r>
      <w:proofErr w:type="spellEnd"/>
      <w:r>
        <w:t xml:space="preserve">, J. &amp; Taylor, R. (2011) </w:t>
      </w:r>
      <w:r w:rsidRPr="00EB0321">
        <w:rPr>
          <w:i/>
        </w:rPr>
        <w:t>Multi-agency Public Protection Arrangements (MAPPA); Can We Work With Them?</w:t>
      </w:r>
      <w:r>
        <w:t xml:space="preserve"> In </w:t>
      </w:r>
      <w:proofErr w:type="spellStart"/>
      <w:r>
        <w:t>Rubitel</w:t>
      </w:r>
      <w:proofErr w:type="spellEnd"/>
      <w:r>
        <w:t xml:space="preserve">, A. &amp; Reiss, D. (eds.) </w:t>
      </w:r>
      <w:r>
        <w:rPr>
          <w:i/>
        </w:rPr>
        <w:t>Containment in the Community</w:t>
      </w:r>
      <w:r>
        <w:t>. Oxford. Routledge</w:t>
      </w:r>
    </w:p>
    <w:p w14:paraId="3C61F342" w14:textId="77777777" w:rsidR="00527FC3" w:rsidRDefault="00527FC3" w:rsidP="00F04729">
      <w:pPr>
        <w:spacing w:line="360" w:lineRule="auto"/>
      </w:pPr>
    </w:p>
    <w:p w14:paraId="14BE05A5" w14:textId="77777777" w:rsidR="00527FC3" w:rsidRDefault="00527FC3" w:rsidP="00F04729">
      <w:pPr>
        <w:spacing w:line="360" w:lineRule="auto"/>
        <w:rPr>
          <w:b/>
        </w:rPr>
      </w:pPr>
      <w:r w:rsidRPr="00527FC3">
        <w:rPr>
          <w:b/>
        </w:rPr>
        <w:t xml:space="preserve">Essay four: According to the Institute for Government (2023), recent scandals have exposed severe flaws in forces’ internal vetting and misconduct procedures and affected public confidence in the </w:t>
      </w:r>
      <w:r w:rsidRPr="00527FC3">
        <w:rPr>
          <w:b/>
        </w:rPr>
        <w:lastRenderedPageBreak/>
        <w:t>police. Therefore, why is it important that independent bodies exist to hold police officers accountable?</w:t>
      </w:r>
    </w:p>
    <w:p w14:paraId="58EB362D" w14:textId="77777777" w:rsidR="00527FC3" w:rsidRDefault="00527FC3" w:rsidP="00527FC3">
      <w:r>
        <w:t xml:space="preserve">Most public and some private organisations in the UK are monitored and scrutinised by a “watchdog.” The police service in England and Wales have in place, the Independent Office for Police Conduct (IOPC). The College of Policing Code of Ethics (2014) mandates a set of ethics and expectations from officers that include, amongst others, fairness, honesty, accountability, objectivity and respect. Part of the role of the IOPC is to satisfy that these ethics and standards are upheld in contentious circumstances that are identified as requiring scrutiny and review (IOPC, 2024). To supplement this scrutiny, where there are significant questions about the conduct of police officers, primarily in the line of duty but not isolated to this, a wider ranging review of behaviour may be required, with even the IOPC not excluded from this practice (Home Office, 2023). High profile reviews in the past have highlighted that relationships with the police service and the media in the UK is fraught and contentious, and although reviews such as the Leveson Inquiry surmised that the Metropolitan Police Force did not demonstrate evidence of corruption, the media subsequently continued to report this in a negative light (Mawby, 2014). </w:t>
      </w:r>
    </w:p>
    <w:p w14:paraId="528A2EC5" w14:textId="77777777" w:rsidR="00527FC3" w:rsidRDefault="00527FC3" w:rsidP="00527FC3">
      <w:r>
        <w:t xml:space="preserve">Donner, Fridell &amp; Jennings (2016) suggest in their quantitative research that misconduct in any occupation or role in society has an intrinsic link with individual self-control. When placed in the context of policing and the trust and confidence the public place upon police forces and the officers that serve within them, this resultant misconduct can damage relations for individuals and communities. Whilst the study is undertaken with and limited to police officers in the United States, the human factor and the models for analysis used can be translated to other settings. Syed &amp; </w:t>
      </w:r>
      <w:proofErr w:type="spellStart"/>
      <w:r>
        <w:t>Ashwick</w:t>
      </w:r>
      <w:proofErr w:type="spellEnd"/>
      <w:r>
        <w:t xml:space="preserve"> et al (2020) additionally contribute misconduct to poor occupational mental health in serving officers. </w:t>
      </w:r>
    </w:p>
    <w:p w14:paraId="1A310DEA" w14:textId="77777777" w:rsidR="00527FC3" w:rsidRDefault="00527FC3" w:rsidP="00527FC3">
      <w:r>
        <w:t xml:space="preserve">With misconduct, whether through a lack of self-control, poor mental health or otherwise, a topic of contemporary concern, independent review of police behaviours, actions and omissions is critical in maintaining candour and transparency in policing in the UK. Mugari’s (2023) systematic literature review into a range of independent bodies, tasked with police scrutiny, throughout several continents, suggests that the IOPC in England and Wales is one of the more robust models in use, due primarily to its detachment from the police service, offering it the opportunity for fairness, transparency and a an objective viewpoint into the conduct and accountability of both the individual officer and the organisation as a whole. Mugari (2023) adds that the IOPC collaborates closely with the College of Policing to facilitate resultant learning opportunities and publish recommended actions to address any shortcomings that have taken place. This robustness can be considered as a move away from the predecessor of the IOPC, namely the Independent Police Complaints Commission (IPCC). Savage (2013) suggests, as a result of his research into the notion of independence in relation to the reviewing of police behaviour and conduct, that there are 3 primary core concepts at the heart of true independence, those being impartiality, objectivity and the process of being at distance from the police service as an organisation. Savage (2013) adds that the transition towards a body such as the IOPC aids the realisation of these concepts and would add to any duty of candour placed upon regulatory and review bodies.  </w:t>
      </w:r>
    </w:p>
    <w:p w14:paraId="66EF9562" w14:textId="77777777" w:rsidR="00527FC3" w:rsidRDefault="00527FC3" w:rsidP="00F04729">
      <w:pPr>
        <w:spacing w:line="360" w:lineRule="auto"/>
      </w:pPr>
    </w:p>
    <w:p w14:paraId="1042C678" w14:textId="77777777" w:rsidR="00527FC3" w:rsidRPr="00527FC3" w:rsidRDefault="00527FC3" w:rsidP="00527FC3">
      <w:pPr>
        <w:rPr>
          <w:b/>
          <w:u w:val="single"/>
        </w:rPr>
      </w:pPr>
      <w:r w:rsidRPr="00527FC3">
        <w:rPr>
          <w:b/>
          <w:u w:val="single"/>
        </w:rPr>
        <w:t>Reference List</w:t>
      </w:r>
    </w:p>
    <w:p w14:paraId="6CC4925A" w14:textId="77777777" w:rsidR="00527FC3" w:rsidRDefault="00527FC3" w:rsidP="00527FC3">
      <w:r>
        <w:lastRenderedPageBreak/>
        <w:t xml:space="preserve">College of Policing (2014) </w:t>
      </w:r>
      <w:r>
        <w:rPr>
          <w:i/>
        </w:rPr>
        <w:t xml:space="preserve">Code of Ethics.  </w:t>
      </w:r>
      <w:r w:rsidRPr="00AF2421">
        <w:rPr>
          <w:i/>
        </w:rPr>
        <w:t>A Code of Practice for the Principles and Standards of Professional Behaviour for the Policing Profession of England and Wales</w:t>
      </w:r>
      <w:r>
        <w:t xml:space="preserve">. </w:t>
      </w:r>
      <w:hyperlink r:id="rId19" w:history="1">
        <w:r>
          <w:rPr>
            <w:rStyle w:val="Hyperlink"/>
          </w:rPr>
          <w:t>code_of_ethics.pdf (college.police.uk)</w:t>
        </w:r>
      </w:hyperlink>
      <w:r>
        <w:t xml:space="preserve"> accessed on 08/01/2024</w:t>
      </w:r>
    </w:p>
    <w:p w14:paraId="4C2F7FB4" w14:textId="77777777" w:rsidR="00527FC3" w:rsidRPr="00822E0A" w:rsidRDefault="00527FC3" w:rsidP="00527FC3">
      <w:r>
        <w:t xml:space="preserve">Donner, C., Fridell, L. &amp; Jennings, W. (2016) The relationship between self-control and police misconduct. </w:t>
      </w:r>
      <w:r>
        <w:rPr>
          <w:i/>
        </w:rPr>
        <w:t>Criminal Justice and Behaviour</w:t>
      </w:r>
      <w:r>
        <w:t>. Vol. 43, 7, p.841-862</w:t>
      </w:r>
    </w:p>
    <w:p w14:paraId="554303B7" w14:textId="77777777" w:rsidR="00527FC3" w:rsidRDefault="00527FC3" w:rsidP="00527FC3">
      <w:r>
        <w:t xml:space="preserve">Home Office (2023) </w:t>
      </w:r>
      <w:r>
        <w:rPr>
          <w:i/>
        </w:rPr>
        <w:t>Independent Review of the Independent Office for Police Conduct (IOPC): Summary of Terms of Reference</w:t>
      </w:r>
      <w:r>
        <w:t xml:space="preserve">. </w:t>
      </w:r>
      <w:hyperlink r:id="rId20" w:history="1">
        <w:r>
          <w:rPr>
            <w:rStyle w:val="Hyperlink"/>
          </w:rPr>
          <w:t>Independent Review of the Independent Office for Police Conduct (IOPC): Summary of terms of reference - GOV.UK (www.gov.uk)</w:t>
        </w:r>
      </w:hyperlink>
      <w:r>
        <w:t xml:space="preserve"> accessed on 09/01/2024</w:t>
      </w:r>
    </w:p>
    <w:p w14:paraId="06F26FD5" w14:textId="77777777" w:rsidR="00527FC3" w:rsidRDefault="00527FC3" w:rsidP="00527FC3">
      <w:r>
        <w:t xml:space="preserve">IOPC (2024) </w:t>
      </w:r>
      <w:r>
        <w:rPr>
          <w:i/>
        </w:rPr>
        <w:t>About Us</w:t>
      </w:r>
      <w:r>
        <w:t xml:space="preserve">. </w:t>
      </w:r>
      <w:hyperlink r:id="rId21" w:history="1">
        <w:r>
          <w:rPr>
            <w:rStyle w:val="Hyperlink"/>
          </w:rPr>
          <w:t>About us | Independent Office for Police Conduct (IOPC)</w:t>
        </w:r>
      </w:hyperlink>
      <w:r>
        <w:t xml:space="preserve"> accessed on 09/01/2024</w:t>
      </w:r>
    </w:p>
    <w:p w14:paraId="1DB8E485" w14:textId="77777777" w:rsidR="00527FC3" w:rsidRDefault="00527FC3" w:rsidP="00527FC3">
      <w:r>
        <w:t xml:space="preserve">Mawby, R. (2014) The presentation of police in everyday life: police-press relations, impression management and the Leveson inquiry. </w:t>
      </w:r>
      <w:r>
        <w:rPr>
          <w:i/>
        </w:rPr>
        <w:t>Crime, Media, Culture</w:t>
      </w:r>
      <w:r>
        <w:t xml:space="preserve">. Vol. 10, 3, p.239-257 </w:t>
      </w:r>
    </w:p>
    <w:p w14:paraId="59238740" w14:textId="77777777" w:rsidR="00527FC3" w:rsidRDefault="00527FC3" w:rsidP="00527FC3">
      <w:r>
        <w:t xml:space="preserve">Mugari, I. (2023) Civilian police oversight: a contemporary review of police oversight mechanisms in Europe, Australia and Africa. </w:t>
      </w:r>
      <w:r>
        <w:rPr>
          <w:i/>
        </w:rPr>
        <w:t>Journal of Applied Security Research</w:t>
      </w:r>
      <w:r>
        <w:t>. Vol. 18, 1, p.106-127</w:t>
      </w:r>
    </w:p>
    <w:p w14:paraId="43088049" w14:textId="77777777" w:rsidR="00527FC3" w:rsidRPr="00CB2C75" w:rsidRDefault="00527FC3" w:rsidP="00527FC3">
      <w:r>
        <w:t xml:space="preserve">Savage, S. (2013) Thinking Independence. Calling the police to account through the independent investigation of police complaints. </w:t>
      </w:r>
      <w:r>
        <w:rPr>
          <w:i/>
        </w:rPr>
        <w:t>British Journal of Criminology</w:t>
      </w:r>
      <w:r>
        <w:t>. Vol. 53, 1, p.94-112</w:t>
      </w:r>
    </w:p>
    <w:p w14:paraId="382E48C9" w14:textId="77777777" w:rsidR="00527FC3" w:rsidRPr="001208AF" w:rsidRDefault="00527FC3" w:rsidP="00527FC3">
      <w:r>
        <w:t xml:space="preserve">Syed, S., </w:t>
      </w:r>
      <w:proofErr w:type="spellStart"/>
      <w:r>
        <w:t>Ashwick</w:t>
      </w:r>
      <w:proofErr w:type="spellEnd"/>
      <w:r>
        <w:t xml:space="preserve">, R., Schlosser, M. et al (2020) Global prevalence and risk factors for mental health problems in police personnel: a systematic review and meta-analysis. </w:t>
      </w:r>
      <w:r>
        <w:rPr>
          <w:i/>
        </w:rPr>
        <w:t>Occupational and Environmental Medicine</w:t>
      </w:r>
      <w:r>
        <w:t>. Vol. 77, 11, p.737-747</w:t>
      </w:r>
    </w:p>
    <w:p w14:paraId="62AB1FCF" w14:textId="77777777" w:rsidR="00527FC3" w:rsidRPr="00527FC3" w:rsidRDefault="00527FC3" w:rsidP="00F04729">
      <w:pPr>
        <w:spacing w:line="360" w:lineRule="auto"/>
      </w:pPr>
    </w:p>
    <w:p w14:paraId="59F02B67" w14:textId="77777777" w:rsidR="00F04729" w:rsidRPr="00963B9F" w:rsidRDefault="00F04729" w:rsidP="00F04729">
      <w:pPr>
        <w:spacing w:line="360" w:lineRule="auto"/>
      </w:pPr>
    </w:p>
    <w:p w14:paraId="6DBDFB23" w14:textId="77777777" w:rsidR="00F04729" w:rsidRDefault="00F04729" w:rsidP="00F04729">
      <w:pPr>
        <w:spacing w:line="360" w:lineRule="auto"/>
      </w:pPr>
    </w:p>
    <w:sectPr w:rsidR="00F04729">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B5742" w14:textId="77777777" w:rsidR="00820600" w:rsidRDefault="00820600" w:rsidP="00A424EB">
      <w:pPr>
        <w:spacing w:after="0" w:line="240" w:lineRule="auto"/>
      </w:pPr>
      <w:r>
        <w:separator/>
      </w:r>
    </w:p>
  </w:endnote>
  <w:endnote w:type="continuationSeparator" w:id="0">
    <w:p w14:paraId="46928E8D" w14:textId="77777777" w:rsidR="00820600" w:rsidRDefault="00820600" w:rsidP="00A42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150572"/>
      <w:docPartObj>
        <w:docPartGallery w:val="Page Numbers (Bottom of Page)"/>
        <w:docPartUnique/>
      </w:docPartObj>
    </w:sdtPr>
    <w:sdtEndPr>
      <w:rPr>
        <w:noProof/>
      </w:rPr>
    </w:sdtEndPr>
    <w:sdtContent>
      <w:p w14:paraId="115CCFCC" w14:textId="77777777" w:rsidR="00A424EB" w:rsidRDefault="00A424EB">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09C7118" w14:textId="77777777" w:rsidR="00A424EB" w:rsidRDefault="00A42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107BB" w14:textId="77777777" w:rsidR="00820600" w:rsidRDefault="00820600" w:rsidP="00A424EB">
      <w:pPr>
        <w:spacing w:after="0" w:line="240" w:lineRule="auto"/>
      </w:pPr>
      <w:r>
        <w:separator/>
      </w:r>
    </w:p>
  </w:footnote>
  <w:footnote w:type="continuationSeparator" w:id="0">
    <w:p w14:paraId="56DAEEEF" w14:textId="77777777" w:rsidR="00820600" w:rsidRDefault="00820600" w:rsidP="00A424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AB0"/>
    <w:rsid w:val="00527FC3"/>
    <w:rsid w:val="00595128"/>
    <w:rsid w:val="00820600"/>
    <w:rsid w:val="00954B39"/>
    <w:rsid w:val="00A424EB"/>
    <w:rsid w:val="00AF7AB0"/>
    <w:rsid w:val="00D26574"/>
    <w:rsid w:val="00F04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E071E"/>
  <w15:chartTrackingRefBased/>
  <w15:docId w15:val="{0059F3B0-C9BA-4832-A5B7-0A133899F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4729"/>
    <w:rPr>
      <w:color w:val="0000FF"/>
      <w:u w:val="single"/>
    </w:rPr>
  </w:style>
  <w:style w:type="paragraph" w:styleId="Header">
    <w:name w:val="header"/>
    <w:basedOn w:val="Normal"/>
    <w:link w:val="HeaderChar"/>
    <w:uiPriority w:val="99"/>
    <w:unhideWhenUsed/>
    <w:rsid w:val="00A42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4EB"/>
  </w:style>
  <w:style w:type="paragraph" w:styleId="Footer">
    <w:name w:val="footer"/>
    <w:basedOn w:val="Normal"/>
    <w:link w:val="FooterChar"/>
    <w:uiPriority w:val="99"/>
    <w:unhideWhenUsed/>
    <w:rsid w:val="00A42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Police-Race-Action-Plan.pdf" TargetMode="External"/><Relationship Id="rId13" Type="http://schemas.openxmlformats.org/officeDocument/2006/relationships/hyperlink" Target="https://assets.college.police.uk/s3fs-public/2021-02/code_of_ethics.pdf" TargetMode="External"/><Relationship Id="rId18" Type="http://schemas.openxmlformats.org/officeDocument/2006/relationships/hyperlink" Target="https://view.officeapps.live.com/op/view.aspx?src=https%3A%2F%2Fassets.publishing.service.gov.uk%2Fmedia%2F641825e1d3bf7f79d4aa6c8b%2FMAPPA_Guidance__March_2023_.docx&amp;wdOrigin=BROWSELINK" TargetMode="External"/><Relationship Id="rId3" Type="http://schemas.openxmlformats.org/officeDocument/2006/relationships/webSettings" Target="webSettings.xml"/><Relationship Id="rId21" Type="http://schemas.openxmlformats.org/officeDocument/2006/relationships/hyperlink" Target="https://www.policeconduct.gov.uk/about-us" TargetMode="External"/><Relationship Id="rId7" Type="http://schemas.openxmlformats.org/officeDocument/2006/relationships/hyperlink" Target="https://www.college.police.uk/ethics/code-of-practice-ethical-policing" TargetMode="External"/><Relationship Id="rId12" Type="http://schemas.openxmlformats.org/officeDocument/2006/relationships/hyperlink" Target="https://www.college.police.uk/research/vulnerability-violent-crime-interventions" TargetMode="External"/><Relationship Id="rId17" Type="http://schemas.openxmlformats.org/officeDocument/2006/relationships/hyperlink" Target="https://assets.college.police.uk/s3fs-public/2021-02/code_of_ethics.pdf" TargetMode="External"/><Relationship Id="rId2" Type="http://schemas.openxmlformats.org/officeDocument/2006/relationships/settings" Target="settings.xml"/><Relationship Id="rId16" Type="http://schemas.openxmlformats.org/officeDocument/2006/relationships/hyperlink" Target="https://nationalcrimeagency.gov.uk/who-we-are/publications/257-county-lines-drug-supply-vulnerability-and-harm-2018/file" TargetMode="External"/><Relationship Id="rId20" Type="http://schemas.openxmlformats.org/officeDocument/2006/relationships/hyperlink" Target="https://www.gov.uk/government/publications/review-of-the-independent-office-for-police-conduct/independent-review-of-the-independent-office-for-police-conduct-iopc-summary-of-terms-of-reference" TargetMode="External"/><Relationship Id="rId1" Type="http://schemas.openxmlformats.org/officeDocument/2006/relationships/styles" Target="styles.xml"/><Relationship Id="rId6" Type="http://schemas.openxmlformats.org/officeDocument/2006/relationships/hyperlink" Target="https://doi.org/10.1177/0264550517740461" TargetMode="External"/><Relationship Id="rId11" Type="http://schemas.openxmlformats.org/officeDocument/2006/relationships/hyperlink" Target="https://www.college.police.uk/ethics/code-of-practice-ethical-policing"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local.gov.uk/publications/tackling-child-exploitation-resources-pack" TargetMode="External"/><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881317/tackling-racial-disparity-cjs-2020.pdf" TargetMode="External"/><Relationship Id="rId19" Type="http://schemas.openxmlformats.org/officeDocument/2006/relationships/hyperlink" Target="https://assets.college.police.uk/s3fs-public/2021-02/code_of_ethics.pdf" TargetMode="External"/><Relationship Id="rId4" Type="http://schemas.openxmlformats.org/officeDocument/2006/relationships/footnotes" Target="footnotes.xml"/><Relationship Id="rId9" Type="http://schemas.openxmlformats.org/officeDocument/2006/relationships/hyperlink" Target="https://assets.college.police.uk/s3fs-public/2021-02/code_of_ethics.pdf" TargetMode="External"/><Relationship Id="rId14" Type="http://schemas.openxmlformats.org/officeDocument/2006/relationships/hyperlink" Target="https://www.gov.uk/government/publications/criminal-exploitation-of-children-and-vulnerable-adults-county-lines/criminal-exploitation-of-children-and-vulnerable-adults-county-lin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4743</Words>
  <Characters>27041</Characters>
  <Application>Microsoft Office Word</Application>
  <DocSecurity>4</DocSecurity>
  <Lines>225</Lines>
  <Paragraphs>63</Paragraphs>
  <ScaleCrop>false</ScaleCrop>
  <Company>Cwm Taf Morgannwg University Health Board</Company>
  <LinksUpToDate>false</LinksUpToDate>
  <CharactersWithSpaces>31721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Turtle (CTM UHB - Community Children's Nursing )</dc:creator>
  <cp:keywords/>
  <dc:description/>
  <cp:lastModifiedBy>Turtle, Rebecca</cp:lastModifiedBy>
  <cp:revision>2</cp:revision>
  <dcterms:created xsi:type="dcterms:W3CDTF">2024-01-15T12:39:00Z</dcterms:created>
  <dcterms:modified xsi:type="dcterms:W3CDTF">2024-01-15T12:39:00Z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2024-01-15T12:39:19Z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a7c5fc77-620c-4ed5-8fe9-9d933927f1d0</vt:lpwstr>
  </property>
  <property fmtid="{D5CDD505-2E9C-101B-9397-08002B2CF9AE}" pid="8" name="MSIP_Label_f2acd28b-79a3-4a0f-b0ff-4b75658b1549_ContentBits">
    <vt:lpwstr>0</vt:lpwstr>
  </property>
</Properties>
</file>