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left"/>
        <w:rPr>
          <w:rFonts w:ascii="Calibri" w:hAnsi="Calibri" w:eastAsia="等线" w:cs="Calibri"/>
          <w:b/>
          <w:bCs/>
          <w:sz w:val="48"/>
          <w:szCs w:val="48"/>
        </w:rPr>
      </w:pPr>
      <w:r>
        <w:rPr>
          <w:rFonts w:ascii="Calibri" w:hAnsi="Calibri" w:eastAsia="等线" w:cs="Calibri"/>
          <w:b/>
          <w:bCs/>
          <w:sz w:val="48"/>
          <w:szCs w:val="48"/>
        </w:rPr>
        <w:drawing>
          <wp:inline distT="0" distB="0" distL="0" distR="0">
            <wp:extent cx="5633085" cy="2212975"/>
            <wp:effectExtent l="0" t="0" r="571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widowControl/>
        <w:spacing w:line="480" w:lineRule="auto"/>
        <w:jc w:val="left"/>
        <w:rPr>
          <w:rFonts w:ascii="Arial" w:hAnsi="Arial" w:eastAsia="等线" w:cs="Arial"/>
          <w:sz w:val="48"/>
          <w:szCs w:val="48"/>
        </w:rPr>
      </w:pPr>
    </w:p>
    <w:p>
      <w:pPr>
        <w:widowControl/>
        <w:spacing w:line="480" w:lineRule="auto"/>
        <w:jc w:val="left"/>
        <w:rPr>
          <w:rFonts w:hint="eastAsia" w:ascii="Arial" w:hAnsi="Arial" w:eastAsia="等线" w:cs="Arial"/>
          <w:b/>
          <w:bCs/>
          <w:i/>
          <w:iCs/>
          <w:spacing w:val="5"/>
          <w:sz w:val="56"/>
          <w:szCs w:val="56"/>
        </w:rPr>
      </w:pPr>
      <w:r>
        <w:rPr>
          <w:rFonts w:hint="eastAsia" w:ascii="Arial" w:hAnsi="Arial" w:eastAsia="等线" w:cs="Arial"/>
          <w:b/>
          <w:bCs/>
          <w:i/>
          <w:iCs/>
          <w:spacing w:val="5"/>
          <w:sz w:val="56"/>
          <w:szCs w:val="56"/>
        </w:rPr>
        <w:t>The Challenges and Sensitivities from British perspective of doing business with Brazil</w:t>
      </w:r>
    </w:p>
    <w:p>
      <w:pPr>
        <w:widowControl/>
        <w:spacing w:line="480" w:lineRule="auto"/>
        <w:jc w:val="left"/>
        <w:rPr>
          <w:rFonts w:ascii="Arial" w:hAnsi="Arial" w:eastAsia="等线" w:cs="Arial"/>
          <w:sz w:val="48"/>
          <w:szCs w:val="48"/>
        </w:rPr>
      </w:pPr>
      <w:r>
        <w:rPr>
          <w:rFonts w:ascii="Arial" w:hAnsi="Arial" w:eastAsia="等线" w:cs="Arial"/>
          <w:sz w:val="32"/>
          <w:szCs w:val="32"/>
        </w:rPr>
        <w:t xml:space="preserve">              </w:t>
      </w:r>
      <w:r>
        <w:rPr>
          <w:rFonts w:ascii="Arial" w:hAnsi="Arial" w:eastAsia="等线" w:cs="Arial"/>
          <w:sz w:val="48"/>
          <w:szCs w:val="48"/>
        </w:rPr>
        <w:t xml:space="preserve">  </w:t>
      </w:r>
    </w:p>
    <w:p>
      <w:pPr>
        <w:widowControl/>
        <w:spacing w:line="480" w:lineRule="auto"/>
        <w:jc w:val="left"/>
        <w:rPr>
          <w:rFonts w:hint="eastAsia" w:ascii="Arial" w:hAnsi="Arial" w:eastAsia="等线" w:cs="Arial"/>
          <w:sz w:val="44"/>
          <w:szCs w:val="44"/>
          <w:lang w:val="en-US" w:eastAsia="zh-CN"/>
        </w:rPr>
      </w:pPr>
      <w:r>
        <w:rPr>
          <w:rFonts w:hint="eastAsia" w:ascii="Arial" w:hAnsi="Arial" w:eastAsia="等线" w:cs="Arial"/>
          <w:sz w:val="32"/>
          <w:szCs w:val="32"/>
        </w:rPr>
        <w:t xml:space="preserve"> </w:t>
      </w:r>
      <w:r>
        <w:rPr>
          <w:rFonts w:ascii="Arial" w:hAnsi="Arial" w:eastAsia="等线" w:cs="Arial"/>
          <w:sz w:val="32"/>
          <w:szCs w:val="32"/>
        </w:rPr>
        <w:t xml:space="preserve">             </w:t>
      </w:r>
      <w:r>
        <w:rPr>
          <w:rFonts w:hint="eastAsia" w:ascii="Arial" w:hAnsi="Arial" w:eastAsia="等线" w:cs="Arial"/>
          <w:sz w:val="32"/>
          <w:szCs w:val="32"/>
          <w:lang w:val="en-US" w:eastAsia="zh-CN"/>
        </w:rPr>
        <w:t xml:space="preserve">7th </w:t>
      </w:r>
      <w:r>
        <w:rPr>
          <w:rFonts w:ascii="Arial" w:hAnsi="Arial" w:eastAsia="等线" w:cs="Arial"/>
          <w:sz w:val="44"/>
          <w:szCs w:val="44"/>
        </w:rPr>
        <w:t xml:space="preserve"> </w:t>
      </w:r>
      <w:r>
        <w:rPr>
          <w:rFonts w:hint="eastAsia" w:ascii="Arial" w:hAnsi="Arial" w:eastAsia="等线" w:cs="Arial"/>
          <w:sz w:val="44"/>
          <w:szCs w:val="44"/>
          <w:lang w:val="en-US" w:eastAsia="zh-CN"/>
        </w:rPr>
        <w:t>January</w:t>
      </w:r>
      <w:r>
        <w:rPr>
          <w:rFonts w:ascii="Arial" w:hAnsi="Arial" w:eastAsia="等线" w:cs="Arial"/>
          <w:sz w:val="44"/>
          <w:szCs w:val="44"/>
        </w:rPr>
        <w:t xml:space="preserve"> 202</w:t>
      </w:r>
      <w:r>
        <w:rPr>
          <w:rFonts w:hint="eastAsia" w:ascii="Arial" w:hAnsi="Arial" w:eastAsia="等线" w:cs="Arial"/>
          <w:sz w:val="44"/>
          <w:szCs w:val="44"/>
          <w:lang w:val="en-US" w:eastAsia="zh-CN"/>
        </w:rPr>
        <w:t>2</w:t>
      </w:r>
    </w:p>
    <w:p>
      <w:pPr>
        <w:widowControl/>
        <w:spacing w:line="480" w:lineRule="auto"/>
        <w:jc w:val="left"/>
        <w:rPr>
          <w:rFonts w:ascii="Arial" w:hAnsi="Arial" w:eastAsia="等线" w:cs="Arial"/>
          <w:sz w:val="44"/>
          <w:szCs w:val="44"/>
        </w:rPr>
      </w:pPr>
    </w:p>
    <w:p>
      <w:pPr>
        <w:widowControl/>
        <w:spacing w:line="480" w:lineRule="auto"/>
        <w:jc w:val="left"/>
        <w:rPr>
          <w:rFonts w:ascii="Arial" w:hAnsi="Arial" w:eastAsia="等线" w:cs="Arial"/>
          <w:sz w:val="44"/>
          <w:szCs w:val="44"/>
        </w:rPr>
      </w:pPr>
    </w:p>
    <w:p>
      <w:pPr>
        <w:widowControl/>
        <w:spacing w:line="480" w:lineRule="auto"/>
        <w:jc w:val="left"/>
        <w:rPr>
          <w:rFonts w:ascii="Arial" w:hAnsi="Arial" w:eastAsia="等线" w:cs="Arial"/>
          <w:sz w:val="36"/>
          <w:szCs w:val="36"/>
        </w:rPr>
      </w:pPr>
      <w:r>
        <w:rPr>
          <w:rFonts w:ascii="Arial" w:hAnsi="Arial" w:eastAsia="等线" w:cs="Arial"/>
          <w:sz w:val="36"/>
          <w:szCs w:val="36"/>
        </w:rPr>
        <w:t>A report submitted in fulfilment of the requirements for Course BMBM60</w:t>
      </w:r>
      <w:r>
        <w:rPr>
          <w:rFonts w:hint="eastAsia" w:ascii="Arial" w:hAnsi="Arial" w:eastAsia="等线" w:cs="Arial"/>
          <w:sz w:val="36"/>
          <w:szCs w:val="36"/>
          <w:lang w:val="en-US" w:eastAsia="zh-CN"/>
        </w:rPr>
        <w:t>21</w:t>
      </w:r>
      <w:r>
        <w:rPr>
          <w:rFonts w:ascii="Arial" w:hAnsi="Arial" w:eastAsia="等线" w:cs="Arial"/>
          <w:sz w:val="36"/>
          <w:szCs w:val="36"/>
        </w:rPr>
        <w:t xml:space="preserve">, </w:t>
      </w:r>
      <w:r>
        <w:rPr>
          <w:rFonts w:hint="eastAsia" w:ascii="Arial" w:hAnsi="Arial" w:eastAsia="等线" w:cs="Arial"/>
          <w:sz w:val="36"/>
          <w:szCs w:val="36"/>
          <w:lang w:val="en-US" w:eastAsia="zh-CN"/>
        </w:rPr>
        <w:t>International Business Communication</w:t>
      </w:r>
      <w:r>
        <w:rPr>
          <w:rFonts w:ascii="Arial" w:hAnsi="Arial" w:eastAsia="等线" w:cs="Arial"/>
          <w:sz w:val="36"/>
          <w:szCs w:val="36"/>
        </w:rPr>
        <w:t>, University of Wales Trinity Saint David.</w:t>
      </w:r>
    </w:p>
    <w:p>
      <w:r>
        <w:br w:type="page"/>
      </w:r>
    </w:p>
    <w:p>
      <w:pPr>
        <w:jc w:val="both"/>
        <w:rPr>
          <w:rFonts w:hint="default" w:ascii="Times New Roman" w:hAnsi="Times New Roman" w:cs="Times New Roman"/>
          <w:b w:val="0"/>
          <w:bCs w:val="0"/>
          <w:sz w:val="56"/>
          <w:szCs w:val="96"/>
          <w:lang w:val="en-US" w:eastAsia="zh-CN"/>
        </w:rPr>
      </w:pPr>
      <w:r>
        <w:rPr>
          <w:rFonts w:hint="eastAsia" w:ascii="Times New Roman" w:hAnsi="Times New Roman" w:cs="Times New Roman"/>
          <w:b/>
          <w:bCs/>
          <w:sz w:val="56"/>
          <w:szCs w:val="96"/>
          <w:lang w:val="en-US" w:eastAsia="zh-CN"/>
        </w:rPr>
        <w:t xml:space="preserve">Student </w:t>
      </w:r>
      <w:r>
        <w:rPr>
          <w:rFonts w:hint="default" w:ascii="Times New Roman" w:hAnsi="Times New Roman" w:cs="Times New Roman"/>
          <w:b/>
          <w:bCs/>
          <w:sz w:val="56"/>
          <w:szCs w:val="96"/>
          <w:lang w:val="en-US" w:eastAsia="zh-CN"/>
        </w:rPr>
        <w:t>name:</w:t>
      </w:r>
      <w:r>
        <w:rPr>
          <w:rFonts w:hint="default" w:ascii="Times New Roman" w:hAnsi="Times New Roman" w:cs="Times New Roman"/>
          <w:b w:val="0"/>
          <w:bCs w:val="0"/>
          <w:sz w:val="56"/>
          <w:szCs w:val="96"/>
          <w:lang w:val="en-US" w:eastAsia="zh-CN"/>
        </w:rPr>
        <w:t xml:space="preserve"> </w:t>
      </w:r>
      <w:r>
        <w:rPr>
          <w:rFonts w:hint="eastAsia" w:ascii="Times New Roman" w:hAnsi="Times New Roman" w:cs="Times New Roman"/>
          <w:b w:val="0"/>
          <w:bCs w:val="0"/>
          <w:sz w:val="56"/>
          <w:szCs w:val="96"/>
          <w:lang w:val="en-US" w:eastAsia="zh-CN"/>
        </w:rPr>
        <w:t xml:space="preserve">        </w:t>
      </w:r>
      <w:r>
        <w:rPr>
          <w:rFonts w:hint="default" w:ascii="Times New Roman" w:hAnsi="Times New Roman" w:cs="Times New Roman"/>
          <w:b w:val="0"/>
          <w:bCs w:val="0"/>
          <w:sz w:val="56"/>
          <w:szCs w:val="96"/>
          <w:lang w:val="en-US" w:eastAsia="zh-CN"/>
        </w:rPr>
        <w:t>Rundong</w:t>
      </w:r>
      <w:r>
        <w:rPr>
          <w:rFonts w:hint="eastAsia" w:ascii="Times New Roman" w:hAnsi="Times New Roman" w:cs="Times New Roman"/>
          <w:b w:val="0"/>
          <w:bCs w:val="0"/>
          <w:sz w:val="56"/>
          <w:szCs w:val="96"/>
          <w:lang w:val="en-US" w:eastAsia="zh-CN"/>
        </w:rPr>
        <w:t xml:space="preserve"> </w:t>
      </w:r>
      <w:r>
        <w:rPr>
          <w:rFonts w:hint="default" w:ascii="Times New Roman" w:hAnsi="Times New Roman" w:cs="Times New Roman"/>
          <w:b w:val="0"/>
          <w:bCs w:val="0"/>
          <w:sz w:val="56"/>
          <w:szCs w:val="96"/>
          <w:lang w:val="en-US" w:eastAsia="zh-CN"/>
        </w:rPr>
        <w:t>Wang</w:t>
      </w:r>
    </w:p>
    <w:p>
      <w:pPr>
        <w:jc w:val="both"/>
        <w:rPr>
          <w:rFonts w:hint="default" w:ascii="Times New Roman" w:hAnsi="Times New Roman" w:cs="Times New Roman"/>
          <w:b w:val="0"/>
          <w:bCs w:val="0"/>
          <w:sz w:val="56"/>
          <w:szCs w:val="96"/>
          <w:lang w:val="en-US" w:eastAsia="zh-CN"/>
        </w:rPr>
      </w:pPr>
      <w:r>
        <w:rPr>
          <w:rFonts w:hint="default" w:ascii="Times New Roman" w:hAnsi="Times New Roman" w:cs="Times New Roman"/>
          <w:b/>
          <w:bCs/>
          <w:sz w:val="56"/>
          <w:szCs w:val="96"/>
          <w:lang w:val="en-US" w:eastAsia="zh-CN"/>
        </w:rPr>
        <w:t>Student ID:</w:t>
      </w:r>
      <w:r>
        <w:rPr>
          <w:rFonts w:hint="default" w:ascii="Times New Roman" w:hAnsi="Times New Roman" w:cs="Times New Roman"/>
          <w:b w:val="0"/>
          <w:bCs w:val="0"/>
          <w:sz w:val="56"/>
          <w:szCs w:val="96"/>
          <w:lang w:val="en-US" w:eastAsia="zh-CN"/>
        </w:rPr>
        <w:t xml:space="preserve"> </w:t>
      </w:r>
      <w:r>
        <w:rPr>
          <w:rFonts w:hint="eastAsia" w:ascii="Times New Roman" w:hAnsi="Times New Roman" w:cs="Times New Roman"/>
          <w:b w:val="0"/>
          <w:bCs w:val="0"/>
          <w:sz w:val="56"/>
          <w:szCs w:val="96"/>
          <w:lang w:val="en-US" w:eastAsia="zh-CN"/>
        </w:rPr>
        <w:t xml:space="preserve">           </w:t>
      </w:r>
      <w:r>
        <w:rPr>
          <w:rFonts w:hint="default" w:ascii="Times New Roman" w:hAnsi="Times New Roman" w:cs="Times New Roman"/>
          <w:b w:val="0"/>
          <w:bCs w:val="0"/>
          <w:sz w:val="56"/>
          <w:szCs w:val="96"/>
          <w:lang w:val="en-US" w:eastAsia="zh-CN"/>
        </w:rPr>
        <w:t>2106010</w:t>
      </w:r>
    </w:p>
    <w:p>
      <w:pPr>
        <w:jc w:val="both"/>
        <w:rPr>
          <w:rFonts w:hint="default" w:ascii="Times New Roman" w:hAnsi="Times New Roman" w:cs="Times New Roman"/>
          <w:b w:val="0"/>
          <w:bCs w:val="0"/>
          <w:sz w:val="56"/>
          <w:szCs w:val="96"/>
          <w:lang w:val="en-US" w:eastAsia="zh-CN"/>
        </w:rPr>
      </w:pPr>
      <w:r>
        <w:rPr>
          <w:rFonts w:hint="default" w:ascii="Times New Roman" w:hAnsi="Times New Roman" w:cs="Times New Roman"/>
          <w:b/>
          <w:bCs/>
          <w:sz w:val="56"/>
          <w:szCs w:val="96"/>
          <w:lang w:val="en-US" w:eastAsia="zh-CN"/>
        </w:rPr>
        <w:t>Module name:</w:t>
      </w:r>
      <w:r>
        <w:rPr>
          <w:rFonts w:hint="default" w:ascii="Times New Roman" w:hAnsi="Times New Roman" w:cs="Times New Roman"/>
          <w:b w:val="0"/>
          <w:bCs w:val="0"/>
          <w:sz w:val="56"/>
          <w:szCs w:val="96"/>
          <w:lang w:val="en-US" w:eastAsia="zh-CN"/>
        </w:rPr>
        <w:t xml:space="preserve"> </w:t>
      </w:r>
      <w:r>
        <w:rPr>
          <w:rFonts w:hint="eastAsia" w:ascii="Times New Roman" w:hAnsi="Times New Roman" w:cs="Times New Roman"/>
          <w:b w:val="0"/>
          <w:bCs w:val="0"/>
          <w:sz w:val="56"/>
          <w:szCs w:val="96"/>
          <w:lang w:val="en-US" w:eastAsia="zh-CN"/>
        </w:rPr>
        <w:t xml:space="preserve">    International Business Communication</w:t>
      </w:r>
    </w:p>
    <w:p>
      <w:pPr>
        <w:rPr>
          <w:rFonts w:hint="default" w:ascii="Times New Roman" w:hAnsi="Times New Roman" w:cs="Times New Roman"/>
          <w:b w:val="0"/>
          <w:bCs w:val="0"/>
          <w:sz w:val="56"/>
          <w:szCs w:val="96"/>
          <w:lang w:val="en-US" w:eastAsia="zh-CN"/>
        </w:rPr>
      </w:pPr>
      <w:r>
        <w:rPr>
          <w:rFonts w:hint="default" w:ascii="Times New Roman" w:hAnsi="Times New Roman" w:cs="Times New Roman"/>
          <w:b/>
          <w:bCs/>
          <w:sz w:val="56"/>
          <w:szCs w:val="96"/>
        </w:rPr>
        <w:t>Assignment Title</w:t>
      </w:r>
      <w:r>
        <w:rPr>
          <w:rFonts w:hint="default" w:ascii="Times New Roman" w:hAnsi="Times New Roman" w:cs="Times New Roman"/>
          <w:b/>
          <w:bCs/>
          <w:sz w:val="56"/>
          <w:szCs w:val="96"/>
          <w:lang w:val="en-US" w:eastAsia="zh-CN"/>
        </w:rPr>
        <w:t>:</w:t>
      </w:r>
      <w:r>
        <w:rPr>
          <w:rFonts w:hint="default" w:ascii="Times New Roman" w:hAnsi="Times New Roman" w:cs="Times New Roman"/>
          <w:b w:val="0"/>
          <w:bCs w:val="0"/>
          <w:sz w:val="56"/>
          <w:szCs w:val="96"/>
          <w:lang w:val="en-US" w:eastAsia="zh-CN"/>
        </w:rPr>
        <w:t xml:space="preserve"> </w:t>
      </w:r>
      <w:r>
        <w:rPr>
          <w:rFonts w:hint="eastAsia" w:ascii="Times New Roman" w:hAnsi="Times New Roman" w:cs="Times New Roman"/>
          <w:b w:val="0"/>
          <w:bCs w:val="0"/>
          <w:sz w:val="56"/>
          <w:szCs w:val="96"/>
          <w:lang w:val="en-US" w:eastAsia="zh-CN"/>
        </w:rPr>
        <w:t xml:space="preserve">   </w:t>
      </w:r>
      <w:r>
        <w:rPr>
          <w:rFonts w:hint="default" w:ascii="Times New Roman" w:hAnsi="Times New Roman" w:cs="Times New Roman"/>
          <w:b w:val="0"/>
          <w:bCs w:val="0"/>
          <w:sz w:val="56"/>
          <w:szCs w:val="96"/>
          <w:lang w:val="en-US" w:eastAsia="zh-CN"/>
        </w:rPr>
        <w:t xml:space="preserve">Assignment </w:t>
      </w:r>
      <w:r>
        <w:rPr>
          <w:rFonts w:hint="eastAsia" w:ascii="Times New Roman" w:hAnsi="Times New Roman" w:cs="Times New Roman"/>
          <w:b w:val="0"/>
          <w:bCs w:val="0"/>
          <w:sz w:val="56"/>
          <w:szCs w:val="96"/>
          <w:lang w:val="en-US" w:eastAsia="zh-CN"/>
        </w:rPr>
        <w:t>2</w:t>
      </w:r>
      <w:r>
        <w:rPr>
          <w:rFonts w:hint="default" w:ascii="Times New Roman" w:hAnsi="Times New Roman" w:cs="Times New Roman"/>
          <w:b w:val="0"/>
          <w:bCs w:val="0"/>
          <w:sz w:val="56"/>
          <w:szCs w:val="96"/>
          <w:lang w:val="en-US" w:eastAsia="zh-CN"/>
        </w:rPr>
        <w:t xml:space="preserve"> </w:t>
      </w:r>
    </w:p>
    <w:p/>
    <w:p>
      <w:pPr>
        <w:sectPr>
          <w:pgSz w:w="11906" w:h="16838"/>
          <w:pgMar w:top="1440" w:right="1800" w:bottom="1440" w:left="1800" w:header="851" w:footer="992" w:gutter="0"/>
          <w:cols w:space="425" w:num="1"/>
          <w:docGrid w:type="lines" w:linePitch="312" w:charSpace="0"/>
        </w:sect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28"/>
          <w:szCs w:val="36"/>
          <w:lang w:val="en-US" w:eastAsia="zh-CN" w:bidi="ar-SA"/>
        </w:rPr>
      </w:pPr>
      <w:r>
        <w:rPr>
          <w:rFonts w:hint="default" w:ascii="Times New Roman" w:hAnsi="Times New Roman" w:eastAsia="宋体" w:cs="Times New Roman"/>
          <w:b/>
          <w:bCs/>
          <w:kern w:val="2"/>
          <w:sz w:val="28"/>
          <w:szCs w:val="36"/>
          <w:lang w:val="en-US" w:eastAsia="zh-CN" w:bidi="ar-SA"/>
        </w:rPr>
        <w:t>Contents</w:t>
      </w:r>
      <w:bookmarkStart w:id="12" w:name="_GoBack"/>
      <w:bookmarkEnd w:id="12"/>
    </w:p>
    <w:sdt>
      <w:sdtPr>
        <w:rPr>
          <w:rFonts w:ascii="宋体" w:hAnsi="宋体" w:eastAsia="宋体" w:cstheme="minorBidi"/>
          <w:kern w:val="2"/>
          <w:sz w:val="21"/>
          <w:szCs w:val="24"/>
          <w:lang w:val="en-US" w:eastAsia="zh-CN" w:bidi="ar-SA"/>
        </w:rPr>
        <w:id w:val="147483443"/>
        <w15:color w:val="DBDBDB"/>
        <w:docPartObj>
          <w:docPartGallery w:val="Table of Contents"/>
          <w:docPartUnique/>
        </w:docPartObj>
      </w:sdtPr>
      <w:sdtEndPr>
        <w:rPr>
          <w:rFonts w:asciiTheme="minorHAnsi" w:hAnsiTheme="minorHAnsi" w:eastAsiaTheme="minorEastAsia"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p>
        <w:p>
          <w:pPr>
            <w:pStyle w:val="4"/>
            <w:tabs>
              <w:tab w:val="right" w:leader="dot" w:pos="8306"/>
            </w:tabs>
            <w:rPr>
              <w:rFonts w:hint="default" w:ascii="Times New Roman" w:hAnsi="Times New Roman" w:cs="Times New Roman"/>
              <w:sz w:val="24"/>
              <w:szCs w:val="24"/>
            </w:rPr>
          </w:pPr>
          <w:r>
            <w:fldChar w:fldCharType="begin"/>
          </w:r>
          <w:r>
            <w:instrText xml:space="preserve">TOC \o "1-3" \h \u </w:instrText>
          </w:r>
          <w: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_Toc10074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 xml:space="preserve">1.0 </w:t>
          </w:r>
          <w:r>
            <w:rPr>
              <w:rFonts w:hint="default" w:ascii="Times New Roman" w:hAnsi="Times New Roman" w:cs="Times New Roman"/>
              <w:bCs/>
              <w:sz w:val="24"/>
              <w:szCs w:val="48"/>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_Toc10074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_Toc29453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2.0 Main Finding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_Toc29453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_Toc7198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2.1 Cultural Differences between Brazil and United Kingdom: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_Toc7198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_Toc24672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2.2 Understanding intercultural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_Toc24672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_Toc26982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2.3 The importance of intercultural communication in business: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_Toc26982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_Toc20581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2.4 Challenges from the British perspective: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_Toc20581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_Toc19170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3.0 Theories of intercultural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_Toc27626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3.1 Hofstede’s model of cultural dimension: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_Toc14982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3.2 Communication Accommodation Theory: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_Toc14982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_Toc20490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3.3 Trompenaars seven dimensions of Culture: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_Toc20490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_Toc2087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4.0 Conclusion and Recommendation: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_Toc2087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_Toc16323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48"/>
              <w:lang w:val="en-US" w:eastAsia="zh-C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_Toc16323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r>
            <w:fldChar w:fldCharType="end"/>
          </w:r>
        </w:p>
      </w:sdtContent>
    </w:sdt>
    <w:p/>
    <w:p>
      <w:pPr>
        <w:sectPr>
          <w:pgSz w:w="11906" w:h="16838"/>
          <w:pgMar w:top="1440" w:right="1800" w:bottom="1440" w:left="1800" w:header="851" w:footer="992" w:gutter="0"/>
          <w:cols w:space="425" w:num="1"/>
          <w:docGrid w:type="lines" w:linePitch="312" w:charSpace="0"/>
        </w:sectPr>
      </w:pPr>
    </w:p>
    <w:p/>
    <w:p>
      <w:pPr>
        <w:outlineLvl w:val="0"/>
        <w:rPr>
          <w:rFonts w:hint="default" w:ascii="Times New Roman" w:hAnsi="Times New Roman" w:cs="Times New Roman"/>
          <w:b/>
          <w:bCs/>
          <w:sz w:val="28"/>
          <w:szCs w:val="36"/>
        </w:rPr>
      </w:pPr>
      <w:bookmarkStart w:id="0" w:name="_Toc10074"/>
      <w:r>
        <w:rPr>
          <w:rFonts w:hint="eastAsia" w:ascii="Times New Roman" w:hAnsi="Times New Roman" w:cs="Times New Roman"/>
          <w:b/>
          <w:bCs/>
          <w:sz w:val="28"/>
          <w:szCs w:val="36"/>
          <w:lang w:val="en-US" w:eastAsia="zh-CN"/>
        </w:rPr>
        <w:t xml:space="preserve">1.0 </w:t>
      </w:r>
      <w:r>
        <w:rPr>
          <w:rFonts w:hint="default" w:ascii="Times New Roman" w:hAnsi="Times New Roman" w:cs="Times New Roman"/>
          <w:b/>
          <w:bCs/>
          <w:sz w:val="28"/>
          <w:szCs w:val="36"/>
        </w:rPr>
        <w:t>Introduction:</w:t>
      </w:r>
      <w:bookmarkEnd w:id="0"/>
    </w:p>
    <w:p>
      <w:pPr>
        <w:rPr>
          <w:rFonts w:hint="default" w:ascii="Times New Roman" w:hAnsi="Times New Roman" w:cs="Times New Roman"/>
          <w:sz w:val="24"/>
          <w:szCs w:val="32"/>
        </w:rPr>
      </w:pPr>
      <w:r>
        <w:rPr>
          <w:rFonts w:hint="default" w:ascii="Times New Roman" w:hAnsi="Times New Roman" w:cs="Times New Roman"/>
          <w:sz w:val="24"/>
          <w:szCs w:val="32"/>
        </w:rPr>
        <w:t>With the globalization of business, the interest in the area of intercultural communication has been also increased. Nowadays, businesses are not only restricted to their home countries but are spreading their wings to the other countries also. Generally, business organizations do not focus on the scientific body of skill and knowledge associated with intercultural communication, but they concentrate on gaining the cultural etiquette of the culture of the specific countries. A British organization that intends to establish its business in other countries may face certain challenges and sensitivities. Therefore, it should understand the cultural differences between their own country and the other country. Throughout this report, the cultural differences between Brazil and the UK have been explored and the challenges faced by a British firm has been critically evaluated with the help of the Hofstede Theory, Cultural Convergence Theory, and Trompenaars Seven dimensions of Culture.</w:t>
      </w:r>
    </w:p>
    <w:p>
      <w:pPr>
        <w:rPr>
          <w:rFonts w:hint="default" w:ascii="Times New Roman" w:hAnsi="Times New Roman" w:cs="Times New Roman"/>
          <w:sz w:val="24"/>
          <w:szCs w:val="32"/>
        </w:rPr>
      </w:pPr>
      <w:r>
        <w:rPr>
          <w:rFonts w:hint="default" w:ascii="Times New Roman" w:hAnsi="Times New Roman" w:cs="Times New Roman"/>
          <w:sz w:val="24"/>
          <w:szCs w:val="32"/>
        </w:rPr>
        <w:br w:type="page"/>
      </w:r>
    </w:p>
    <w:p>
      <w:pPr>
        <w:outlineLvl w:val="0"/>
        <w:rPr>
          <w:rFonts w:hint="eastAsia" w:ascii="Times New Roman" w:hAnsi="Times New Roman" w:cs="Times New Roman"/>
          <w:b/>
          <w:bCs/>
          <w:sz w:val="28"/>
          <w:szCs w:val="36"/>
          <w:lang w:val="en-US" w:eastAsia="zh-CN"/>
        </w:rPr>
      </w:pPr>
      <w:bookmarkStart w:id="1" w:name="_Toc29453"/>
      <w:r>
        <w:rPr>
          <w:rFonts w:hint="eastAsia" w:ascii="Times New Roman" w:hAnsi="Times New Roman" w:cs="Times New Roman"/>
          <w:b/>
          <w:bCs/>
          <w:sz w:val="28"/>
          <w:szCs w:val="36"/>
          <w:lang w:val="en-US" w:eastAsia="zh-CN"/>
        </w:rPr>
        <w:t>2.0 Main Finding</w:t>
      </w:r>
      <w:bookmarkEnd w:id="1"/>
    </w:p>
    <w:p>
      <w:pPr>
        <w:outlineLvl w:val="1"/>
        <w:rPr>
          <w:rFonts w:hint="default" w:ascii="Times New Roman" w:hAnsi="Times New Roman" w:cs="Times New Roman"/>
          <w:b/>
          <w:bCs/>
          <w:sz w:val="28"/>
          <w:szCs w:val="36"/>
          <w:lang w:val="en-US" w:eastAsia="zh-CN"/>
        </w:rPr>
      </w:pPr>
      <w:bookmarkStart w:id="2" w:name="_Toc7198"/>
      <w:r>
        <w:rPr>
          <w:rFonts w:hint="eastAsia" w:ascii="Times New Roman" w:hAnsi="Times New Roman" w:cs="Times New Roman"/>
          <w:b/>
          <w:bCs/>
          <w:sz w:val="28"/>
          <w:szCs w:val="36"/>
          <w:lang w:val="en-US" w:eastAsia="zh-CN"/>
        </w:rPr>
        <w:t xml:space="preserve">2.1 </w:t>
      </w:r>
      <w:r>
        <w:rPr>
          <w:rFonts w:hint="default" w:ascii="Times New Roman" w:hAnsi="Times New Roman" w:cs="Times New Roman"/>
          <w:b/>
          <w:bCs/>
          <w:sz w:val="28"/>
          <w:szCs w:val="36"/>
          <w:lang w:val="en-US" w:eastAsia="zh-CN"/>
        </w:rPr>
        <w:t>Cultural Differences between Brazil and United Kingdom:</w:t>
      </w:r>
      <w:bookmarkEnd w:id="2"/>
    </w:p>
    <w:p>
      <w:pPr>
        <w:rPr>
          <w:rFonts w:hint="default" w:ascii="Times New Roman" w:hAnsi="Times New Roman" w:cs="Times New Roman"/>
          <w:b w:val="0"/>
          <w:bCs w:val="0"/>
          <w:sz w:val="22"/>
          <w:szCs w:val="28"/>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Since the 1990s, Brazil has emerged as an influential and important global and regional power. Though poverty has largely been removed from this country, Brazil comes under the developing country. There is still a large gap between rich and poor. On the other hand, the United Kingdom is a highly developed nation. The issue of inequality in Brazil is worsened by the high cost of living. In Brazil, high prices do not guarantee a better quality of goods. But, In the UK generally, the supermarkets provide high-quality goods. The high taxation and strict labor laws have created hurdles for businesses (Martinez et al.,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 business culture is as diverse as the country. The thinking process and core beliefs of Brazilians vary from each other. They represent themselves as a ‘rainbow nation.’ Based on that, the needs of Brazilians also vary from each other.</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 xml:space="preserve">Every nation has a different perception of punctuality. Delaying or rescheduling any business meeting is very common for Brazilians (Silva, 2021). British people are generally punctual in their personal and professional work. Usually, Brazilians are hard workers and they feel proud of their hard work compared to the British people. </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 visitors may be surprised by the different languages used in the streets of the UK. But Brazilians mainly used Portuguese. Few Brazilians speak English or any other foreign language (Ma et al.,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Brazilians prefer to start a formal meeting with a casual note. They do not directly jump into the topic. For example, John is the corporate relationship manager of a British organization and he deals with Brazilian clients. John should understand the culture of the Brazilians and start the business meeting with casual conversation with the Brazilian clients.</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If a British firm wants to penetrate the Brazilian market and set up businesses, it should keep in mind the cultural differences and design the business strategy according to that.</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val="0"/>
          <w:bCs w:val="0"/>
          <w:sz w:val="24"/>
          <w:szCs w:val="32"/>
          <w:lang w:val="en-US" w:eastAsia="zh-CN"/>
        </w:rPr>
      </w:pPr>
      <w:bookmarkStart w:id="3" w:name="_Toc24672"/>
      <w:r>
        <w:rPr>
          <w:rFonts w:hint="eastAsia" w:ascii="Times New Roman" w:hAnsi="Times New Roman" w:cs="Times New Roman"/>
          <w:b/>
          <w:bCs/>
          <w:sz w:val="28"/>
          <w:szCs w:val="36"/>
          <w:lang w:val="en-US" w:eastAsia="zh-CN"/>
        </w:rPr>
        <w:t xml:space="preserve">2.2 </w:t>
      </w:r>
      <w:r>
        <w:rPr>
          <w:rFonts w:hint="default" w:ascii="Times New Roman" w:hAnsi="Times New Roman" w:cs="Times New Roman"/>
          <w:b/>
          <w:bCs/>
          <w:sz w:val="28"/>
          <w:szCs w:val="36"/>
          <w:lang w:val="en-US" w:eastAsia="zh-CN"/>
        </w:rPr>
        <w:t>Understanding intercultural communication:</w:t>
      </w:r>
      <w:bookmarkEnd w:id="3"/>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Intercultural communication not only defines the communication between two or more persons belonging from different countries, but also explains certain behaviors, attitudes, and activities represented by two cultures when they come across (Holliday, 2021).</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Intercultural communication in any business portrays a foundational concept that helps to make communications between cultures and also provides a framework to get a deeper insight into any culture. Knowledge and application of the concepts help to increase the intercultural competence of the organization.</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Intercultural communication defines the procedures that help to create shared experiences among individuals belonging from various cultures and who speak different languages. It serves as a medium of exchange, combining, and crossing factors such as socioeconomic differences (Steinfatt and Millette, 2019). Poor intercultural communication may hamper the relationship on the organization level as well as personal level.</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A business organization needs to understand the connection between culture and communication that enables them to serve the consumers in a better way. The communication process cannot be isolated from the culture as culture strongly influences the communicator as well as the receiver of the message (Adrian, 2018).</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val="0"/>
          <w:bCs w:val="0"/>
          <w:sz w:val="24"/>
          <w:szCs w:val="32"/>
          <w:lang w:val="en-US" w:eastAsia="zh-CN"/>
        </w:rPr>
      </w:pPr>
      <w:bookmarkStart w:id="4" w:name="_Toc26982"/>
      <w:r>
        <w:rPr>
          <w:rFonts w:hint="eastAsia" w:ascii="Times New Roman" w:hAnsi="Times New Roman" w:cs="Times New Roman"/>
          <w:b/>
          <w:bCs/>
          <w:sz w:val="28"/>
          <w:szCs w:val="36"/>
          <w:lang w:val="en-US" w:eastAsia="zh-CN"/>
        </w:rPr>
        <w:t xml:space="preserve">2.3 </w:t>
      </w:r>
      <w:r>
        <w:rPr>
          <w:rFonts w:hint="default" w:ascii="Times New Roman" w:hAnsi="Times New Roman" w:cs="Times New Roman"/>
          <w:b/>
          <w:bCs/>
          <w:sz w:val="28"/>
          <w:szCs w:val="36"/>
          <w:lang w:val="en-US" w:eastAsia="zh-CN"/>
        </w:rPr>
        <w:t>The importance of intercultural communication in business:</w:t>
      </w:r>
      <w:bookmarkEnd w:id="4"/>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 a business organization, intercultural communication enables the organizational people to communicate respectfully. It promotes the idea of selecting a common ground and honoring cultural differences. Intercultural communication allows a hiring process that encourages recruiting diverse candidates (Bolten, 2020). It also plays a significant role in developing the existing relationship with the clients and the customers. It helps to improve internal communication within a diverse team. Intercultural communication positively influences every aspect of a business.</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bCs/>
          <w:sz w:val="28"/>
          <w:szCs w:val="36"/>
          <w:lang w:val="en-US" w:eastAsia="zh-CN"/>
        </w:rPr>
      </w:pPr>
      <w:bookmarkStart w:id="5" w:name="_Toc20581"/>
      <w:r>
        <w:rPr>
          <w:rFonts w:hint="eastAsia" w:ascii="Times New Roman" w:hAnsi="Times New Roman" w:cs="Times New Roman"/>
          <w:b/>
          <w:bCs/>
          <w:sz w:val="28"/>
          <w:szCs w:val="36"/>
          <w:lang w:val="en-US" w:eastAsia="zh-CN"/>
        </w:rPr>
        <w:t xml:space="preserve">2.4 </w:t>
      </w:r>
      <w:r>
        <w:rPr>
          <w:rFonts w:hint="default" w:ascii="Times New Roman" w:hAnsi="Times New Roman" w:cs="Times New Roman"/>
          <w:b/>
          <w:bCs/>
          <w:sz w:val="28"/>
          <w:szCs w:val="36"/>
          <w:lang w:val="en-US" w:eastAsia="zh-CN"/>
        </w:rPr>
        <w:t>Challenges from the British perspective:</w:t>
      </w:r>
      <w:bookmarkEnd w:id="5"/>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While establishing a business in Brazil, a British organization may face several challenges that may create threats for the integrity of the business firm. The cultures of the Brazilians and British are quite different. A British organization can face challenges in Brazil due to excess bureaucracy while running a business. As Brazil is a developing country, British organizations can face problems due to a lack of talented and skilled professionals. Poverty and extreme inequality in Brazil have resulted in a poor infrastructure system. Lack of regulatory stability creates restrictions for creating long-term business plans. Congested cities and poor roads may negatively affect the efficiency of an organization (Contador et al.,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Brazilians are more sensitive about what the people of other countries think about their country. Therefore, the British organization needs to take care of this matter with utmost care. They should interact with Brazilian consumers carefully. Any disrespectful behavior or comment of a foreign organization about the country may hamper the business of the organization. As most Brazilians speak Portuguese and very little English, British organizations may face difficulty while communicating with Brazilian consumers (Gouvea et al., 2018). The inability to overcome language barriers is considered one of the significant communication barriers among all and it may create a communication gap between the Brazilians and British organizations. As Brazilians are habitually late, it may create barriers to the timely execution of any business plan.</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The Brazilians prioritize personal relationships and like to place them before any business dealings take place. If any foreign organization directly jumps into the business negotiations with their Brazilian clients, it may negatively affect their relationships with their clients. Numerous factors create hurdles in the way of healthy communication when different cultures are involved (de Oliveira, 2018).</w:t>
      </w:r>
    </w:p>
    <w:p>
      <w:pPr>
        <w:rPr>
          <w:rFonts w:hint="default" w:ascii="Times New Roman" w:hAnsi="Times New Roman" w:cs="Times New Roman"/>
          <w:b w:val="0"/>
          <w:bCs w:val="0"/>
          <w:sz w:val="24"/>
          <w:szCs w:val="32"/>
          <w:lang w:val="en-US" w:eastAsia="zh-CN"/>
        </w:rPr>
      </w:pPr>
    </w:p>
    <w:p>
      <w:pPr>
        <w:outlineLvl w:val="0"/>
        <w:rPr>
          <w:rFonts w:hint="default" w:ascii="Times New Roman" w:hAnsi="Times New Roman" w:cs="Times New Roman"/>
          <w:b w:val="0"/>
          <w:bCs w:val="0"/>
          <w:sz w:val="24"/>
          <w:szCs w:val="32"/>
          <w:lang w:val="en-US" w:eastAsia="zh-CN"/>
        </w:rPr>
      </w:pPr>
      <w:bookmarkStart w:id="6" w:name="_Toc19170"/>
      <w:r>
        <w:rPr>
          <w:rFonts w:hint="eastAsia" w:ascii="Times New Roman" w:hAnsi="Times New Roman" w:cs="Times New Roman"/>
          <w:b/>
          <w:bCs/>
          <w:sz w:val="28"/>
          <w:szCs w:val="36"/>
          <w:lang w:val="en-US" w:eastAsia="zh-CN"/>
        </w:rPr>
        <w:t xml:space="preserve">3.0 </w:t>
      </w:r>
      <w:r>
        <w:rPr>
          <w:rFonts w:hint="default" w:ascii="Times New Roman" w:hAnsi="Times New Roman" w:cs="Times New Roman"/>
          <w:b/>
          <w:bCs/>
          <w:sz w:val="28"/>
          <w:szCs w:val="36"/>
          <w:lang w:val="en-US" w:eastAsia="zh-CN"/>
        </w:rPr>
        <w:t>Theories of intercultural communication:</w:t>
      </w:r>
      <w:bookmarkEnd w:id="6"/>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Intercultural communication mainly focuses on the studies of the actual interaction between individuals belonging to different cultures. Theories of intercultural communication provide a deeper insight into the communication between different cultures and help to remove the barriers of communication among multiple cultures. Three theories of interpersonal communication have been discussed to understand the different levels of cultures and explore the cultural gaps (Klyukanov, 2020).</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bCs/>
          <w:sz w:val="28"/>
          <w:szCs w:val="36"/>
          <w:lang w:val="en-US" w:eastAsia="zh-CN"/>
        </w:rPr>
      </w:pPr>
      <w:bookmarkStart w:id="7" w:name="_Toc27626"/>
      <w:r>
        <w:rPr>
          <w:rFonts w:hint="eastAsia" w:ascii="Times New Roman" w:hAnsi="Times New Roman" w:cs="Times New Roman"/>
          <w:b/>
          <w:bCs/>
          <w:sz w:val="28"/>
          <w:szCs w:val="36"/>
          <w:lang w:val="en-US" w:eastAsia="zh-CN"/>
        </w:rPr>
        <w:t xml:space="preserve">3.1 </w:t>
      </w:r>
      <w:r>
        <w:rPr>
          <w:rFonts w:hint="default" w:ascii="Times New Roman" w:hAnsi="Times New Roman" w:cs="Times New Roman"/>
          <w:b/>
          <w:bCs/>
          <w:sz w:val="28"/>
          <w:szCs w:val="36"/>
          <w:lang w:val="en-US" w:eastAsia="zh-CN"/>
        </w:rPr>
        <w:t>Hofstede’s model of cultural dimension:</w:t>
      </w:r>
      <w:bookmarkEnd w:id="7"/>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The model of cultural dimension was introduced by Geert Hofstede. He conducted a pioneering study between the multiple cultures across the modern nations. In this model, six cultural dimensions have been utilized to characterize and distinguish different cultures (Minkov and Kaasa, 2020). Hofstede’s six cultural dimensions encompass power distance, collectivism versus individualism, femininity versus masculinity, avoidance of uncertainty, long-term orientation, indulgence. The culture of the Brazilians has been identified through the lens of the six-dimensional model.</w:t>
      </w:r>
    </w:p>
    <w:p>
      <w:pPr>
        <w:rPr>
          <w:rFonts w:hint="default" w:ascii="Times New Roman" w:hAnsi="Times New Roman" w:cs="Times New Roman"/>
          <w:b w:val="0"/>
          <w:bCs w:val="0"/>
          <w:sz w:val="24"/>
          <w:szCs w:val="32"/>
          <w:lang w:val="en-US" w:eastAsia="zh-CN"/>
        </w:rPr>
      </w:pPr>
      <w:r>
        <w:rPr>
          <w:color w:val="000000"/>
          <w:lang w:val="en-US"/>
        </w:rPr>
        <w:drawing>
          <wp:inline distT="0" distB="0" distL="114300" distR="114300">
            <wp:extent cx="5324475" cy="2311400"/>
            <wp:effectExtent l="0" t="0" r="9525"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referRelativeResize="0"/>
                  </pic:nvPicPr>
                  <pic:blipFill>
                    <a:blip r:embed="rId5"/>
                    <a:stretch>
                      <a:fillRect/>
                    </a:stretch>
                  </pic:blipFill>
                  <pic:spPr>
                    <a:xfrm>
                      <a:off x="0" y="0"/>
                      <a:ext cx="5324475" cy="2311400"/>
                    </a:xfrm>
                    <a:prstGeom prst="rect">
                      <a:avLst/>
                    </a:prstGeom>
                    <a:noFill/>
                    <a:ln>
                      <a:noFill/>
                    </a:ln>
                  </pic:spPr>
                </pic:pic>
              </a:graphicData>
            </a:graphic>
          </wp:inline>
        </w:drawing>
      </w:r>
    </w:p>
    <w:p>
      <w:pPr>
        <w:jc w:val="center"/>
        <w:rPr>
          <w:rFonts w:hint="default" w:ascii="Times New Roman" w:hAnsi="Times New Roman" w:cs="Times New Roman"/>
          <w:b w:val="0"/>
          <w:bCs w:val="0"/>
          <w:sz w:val="24"/>
          <w:szCs w:val="32"/>
          <w:lang w:val="en-US" w:eastAsia="zh-CN"/>
        </w:rPr>
      </w:pPr>
      <w:r>
        <w:rPr>
          <w:i/>
          <w:color w:val="44546A"/>
          <w:sz w:val="18"/>
          <w:szCs w:val="18"/>
          <w:lang w:val="en-US"/>
        </w:rPr>
        <w:drawing>
          <wp:inline distT="0" distB="0" distL="114300" distR="114300">
            <wp:extent cx="2257425" cy="485775"/>
            <wp:effectExtent l="0" t="0" r="3175" b="952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referRelativeResize="0"/>
                  </pic:nvPicPr>
                  <pic:blipFill>
                    <a:blip r:embed="rId6"/>
                    <a:stretch>
                      <a:fillRect/>
                    </a:stretch>
                  </pic:blipFill>
                  <pic:spPr>
                    <a:xfrm>
                      <a:off x="0" y="0"/>
                      <a:ext cx="2257425" cy="485775"/>
                    </a:xfrm>
                    <a:prstGeom prst="rect">
                      <a:avLst/>
                    </a:prstGeom>
                    <a:noFill/>
                    <a:ln>
                      <a:noFill/>
                    </a:ln>
                  </pic:spPr>
                </pic:pic>
              </a:graphicData>
            </a:graphic>
          </wp:inline>
        </w:drawing>
      </w:r>
    </w:p>
    <w:p>
      <w:pPr>
        <w:widowControl/>
        <w:pBdr>
          <w:top w:val="none" w:color="auto" w:sz="0" w:space="0"/>
          <w:left w:val="none" w:color="auto" w:sz="0" w:space="0"/>
          <w:bottom w:val="none" w:color="auto" w:sz="0" w:space="0"/>
          <w:right w:val="none" w:color="auto" w:sz="0" w:space="0"/>
          <w:between w:val="none" w:color="auto" w:sz="0" w:space="0"/>
        </w:pBdr>
        <w:spacing w:after="200" w:line="360" w:lineRule="auto"/>
        <w:jc w:val="center"/>
        <w:outlineLvl w:val="9"/>
        <w:rPr>
          <w:rFonts w:ascii="Times New Roman" w:hAnsi="Times New Roman" w:eastAsia="Times New Roman" w:cs="Times New Roman"/>
          <w:i/>
          <w:color w:val="44546A"/>
          <w:kern w:val="0"/>
          <w:sz w:val="24"/>
          <w:szCs w:val="24"/>
          <w:lang w:val="en-GB" w:eastAsia="en-US"/>
        </w:rPr>
      </w:pPr>
      <w:r>
        <w:rPr>
          <w:rFonts w:ascii="Calibri" w:hAnsi="Calibri" w:eastAsia="Calibri" w:cs="Calibri"/>
          <w:i/>
          <w:color w:val="44546A"/>
          <w:kern w:val="0"/>
          <w:sz w:val="18"/>
          <w:szCs w:val="18"/>
          <w:lang w:val="en-GB" w:eastAsia="en-US"/>
        </w:rPr>
        <w:t>Figure 1:Hofstede Model (Source: www.hofstede-insights.com)</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Power Distance-</w:t>
      </w:r>
      <w:r>
        <w:rPr>
          <w:rFonts w:hint="default" w:ascii="Times New Roman" w:hAnsi="Times New Roman" w:cs="Times New Roman"/>
          <w:b w:val="0"/>
          <w:bCs w:val="0"/>
          <w:sz w:val="24"/>
          <w:szCs w:val="32"/>
          <w:lang w:val="en-US" w:eastAsia="zh-CN"/>
        </w:rPr>
        <w:t xml:space="preserve"> This dimension mainly emphasizes the fact that every individual in a society is different from others. The power distance dimension has revealed the attitude of the cultures towards the inequalities among the members of the society. It is associated with the fact that the individual with very little power accepts the inequality as normal. Cultures that secure low scores in this dimension consider that the differences between powers needs to be minimal. It means that the individuals with the higher position are not considered superior to the individuals who are in lower positions. This dimension also suggests that the people of all levels come across with the people of all other levels (Sent and Kroese,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In this dimension, Brazil has secured a score of 69. According to this score, Brazil represents a society where people consider that hierarchy needs to be respected. They also believe that inequalities among individuals are acceptable. The unequal distribution of power approves the fact that power holders enjoy more advantages than the individuals with less power in Brazilian society. In this society, it is important to give respect to elderly persons. In any Brazilian organization usually, one boss takes responsibility for the entire organization. Among the Brazilian nation, the status symbols of power, plays a significant role to signify the social position.</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 xml:space="preserve">Collectivism versus Individualism- </w:t>
      </w:r>
      <w:r>
        <w:rPr>
          <w:rFonts w:hint="default" w:ascii="Times New Roman" w:hAnsi="Times New Roman" w:cs="Times New Roman"/>
          <w:b w:val="0"/>
          <w:bCs w:val="0"/>
          <w:sz w:val="24"/>
          <w:szCs w:val="32"/>
          <w:lang w:val="en-US" w:eastAsia="zh-CN"/>
        </w:rPr>
        <w:t>This dimension deals with the issue of how individuals define themselves and their dependency on other individuals. In an individualistic society, generally, people are concerned about themselves and their families (Ng and Lim, 2019).</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 society is characterized by a culture of strong and cohesive groups. Brazilians are concerned about their extended family and protect them in exchange for loyalty. From the business perspective, the elder members are expected to help the younger ones to get a job in their organization. Here, in an organization, it is necessary to build a reliable and long-term relationship. Generally, Brazilians start a meeting with a casual conversation to gain a better understanding of each other before making any business deal. They mostly prefer to use a communication style that is context-rich.</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Femininity versus Masculinity-</w:t>
      </w:r>
      <w:r>
        <w:rPr>
          <w:rFonts w:hint="default" w:ascii="Times New Roman" w:hAnsi="Times New Roman" w:cs="Times New Roman"/>
          <w:b w:val="0"/>
          <w:bCs w:val="0"/>
          <w:sz w:val="24"/>
          <w:szCs w:val="32"/>
          <w:lang w:val="en-US" w:eastAsia="zh-CN"/>
        </w:rPr>
        <w:t xml:space="preserve"> High score (Masculine) in this dimension signifies that society is dominated by achievement, success, and competition. A low score (feminine) in this dimension signifies the dominant social values fostered by the quality of life and caring for others. In a Feminine society quality of life is the indicator of success. This dimension deals with the fact that motivates people, enjoying their work (Feminine) and wanting to be the best (Masculine).</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Avoidance of Uncertainty- This dimension deals with the fact that the future is unpredictable. It also relates to the issue of whether individuals try to control the future or not. Hofstede emphasizes that the avoidance of uncertainty is not identical to the avoidance of risk. The uncertainty about the future leads to anxiety. Different cultures have different styles to deal with uncertainty (Alipour, 2019). The uncertainty avoidance score reflects the extent to which unknown conditions create fear for the members of a culture and the extent they make certain beliefs to discard these uncertainties.</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Brazilian societies represent the requirements for the legal systems to create a proper structure in society. Every member of society is required to obey the rules and regulations. In Brazil, the bureaucracy and the laws are given immense importance to protect society and make it a better place to live in. Brazilians prefer to enjoy good moments with their families, colleagues, and friends. Their body language represents their emotion.</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 xml:space="preserve">Long-term orientation- </w:t>
      </w:r>
      <w:r>
        <w:rPr>
          <w:rFonts w:hint="default" w:ascii="Times New Roman" w:hAnsi="Times New Roman" w:cs="Times New Roman"/>
          <w:b w:val="0"/>
          <w:bCs w:val="0"/>
          <w:sz w:val="24"/>
          <w:szCs w:val="32"/>
          <w:lang w:val="en-US" w:eastAsia="zh-CN"/>
        </w:rPr>
        <w:t>This dimension deals with the way by which every society maintains some connections with its earlier consequences while dealing with the issues of the present and uncertainties of the future. Every society has its style to prioritize these two existing goals. Normative societies secure low scores in this dimension. They like to maintain their age-old traditions and are inflexible with societal changes. The cultures that secure high scores prioritize the pragmatic approach and encourage modern education to prepare for the future (Chun et al., 2021).</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Indulgence-</w:t>
      </w:r>
      <w:r>
        <w:rPr>
          <w:rFonts w:hint="default" w:ascii="Times New Roman" w:hAnsi="Times New Roman" w:cs="Times New Roman"/>
          <w:b w:val="0"/>
          <w:bCs w:val="0"/>
          <w:sz w:val="24"/>
          <w:szCs w:val="32"/>
          <w:lang w:val="en-US" w:eastAsia="zh-CN"/>
        </w:rPr>
        <w:t xml:space="preserve"> Indulgence deals with the degree to which small children are socialized. Socialization helps to grow a child as a human. It signifies the extent to which individuals try to control their desire, depending on their upbringing. Relatively weak control is signified as Indulgence and string control is known as Restraint (Heydari et al, 2021). Thus, culture can be explained as Indulgence or Restrained.</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Brazil secures a high score in this dimension that signifies it as an Indulgent society. It means Brazilians are interested in understanding their desires while enjoying life. They show a positive attitude and like to see things through the lens of optimism. Apart from this, they prioritize enjoyment and spending money according to their wishes.</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bCs/>
          <w:sz w:val="28"/>
          <w:szCs w:val="36"/>
          <w:lang w:val="en-US" w:eastAsia="zh-CN"/>
        </w:rPr>
      </w:pPr>
      <w:bookmarkStart w:id="8" w:name="_Toc14982"/>
      <w:r>
        <w:rPr>
          <w:rFonts w:hint="eastAsia" w:ascii="Times New Roman" w:hAnsi="Times New Roman" w:cs="Times New Roman"/>
          <w:b/>
          <w:bCs/>
          <w:sz w:val="28"/>
          <w:szCs w:val="36"/>
          <w:lang w:val="en-US" w:eastAsia="zh-CN"/>
        </w:rPr>
        <w:t xml:space="preserve">3.2 </w:t>
      </w:r>
      <w:r>
        <w:rPr>
          <w:rFonts w:hint="default" w:ascii="Times New Roman" w:hAnsi="Times New Roman" w:cs="Times New Roman"/>
          <w:b/>
          <w:bCs/>
          <w:sz w:val="28"/>
          <w:szCs w:val="36"/>
          <w:lang w:val="en-US" w:eastAsia="zh-CN"/>
        </w:rPr>
        <w:t>Communication Accommodation Theory:</w:t>
      </w:r>
      <w:bookmarkEnd w:id="8"/>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Communication accommodation theory deals with the adjustments that are made by the individuals while communicating. This theory is developed by professor Howard Giles. According to this theory, the factors which lead towards the accommodation activities are adjustments. Adjustments are made through verbal communication or gestures (Watson and Soliz, 2018).</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This theory includes two types of the communication process, i.e., Convergence and Divergence.</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Convergence-</w:t>
      </w:r>
      <w:r>
        <w:rPr>
          <w:rFonts w:hint="default" w:ascii="Times New Roman" w:hAnsi="Times New Roman" w:cs="Times New Roman"/>
          <w:b w:val="0"/>
          <w:bCs w:val="0"/>
          <w:sz w:val="24"/>
          <w:szCs w:val="32"/>
          <w:lang w:val="en-US" w:eastAsia="zh-CN"/>
        </w:rPr>
        <w:t xml:space="preserve"> It refers to the process by which an individual tries to adapt the communication characteristics of other individuals to minimize social differences.</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Divergence-</w:t>
      </w:r>
      <w:r>
        <w:rPr>
          <w:rFonts w:hint="default" w:ascii="Times New Roman" w:hAnsi="Times New Roman" w:cs="Times New Roman"/>
          <w:b w:val="0"/>
          <w:bCs w:val="0"/>
          <w:sz w:val="24"/>
          <w:szCs w:val="32"/>
          <w:lang w:val="en-US" w:eastAsia="zh-CN"/>
        </w:rPr>
        <w:t xml:space="preserve"> It represents the opposite characteristics and focuses on the social and nonverbal differences between the individuals. </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These two processes depend on the characteristics of the interactant. A British organization can adopt the communication characteristics of the Brazilians while communicating with them. They can glorify the positive sides of their Brazilian culture and people that may help them to bring success in their business in Brazil. Thus, a British organization can accommodate their behaviour according to the situation and create a good image among Brazilians (Zhang and Pitts, 2018).</w:t>
      </w:r>
    </w:p>
    <w:p>
      <w:pPr>
        <w:rPr>
          <w:rFonts w:hint="default" w:ascii="Times New Roman" w:hAnsi="Times New Roman" w:cs="Times New Roman"/>
          <w:b w:val="0"/>
          <w:bCs w:val="0"/>
          <w:sz w:val="24"/>
          <w:szCs w:val="32"/>
          <w:lang w:val="en-US" w:eastAsia="zh-CN"/>
        </w:rPr>
      </w:pPr>
    </w:p>
    <w:p>
      <w:pPr>
        <w:outlineLvl w:val="1"/>
        <w:rPr>
          <w:rFonts w:hint="default" w:ascii="Times New Roman" w:hAnsi="Times New Roman" w:cs="Times New Roman"/>
          <w:b/>
          <w:bCs/>
          <w:sz w:val="28"/>
          <w:szCs w:val="36"/>
          <w:lang w:val="en-US" w:eastAsia="zh-CN"/>
        </w:rPr>
      </w:pPr>
      <w:bookmarkStart w:id="9" w:name="_Toc20490"/>
      <w:r>
        <w:rPr>
          <w:rFonts w:hint="eastAsia" w:ascii="Times New Roman" w:hAnsi="Times New Roman" w:cs="Times New Roman"/>
          <w:b/>
          <w:bCs/>
          <w:sz w:val="28"/>
          <w:szCs w:val="36"/>
          <w:lang w:val="en-US" w:eastAsia="zh-CN"/>
        </w:rPr>
        <w:t xml:space="preserve">3.3 </w:t>
      </w:r>
      <w:r>
        <w:rPr>
          <w:rFonts w:hint="default" w:ascii="Times New Roman" w:hAnsi="Times New Roman" w:cs="Times New Roman"/>
          <w:b/>
          <w:bCs/>
          <w:sz w:val="28"/>
          <w:szCs w:val="36"/>
          <w:lang w:val="en-US" w:eastAsia="zh-CN"/>
        </w:rPr>
        <w:t>Trompenaars seven dimensions of Culture:</w:t>
      </w:r>
      <w:bookmarkEnd w:id="9"/>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Organizations across the world deal with a wide variety of cultures. Fons Trompenaars opined that cultural differences help to understand reality in a better way. He has developed a cultural model that distinguishes seven cultural dimensions.</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Universalism versus Particularism-</w:t>
      </w:r>
      <w:r>
        <w:rPr>
          <w:rFonts w:hint="default" w:ascii="Times New Roman" w:hAnsi="Times New Roman" w:cs="Times New Roman"/>
          <w:b w:val="0"/>
          <w:bCs w:val="0"/>
          <w:sz w:val="24"/>
          <w:szCs w:val="32"/>
          <w:lang w:val="en-US" w:eastAsia="zh-CN"/>
        </w:rPr>
        <w:t xml:space="preserve"> Universalistic cultures emphasize rules, whereas particularistic cultures emphasize the relationship. While British people are particular about rules, Brazilian people prefer flexibility, most Brazilian organisations prefer to work in flexible culture. </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Individualism versus collectivism-</w:t>
      </w:r>
      <w:r>
        <w:rPr>
          <w:rFonts w:hint="default" w:ascii="Times New Roman" w:hAnsi="Times New Roman" w:cs="Times New Roman"/>
          <w:b w:val="0"/>
          <w:bCs w:val="0"/>
          <w:sz w:val="24"/>
          <w:szCs w:val="32"/>
          <w:lang w:val="en-US" w:eastAsia="zh-CN"/>
        </w:rPr>
        <w:t xml:space="preserve"> It segregates the countries according to the balance between the individual and group interests. Brazilians prioritize group interests and tend to work collectively for better results (Hampden-Turner et al., 2020)</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Neutral versus emotional-</w:t>
      </w:r>
      <w:r>
        <w:rPr>
          <w:rFonts w:hint="default" w:ascii="Times New Roman" w:hAnsi="Times New Roman" w:cs="Times New Roman"/>
          <w:b w:val="0"/>
          <w:bCs w:val="0"/>
          <w:sz w:val="24"/>
          <w:szCs w:val="32"/>
          <w:lang w:val="en-US" w:eastAsia="zh-CN"/>
        </w:rPr>
        <w:t xml:space="preserve"> Individuals belonging to neutral culture control their feelings that can be explored under a stressful situation. Individuals who belong to cultures high on affectivity show all forms of gesturing and body language. Generally, Brazilians represent their emotions through body language (Hampden-Turner et al., 2020).</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Specific versus diffuse-</w:t>
      </w:r>
      <w:r>
        <w:rPr>
          <w:rFonts w:hint="default" w:ascii="Times New Roman" w:hAnsi="Times New Roman" w:cs="Times New Roman"/>
          <w:b w:val="0"/>
          <w:bCs w:val="0"/>
          <w:sz w:val="24"/>
          <w:szCs w:val="32"/>
          <w:lang w:val="en-US" w:eastAsia="zh-CN"/>
        </w:rPr>
        <w:t xml:space="preserve"> Individuals with specific-oriented cultures place their personal and business agendas separately. Individuals with diffuse-oriented cultures just adopt a casual attitude in the professional area. Brazilians like to start a business meeting on a casual note.</w:t>
      </w:r>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Achievement versus ascription-</w:t>
      </w:r>
      <w:r>
        <w:rPr>
          <w:rFonts w:hint="default" w:ascii="Times New Roman" w:hAnsi="Times New Roman" w:cs="Times New Roman"/>
          <w:b w:val="0"/>
          <w:bCs w:val="0"/>
          <w:sz w:val="24"/>
          <w:szCs w:val="32"/>
          <w:lang w:val="en-US" w:eastAsia="zh-CN"/>
        </w:rPr>
        <w:t xml:space="preserve"> In achievement-oriented culture, individuals respect others based on past achievement.  </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Attitudes to time-</w:t>
      </w:r>
      <w:r>
        <w:rPr>
          <w:rFonts w:hint="default" w:ascii="Times New Roman" w:hAnsi="Times New Roman" w:cs="Times New Roman"/>
          <w:b w:val="0"/>
          <w:bCs w:val="0"/>
          <w:sz w:val="24"/>
          <w:szCs w:val="32"/>
          <w:lang w:val="en-US" w:eastAsia="zh-CN"/>
        </w:rPr>
        <w:t xml:space="preserve"> Different cultures show different attitudes towards past, present, and future. Past-oriented culture explains the situation from the traditional perspective (Barker, 2020). The present-oriented culture encourages us to enjoy the present moment. Future-oriented cultures prefer to discuss the prospect.</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Attitudes to the environment- This dimension represents how people from different countries deal with the natural environment and changes (Barker, 2020).</w:t>
      </w:r>
    </w:p>
    <w:p>
      <w:pPr>
        <w:rPr>
          <w:rFonts w:hint="default" w:ascii="Times New Roman" w:hAnsi="Times New Roman" w:cs="Times New Roman"/>
          <w:b w:val="0"/>
          <w:bCs w:val="0"/>
          <w:sz w:val="24"/>
          <w:szCs w:val="32"/>
          <w:lang w:val="en-US" w:eastAsia="zh-CN"/>
        </w:rPr>
      </w:pPr>
    </w:p>
    <w:p>
      <w:pPr>
        <w:outlineLvl w:val="0"/>
        <w:rPr>
          <w:rFonts w:hint="default" w:ascii="Times New Roman" w:hAnsi="Times New Roman" w:cs="Times New Roman"/>
          <w:b/>
          <w:bCs/>
          <w:sz w:val="28"/>
          <w:szCs w:val="36"/>
          <w:lang w:val="en-US" w:eastAsia="zh-CN"/>
        </w:rPr>
      </w:pPr>
      <w:bookmarkStart w:id="10" w:name="_Toc2087"/>
      <w:r>
        <w:rPr>
          <w:rFonts w:hint="eastAsia" w:ascii="Times New Roman" w:hAnsi="Times New Roman" w:cs="Times New Roman"/>
          <w:b/>
          <w:bCs/>
          <w:sz w:val="28"/>
          <w:szCs w:val="36"/>
          <w:lang w:val="en-US" w:eastAsia="zh-CN"/>
        </w:rPr>
        <w:t xml:space="preserve">4.0 </w:t>
      </w:r>
      <w:r>
        <w:rPr>
          <w:rFonts w:hint="default" w:ascii="Times New Roman" w:hAnsi="Times New Roman" w:cs="Times New Roman"/>
          <w:b/>
          <w:bCs/>
          <w:sz w:val="28"/>
          <w:szCs w:val="36"/>
          <w:lang w:val="en-US" w:eastAsia="zh-CN"/>
        </w:rPr>
        <w:t>Conclusion and Recommendation:</w:t>
      </w:r>
      <w:bookmarkEnd w:id="10"/>
    </w:p>
    <w:p>
      <w:pPr>
        <w:rPr>
          <w:rFonts w:hint="default" w:ascii="Times New Roman" w:hAnsi="Times New Roman" w:cs="Times New Roman"/>
          <w:b w:val="0"/>
          <w:bCs w:val="0"/>
          <w:sz w:val="24"/>
          <w:szCs w:val="32"/>
          <w:lang w:val="en-US" w:eastAsia="zh-CN"/>
        </w:rPr>
      </w:pP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t xml:space="preserve">Culture is considered the identity of any country. Scholars argue that it is a set of transmitted and acquired behavioural patterns, beliefs, and institutions and the only representative of a nation. It provides remedies to any critical issues faced by a community. Brazilians are friendly, diplomatic, smart, clever people. It is important to understand their culture before setting up business in their country. Achieving cultural proficiency helps a British organization to operate their business successfully in Brazil. Thus, during the initial stages, it becomes important for the British business to understand the cultural norms of Brazil, such as their inclination towards flexibility and working as a group. British managers need to plan out their work plan as per Brazilian work culture. </w:t>
      </w:r>
    </w:p>
    <w:p>
      <w:pPr>
        <w:rPr>
          <w:rFonts w:hint="default" w:ascii="Times New Roman" w:hAnsi="Times New Roman" w:cs="Times New Roman"/>
          <w:b w:val="0"/>
          <w:bCs w:val="0"/>
          <w:sz w:val="24"/>
          <w:szCs w:val="32"/>
          <w:lang w:val="en-US" w:eastAsia="zh-CN"/>
        </w:rPr>
      </w:pPr>
      <w:r>
        <w:rPr>
          <w:rFonts w:hint="default" w:ascii="Times New Roman" w:hAnsi="Times New Roman" w:cs="Times New Roman"/>
          <w:b w:val="0"/>
          <w:bCs w:val="0"/>
          <w:sz w:val="24"/>
          <w:szCs w:val="32"/>
          <w:lang w:val="en-US" w:eastAsia="zh-CN"/>
        </w:rPr>
        <w:br w:type="page"/>
      </w:r>
    </w:p>
    <w:p>
      <w:pPr>
        <w:outlineLvl w:val="0"/>
        <w:rPr>
          <w:rFonts w:hint="default" w:ascii="Times New Roman" w:hAnsi="Times New Roman" w:cs="Times New Roman"/>
          <w:b/>
          <w:bCs/>
          <w:sz w:val="28"/>
          <w:szCs w:val="36"/>
          <w:lang w:val="en-US" w:eastAsia="zh-CN"/>
        </w:rPr>
      </w:pPr>
      <w:bookmarkStart w:id="11" w:name="_Toc16323"/>
      <w:r>
        <w:rPr>
          <w:rFonts w:hint="default" w:ascii="Times New Roman" w:hAnsi="Times New Roman" w:cs="Times New Roman"/>
          <w:b/>
          <w:bCs/>
          <w:sz w:val="28"/>
          <w:szCs w:val="36"/>
          <w:lang w:val="en-US" w:eastAsia="zh-CN"/>
        </w:rPr>
        <w:t>References:</w:t>
      </w:r>
      <w:bookmarkEnd w:id="11"/>
    </w:p>
    <w:p>
      <w:pPr>
        <w:rPr>
          <w:rFonts w:hint="default" w:ascii="Times New Roman" w:hAnsi="Times New Roman" w:cs="Times New Roman"/>
          <w:b w:val="0"/>
          <w:bCs w:val="0"/>
          <w:sz w:val="24"/>
          <w:szCs w:val="32"/>
          <w:lang w:val="en-US" w:eastAsia="zh-CN"/>
        </w:rPr>
      </w:pPr>
    </w:p>
    <w:p>
      <w:pPr>
        <w:widowControl/>
        <w:numPr>
          <w:ilvl w:val="0"/>
          <w:numId w:val="1"/>
        </w:numPr>
        <w:spacing w:after="160" w:line="360" w:lineRule="auto"/>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Adrian, H., (2018). </w:t>
      </w:r>
      <w:r>
        <w:rPr>
          <w:rFonts w:ascii="Times New Roman" w:hAnsi="Times New Roman" w:eastAsia="Times New Roman" w:cs="Times New Roman"/>
          <w:i/>
          <w:kern w:val="0"/>
          <w:sz w:val="24"/>
          <w:szCs w:val="24"/>
          <w:lang w:val="en-GB" w:eastAsia="en-US"/>
        </w:rPr>
        <w:t>Understanding intercultural communication: Negotiating a grammar of culture</w:t>
      </w:r>
      <w:r>
        <w:rPr>
          <w:rFonts w:ascii="Times New Roman" w:hAnsi="Times New Roman" w:eastAsia="Times New Roman" w:cs="Times New Roman"/>
          <w:kern w:val="0"/>
          <w:sz w:val="24"/>
          <w:szCs w:val="24"/>
          <w:lang w:val="en-GB" w:eastAsia="en-US"/>
        </w:rPr>
        <w:t>.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Alipour, A., (2019). The conceptual difference really matters: Hofstede vs GLOBE’s uncertainty avoidance and the risk-taking behavior of firms. </w:t>
      </w:r>
      <w:r>
        <w:rPr>
          <w:rFonts w:ascii="Times New Roman" w:hAnsi="Times New Roman" w:eastAsia="Times New Roman" w:cs="Times New Roman"/>
          <w:i/>
          <w:kern w:val="0"/>
          <w:sz w:val="24"/>
          <w:szCs w:val="24"/>
          <w:lang w:val="en-GB" w:eastAsia="en-US"/>
        </w:rPr>
        <w:t>Cross Cultural &amp; Strategic Management</w:t>
      </w:r>
      <w:r>
        <w:rPr>
          <w:rFonts w:ascii="Times New Roman" w:hAnsi="Times New Roman" w:eastAsia="Times New Roman" w:cs="Times New Roman"/>
          <w:kern w:val="0"/>
          <w:sz w:val="24"/>
          <w:szCs w:val="24"/>
          <w:lang w:val="en-GB" w:eastAsia="en-US"/>
        </w:rPr>
        <w:t>.</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Barker, K., (2020). Creating Change and Cross-Cultural Competence While Conducting Business on the Global Stage. </w:t>
      </w:r>
      <w:r>
        <w:rPr>
          <w:rFonts w:ascii="Times New Roman" w:hAnsi="Times New Roman" w:eastAsia="Times New Roman" w:cs="Times New Roman"/>
          <w:i/>
          <w:kern w:val="0"/>
          <w:sz w:val="24"/>
          <w:szCs w:val="24"/>
          <w:lang w:val="en-GB" w:eastAsia="en-US"/>
        </w:rPr>
        <w:t>Organization Development Journal</w:t>
      </w:r>
      <w:r>
        <w:rPr>
          <w:rFonts w:ascii="Times New Roman" w:hAnsi="Times New Roman" w:eastAsia="Times New Roman" w:cs="Times New Roman"/>
          <w:kern w:val="0"/>
          <w:sz w:val="24"/>
          <w:szCs w:val="24"/>
          <w:lang w:val="en-GB" w:eastAsia="en-US"/>
        </w:rPr>
        <w:t>, pp.77-85.</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Bolten, J., (2020). </w:t>
      </w:r>
      <w:r>
        <w:rPr>
          <w:rFonts w:ascii="Times New Roman" w:hAnsi="Times New Roman" w:eastAsia="Times New Roman" w:cs="Times New Roman"/>
          <w:i/>
          <w:kern w:val="0"/>
          <w:sz w:val="24"/>
          <w:szCs w:val="24"/>
          <w:lang w:val="en-GB" w:eastAsia="en-US"/>
        </w:rPr>
        <w:t>Intercultural business communication: An interactive approach</w:t>
      </w:r>
      <w:r>
        <w:rPr>
          <w:rFonts w:ascii="Times New Roman" w:hAnsi="Times New Roman" w:eastAsia="Times New Roman" w:cs="Times New Roman"/>
          <w:kern w:val="0"/>
          <w:sz w:val="24"/>
          <w:szCs w:val="24"/>
          <w:lang w:val="en-GB" w:eastAsia="en-US"/>
        </w:rPr>
        <w:t xml:space="preserve"> (pp. 139-155).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Chun, D., Zhang, Z., Cohen, E., Florea, L. and Genc, O.F., (2021). Long-term orientation and the passage of time: Is it time to revisit Hofstede’s cultural dimensions?. </w:t>
      </w:r>
      <w:r>
        <w:rPr>
          <w:rFonts w:ascii="Times New Roman" w:hAnsi="Times New Roman" w:eastAsia="Times New Roman" w:cs="Times New Roman"/>
          <w:i/>
          <w:kern w:val="0"/>
          <w:sz w:val="24"/>
          <w:szCs w:val="24"/>
          <w:lang w:val="en-GB" w:eastAsia="en-US"/>
        </w:rPr>
        <w:t>International Journal of Cross Cultural Management</w:t>
      </w:r>
      <w:r>
        <w:rPr>
          <w:rFonts w:ascii="Times New Roman" w:hAnsi="Times New Roman" w:eastAsia="Times New Roman" w:cs="Times New Roman"/>
          <w:kern w:val="0"/>
          <w:sz w:val="24"/>
          <w:szCs w:val="24"/>
          <w:lang w:val="en-GB" w:eastAsia="en-US"/>
        </w:rPr>
        <w:t>, 21(2), pp.353-371.</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Contador, J.C., Satyro, W.C., Contador, J.L. and Spinola, M.D.M., (2020). Flexibility in the Brazilian industry 4.0: challenges and opportunities. </w:t>
      </w:r>
      <w:r>
        <w:rPr>
          <w:rFonts w:ascii="Times New Roman" w:hAnsi="Times New Roman" w:eastAsia="Times New Roman" w:cs="Times New Roman"/>
          <w:i/>
          <w:kern w:val="0"/>
          <w:sz w:val="24"/>
          <w:szCs w:val="24"/>
          <w:lang w:val="en-GB" w:eastAsia="en-US"/>
        </w:rPr>
        <w:t>Global Journal of Flexible Systems Management</w:t>
      </w:r>
      <w:r>
        <w:rPr>
          <w:rFonts w:ascii="Times New Roman" w:hAnsi="Times New Roman" w:eastAsia="Times New Roman" w:cs="Times New Roman"/>
          <w:kern w:val="0"/>
          <w:sz w:val="24"/>
          <w:szCs w:val="24"/>
          <w:lang w:val="en-GB" w:eastAsia="en-US"/>
        </w:rPr>
        <w:t>, 21, pp.15-31.</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de Oliveira, J.A.S., Basso, L.F.C., Kimura, H. and Sobreiro, V.A., (2018). Innovation and financial performance of companies doing business in Brazil. </w:t>
      </w:r>
      <w:r>
        <w:rPr>
          <w:rFonts w:ascii="Times New Roman" w:hAnsi="Times New Roman" w:eastAsia="Times New Roman" w:cs="Times New Roman"/>
          <w:i/>
          <w:kern w:val="0"/>
          <w:sz w:val="24"/>
          <w:szCs w:val="24"/>
          <w:lang w:val="en-GB" w:eastAsia="en-US"/>
        </w:rPr>
        <w:t>International Journal of Innovation Studies</w:t>
      </w:r>
      <w:r>
        <w:rPr>
          <w:rFonts w:ascii="Times New Roman" w:hAnsi="Times New Roman" w:eastAsia="Times New Roman" w:cs="Times New Roman"/>
          <w:kern w:val="0"/>
          <w:sz w:val="24"/>
          <w:szCs w:val="24"/>
          <w:lang w:val="en-GB" w:eastAsia="en-US"/>
        </w:rPr>
        <w:t>, 2(4), pp.153-164.</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Gouvea, R., Kapelianis, D. and Montoya, M., (2018). Marketing challenges and opportunities in emerging economies: A Brazilian perspective. </w:t>
      </w:r>
      <w:r>
        <w:rPr>
          <w:rFonts w:ascii="Times New Roman" w:hAnsi="Times New Roman" w:eastAsia="Times New Roman" w:cs="Times New Roman"/>
          <w:i/>
          <w:kern w:val="0"/>
          <w:sz w:val="24"/>
          <w:szCs w:val="24"/>
          <w:lang w:val="en-GB" w:eastAsia="en-US"/>
        </w:rPr>
        <w:t>Thunderbird International Business Review</w:t>
      </w:r>
      <w:r>
        <w:rPr>
          <w:rFonts w:ascii="Times New Roman" w:hAnsi="Times New Roman" w:eastAsia="Times New Roman" w:cs="Times New Roman"/>
          <w:kern w:val="0"/>
          <w:sz w:val="24"/>
          <w:szCs w:val="24"/>
          <w:lang w:val="en-GB" w:eastAsia="en-US"/>
        </w:rPr>
        <w:t>, 60(2), pp.193-205.</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Hampden-Turner, C., Trompenaars, F. and Hampden-Turner, C., (2020). </w:t>
      </w:r>
      <w:r>
        <w:rPr>
          <w:rFonts w:ascii="Times New Roman" w:hAnsi="Times New Roman" w:eastAsia="Times New Roman" w:cs="Times New Roman"/>
          <w:i/>
          <w:kern w:val="0"/>
          <w:sz w:val="24"/>
          <w:szCs w:val="24"/>
          <w:lang w:val="en-GB" w:eastAsia="en-US"/>
        </w:rPr>
        <w:t>Riding the waves of culture: Understanding diversity in global business.</w:t>
      </w:r>
      <w:r>
        <w:rPr>
          <w:rFonts w:ascii="Times New Roman" w:hAnsi="Times New Roman" w:eastAsia="Times New Roman" w:cs="Times New Roman"/>
          <w:kern w:val="0"/>
          <w:sz w:val="24"/>
          <w:szCs w:val="24"/>
          <w:lang w:val="en-GB" w:eastAsia="en-US"/>
        </w:rPr>
        <w:t xml:space="preserve"> Hachette UK.</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Heydari, A., Laroche, M., Paulin, M. and Richard, M.O., (2021). Hofstede's individual-level indulgence dimension: Scale development and validation. </w:t>
      </w:r>
      <w:r>
        <w:rPr>
          <w:rFonts w:ascii="Times New Roman" w:hAnsi="Times New Roman" w:eastAsia="Times New Roman" w:cs="Times New Roman"/>
          <w:i/>
          <w:kern w:val="0"/>
          <w:sz w:val="24"/>
          <w:szCs w:val="24"/>
          <w:lang w:val="en-GB" w:eastAsia="en-US"/>
        </w:rPr>
        <w:t>Journal of Retailing and Consumer Services</w:t>
      </w:r>
      <w:r>
        <w:rPr>
          <w:rFonts w:ascii="Times New Roman" w:hAnsi="Times New Roman" w:eastAsia="Times New Roman" w:cs="Times New Roman"/>
          <w:kern w:val="0"/>
          <w:sz w:val="24"/>
          <w:szCs w:val="24"/>
          <w:lang w:val="en-GB" w:eastAsia="en-US"/>
        </w:rPr>
        <w:t>, 62, p.102640.</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Holliday, A., Hyde, M. and Kullman, J., (2021). </w:t>
      </w:r>
      <w:r>
        <w:rPr>
          <w:rFonts w:ascii="Times New Roman" w:hAnsi="Times New Roman" w:eastAsia="Times New Roman" w:cs="Times New Roman"/>
          <w:i/>
          <w:kern w:val="0"/>
          <w:sz w:val="24"/>
          <w:szCs w:val="24"/>
          <w:lang w:val="en-GB" w:eastAsia="en-US"/>
        </w:rPr>
        <w:t>Intercultural communication: An advanced resource book for students</w:t>
      </w:r>
      <w:r>
        <w:rPr>
          <w:rFonts w:ascii="Times New Roman" w:hAnsi="Times New Roman" w:eastAsia="Times New Roman" w:cs="Times New Roman"/>
          <w:kern w:val="0"/>
          <w:sz w:val="24"/>
          <w:szCs w:val="24"/>
          <w:lang w:val="en-GB" w:eastAsia="en-US"/>
        </w:rPr>
        <w:t>.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Klyukanov, I.E., (2020). </w:t>
      </w:r>
      <w:r>
        <w:rPr>
          <w:rFonts w:ascii="Times New Roman" w:hAnsi="Times New Roman" w:eastAsia="Times New Roman" w:cs="Times New Roman"/>
          <w:i/>
          <w:kern w:val="0"/>
          <w:sz w:val="24"/>
          <w:szCs w:val="24"/>
          <w:lang w:val="en-GB" w:eastAsia="en-US"/>
        </w:rPr>
        <w:t>Principles of intercultural communication</w:t>
      </w:r>
      <w:r>
        <w:rPr>
          <w:rFonts w:ascii="Times New Roman" w:hAnsi="Times New Roman" w:eastAsia="Times New Roman" w:cs="Times New Roman"/>
          <w:kern w:val="0"/>
          <w:sz w:val="24"/>
          <w:szCs w:val="24"/>
          <w:lang w:val="en-GB" w:eastAsia="en-US"/>
        </w:rPr>
        <w:t>.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Ma, J., Yang, J. and Yoo, B., (2020). The moderating role of personal cultural values on consumer ethnocentrism in developing countries: The case of Brazil and Russia. </w:t>
      </w:r>
      <w:r>
        <w:rPr>
          <w:rFonts w:ascii="Times New Roman" w:hAnsi="Times New Roman" w:eastAsia="Times New Roman" w:cs="Times New Roman"/>
          <w:i/>
          <w:kern w:val="0"/>
          <w:sz w:val="24"/>
          <w:szCs w:val="24"/>
          <w:lang w:val="en-GB" w:eastAsia="en-US"/>
        </w:rPr>
        <w:t>Journal of Business Research</w:t>
      </w:r>
      <w:r>
        <w:rPr>
          <w:rFonts w:ascii="Times New Roman" w:hAnsi="Times New Roman" w:eastAsia="Times New Roman" w:cs="Times New Roman"/>
          <w:kern w:val="0"/>
          <w:sz w:val="24"/>
          <w:szCs w:val="24"/>
          <w:lang w:val="en-GB" w:eastAsia="en-US"/>
        </w:rPr>
        <w:t>, 108, pp.375-389.</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Martinez, I., Garcia, F., Veiga, F., Garcia, O.F., Rodrigues, Y. and Serra, E., (2020). Parenting styles, internalization of values and self-esteem: A cross-cultural study in Spain, Portugal and Brazil. </w:t>
      </w:r>
      <w:r>
        <w:rPr>
          <w:rFonts w:ascii="Times New Roman" w:hAnsi="Times New Roman" w:eastAsia="Times New Roman" w:cs="Times New Roman"/>
          <w:i/>
          <w:kern w:val="0"/>
          <w:sz w:val="24"/>
          <w:szCs w:val="24"/>
          <w:lang w:val="en-GB" w:eastAsia="en-US"/>
        </w:rPr>
        <w:t>International Journal of Environmental Research and Public Health</w:t>
      </w:r>
      <w:r>
        <w:rPr>
          <w:rFonts w:ascii="Times New Roman" w:hAnsi="Times New Roman" w:eastAsia="Times New Roman" w:cs="Times New Roman"/>
          <w:kern w:val="0"/>
          <w:sz w:val="24"/>
          <w:szCs w:val="24"/>
          <w:lang w:val="en-GB" w:eastAsia="en-US"/>
        </w:rPr>
        <w:t>, 17(7), p.2370.</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Minkov, M. and Kaasa, A., (2020). A test of Hofstede's model of culture following his own approach. </w:t>
      </w:r>
      <w:r>
        <w:rPr>
          <w:rFonts w:ascii="Times New Roman" w:hAnsi="Times New Roman" w:eastAsia="Times New Roman" w:cs="Times New Roman"/>
          <w:i/>
          <w:kern w:val="0"/>
          <w:sz w:val="24"/>
          <w:szCs w:val="24"/>
          <w:lang w:val="en-GB" w:eastAsia="en-US"/>
        </w:rPr>
        <w:t>Cross Cultural &amp; Strategic Management</w:t>
      </w:r>
      <w:r>
        <w:rPr>
          <w:rFonts w:ascii="Times New Roman" w:hAnsi="Times New Roman" w:eastAsia="Times New Roman" w:cs="Times New Roman"/>
          <w:kern w:val="0"/>
          <w:sz w:val="24"/>
          <w:szCs w:val="24"/>
          <w:lang w:val="en-GB" w:eastAsia="en-US"/>
        </w:rPr>
        <w:t>.</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fr-FR" w:eastAsia="en-US"/>
        </w:rPr>
      </w:pPr>
      <w:r>
        <w:rPr>
          <w:rFonts w:ascii="Times New Roman" w:hAnsi="Times New Roman" w:eastAsia="Times New Roman" w:cs="Times New Roman"/>
          <w:kern w:val="0"/>
          <w:sz w:val="24"/>
          <w:szCs w:val="24"/>
          <w:lang w:val="en-GB" w:eastAsia="en-US"/>
        </w:rPr>
        <w:t xml:space="preserve">Ng, S.I. and Lim, X.J., (2019). Are Hofstede’s and Schwartz’s values frameworks equally predictive across contexts?. </w:t>
      </w:r>
      <w:r>
        <w:rPr>
          <w:rFonts w:ascii="Times New Roman" w:hAnsi="Times New Roman" w:eastAsia="Times New Roman" w:cs="Times New Roman"/>
          <w:i/>
          <w:kern w:val="0"/>
          <w:sz w:val="24"/>
          <w:szCs w:val="24"/>
          <w:lang w:val="fr-FR" w:eastAsia="en-US"/>
        </w:rPr>
        <w:t>Revista Brasileira de Gestão de Negócios</w:t>
      </w:r>
      <w:r>
        <w:rPr>
          <w:rFonts w:ascii="Times New Roman" w:hAnsi="Times New Roman" w:eastAsia="Times New Roman" w:cs="Times New Roman"/>
          <w:kern w:val="0"/>
          <w:sz w:val="24"/>
          <w:szCs w:val="24"/>
          <w:lang w:val="fr-FR" w:eastAsia="en-US"/>
        </w:rPr>
        <w:t>, 21, pp.33-47.</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fr-FR" w:eastAsia="en-US"/>
        </w:rPr>
        <w:t xml:space="preserve">Sent, E.M. and Kroese, A.L., (2020). </w:t>
      </w:r>
      <w:r>
        <w:rPr>
          <w:rFonts w:ascii="Times New Roman" w:hAnsi="Times New Roman" w:eastAsia="Times New Roman" w:cs="Times New Roman"/>
          <w:kern w:val="0"/>
          <w:sz w:val="24"/>
          <w:szCs w:val="24"/>
          <w:lang w:val="en-GB" w:eastAsia="en-US"/>
        </w:rPr>
        <w:t xml:space="preserve">Commemorating Geert Hofstede, a pioneer in the study of culture and institutions. </w:t>
      </w:r>
      <w:r>
        <w:rPr>
          <w:rFonts w:ascii="Times New Roman" w:hAnsi="Times New Roman" w:eastAsia="Times New Roman" w:cs="Times New Roman"/>
          <w:i/>
          <w:kern w:val="0"/>
          <w:sz w:val="24"/>
          <w:szCs w:val="24"/>
          <w:lang w:val="en-GB" w:eastAsia="en-US"/>
        </w:rPr>
        <w:t>Journal of Institutional Economics</w:t>
      </w:r>
      <w:r>
        <w:rPr>
          <w:rFonts w:ascii="Times New Roman" w:hAnsi="Times New Roman" w:eastAsia="Times New Roman" w:cs="Times New Roman"/>
          <w:kern w:val="0"/>
          <w:sz w:val="24"/>
          <w:szCs w:val="24"/>
          <w:lang w:val="en-GB" w:eastAsia="en-US"/>
        </w:rPr>
        <w:t>, pp.1-13.</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Silva, S., (2021). Cultural management in Brazil: Persistence in times of uncertainty. </w:t>
      </w:r>
      <w:r>
        <w:rPr>
          <w:rFonts w:ascii="Times New Roman" w:hAnsi="Times New Roman" w:eastAsia="Times New Roman" w:cs="Times New Roman"/>
          <w:i/>
          <w:kern w:val="0"/>
          <w:sz w:val="24"/>
          <w:szCs w:val="24"/>
          <w:lang w:val="en-GB" w:eastAsia="en-US"/>
        </w:rPr>
        <w:t>In Cultural Management and Policy in Latin America</w:t>
      </w:r>
      <w:r>
        <w:rPr>
          <w:rFonts w:ascii="Times New Roman" w:hAnsi="Times New Roman" w:eastAsia="Times New Roman" w:cs="Times New Roman"/>
          <w:kern w:val="0"/>
          <w:sz w:val="24"/>
          <w:szCs w:val="24"/>
          <w:lang w:val="en-GB" w:eastAsia="en-US"/>
        </w:rPr>
        <w:t xml:space="preserve"> (pp. 163-183).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Steinfatt, T.M. and Millette, D.M., (2019). Intercultural communication. </w:t>
      </w:r>
      <w:r>
        <w:rPr>
          <w:rFonts w:ascii="Times New Roman" w:hAnsi="Times New Roman" w:eastAsia="Times New Roman" w:cs="Times New Roman"/>
          <w:i/>
          <w:kern w:val="0"/>
          <w:sz w:val="24"/>
          <w:szCs w:val="24"/>
          <w:lang w:val="en-GB" w:eastAsia="en-US"/>
        </w:rPr>
        <w:t>In An integrated approach to communication theory and research</w:t>
      </w:r>
      <w:r>
        <w:rPr>
          <w:rFonts w:ascii="Times New Roman" w:hAnsi="Times New Roman" w:eastAsia="Times New Roman" w:cs="Times New Roman"/>
          <w:kern w:val="0"/>
          <w:sz w:val="24"/>
          <w:szCs w:val="24"/>
          <w:lang w:val="en-GB" w:eastAsia="en-US"/>
        </w:rPr>
        <w:t xml:space="preserve"> (pp. 307-320).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Watson, B.M. and Soliz, J., (2018). Communication accommodation theory in institutional settings: Opportunities for applied research. </w:t>
      </w:r>
      <w:r>
        <w:rPr>
          <w:rFonts w:ascii="Times New Roman" w:hAnsi="Times New Roman" w:eastAsia="Times New Roman" w:cs="Times New Roman"/>
          <w:i/>
          <w:kern w:val="0"/>
          <w:sz w:val="24"/>
          <w:szCs w:val="24"/>
          <w:lang w:val="en-GB" w:eastAsia="en-US"/>
        </w:rPr>
        <w:t>In Language, Communication, and Intergroup Relations</w:t>
      </w:r>
      <w:r>
        <w:rPr>
          <w:rFonts w:ascii="Times New Roman" w:hAnsi="Times New Roman" w:eastAsia="Times New Roman" w:cs="Times New Roman"/>
          <w:kern w:val="0"/>
          <w:sz w:val="24"/>
          <w:szCs w:val="24"/>
          <w:lang w:val="en-GB" w:eastAsia="en-US"/>
        </w:rPr>
        <w:t xml:space="preserve"> (pp. 242-264). Routledge.</w:t>
      </w:r>
    </w:p>
    <w:p>
      <w:pPr>
        <w:widowControl/>
        <w:numPr>
          <w:ilvl w:val="0"/>
          <w:numId w:val="1"/>
        </w:numPr>
        <w:spacing w:after="160" w:line="360" w:lineRule="auto"/>
        <w:ind w:left="0" w:leftChars="0" w:firstLine="0" w:firstLineChars="0"/>
        <w:jc w:val="both"/>
        <w:rPr>
          <w:rFonts w:ascii="Times New Roman" w:hAnsi="Times New Roman" w:eastAsia="Times New Roman" w:cs="Times New Roman"/>
          <w:kern w:val="0"/>
          <w:sz w:val="24"/>
          <w:szCs w:val="24"/>
          <w:lang w:val="en-GB" w:eastAsia="en-US"/>
        </w:rPr>
      </w:pPr>
      <w:r>
        <w:rPr>
          <w:rFonts w:ascii="Times New Roman" w:hAnsi="Times New Roman" w:eastAsia="Times New Roman" w:cs="Times New Roman"/>
          <w:kern w:val="0"/>
          <w:sz w:val="24"/>
          <w:szCs w:val="24"/>
          <w:lang w:val="en-GB" w:eastAsia="en-US"/>
        </w:rPr>
        <w:t xml:space="preserve">Zhang, Y.B. and Pitts, M.J., (2018). Interpersonal accommodation. </w:t>
      </w:r>
      <w:r>
        <w:rPr>
          <w:rFonts w:ascii="Times New Roman" w:hAnsi="Times New Roman" w:eastAsia="Times New Roman" w:cs="Times New Roman"/>
          <w:i/>
          <w:kern w:val="0"/>
          <w:sz w:val="24"/>
          <w:szCs w:val="24"/>
          <w:lang w:val="en-GB" w:eastAsia="en-US"/>
        </w:rPr>
        <w:t>In Language, Communication, and Intergroup Relations</w:t>
      </w:r>
      <w:r>
        <w:rPr>
          <w:rFonts w:ascii="Times New Roman" w:hAnsi="Times New Roman" w:eastAsia="Times New Roman" w:cs="Times New Roman"/>
          <w:kern w:val="0"/>
          <w:sz w:val="24"/>
          <w:szCs w:val="24"/>
          <w:lang w:val="en-GB" w:eastAsia="en-US"/>
        </w:rPr>
        <w:t xml:space="preserve"> (pp. 192-216). Routledge.</w:t>
      </w:r>
    </w:p>
    <w:p>
      <w:pPr>
        <w:rPr>
          <w:rFonts w:hint="default" w:ascii="Times New Roman" w:hAnsi="Times New Roman" w:cs="Times New Roman"/>
          <w:b w:val="0"/>
          <w:bCs w:val="0"/>
          <w:sz w:val="24"/>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w:panose1 w:val="020F0502020204030204"/>
    <w:charset w:val="86"/>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5F4DA9"/>
    <w:multiLevelType w:val="singleLevel"/>
    <w:tmpl w:val="CC5F4DA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7B22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WPSOffice手动目录 1"/>
    <w:uiPriority w:val="0"/>
    <w:pPr>
      <w:ind w:leftChars="0"/>
    </w:pPr>
    <w:rPr>
      <w:sz w:val="20"/>
      <w:szCs w:val="20"/>
    </w:rPr>
  </w:style>
  <w:style w:type="paragraph" w:customStyle="1" w:styleId="5">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2022-01-08T05:21:10Z</dcterms:created>
  <dc:creator>TUIW2</dc:creator>
  <cp:lastModifiedBy>笑咯咯！</cp:lastModifiedBy>
  <dcterms:modified xsi:type="dcterms:W3CDTF">2022-01-08T05:59:09Z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2FDB153237BF4FD3B0870B996DC9BAEF</vt:lpwstr>
  </property>
</Properties>
</file>