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D43CC" w14:textId="77777777" w:rsidR="00EB4B7B" w:rsidRDefault="00EB4B7B"/>
    <w:p w14:paraId="659698AB" w14:textId="19619A68" w:rsidR="00A90B7C" w:rsidRDefault="00EB4B7B">
      <w:r>
        <w:rPr>
          <w:noProof/>
        </w:rPr>
        <w:drawing>
          <wp:inline distT="0" distB="0" distL="0" distR="0" wp14:anchorId="0B408738" wp14:editId="35151A09">
            <wp:extent cx="2103120" cy="1196340"/>
            <wp:effectExtent l="0" t="0" r="0" b="3810"/>
            <wp:docPr id="119918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06033" cy="1197997"/>
                    </a:xfrm>
                    <a:prstGeom prst="rect">
                      <a:avLst/>
                    </a:prstGeom>
                    <a:noFill/>
                  </pic:spPr>
                </pic:pic>
              </a:graphicData>
            </a:graphic>
          </wp:inline>
        </w:drawing>
      </w:r>
    </w:p>
    <w:p w14:paraId="339768F2" w14:textId="77777777" w:rsidR="00EB4B7B" w:rsidRDefault="00EB4B7B"/>
    <w:p w14:paraId="35ED0F16" w14:textId="77777777" w:rsidR="00EB4B7B" w:rsidRDefault="00EB4B7B"/>
    <w:p w14:paraId="60FE3D96" w14:textId="77777777" w:rsidR="00EB4B7B" w:rsidRDefault="00EB4B7B"/>
    <w:p w14:paraId="1380F261" w14:textId="0AA656E2" w:rsidR="00EB4B7B" w:rsidRPr="00EB4B7B" w:rsidRDefault="00EB4B7B">
      <w:pPr>
        <w:rPr>
          <w:sz w:val="32"/>
          <w:szCs w:val="32"/>
          <w:lang w:val="nl-NL"/>
        </w:rPr>
      </w:pPr>
      <w:r w:rsidRPr="00EB4B7B">
        <w:rPr>
          <w:b/>
          <w:bCs/>
          <w:sz w:val="32"/>
          <w:szCs w:val="32"/>
          <w:lang w:val="nl-NL"/>
        </w:rPr>
        <w:t xml:space="preserve">STUDENT ID: </w:t>
      </w:r>
      <w:r>
        <w:rPr>
          <w:sz w:val="32"/>
          <w:szCs w:val="32"/>
          <w:lang w:val="nl-NL"/>
        </w:rPr>
        <w:t xml:space="preserve">         2311095</w:t>
      </w:r>
    </w:p>
    <w:p w14:paraId="5FC95CD1" w14:textId="03F0B3C0" w:rsidR="00EB4B7B" w:rsidRPr="00E67362" w:rsidRDefault="00EB4B7B">
      <w:pPr>
        <w:rPr>
          <w:sz w:val="32"/>
          <w:szCs w:val="32"/>
          <w:lang w:val="nl-NL"/>
        </w:rPr>
      </w:pPr>
      <w:r w:rsidRPr="00E67362">
        <w:rPr>
          <w:b/>
          <w:bCs/>
          <w:sz w:val="32"/>
          <w:szCs w:val="32"/>
          <w:lang w:val="nl-NL"/>
        </w:rPr>
        <w:t xml:space="preserve">STUDENT NAME: </w:t>
      </w:r>
      <w:r w:rsidRPr="00E67362">
        <w:rPr>
          <w:sz w:val="32"/>
          <w:szCs w:val="32"/>
          <w:lang w:val="nl-NL"/>
        </w:rPr>
        <w:t>Valerie Bays</w:t>
      </w:r>
    </w:p>
    <w:p w14:paraId="7E5EB0BF" w14:textId="442C755C" w:rsidR="00EB4B7B" w:rsidRPr="00EB4B7B" w:rsidRDefault="00EB4B7B">
      <w:pPr>
        <w:rPr>
          <w:b/>
          <w:bCs/>
          <w:sz w:val="32"/>
          <w:szCs w:val="32"/>
        </w:rPr>
      </w:pPr>
      <w:r w:rsidRPr="00EB4B7B">
        <w:rPr>
          <w:b/>
          <w:bCs/>
          <w:sz w:val="32"/>
          <w:szCs w:val="32"/>
        </w:rPr>
        <w:t>MODULE NAME:</w:t>
      </w:r>
      <w:r>
        <w:rPr>
          <w:b/>
          <w:bCs/>
          <w:sz w:val="32"/>
          <w:szCs w:val="32"/>
        </w:rPr>
        <w:t xml:space="preserve">  </w:t>
      </w:r>
      <w:r w:rsidRPr="00EB4B7B">
        <w:rPr>
          <w:sz w:val="32"/>
          <w:szCs w:val="32"/>
        </w:rPr>
        <w:t>Empowering the older person</w:t>
      </w:r>
    </w:p>
    <w:p w14:paraId="63C0075C" w14:textId="789F357E" w:rsidR="00EB4B7B" w:rsidRPr="00EB4B7B" w:rsidRDefault="00EB4B7B">
      <w:pPr>
        <w:rPr>
          <w:sz w:val="32"/>
          <w:szCs w:val="32"/>
          <w:lang w:val="fr-FR"/>
        </w:rPr>
      </w:pPr>
      <w:r w:rsidRPr="00EB4B7B">
        <w:rPr>
          <w:b/>
          <w:bCs/>
          <w:sz w:val="32"/>
          <w:szCs w:val="32"/>
          <w:lang w:val="fr-FR"/>
        </w:rPr>
        <w:t>MODULE CODE</w:t>
      </w:r>
      <w:r w:rsidRPr="00EB4B7B">
        <w:rPr>
          <w:sz w:val="32"/>
          <w:szCs w:val="32"/>
          <w:lang w:val="fr-FR"/>
        </w:rPr>
        <w:t>:  BMHP 6027-LON</w:t>
      </w:r>
    </w:p>
    <w:p w14:paraId="55894560" w14:textId="0366578D" w:rsidR="00EB4B7B" w:rsidRDefault="00E47AA7">
      <w:pPr>
        <w:rPr>
          <w:sz w:val="32"/>
          <w:szCs w:val="32"/>
          <w:lang w:val="fr-FR"/>
        </w:rPr>
      </w:pPr>
      <w:r>
        <w:rPr>
          <w:b/>
          <w:bCs/>
          <w:sz w:val="32"/>
          <w:szCs w:val="32"/>
          <w:lang w:val="fr-FR"/>
        </w:rPr>
        <w:t>LECTURER'S</w:t>
      </w:r>
      <w:r w:rsidR="00EB4B7B" w:rsidRPr="00EB4B7B">
        <w:rPr>
          <w:b/>
          <w:bCs/>
          <w:sz w:val="32"/>
          <w:szCs w:val="32"/>
          <w:lang w:val="fr-FR"/>
        </w:rPr>
        <w:t xml:space="preserve"> NAME: </w:t>
      </w:r>
      <w:r w:rsidR="00EB4B7B" w:rsidRPr="00E47AA7">
        <w:rPr>
          <w:sz w:val="32"/>
          <w:szCs w:val="32"/>
          <w:lang w:val="fr-FR"/>
        </w:rPr>
        <w:t xml:space="preserve">Laila </w:t>
      </w:r>
      <w:r w:rsidRPr="00E47AA7">
        <w:rPr>
          <w:sz w:val="32"/>
          <w:szCs w:val="32"/>
          <w:lang w:val="fr-FR"/>
        </w:rPr>
        <w:t>Surani</w:t>
      </w:r>
    </w:p>
    <w:p w14:paraId="1BC19742" w14:textId="77777777" w:rsidR="00E47AA7" w:rsidRDefault="00E47AA7">
      <w:pPr>
        <w:rPr>
          <w:sz w:val="32"/>
          <w:szCs w:val="32"/>
          <w:lang w:val="fr-FR"/>
        </w:rPr>
      </w:pPr>
    </w:p>
    <w:p w14:paraId="2E5CD09F" w14:textId="77777777" w:rsidR="00E47AA7" w:rsidRDefault="00E47AA7">
      <w:pPr>
        <w:rPr>
          <w:sz w:val="32"/>
          <w:szCs w:val="32"/>
          <w:lang w:val="fr-FR"/>
        </w:rPr>
      </w:pPr>
    </w:p>
    <w:p w14:paraId="05C20C8D" w14:textId="5621238C" w:rsidR="00E47AA7" w:rsidRDefault="00E47AA7">
      <w:pPr>
        <w:rPr>
          <w:sz w:val="32"/>
          <w:szCs w:val="32"/>
        </w:rPr>
      </w:pPr>
      <w:r w:rsidRPr="00E47AA7">
        <w:rPr>
          <w:sz w:val="32"/>
          <w:szCs w:val="32"/>
        </w:rPr>
        <w:t xml:space="preserve">Digital Health Tools Through Apps </w:t>
      </w:r>
      <w:proofErr w:type="gramStart"/>
      <w:r w:rsidRPr="00E47AA7">
        <w:rPr>
          <w:sz w:val="32"/>
          <w:szCs w:val="32"/>
        </w:rPr>
        <w:t>A</w:t>
      </w:r>
      <w:r>
        <w:rPr>
          <w:sz w:val="32"/>
          <w:szCs w:val="32"/>
        </w:rPr>
        <w:t>nd</w:t>
      </w:r>
      <w:proofErr w:type="gramEnd"/>
      <w:r>
        <w:rPr>
          <w:sz w:val="32"/>
          <w:szCs w:val="32"/>
        </w:rPr>
        <w:t xml:space="preserve"> Devices Are A </w:t>
      </w:r>
      <w:r w:rsidR="00764DA4">
        <w:rPr>
          <w:sz w:val="32"/>
          <w:szCs w:val="32"/>
        </w:rPr>
        <w:t>Source</w:t>
      </w:r>
      <w:r>
        <w:rPr>
          <w:sz w:val="32"/>
          <w:szCs w:val="32"/>
        </w:rPr>
        <w:t xml:space="preserve"> </w:t>
      </w:r>
      <w:proofErr w:type="gramStart"/>
      <w:r>
        <w:rPr>
          <w:sz w:val="32"/>
          <w:szCs w:val="32"/>
        </w:rPr>
        <w:t>Of</w:t>
      </w:r>
      <w:proofErr w:type="gramEnd"/>
      <w:r>
        <w:rPr>
          <w:sz w:val="32"/>
          <w:szCs w:val="32"/>
        </w:rPr>
        <w:t xml:space="preserve"> Empowerment </w:t>
      </w:r>
      <w:proofErr w:type="gramStart"/>
      <w:r w:rsidR="00764DA4">
        <w:rPr>
          <w:sz w:val="32"/>
          <w:szCs w:val="32"/>
        </w:rPr>
        <w:t>For</w:t>
      </w:r>
      <w:proofErr w:type="gramEnd"/>
      <w:r w:rsidR="00764DA4">
        <w:rPr>
          <w:sz w:val="32"/>
          <w:szCs w:val="32"/>
        </w:rPr>
        <w:t xml:space="preserve"> Older Adults.</w:t>
      </w:r>
    </w:p>
    <w:p w14:paraId="1081768D" w14:textId="77777777" w:rsidR="00E67362" w:rsidRDefault="00E67362">
      <w:pPr>
        <w:rPr>
          <w:sz w:val="32"/>
          <w:szCs w:val="32"/>
        </w:rPr>
      </w:pPr>
    </w:p>
    <w:p w14:paraId="1042C7FA" w14:textId="6D9F536E" w:rsidR="00E67362" w:rsidRDefault="00B00022">
      <w:pPr>
        <w:rPr>
          <w:b/>
          <w:bCs/>
          <w:sz w:val="32"/>
          <w:szCs w:val="32"/>
        </w:rPr>
      </w:pPr>
      <w:r w:rsidRPr="00B00022">
        <w:rPr>
          <w:b/>
          <w:bCs/>
          <w:sz w:val="32"/>
          <w:szCs w:val="32"/>
        </w:rPr>
        <w:t>INTRODUCTION</w:t>
      </w:r>
    </w:p>
    <w:p w14:paraId="085A1E88" w14:textId="77777777" w:rsidR="00457D87" w:rsidRDefault="00457D87">
      <w:pPr>
        <w:rPr>
          <w:b/>
          <w:bCs/>
          <w:sz w:val="32"/>
          <w:szCs w:val="32"/>
        </w:rPr>
      </w:pPr>
    </w:p>
    <w:p w14:paraId="7BAAABA1" w14:textId="77777777" w:rsidR="00457D87" w:rsidRPr="00F54268" w:rsidRDefault="00457D87" w:rsidP="00457D87">
      <w:pPr>
        <w:rPr>
          <w:sz w:val="28"/>
          <w:szCs w:val="28"/>
        </w:rPr>
      </w:pPr>
      <w:r w:rsidRPr="00F54268">
        <w:rPr>
          <w:sz w:val="28"/>
          <w:szCs w:val="28"/>
        </w:rPr>
        <w:t>Ladies and gentlemen, today I stand firmly in favour of the motion that digital health tools—through apps and devices—are a powerful source of empowerment for older adults.</w:t>
      </w:r>
    </w:p>
    <w:p w14:paraId="5D873D11" w14:textId="77777777" w:rsidR="00457D87" w:rsidRPr="00F54268" w:rsidRDefault="00457D87" w:rsidP="00457D87">
      <w:pPr>
        <w:rPr>
          <w:sz w:val="28"/>
          <w:szCs w:val="28"/>
        </w:rPr>
      </w:pPr>
      <w:r w:rsidRPr="00F54268">
        <w:rPr>
          <w:sz w:val="28"/>
          <w:szCs w:val="28"/>
        </w:rPr>
        <w:t>We are living in a time where technology is no longer a luxury; it is a lifeline. For older adults, digital health tools do far more than track steps or remind them to take medication. They restore autonomy, strengthen safety, and open doors to personalised, proactive healthcare that was previously out of reach.</w:t>
      </w:r>
    </w:p>
    <w:p w14:paraId="283E9F80" w14:textId="77777777" w:rsidR="00457D87" w:rsidRPr="00F54268" w:rsidRDefault="00457D87" w:rsidP="00457D87">
      <w:pPr>
        <w:rPr>
          <w:sz w:val="28"/>
          <w:szCs w:val="28"/>
        </w:rPr>
      </w:pPr>
      <w:r w:rsidRPr="00F54268">
        <w:rPr>
          <w:sz w:val="28"/>
          <w:szCs w:val="28"/>
        </w:rPr>
        <w:lastRenderedPageBreak/>
        <w:t>From wearable devices that detect early health changes, to apps that support medication management, to virtual consultations that remove the barriers of travel and mobility—technology is giving older adults something profoundly important: control over their own health.</w:t>
      </w:r>
    </w:p>
    <w:p w14:paraId="0579C1AD" w14:textId="77777777" w:rsidR="00457D87" w:rsidRPr="00F54268" w:rsidRDefault="00457D87" w:rsidP="00457D87">
      <w:pPr>
        <w:rPr>
          <w:sz w:val="28"/>
          <w:szCs w:val="28"/>
        </w:rPr>
      </w:pPr>
      <w:r w:rsidRPr="00F54268">
        <w:rPr>
          <w:sz w:val="28"/>
          <w:szCs w:val="28"/>
        </w:rPr>
        <w:t>This is not about replacing human care. It is about enhancing independence, reducing isolation, and equipping older adults with the tools to understand, monitor, and manage their wellbeing on their own terms.</w:t>
      </w:r>
    </w:p>
    <w:p w14:paraId="2B07CAF6" w14:textId="77777777" w:rsidR="00457D87" w:rsidRPr="00F54268" w:rsidRDefault="00457D87" w:rsidP="00457D87">
      <w:pPr>
        <w:rPr>
          <w:sz w:val="28"/>
          <w:szCs w:val="28"/>
        </w:rPr>
      </w:pPr>
      <w:r w:rsidRPr="00F54268">
        <w:rPr>
          <w:sz w:val="28"/>
          <w:szCs w:val="28"/>
        </w:rPr>
        <w:t>In a society where older adults are too often portrayed as passive recipients of care, digital health tools flip the narrative. They transform older adults into active participants, informed decision</w:t>
      </w:r>
      <w:r w:rsidRPr="00F54268">
        <w:rPr>
          <w:rFonts w:ascii="Cambria Math" w:hAnsi="Cambria Math" w:cs="Cambria Math"/>
          <w:sz w:val="28"/>
          <w:szCs w:val="28"/>
        </w:rPr>
        <w:t>‑</w:t>
      </w:r>
      <w:r w:rsidRPr="00F54268">
        <w:rPr>
          <w:sz w:val="28"/>
          <w:szCs w:val="28"/>
        </w:rPr>
        <w:t>makers, and confident managers of their own health journeys.</w:t>
      </w:r>
    </w:p>
    <w:p w14:paraId="65021349" w14:textId="77777777" w:rsidR="00457D87" w:rsidRPr="00F54268" w:rsidRDefault="00457D87" w:rsidP="00457D87">
      <w:pPr>
        <w:rPr>
          <w:sz w:val="28"/>
          <w:szCs w:val="28"/>
        </w:rPr>
      </w:pPr>
      <w:r w:rsidRPr="00F54268">
        <w:rPr>
          <w:sz w:val="28"/>
          <w:szCs w:val="28"/>
        </w:rPr>
        <w:t xml:space="preserve">For these reasons, and supported by growing evidence from healthcare research, </w:t>
      </w:r>
      <w:proofErr w:type="gramStart"/>
      <w:r w:rsidRPr="00F54268">
        <w:rPr>
          <w:sz w:val="28"/>
          <w:szCs w:val="28"/>
        </w:rPr>
        <w:t>it is clear that digital</w:t>
      </w:r>
      <w:proofErr w:type="gramEnd"/>
      <w:r w:rsidRPr="00F54268">
        <w:rPr>
          <w:sz w:val="28"/>
          <w:szCs w:val="28"/>
        </w:rPr>
        <w:t xml:space="preserve"> health tools are not a burden or a barrier—they are a catalyst for empowerment.</w:t>
      </w:r>
    </w:p>
    <w:p w14:paraId="1BAAC225" w14:textId="77777777" w:rsidR="00457D87" w:rsidRPr="00F54268" w:rsidRDefault="00457D87" w:rsidP="00457D87">
      <w:pPr>
        <w:rPr>
          <w:sz w:val="28"/>
          <w:szCs w:val="28"/>
        </w:rPr>
      </w:pPr>
    </w:p>
    <w:p w14:paraId="583ABFF6" w14:textId="2B7914C0" w:rsidR="00457D87" w:rsidRDefault="00273450" w:rsidP="00457D87">
      <w:pPr>
        <w:rPr>
          <w:b/>
          <w:bCs/>
          <w:sz w:val="32"/>
          <w:szCs w:val="32"/>
        </w:rPr>
      </w:pPr>
      <w:r>
        <w:rPr>
          <w:b/>
          <w:bCs/>
          <w:sz w:val="32"/>
          <w:szCs w:val="32"/>
        </w:rPr>
        <w:t xml:space="preserve">Main </w:t>
      </w:r>
      <w:r w:rsidR="004E300A">
        <w:rPr>
          <w:b/>
          <w:bCs/>
          <w:sz w:val="32"/>
          <w:szCs w:val="32"/>
        </w:rPr>
        <w:t>Arguments</w:t>
      </w:r>
    </w:p>
    <w:p w14:paraId="526BD397" w14:textId="7975D1EA" w:rsidR="004E300A" w:rsidRPr="00DC28D4" w:rsidRDefault="004E300A" w:rsidP="004E300A">
      <w:pPr>
        <w:rPr>
          <w:b/>
          <w:bCs/>
          <w:sz w:val="32"/>
          <w:szCs w:val="32"/>
        </w:rPr>
      </w:pPr>
      <w:r w:rsidRPr="004E300A">
        <w:rPr>
          <w:b/>
          <w:bCs/>
          <w:sz w:val="32"/>
          <w:szCs w:val="32"/>
        </w:rPr>
        <w:t xml:space="preserve"> </w:t>
      </w:r>
      <w:r w:rsidRPr="00DC28D4">
        <w:rPr>
          <w:b/>
          <w:bCs/>
          <w:sz w:val="32"/>
          <w:szCs w:val="32"/>
        </w:rPr>
        <w:t>Access to Healthcare</w:t>
      </w:r>
    </w:p>
    <w:p w14:paraId="7C22FDFA" w14:textId="1B43D5BD" w:rsidR="004E300A" w:rsidRPr="00DC28D4" w:rsidRDefault="004E300A" w:rsidP="004E300A">
      <w:pPr>
        <w:rPr>
          <w:sz w:val="28"/>
          <w:szCs w:val="28"/>
        </w:rPr>
      </w:pPr>
      <w:r w:rsidRPr="00DC28D4">
        <w:rPr>
          <w:sz w:val="28"/>
          <w:szCs w:val="28"/>
        </w:rPr>
        <w:t>Digital health tools break down traditional barriers that older adults often face — long travel times, mobility limitations, and overstretched service Apps allow older adults to book appointments, order prescriptions, and access medical records without relying on others.</w:t>
      </w:r>
    </w:p>
    <w:p w14:paraId="6AC15207" w14:textId="56F18A83" w:rsidR="004E300A" w:rsidRDefault="004E300A" w:rsidP="004E300A">
      <w:pPr>
        <w:rPr>
          <w:sz w:val="32"/>
          <w:szCs w:val="32"/>
        </w:rPr>
      </w:pPr>
      <w:r w:rsidRPr="00DC28D4">
        <w:rPr>
          <w:sz w:val="28"/>
          <w:szCs w:val="28"/>
        </w:rPr>
        <w:t xml:space="preserve">Remote monitoring devices (e.g., blood pressure cuffs, glucose monitors) mean older adults can manage chronic conditions from home, </w:t>
      </w:r>
      <w:r w:rsidR="00DC28D4">
        <w:rPr>
          <w:sz w:val="28"/>
          <w:szCs w:val="28"/>
        </w:rPr>
        <w:t>reducing unnecessary</w:t>
      </w:r>
      <w:r w:rsidRPr="004E300A">
        <w:rPr>
          <w:sz w:val="32"/>
          <w:szCs w:val="32"/>
        </w:rPr>
        <w:t xml:space="preserve"> hospital visits.</w:t>
      </w:r>
    </w:p>
    <w:p w14:paraId="562C48F2" w14:textId="77777777" w:rsidR="00F375AD" w:rsidRDefault="00F375AD" w:rsidP="004A4174">
      <w:pPr>
        <w:rPr>
          <w:b/>
          <w:bCs/>
          <w:sz w:val="32"/>
          <w:szCs w:val="32"/>
        </w:rPr>
      </w:pPr>
      <w:r>
        <w:rPr>
          <w:b/>
          <w:bCs/>
          <w:sz w:val="32"/>
          <w:szCs w:val="32"/>
        </w:rPr>
        <w:t>T</w:t>
      </w:r>
      <w:r w:rsidR="004A4174" w:rsidRPr="004A4174">
        <w:rPr>
          <w:b/>
          <w:bCs/>
          <w:sz w:val="32"/>
          <w:szCs w:val="32"/>
        </w:rPr>
        <w:t xml:space="preserve">elehealth </w:t>
      </w:r>
    </w:p>
    <w:p w14:paraId="7A03675E" w14:textId="18C993A7" w:rsidR="004A4174" w:rsidRPr="00F375AD" w:rsidRDefault="00F375AD" w:rsidP="004A4174">
      <w:pPr>
        <w:rPr>
          <w:sz w:val="28"/>
          <w:szCs w:val="28"/>
        </w:rPr>
      </w:pPr>
      <w:r w:rsidRPr="00F375AD">
        <w:rPr>
          <w:sz w:val="28"/>
          <w:szCs w:val="28"/>
        </w:rPr>
        <w:t xml:space="preserve">Telehealth </w:t>
      </w:r>
      <w:r w:rsidR="004A4174" w:rsidRPr="00F375AD">
        <w:rPr>
          <w:sz w:val="28"/>
          <w:szCs w:val="28"/>
        </w:rPr>
        <w:t>platforms allow older adults to speak with clinicians through video calls, messaging, or digital check</w:t>
      </w:r>
      <w:r w:rsidR="004A4174" w:rsidRPr="00F375AD">
        <w:rPr>
          <w:rFonts w:ascii="Cambria Math" w:hAnsi="Cambria Math" w:cs="Cambria Math"/>
          <w:sz w:val="28"/>
          <w:szCs w:val="28"/>
        </w:rPr>
        <w:t>‑</w:t>
      </w:r>
      <w:r w:rsidR="004A4174" w:rsidRPr="00F375AD">
        <w:rPr>
          <w:sz w:val="28"/>
          <w:szCs w:val="28"/>
        </w:rPr>
        <w:t>ins.</w:t>
      </w:r>
    </w:p>
    <w:p w14:paraId="56891A51" w14:textId="77777777" w:rsidR="00EF520F" w:rsidRDefault="004A4174" w:rsidP="004A4174">
      <w:pPr>
        <w:rPr>
          <w:sz w:val="28"/>
          <w:szCs w:val="28"/>
        </w:rPr>
      </w:pPr>
      <w:r w:rsidRPr="00F375AD">
        <w:rPr>
          <w:sz w:val="28"/>
          <w:szCs w:val="28"/>
        </w:rPr>
        <w:t>It reduces the stress of travelling to appointments.</w:t>
      </w:r>
    </w:p>
    <w:p w14:paraId="582D19AF" w14:textId="73196AA7" w:rsidR="004A4174" w:rsidRDefault="004A4174" w:rsidP="004A4174">
      <w:pPr>
        <w:rPr>
          <w:sz w:val="28"/>
          <w:szCs w:val="28"/>
        </w:rPr>
      </w:pPr>
      <w:r w:rsidRPr="00F375AD">
        <w:rPr>
          <w:sz w:val="28"/>
          <w:szCs w:val="28"/>
        </w:rPr>
        <w:t>It enables more frequent, shorter, and more personalised interactions with healthcare professionals.</w:t>
      </w:r>
      <w:r w:rsidR="001E3D4E">
        <w:rPr>
          <w:sz w:val="28"/>
          <w:szCs w:val="28"/>
        </w:rPr>
        <w:t xml:space="preserve"> </w:t>
      </w:r>
      <w:r w:rsidRPr="00F375AD">
        <w:rPr>
          <w:sz w:val="28"/>
          <w:szCs w:val="28"/>
        </w:rPr>
        <w:t>Family members or carers can join virtual appointments, improving shared decision</w:t>
      </w:r>
      <w:r w:rsidRPr="00F375AD">
        <w:rPr>
          <w:rFonts w:ascii="Cambria Math" w:hAnsi="Cambria Math" w:cs="Cambria Math"/>
          <w:sz w:val="28"/>
          <w:szCs w:val="28"/>
        </w:rPr>
        <w:t>‑</w:t>
      </w:r>
      <w:r w:rsidRPr="00F375AD">
        <w:rPr>
          <w:sz w:val="28"/>
          <w:szCs w:val="28"/>
        </w:rPr>
        <w:t>making.</w:t>
      </w:r>
    </w:p>
    <w:p w14:paraId="3436CE2E" w14:textId="7473BCBA" w:rsidR="000F331D" w:rsidRDefault="00FC7196" w:rsidP="004A4174">
      <w:pPr>
        <w:rPr>
          <w:b/>
          <w:bCs/>
          <w:sz w:val="28"/>
          <w:szCs w:val="28"/>
        </w:rPr>
      </w:pPr>
      <w:r w:rsidRPr="00FC7196">
        <w:rPr>
          <w:b/>
          <w:bCs/>
          <w:sz w:val="28"/>
          <w:szCs w:val="28"/>
        </w:rPr>
        <w:lastRenderedPageBreak/>
        <w:t>Communication and Safety</w:t>
      </w:r>
    </w:p>
    <w:p w14:paraId="15711C21" w14:textId="77777777" w:rsidR="00FC7196" w:rsidRPr="00FC7196" w:rsidRDefault="00FC7196" w:rsidP="00FC7196">
      <w:pPr>
        <w:rPr>
          <w:sz w:val="28"/>
          <w:szCs w:val="28"/>
        </w:rPr>
      </w:pPr>
      <w:r w:rsidRPr="00FC7196">
        <w:rPr>
          <w:sz w:val="28"/>
          <w:szCs w:val="28"/>
        </w:rPr>
        <w:t>Wearables and smart devices provide real</w:t>
      </w:r>
      <w:r w:rsidRPr="00FC7196">
        <w:rPr>
          <w:rFonts w:ascii="Cambria Math" w:hAnsi="Cambria Math" w:cs="Cambria Math"/>
          <w:sz w:val="28"/>
          <w:szCs w:val="28"/>
        </w:rPr>
        <w:t>‑</w:t>
      </w:r>
      <w:r w:rsidRPr="00FC7196">
        <w:rPr>
          <w:sz w:val="28"/>
          <w:szCs w:val="28"/>
        </w:rPr>
        <w:t>time safety benefits:</w:t>
      </w:r>
    </w:p>
    <w:p w14:paraId="2F50EDA3" w14:textId="1315BECB" w:rsidR="00FC7196" w:rsidRPr="00FC7196" w:rsidRDefault="00FC7196" w:rsidP="00FC7196">
      <w:pPr>
        <w:rPr>
          <w:sz w:val="28"/>
          <w:szCs w:val="28"/>
        </w:rPr>
      </w:pPr>
      <w:r w:rsidRPr="00FC7196">
        <w:rPr>
          <w:sz w:val="28"/>
          <w:szCs w:val="28"/>
        </w:rPr>
        <w:t>Fall</w:t>
      </w:r>
      <w:r w:rsidRPr="00FC7196">
        <w:rPr>
          <w:rFonts w:ascii="Cambria Math" w:hAnsi="Cambria Math" w:cs="Cambria Math"/>
          <w:sz w:val="28"/>
          <w:szCs w:val="28"/>
        </w:rPr>
        <w:t>‑</w:t>
      </w:r>
      <w:r w:rsidRPr="00FC7196">
        <w:rPr>
          <w:sz w:val="28"/>
          <w:szCs w:val="28"/>
        </w:rPr>
        <w:t>detection devices automatically alert emergency contacts.</w:t>
      </w:r>
    </w:p>
    <w:p w14:paraId="4EB96346" w14:textId="355D71AF" w:rsidR="00FC7196" w:rsidRPr="00FC7196" w:rsidRDefault="00FC7196" w:rsidP="00FC7196">
      <w:pPr>
        <w:rPr>
          <w:sz w:val="28"/>
          <w:szCs w:val="28"/>
        </w:rPr>
      </w:pPr>
      <w:r w:rsidRPr="00FC7196">
        <w:rPr>
          <w:sz w:val="28"/>
          <w:szCs w:val="28"/>
        </w:rPr>
        <w:t>Smart home sensors can detect unusual patterns (e.g., not opening the fridge, wandering at night).</w:t>
      </w:r>
    </w:p>
    <w:p w14:paraId="39226533" w14:textId="0DEE834A" w:rsidR="00FC7196" w:rsidRPr="00FC7196" w:rsidRDefault="00FC7196" w:rsidP="00FC7196">
      <w:pPr>
        <w:rPr>
          <w:sz w:val="28"/>
          <w:szCs w:val="28"/>
        </w:rPr>
      </w:pPr>
      <w:r w:rsidRPr="00FC7196">
        <w:rPr>
          <w:sz w:val="28"/>
          <w:szCs w:val="28"/>
        </w:rPr>
        <w:t>Health apps track symptoms and vital signs, allowing early detection of deterioration.</w:t>
      </w:r>
    </w:p>
    <w:p w14:paraId="2B304610" w14:textId="527F44E3" w:rsidR="00FC7196" w:rsidRDefault="00FC7196" w:rsidP="00FC7196">
      <w:pPr>
        <w:rPr>
          <w:sz w:val="28"/>
          <w:szCs w:val="28"/>
        </w:rPr>
      </w:pPr>
      <w:r w:rsidRPr="00FC7196">
        <w:rPr>
          <w:sz w:val="28"/>
          <w:szCs w:val="28"/>
        </w:rPr>
        <w:t>Medication reminders reduce the risk of missed doses or errors.</w:t>
      </w:r>
    </w:p>
    <w:p w14:paraId="4048B5EC" w14:textId="77777777" w:rsidR="00682812" w:rsidRDefault="00682812" w:rsidP="00FC7196">
      <w:pPr>
        <w:rPr>
          <w:sz w:val="28"/>
          <w:szCs w:val="28"/>
        </w:rPr>
      </w:pPr>
    </w:p>
    <w:p w14:paraId="52773461" w14:textId="0A3F1C06" w:rsidR="00682812" w:rsidRDefault="00682812" w:rsidP="00FC7196">
      <w:pPr>
        <w:rPr>
          <w:sz w:val="28"/>
          <w:szCs w:val="28"/>
        </w:rPr>
      </w:pPr>
      <w:r w:rsidRPr="00682812">
        <w:rPr>
          <w:sz w:val="28"/>
          <w:szCs w:val="28"/>
        </w:rPr>
        <w:t>References</w:t>
      </w:r>
    </w:p>
    <w:p w14:paraId="317F6C4B" w14:textId="77777777" w:rsidR="00682812" w:rsidRPr="00682812" w:rsidRDefault="00682812" w:rsidP="00682812">
      <w:pPr>
        <w:rPr>
          <w:sz w:val="28"/>
          <w:szCs w:val="28"/>
        </w:rPr>
      </w:pPr>
      <w:r w:rsidRPr="00682812">
        <w:rPr>
          <w:sz w:val="28"/>
          <w:szCs w:val="28"/>
        </w:rPr>
        <w:t xml:space="preserve">Czaja, S. J., Boot, W. R., </w:t>
      </w:r>
      <w:proofErr w:type="spellStart"/>
      <w:r w:rsidRPr="00682812">
        <w:rPr>
          <w:sz w:val="28"/>
          <w:szCs w:val="28"/>
        </w:rPr>
        <w:t>Charness</w:t>
      </w:r>
      <w:proofErr w:type="spellEnd"/>
      <w:r w:rsidRPr="00682812">
        <w:rPr>
          <w:sz w:val="28"/>
          <w:szCs w:val="28"/>
        </w:rPr>
        <w:t>, N., &amp; Rogers, W. A. (2019).</w:t>
      </w:r>
    </w:p>
    <w:p w14:paraId="006A35B8" w14:textId="77777777" w:rsidR="00682812" w:rsidRPr="00682812" w:rsidRDefault="00682812" w:rsidP="00682812">
      <w:pPr>
        <w:rPr>
          <w:sz w:val="28"/>
          <w:szCs w:val="28"/>
        </w:rPr>
      </w:pPr>
      <w:r w:rsidRPr="00682812">
        <w:rPr>
          <w:sz w:val="28"/>
          <w:szCs w:val="28"/>
        </w:rPr>
        <w:t>Designing for Older Adults: Principles and Creative Human Factors Approaches.</w:t>
      </w:r>
    </w:p>
    <w:p w14:paraId="383EE202" w14:textId="3C7B6CB4" w:rsidR="00682812" w:rsidRPr="00682812" w:rsidRDefault="00682812" w:rsidP="00682812">
      <w:pPr>
        <w:rPr>
          <w:sz w:val="28"/>
          <w:szCs w:val="28"/>
        </w:rPr>
      </w:pPr>
      <w:r w:rsidRPr="00682812">
        <w:rPr>
          <w:sz w:val="28"/>
          <w:szCs w:val="28"/>
          <w:lang w:val="fr-FR"/>
        </w:rPr>
        <w:t xml:space="preserve">Shahid, Z., Kalayanamitra, R., McClafferty, B., et al. </w:t>
      </w:r>
      <w:r w:rsidRPr="00682812">
        <w:rPr>
          <w:sz w:val="28"/>
          <w:szCs w:val="28"/>
        </w:rPr>
        <w:t>(2020).</w:t>
      </w:r>
    </w:p>
    <w:p w14:paraId="5F71470A" w14:textId="77777777" w:rsidR="00682812" w:rsidRDefault="00682812" w:rsidP="00682812">
      <w:pPr>
        <w:rPr>
          <w:sz w:val="28"/>
          <w:szCs w:val="28"/>
        </w:rPr>
      </w:pPr>
      <w:r w:rsidRPr="00682812">
        <w:rPr>
          <w:sz w:val="28"/>
          <w:szCs w:val="28"/>
        </w:rPr>
        <w:t>Telemedicine During COVID</w:t>
      </w:r>
      <w:r w:rsidRPr="00682812">
        <w:rPr>
          <w:rFonts w:ascii="Cambria Math" w:hAnsi="Cambria Math" w:cs="Cambria Math"/>
          <w:sz w:val="28"/>
          <w:szCs w:val="28"/>
        </w:rPr>
        <w:t>‑</w:t>
      </w:r>
      <w:r w:rsidRPr="00682812">
        <w:rPr>
          <w:sz w:val="28"/>
          <w:szCs w:val="28"/>
        </w:rPr>
        <w:t>19: The Benefits and Barriers. Journal of Primary Care &amp; Community Health.</w:t>
      </w:r>
    </w:p>
    <w:p w14:paraId="1A19F4B9" w14:textId="77777777" w:rsidR="00587F9A" w:rsidRPr="00682812" w:rsidRDefault="00587F9A" w:rsidP="00682812">
      <w:pPr>
        <w:rPr>
          <w:sz w:val="28"/>
          <w:szCs w:val="28"/>
        </w:rPr>
      </w:pPr>
    </w:p>
    <w:p w14:paraId="5E50CF8B" w14:textId="77777777" w:rsidR="00090C69" w:rsidRPr="009526D8" w:rsidRDefault="00090C69" w:rsidP="009526D8">
      <w:pPr>
        <w:rPr>
          <w:sz w:val="28"/>
          <w:szCs w:val="28"/>
        </w:rPr>
      </w:pPr>
    </w:p>
    <w:p w14:paraId="5D36F09E" w14:textId="77777777" w:rsidR="00090C69" w:rsidRPr="00843053" w:rsidRDefault="00090C69" w:rsidP="00843053">
      <w:pPr>
        <w:rPr>
          <w:sz w:val="28"/>
          <w:szCs w:val="28"/>
        </w:rPr>
      </w:pPr>
      <w:r w:rsidRPr="00843053">
        <w:rPr>
          <w:sz w:val="28"/>
          <w:szCs w:val="28"/>
        </w:rPr>
        <w:t>, C. S., et al. (2020). Telehealth and patient satisfaction: a systematic review and narrative analysis. BMJ Open.</w:t>
      </w:r>
    </w:p>
    <w:p w14:paraId="1FB9D789" w14:textId="77777777" w:rsidR="00090C69" w:rsidRPr="00682812" w:rsidRDefault="00090C69" w:rsidP="009526D8">
      <w:pPr>
        <w:rPr>
          <w:sz w:val="28"/>
          <w:szCs w:val="28"/>
        </w:rPr>
      </w:pPr>
      <w:proofErr w:type="spellStart"/>
      <w:r w:rsidRPr="009526D8">
        <w:rPr>
          <w:sz w:val="28"/>
          <w:szCs w:val="28"/>
        </w:rPr>
        <w:t>alderon</w:t>
      </w:r>
      <w:proofErr w:type="spellEnd"/>
      <w:r w:rsidRPr="009526D8">
        <w:rPr>
          <w:sz w:val="28"/>
          <w:szCs w:val="28"/>
        </w:rPr>
        <w:t>, E. (2013). Older adults: are they ready to adopt health</w:t>
      </w:r>
      <w:r w:rsidRPr="009526D8">
        <w:rPr>
          <w:rFonts w:ascii="Cambria Math" w:hAnsi="Cambria Math" w:cs="Cambria Math"/>
          <w:sz w:val="28"/>
          <w:szCs w:val="28"/>
        </w:rPr>
        <w:t>‑</w:t>
      </w:r>
      <w:r w:rsidRPr="009526D8">
        <w:rPr>
          <w:sz w:val="28"/>
          <w:szCs w:val="28"/>
        </w:rPr>
        <w:t>related ICT? International Journal of Medical Informatics.</w:t>
      </w:r>
    </w:p>
    <w:p w14:paraId="378E5918" w14:textId="77777777" w:rsidR="00090C69" w:rsidRPr="009526D8" w:rsidRDefault="00090C69" w:rsidP="009526D8">
      <w:pPr>
        <w:rPr>
          <w:sz w:val="28"/>
          <w:szCs w:val="28"/>
        </w:rPr>
      </w:pPr>
      <w:r w:rsidRPr="009526D8">
        <w:rPr>
          <w:sz w:val="28"/>
          <w:szCs w:val="28"/>
        </w:rPr>
        <w:t>Berridge, C. (2016). Active and passive digital monitoring in home care: understanding ethical issues. The Gerontologist.</w:t>
      </w:r>
    </w:p>
    <w:p w14:paraId="6AFCBBA4" w14:textId="77777777" w:rsidR="00090C69" w:rsidRPr="00843053" w:rsidRDefault="00090C69" w:rsidP="00843053">
      <w:pPr>
        <w:rPr>
          <w:sz w:val="28"/>
          <w:szCs w:val="28"/>
        </w:rPr>
      </w:pPr>
      <w:r w:rsidRPr="00843053">
        <w:rPr>
          <w:sz w:val="28"/>
          <w:szCs w:val="28"/>
        </w:rPr>
        <w:t xml:space="preserve">Czaja, S. J., Boot, W. R., </w:t>
      </w:r>
      <w:proofErr w:type="spellStart"/>
      <w:r w:rsidRPr="00843053">
        <w:rPr>
          <w:sz w:val="28"/>
          <w:szCs w:val="28"/>
        </w:rPr>
        <w:t>Charness</w:t>
      </w:r>
      <w:proofErr w:type="spellEnd"/>
      <w:r w:rsidRPr="00843053">
        <w:rPr>
          <w:sz w:val="28"/>
          <w:szCs w:val="28"/>
        </w:rPr>
        <w:t>, N., &amp; Rogers, W. A. (2019). Designing for Older Adults: Principles and Creative Human Factors Approaches. CRC Press.</w:t>
      </w:r>
    </w:p>
    <w:p w14:paraId="7CB77F2E" w14:textId="77777777" w:rsidR="00090C69" w:rsidRPr="00843053" w:rsidRDefault="00090C69" w:rsidP="00843053">
      <w:pPr>
        <w:rPr>
          <w:sz w:val="28"/>
          <w:szCs w:val="28"/>
        </w:rPr>
      </w:pPr>
      <w:proofErr w:type="spellStart"/>
      <w:r w:rsidRPr="00843053">
        <w:rPr>
          <w:sz w:val="28"/>
          <w:szCs w:val="28"/>
        </w:rPr>
        <w:t>Emmesjö</w:t>
      </w:r>
      <w:proofErr w:type="spellEnd"/>
      <w:r w:rsidRPr="00843053">
        <w:rPr>
          <w:sz w:val="28"/>
          <w:szCs w:val="28"/>
        </w:rPr>
        <w:t xml:space="preserve">, L., Hallgren, J., &amp; </w:t>
      </w:r>
      <w:proofErr w:type="spellStart"/>
      <w:r w:rsidRPr="00843053">
        <w:rPr>
          <w:sz w:val="28"/>
          <w:szCs w:val="28"/>
        </w:rPr>
        <w:t>Gillsjö</w:t>
      </w:r>
      <w:proofErr w:type="spellEnd"/>
      <w:r w:rsidRPr="00843053">
        <w:rPr>
          <w:sz w:val="28"/>
          <w:szCs w:val="28"/>
        </w:rPr>
        <w:t>, C. (2025). Older adults’ digital technology experiences: a qualitative study. BMC Digital Health.</w:t>
      </w:r>
    </w:p>
    <w:p w14:paraId="26970A9D" w14:textId="77777777" w:rsidR="00090C69" w:rsidRPr="00843053" w:rsidRDefault="00090C69" w:rsidP="00843053">
      <w:pPr>
        <w:rPr>
          <w:sz w:val="28"/>
          <w:szCs w:val="28"/>
        </w:rPr>
      </w:pPr>
      <w:r w:rsidRPr="00843053">
        <w:rPr>
          <w:sz w:val="28"/>
          <w:szCs w:val="28"/>
        </w:rPr>
        <w:lastRenderedPageBreak/>
        <w:t xml:space="preserve"> Fang, Z., Liu, Y., &amp; Peng, B. (2024). Empowering older adults: bridging the digital divide in online health information seeking. Humanities and Social Sciences Communications.</w:t>
      </w:r>
    </w:p>
    <w:p w14:paraId="0B7EE91A" w14:textId="77777777" w:rsidR="00090C69" w:rsidRPr="00843053" w:rsidRDefault="00090C69" w:rsidP="00843053">
      <w:pPr>
        <w:rPr>
          <w:sz w:val="28"/>
          <w:szCs w:val="28"/>
        </w:rPr>
      </w:pPr>
      <w:r w:rsidRPr="00843053">
        <w:rPr>
          <w:sz w:val="28"/>
          <w:szCs w:val="28"/>
        </w:rPr>
        <w:t>Fernandes, G., et al. (2025). Impact of telehealth on health outcomes and quality of life in older adults: a systematic review. Frontiers in Digital Health.</w:t>
      </w:r>
    </w:p>
    <w:p w14:paraId="1EC1498A" w14:textId="77777777" w:rsidR="00090C69" w:rsidRPr="009526D8" w:rsidRDefault="00090C69" w:rsidP="009526D8">
      <w:pPr>
        <w:rPr>
          <w:sz w:val="28"/>
          <w:szCs w:val="28"/>
        </w:rPr>
      </w:pPr>
      <w:proofErr w:type="spellStart"/>
      <w:r w:rsidRPr="009526D8">
        <w:rPr>
          <w:sz w:val="28"/>
          <w:szCs w:val="28"/>
        </w:rPr>
        <w:t>iller</w:t>
      </w:r>
      <w:proofErr w:type="spellEnd"/>
      <w:r w:rsidRPr="009526D8">
        <w:rPr>
          <w:sz w:val="28"/>
          <w:szCs w:val="28"/>
        </w:rPr>
        <w:t xml:space="preserve">, E. A. (2020). Telemedicine and the older patient: overcoming barriers to adoption. Journal of </w:t>
      </w:r>
      <w:r>
        <w:rPr>
          <w:sz w:val="28"/>
          <w:szCs w:val="28"/>
        </w:rPr>
        <w:t>Ageing</w:t>
      </w:r>
      <w:r w:rsidRPr="009526D8">
        <w:rPr>
          <w:sz w:val="28"/>
          <w:szCs w:val="28"/>
        </w:rPr>
        <w:t xml:space="preserve"> &amp; Social Po</w:t>
      </w:r>
      <w:r>
        <w:rPr>
          <w:sz w:val="28"/>
          <w:szCs w:val="28"/>
        </w:rPr>
        <w:t>licy</w:t>
      </w:r>
    </w:p>
    <w:p w14:paraId="782EE45C" w14:textId="77777777" w:rsidR="00090C69" w:rsidRPr="009526D8" w:rsidRDefault="00090C69" w:rsidP="009526D8">
      <w:pPr>
        <w:rPr>
          <w:sz w:val="28"/>
          <w:szCs w:val="28"/>
        </w:rPr>
      </w:pPr>
      <w:r w:rsidRPr="009526D8">
        <w:rPr>
          <w:sz w:val="28"/>
          <w:szCs w:val="28"/>
        </w:rPr>
        <w:t xml:space="preserve">Khosravi, P., &amp; </w:t>
      </w:r>
      <w:proofErr w:type="spellStart"/>
      <w:r w:rsidRPr="009526D8">
        <w:rPr>
          <w:sz w:val="28"/>
          <w:szCs w:val="28"/>
        </w:rPr>
        <w:t>Ghapanchi</w:t>
      </w:r>
      <w:proofErr w:type="spellEnd"/>
      <w:r w:rsidRPr="009526D8">
        <w:rPr>
          <w:sz w:val="28"/>
          <w:szCs w:val="28"/>
        </w:rPr>
        <w:t>, A. (2016). Investigating the effectiveness of technologies applied to assist seniors: a systematic review. International Journal of Medical Informatics.</w:t>
      </w:r>
    </w:p>
    <w:p w14:paraId="39FB8439" w14:textId="77777777" w:rsidR="00090C69" w:rsidRPr="00843053" w:rsidRDefault="00090C69" w:rsidP="00843053">
      <w:pPr>
        <w:rPr>
          <w:sz w:val="28"/>
          <w:szCs w:val="28"/>
        </w:rPr>
      </w:pPr>
      <w:r w:rsidRPr="00843053">
        <w:rPr>
          <w:sz w:val="28"/>
          <w:szCs w:val="28"/>
        </w:rPr>
        <w:t>Lam, K., et al. (2020). Digital health and telemedicine in older adults: a scoping review. Journal of the American Geriatrics Society.</w:t>
      </w:r>
    </w:p>
    <w:p w14:paraId="010C60A4" w14:textId="77777777" w:rsidR="00090C69" w:rsidRPr="009526D8" w:rsidRDefault="00090C69" w:rsidP="009526D8">
      <w:pPr>
        <w:rPr>
          <w:sz w:val="28"/>
          <w:szCs w:val="28"/>
        </w:rPr>
      </w:pPr>
      <w:r w:rsidRPr="009526D8">
        <w:rPr>
          <w:sz w:val="28"/>
          <w:szCs w:val="28"/>
        </w:rPr>
        <w:t>Liu, L., et al. (2016). Smart home technologies for older adults: a systematic review. Ageing Research Reviews.</w:t>
      </w:r>
    </w:p>
    <w:p w14:paraId="52E43690" w14:textId="77777777" w:rsidR="00090C69" w:rsidRPr="009526D8" w:rsidRDefault="00090C69" w:rsidP="009526D8">
      <w:pPr>
        <w:rPr>
          <w:sz w:val="28"/>
          <w:szCs w:val="28"/>
        </w:rPr>
      </w:pPr>
      <w:r w:rsidRPr="009526D8">
        <w:rPr>
          <w:sz w:val="28"/>
          <w:szCs w:val="28"/>
        </w:rPr>
        <w:t>Medlock, S., et al. (2015). Health information–seeking behaviour and digital literacy among older adults. Journal of Medical Internet Research.</w:t>
      </w:r>
    </w:p>
    <w:p w14:paraId="180E1AFE" w14:textId="77777777" w:rsidR="00090C69" w:rsidRPr="00843053" w:rsidRDefault="00090C69" w:rsidP="00843053">
      <w:pPr>
        <w:rPr>
          <w:sz w:val="28"/>
          <w:szCs w:val="28"/>
        </w:rPr>
      </w:pPr>
      <w:r w:rsidRPr="00090C69">
        <w:rPr>
          <w:sz w:val="28"/>
          <w:szCs w:val="28"/>
          <w:lang w:val="nl-NL"/>
        </w:rPr>
        <w:t xml:space="preserve"> Peek, S. T. M., et al. (2014). </w:t>
      </w:r>
      <w:r w:rsidRPr="00843053">
        <w:rPr>
          <w:sz w:val="28"/>
          <w:szCs w:val="28"/>
        </w:rPr>
        <w:t>Factors Influencing Acceptance of Technology for Aging in Place: A Systematic Review. International Journal of Medical Informatics.</w:t>
      </w:r>
    </w:p>
    <w:p w14:paraId="702E37B2" w14:textId="77777777" w:rsidR="00090C69" w:rsidRPr="00843053" w:rsidRDefault="00090C69" w:rsidP="00843053">
      <w:pPr>
        <w:rPr>
          <w:sz w:val="28"/>
          <w:szCs w:val="28"/>
        </w:rPr>
      </w:pPr>
      <w:r w:rsidRPr="00843053">
        <w:rPr>
          <w:sz w:val="28"/>
          <w:szCs w:val="28"/>
        </w:rPr>
        <w:t>Shahid, Z., et al. (2020). Telemedicine During COVID</w:t>
      </w:r>
      <w:r w:rsidRPr="00843053">
        <w:rPr>
          <w:rFonts w:ascii="Cambria Math" w:hAnsi="Cambria Math" w:cs="Cambria Math"/>
          <w:sz w:val="28"/>
          <w:szCs w:val="28"/>
        </w:rPr>
        <w:t>‑</w:t>
      </w:r>
      <w:r w:rsidRPr="00843053">
        <w:rPr>
          <w:sz w:val="28"/>
          <w:szCs w:val="28"/>
        </w:rPr>
        <w:t>19: The Benefits and Barriers. Journal of Primary Care &amp; Community Health.</w:t>
      </w:r>
    </w:p>
    <w:p w14:paraId="381B950F" w14:textId="77777777" w:rsidR="00090C69" w:rsidRDefault="00090C69" w:rsidP="009526D8">
      <w:pPr>
        <w:rPr>
          <w:sz w:val="28"/>
          <w:szCs w:val="28"/>
        </w:rPr>
      </w:pPr>
      <w:r w:rsidRPr="009526D8">
        <w:rPr>
          <w:sz w:val="28"/>
          <w:szCs w:val="28"/>
        </w:rPr>
        <w:t>Wang, X., et al. (2021). Older adults’ engagement with AI</w:t>
      </w:r>
      <w:r w:rsidRPr="009526D8">
        <w:rPr>
          <w:rFonts w:ascii="Cambria Math" w:hAnsi="Cambria Math" w:cs="Cambria Math"/>
          <w:sz w:val="28"/>
          <w:szCs w:val="28"/>
        </w:rPr>
        <w:t>‑</w:t>
      </w:r>
      <w:r w:rsidRPr="009526D8">
        <w:rPr>
          <w:sz w:val="28"/>
          <w:szCs w:val="28"/>
        </w:rPr>
        <w:t xml:space="preserve">enabled health chatbots. Journal of the American Medical Informatics </w:t>
      </w:r>
      <w:proofErr w:type="spellStart"/>
      <w:r w:rsidRPr="009526D8">
        <w:rPr>
          <w:sz w:val="28"/>
          <w:szCs w:val="28"/>
        </w:rPr>
        <w:t>Association.Heart</w:t>
      </w:r>
      <w:proofErr w:type="spellEnd"/>
      <w:r w:rsidRPr="009526D8">
        <w:rPr>
          <w:sz w:val="28"/>
          <w:szCs w:val="28"/>
        </w:rPr>
        <w:t>, T., &amp; K</w:t>
      </w:r>
    </w:p>
    <w:p w14:paraId="153241C9" w14:textId="77777777" w:rsidR="00090C69" w:rsidRPr="009526D8" w:rsidRDefault="00090C69" w:rsidP="009526D8">
      <w:pPr>
        <w:rPr>
          <w:sz w:val="28"/>
          <w:szCs w:val="28"/>
        </w:rPr>
      </w:pPr>
      <w:r w:rsidRPr="009526D8">
        <w:rPr>
          <w:sz w:val="28"/>
          <w:szCs w:val="28"/>
        </w:rPr>
        <w:t>Wild, K., et al. (2012). Technology</w:t>
      </w:r>
      <w:r w:rsidRPr="009526D8">
        <w:rPr>
          <w:rFonts w:ascii="Cambria Math" w:hAnsi="Cambria Math" w:cs="Cambria Math"/>
          <w:sz w:val="28"/>
          <w:szCs w:val="28"/>
        </w:rPr>
        <w:t>‑</w:t>
      </w:r>
      <w:r w:rsidRPr="009526D8">
        <w:rPr>
          <w:sz w:val="28"/>
          <w:szCs w:val="28"/>
        </w:rPr>
        <w:t>enabled monitoring of older adults: early detection of health changes. Journal of Gerontological Nursing.</w:t>
      </w:r>
    </w:p>
    <w:p w14:paraId="44126D9F" w14:textId="77777777" w:rsidR="00090C69" w:rsidRPr="00843053" w:rsidRDefault="00090C69" w:rsidP="00843053">
      <w:pPr>
        <w:rPr>
          <w:sz w:val="28"/>
          <w:szCs w:val="28"/>
        </w:rPr>
      </w:pPr>
      <w:r w:rsidRPr="00843053">
        <w:rPr>
          <w:sz w:val="28"/>
          <w:szCs w:val="28"/>
          <w:lang w:val="fr-FR"/>
        </w:rPr>
        <w:t>Xu, H., Xie, B., &amp; Chang, C.</w:t>
      </w:r>
      <w:r w:rsidRPr="00843053">
        <w:rPr>
          <w:rFonts w:ascii="Cambria Math" w:hAnsi="Cambria Math" w:cs="Cambria Math"/>
          <w:sz w:val="28"/>
          <w:szCs w:val="28"/>
          <w:lang w:val="fr-FR"/>
        </w:rPr>
        <w:t>‑</w:t>
      </w:r>
      <w:r w:rsidRPr="00843053">
        <w:rPr>
          <w:sz w:val="28"/>
          <w:szCs w:val="28"/>
          <w:lang w:val="fr-FR"/>
        </w:rPr>
        <w:t xml:space="preserve">H. (2024). </w:t>
      </w:r>
      <w:r w:rsidRPr="00843053">
        <w:rPr>
          <w:sz w:val="28"/>
          <w:szCs w:val="28"/>
        </w:rPr>
        <w:t>Empowering the Care of Older Adults Through the Use of Technology. Work, Aging and Retirement.</w:t>
      </w:r>
    </w:p>
    <w:p w14:paraId="1204500B" w14:textId="77777777" w:rsidR="00090C69" w:rsidRDefault="00090C69" w:rsidP="009526D8">
      <w:pPr>
        <w:rPr>
          <w:sz w:val="28"/>
          <w:szCs w:val="28"/>
        </w:rPr>
      </w:pPr>
      <w:r w:rsidRPr="009526D8">
        <w:rPr>
          <w:sz w:val="28"/>
          <w:szCs w:val="28"/>
        </w:rPr>
        <w:t>Yin, R., et al. (2024). The views and experiences of older adults regarding digital mental health interventions: a systematic review. The Lancet Healthy Longevity.</w:t>
      </w:r>
    </w:p>
    <w:sectPr w:rsidR="00090C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7B"/>
    <w:rsid w:val="00090C69"/>
    <w:rsid w:val="000F1E93"/>
    <w:rsid w:val="000F331D"/>
    <w:rsid w:val="001E3D4E"/>
    <w:rsid w:val="001F5DCA"/>
    <w:rsid w:val="00273450"/>
    <w:rsid w:val="002E3283"/>
    <w:rsid w:val="00457D87"/>
    <w:rsid w:val="004A4174"/>
    <w:rsid w:val="004E300A"/>
    <w:rsid w:val="00587F9A"/>
    <w:rsid w:val="005A075A"/>
    <w:rsid w:val="00682812"/>
    <w:rsid w:val="007120F6"/>
    <w:rsid w:val="00764DA4"/>
    <w:rsid w:val="00843053"/>
    <w:rsid w:val="008454EA"/>
    <w:rsid w:val="008E0F67"/>
    <w:rsid w:val="00944FF9"/>
    <w:rsid w:val="009526D8"/>
    <w:rsid w:val="0098079C"/>
    <w:rsid w:val="00A90B7C"/>
    <w:rsid w:val="00B00022"/>
    <w:rsid w:val="00C7083A"/>
    <w:rsid w:val="00C80A81"/>
    <w:rsid w:val="00CA0D90"/>
    <w:rsid w:val="00DC28D4"/>
    <w:rsid w:val="00E47AA7"/>
    <w:rsid w:val="00E67362"/>
    <w:rsid w:val="00EB4B7B"/>
    <w:rsid w:val="00EF520F"/>
    <w:rsid w:val="00F375AD"/>
    <w:rsid w:val="00F54268"/>
    <w:rsid w:val="00FC7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45064"/>
  <w15:chartTrackingRefBased/>
  <w15:docId w15:val="{9E519DD2-E568-4D42-B9DF-0117A53A9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4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4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4B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4B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4B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4B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4B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4B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4B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B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B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B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B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B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B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B7B"/>
    <w:rPr>
      <w:rFonts w:eastAsiaTheme="majorEastAsia" w:cstheme="majorBidi"/>
      <w:color w:val="272727" w:themeColor="text1" w:themeTint="D8"/>
    </w:rPr>
  </w:style>
  <w:style w:type="paragraph" w:styleId="Title">
    <w:name w:val="Title"/>
    <w:basedOn w:val="Normal"/>
    <w:next w:val="Normal"/>
    <w:link w:val="TitleChar"/>
    <w:uiPriority w:val="10"/>
    <w:qFormat/>
    <w:rsid w:val="00EB4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4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B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4B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B7B"/>
    <w:pPr>
      <w:spacing w:before="160"/>
      <w:jc w:val="center"/>
    </w:pPr>
    <w:rPr>
      <w:i/>
      <w:iCs/>
      <w:color w:val="404040" w:themeColor="text1" w:themeTint="BF"/>
    </w:rPr>
  </w:style>
  <w:style w:type="character" w:customStyle="1" w:styleId="QuoteChar">
    <w:name w:val="Quote Char"/>
    <w:basedOn w:val="DefaultParagraphFont"/>
    <w:link w:val="Quote"/>
    <w:uiPriority w:val="29"/>
    <w:rsid w:val="00EB4B7B"/>
    <w:rPr>
      <w:i/>
      <w:iCs/>
      <w:color w:val="404040" w:themeColor="text1" w:themeTint="BF"/>
    </w:rPr>
  </w:style>
  <w:style w:type="paragraph" w:styleId="ListParagraph">
    <w:name w:val="List Paragraph"/>
    <w:basedOn w:val="Normal"/>
    <w:uiPriority w:val="34"/>
    <w:qFormat/>
    <w:rsid w:val="00EB4B7B"/>
    <w:pPr>
      <w:ind w:left="720"/>
      <w:contextualSpacing/>
    </w:pPr>
  </w:style>
  <w:style w:type="character" w:styleId="IntenseEmphasis">
    <w:name w:val="Intense Emphasis"/>
    <w:basedOn w:val="DefaultParagraphFont"/>
    <w:uiPriority w:val="21"/>
    <w:qFormat/>
    <w:rsid w:val="00EB4B7B"/>
    <w:rPr>
      <w:i/>
      <w:iCs/>
      <w:color w:val="0F4761" w:themeColor="accent1" w:themeShade="BF"/>
    </w:rPr>
  </w:style>
  <w:style w:type="paragraph" w:styleId="IntenseQuote">
    <w:name w:val="Intense Quote"/>
    <w:basedOn w:val="Normal"/>
    <w:next w:val="Normal"/>
    <w:link w:val="IntenseQuoteChar"/>
    <w:uiPriority w:val="30"/>
    <w:qFormat/>
    <w:rsid w:val="00EB4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4B7B"/>
    <w:rPr>
      <w:i/>
      <w:iCs/>
      <w:color w:val="0F4761" w:themeColor="accent1" w:themeShade="BF"/>
    </w:rPr>
  </w:style>
  <w:style w:type="character" w:styleId="IntenseReference">
    <w:name w:val="Intense Reference"/>
    <w:basedOn w:val="DefaultParagraphFont"/>
    <w:uiPriority w:val="32"/>
    <w:qFormat/>
    <w:rsid w:val="00EB4B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869</Words>
  <Characters>4957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bays</dc:creator>
  <cp:keywords/>
  <dc:description/>
  <cp:lastModifiedBy>valerie bays</cp:lastModifiedBy>
  <cp:revision>2</cp:revision>
  <dcterms:created xsi:type="dcterms:W3CDTF">2026-04-08T08:32:00Z</dcterms:created>
  <dcterms:modified xsi:type="dcterms:W3CDTF">2026-04-08T08:32:00Z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f39f3dab-d756-43c2-b89f-bbc78d7044ef</vt:lpwstr>
  </property>
</Properties>
</file>