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CFEF5" w14:textId="244A7853" w:rsidR="003A1F3A" w:rsidRDefault="003A1F3A" w:rsidP="003A1F3A">
      <w:pPr>
        <w:spacing w:line="360" w:lineRule="auto"/>
        <w:jc w:val="center"/>
        <w:rPr>
          <w:rFonts w:ascii="Times New Roman" w:hAnsi="Times New Roman" w:cs="Times New Roman"/>
          <w:b/>
          <w:bCs/>
          <w:sz w:val="72"/>
          <w:szCs w:val="72"/>
        </w:rPr>
      </w:pPr>
      <w:r>
        <w:rPr>
          <w:rFonts w:ascii="Times New Roman" w:hAnsi="Times New Roman" w:cs="Times New Roman"/>
          <w:b/>
          <w:bCs/>
          <w:sz w:val="72"/>
          <w:szCs w:val="72"/>
        </w:rPr>
        <w:t>University of Wales Trinity Saint David</w:t>
      </w:r>
    </w:p>
    <w:p w14:paraId="4E3081D7" w14:textId="1A857B6F" w:rsidR="00314E51" w:rsidRPr="003A1F3A" w:rsidRDefault="00000000" w:rsidP="00952F7F">
      <w:pPr>
        <w:spacing w:line="360" w:lineRule="auto"/>
        <w:rPr>
          <w:rFonts w:ascii="Times New Roman" w:hAnsi="Times New Roman" w:cs="Times New Roman"/>
          <w:b/>
          <w:bCs/>
          <w:sz w:val="56"/>
          <w:szCs w:val="56"/>
        </w:rPr>
      </w:pPr>
      <w:r w:rsidRPr="003A1F3A">
        <w:rPr>
          <w:rFonts w:ascii="Times New Roman" w:hAnsi="Times New Roman" w:cs="Times New Roman"/>
          <w:b/>
          <w:bCs/>
          <w:sz w:val="56"/>
          <w:szCs w:val="56"/>
        </w:rPr>
        <w:t>Global Challenges:</w:t>
      </w:r>
      <w:r w:rsidR="00BE435B" w:rsidRPr="003A1F3A">
        <w:rPr>
          <w:rFonts w:ascii="Times New Roman" w:hAnsi="Times New Roman" w:cs="Times New Roman"/>
          <w:b/>
          <w:bCs/>
          <w:sz w:val="56"/>
          <w:szCs w:val="56"/>
        </w:rPr>
        <w:t xml:space="preserve"> </w:t>
      </w:r>
      <w:r w:rsidRPr="003A1F3A">
        <w:rPr>
          <w:rFonts w:ascii="Times New Roman" w:hAnsi="Times New Roman" w:cs="Times New Roman"/>
          <w:b/>
          <w:bCs/>
          <w:sz w:val="56"/>
          <w:szCs w:val="56"/>
        </w:rPr>
        <w:t>Navigating AI and Risk Management at Amazon</w:t>
      </w:r>
    </w:p>
    <w:p w14:paraId="26169D74" w14:textId="77777777" w:rsidR="005A34DB" w:rsidRPr="003331F3" w:rsidRDefault="005A34DB" w:rsidP="00952F7F">
      <w:pPr>
        <w:spacing w:line="360" w:lineRule="auto"/>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650"/>
        <w:gridCol w:w="4650"/>
      </w:tblGrid>
      <w:tr w:rsidR="003331F3" w:rsidRPr="003331F3" w14:paraId="5A292B43" w14:textId="77777777" w:rsidTr="003A1F3A">
        <w:trPr>
          <w:trHeight w:val="609"/>
          <w:jc w:val="center"/>
        </w:trPr>
        <w:tc>
          <w:tcPr>
            <w:tcW w:w="4650" w:type="dxa"/>
            <w:shd w:val="clear" w:color="auto" w:fill="E5DFEC" w:themeFill="accent4" w:themeFillTint="33"/>
            <w:tcMar>
              <w:top w:w="90" w:type="dxa"/>
              <w:left w:w="90" w:type="dxa"/>
              <w:bottom w:w="90" w:type="dxa"/>
              <w:right w:w="90" w:type="dxa"/>
            </w:tcMar>
            <w:vAlign w:val="center"/>
          </w:tcPr>
          <w:p w14:paraId="35F1FF21" w14:textId="21E44C81" w:rsidR="00314E51" w:rsidRPr="003331F3" w:rsidRDefault="00000000" w:rsidP="00952F7F">
            <w:pPr>
              <w:spacing w:line="360" w:lineRule="auto"/>
              <w:rPr>
                <w:rFonts w:ascii="Times New Roman" w:hAnsi="Times New Roman" w:cs="Times New Roman"/>
                <w:sz w:val="30"/>
                <w:szCs w:val="30"/>
              </w:rPr>
            </w:pPr>
            <w:r w:rsidRPr="003331F3">
              <w:rPr>
                <w:rFonts w:ascii="Times New Roman" w:hAnsi="Times New Roman" w:cs="Times New Roman"/>
                <w:b/>
                <w:sz w:val="30"/>
                <w:szCs w:val="30"/>
              </w:rPr>
              <w:t xml:space="preserve">Student Name </w:t>
            </w:r>
          </w:p>
        </w:tc>
        <w:tc>
          <w:tcPr>
            <w:tcW w:w="4650" w:type="dxa"/>
            <w:tcMar>
              <w:top w:w="90" w:type="dxa"/>
              <w:left w:w="90" w:type="dxa"/>
              <w:bottom w:w="90" w:type="dxa"/>
              <w:right w:w="90" w:type="dxa"/>
            </w:tcMar>
            <w:vAlign w:val="center"/>
          </w:tcPr>
          <w:p w14:paraId="1FD56FA7" w14:textId="2F874DC9" w:rsidR="00314E51" w:rsidRPr="003331F3" w:rsidRDefault="00766ECC" w:rsidP="00952F7F">
            <w:pPr>
              <w:spacing w:line="360" w:lineRule="auto"/>
              <w:rPr>
                <w:rFonts w:ascii="Times New Roman" w:hAnsi="Times New Roman" w:cs="Times New Roman"/>
                <w:sz w:val="30"/>
                <w:szCs w:val="30"/>
              </w:rPr>
            </w:pPr>
            <w:r>
              <w:rPr>
                <w:rFonts w:ascii="Times New Roman" w:hAnsi="Times New Roman" w:cs="Times New Roman"/>
                <w:sz w:val="30"/>
                <w:szCs w:val="30"/>
              </w:rPr>
              <w:t>Shahed Rayhan</w:t>
            </w:r>
          </w:p>
        </w:tc>
      </w:tr>
      <w:tr w:rsidR="003331F3" w:rsidRPr="003331F3" w14:paraId="7124BD02" w14:textId="77777777" w:rsidTr="003A1F3A">
        <w:trPr>
          <w:trHeight w:val="600"/>
          <w:jc w:val="center"/>
        </w:trPr>
        <w:tc>
          <w:tcPr>
            <w:tcW w:w="4650" w:type="dxa"/>
            <w:shd w:val="clear" w:color="auto" w:fill="E5DFEC" w:themeFill="accent4" w:themeFillTint="33"/>
            <w:tcMar>
              <w:top w:w="90" w:type="dxa"/>
              <w:left w:w="90" w:type="dxa"/>
              <w:bottom w:w="90" w:type="dxa"/>
              <w:right w:w="90" w:type="dxa"/>
            </w:tcMar>
            <w:vAlign w:val="center"/>
          </w:tcPr>
          <w:p w14:paraId="04E3BC6A" w14:textId="6AD4D46A" w:rsidR="0019665F" w:rsidRPr="003331F3" w:rsidRDefault="0019665F" w:rsidP="00952F7F">
            <w:pPr>
              <w:spacing w:line="360" w:lineRule="auto"/>
              <w:rPr>
                <w:rFonts w:ascii="Times New Roman" w:hAnsi="Times New Roman" w:cs="Times New Roman"/>
                <w:b/>
                <w:sz w:val="30"/>
                <w:szCs w:val="30"/>
              </w:rPr>
            </w:pPr>
            <w:r w:rsidRPr="003331F3">
              <w:rPr>
                <w:rFonts w:ascii="Times New Roman" w:hAnsi="Times New Roman" w:cs="Times New Roman"/>
                <w:b/>
                <w:sz w:val="30"/>
                <w:szCs w:val="30"/>
              </w:rPr>
              <w:t xml:space="preserve">Student </w:t>
            </w:r>
            <w:r w:rsidR="00766ECC">
              <w:rPr>
                <w:rFonts w:ascii="Times New Roman" w:hAnsi="Times New Roman" w:cs="Times New Roman"/>
                <w:b/>
                <w:sz w:val="30"/>
                <w:szCs w:val="30"/>
              </w:rPr>
              <w:t>id</w:t>
            </w:r>
          </w:p>
        </w:tc>
        <w:tc>
          <w:tcPr>
            <w:tcW w:w="4650" w:type="dxa"/>
            <w:tcMar>
              <w:top w:w="90" w:type="dxa"/>
              <w:left w:w="90" w:type="dxa"/>
              <w:bottom w:w="90" w:type="dxa"/>
              <w:right w:w="90" w:type="dxa"/>
            </w:tcMar>
            <w:vAlign w:val="center"/>
          </w:tcPr>
          <w:p w14:paraId="2FBFEE46" w14:textId="2E173652" w:rsidR="0019665F" w:rsidRPr="003331F3" w:rsidRDefault="00766ECC" w:rsidP="00952F7F">
            <w:pPr>
              <w:spacing w:line="360" w:lineRule="auto"/>
              <w:rPr>
                <w:rFonts w:ascii="Times New Roman" w:hAnsi="Times New Roman" w:cs="Times New Roman"/>
                <w:sz w:val="30"/>
                <w:szCs w:val="30"/>
              </w:rPr>
            </w:pPr>
            <w:r>
              <w:rPr>
                <w:rFonts w:ascii="Times New Roman" w:hAnsi="Times New Roman" w:cs="Times New Roman"/>
                <w:sz w:val="30"/>
                <w:szCs w:val="30"/>
              </w:rPr>
              <w:t>2520888</w:t>
            </w:r>
          </w:p>
        </w:tc>
      </w:tr>
      <w:tr w:rsidR="003331F3" w:rsidRPr="003331F3" w14:paraId="6A9456E8" w14:textId="77777777" w:rsidTr="003A1F3A">
        <w:trPr>
          <w:trHeight w:val="980"/>
          <w:jc w:val="center"/>
        </w:trPr>
        <w:tc>
          <w:tcPr>
            <w:tcW w:w="4650" w:type="dxa"/>
            <w:shd w:val="clear" w:color="auto" w:fill="E5DFEC" w:themeFill="accent4" w:themeFillTint="33"/>
            <w:tcMar>
              <w:top w:w="90" w:type="dxa"/>
              <w:left w:w="90" w:type="dxa"/>
              <w:bottom w:w="90" w:type="dxa"/>
              <w:right w:w="90" w:type="dxa"/>
            </w:tcMar>
            <w:vAlign w:val="center"/>
          </w:tcPr>
          <w:p w14:paraId="786DA21F" w14:textId="77777777" w:rsidR="00314E51" w:rsidRPr="003331F3" w:rsidRDefault="00000000" w:rsidP="00952F7F">
            <w:pPr>
              <w:spacing w:line="360" w:lineRule="auto"/>
              <w:rPr>
                <w:rFonts w:ascii="Times New Roman" w:hAnsi="Times New Roman" w:cs="Times New Roman"/>
                <w:sz w:val="30"/>
                <w:szCs w:val="30"/>
              </w:rPr>
            </w:pPr>
            <w:r w:rsidRPr="003331F3">
              <w:rPr>
                <w:rFonts w:ascii="Times New Roman" w:hAnsi="Times New Roman" w:cs="Times New Roman"/>
                <w:b/>
                <w:sz w:val="30"/>
                <w:szCs w:val="30"/>
              </w:rPr>
              <w:t>Module</w:t>
            </w:r>
          </w:p>
        </w:tc>
        <w:tc>
          <w:tcPr>
            <w:tcW w:w="4650" w:type="dxa"/>
            <w:tcMar>
              <w:top w:w="90" w:type="dxa"/>
              <w:left w:w="90" w:type="dxa"/>
              <w:bottom w:w="90" w:type="dxa"/>
              <w:right w:w="90" w:type="dxa"/>
            </w:tcMar>
            <w:vAlign w:val="center"/>
          </w:tcPr>
          <w:p w14:paraId="20F177F9" w14:textId="77777777" w:rsidR="00314E51" w:rsidRPr="003331F3" w:rsidRDefault="00000000" w:rsidP="00952F7F">
            <w:pPr>
              <w:spacing w:line="360" w:lineRule="auto"/>
              <w:rPr>
                <w:rFonts w:ascii="Times New Roman" w:hAnsi="Times New Roman" w:cs="Times New Roman"/>
                <w:sz w:val="30"/>
                <w:szCs w:val="30"/>
              </w:rPr>
            </w:pPr>
            <w:r w:rsidRPr="003331F3">
              <w:rPr>
                <w:rFonts w:ascii="Times New Roman" w:hAnsi="Times New Roman" w:cs="Times New Roman"/>
                <w:sz w:val="30"/>
                <w:szCs w:val="30"/>
              </w:rPr>
              <w:t>Global Business Challenges (BMMB7006)</w:t>
            </w:r>
          </w:p>
        </w:tc>
      </w:tr>
      <w:tr w:rsidR="003331F3" w:rsidRPr="003331F3" w14:paraId="6E9E6F27" w14:textId="77777777" w:rsidTr="003A1F3A">
        <w:trPr>
          <w:trHeight w:val="609"/>
          <w:jc w:val="center"/>
        </w:trPr>
        <w:tc>
          <w:tcPr>
            <w:tcW w:w="4650" w:type="dxa"/>
            <w:shd w:val="clear" w:color="auto" w:fill="E5DFEC" w:themeFill="accent4" w:themeFillTint="33"/>
            <w:tcMar>
              <w:top w:w="90" w:type="dxa"/>
              <w:left w:w="90" w:type="dxa"/>
              <w:bottom w:w="90" w:type="dxa"/>
              <w:right w:w="90" w:type="dxa"/>
            </w:tcMar>
            <w:vAlign w:val="center"/>
          </w:tcPr>
          <w:p w14:paraId="57D6FF1C" w14:textId="3D7BB021" w:rsidR="00314E51" w:rsidRPr="003331F3" w:rsidRDefault="00000000" w:rsidP="00952F7F">
            <w:pPr>
              <w:spacing w:line="360" w:lineRule="auto"/>
              <w:rPr>
                <w:rFonts w:ascii="Times New Roman" w:hAnsi="Times New Roman" w:cs="Times New Roman"/>
                <w:sz w:val="30"/>
                <w:szCs w:val="30"/>
              </w:rPr>
            </w:pPr>
            <w:r w:rsidRPr="003331F3">
              <w:rPr>
                <w:rFonts w:ascii="Times New Roman" w:hAnsi="Times New Roman" w:cs="Times New Roman"/>
                <w:b/>
                <w:sz w:val="30"/>
                <w:szCs w:val="30"/>
              </w:rPr>
              <w:t>Program</w:t>
            </w:r>
            <w:r w:rsidR="00766ECC">
              <w:rPr>
                <w:rFonts w:ascii="Times New Roman" w:hAnsi="Times New Roman" w:cs="Times New Roman"/>
                <w:b/>
                <w:sz w:val="30"/>
                <w:szCs w:val="30"/>
              </w:rPr>
              <w:t xml:space="preserve"> </w:t>
            </w:r>
          </w:p>
        </w:tc>
        <w:tc>
          <w:tcPr>
            <w:tcW w:w="4650" w:type="dxa"/>
            <w:tcMar>
              <w:top w:w="90" w:type="dxa"/>
              <w:left w:w="90" w:type="dxa"/>
              <w:bottom w:w="90" w:type="dxa"/>
              <w:right w:w="90" w:type="dxa"/>
            </w:tcMar>
            <w:vAlign w:val="center"/>
          </w:tcPr>
          <w:p w14:paraId="6E05C689" w14:textId="77777777" w:rsidR="00314E51" w:rsidRPr="003331F3" w:rsidRDefault="00000000" w:rsidP="00952F7F">
            <w:pPr>
              <w:spacing w:line="360" w:lineRule="auto"/>
              <w:rPr>
                <w:rFonts w:ascii="Times New Roman" w:hAnsi="Times New Roman" w:cs="Times New Roman"/>
                <w:sz w:val="30"/>
                <w:szCs w:val="30"/>
              </w:rPr>
            </w:pPr>
            <w:r w:rsidRPr="003331F3">
              <w:rPr>
                <w:rFonts w:ascii="Times New Roman" w:hAnsi="Times New Roman" w:cs="Times New Roman"/>
                <w:sz w:val="30"/>
                <w:szCs w:val="30"/>
              </w:rPr>
              <w:t>MBA</w:t>
            </w:r>
          </w:p>
        </w:tc>
      </w:tr>
      <w:tr w:rsidR="003331F3" w:rsidRPr="003331F3" w14:paraId="078D6EE3" w14:textId="77777777" w:rsidTr="003A1F3A">
        <w:trPr>
          <w:trHeight w:val="600"/>
          <w:jc w:val="center"/>
        </w:trPr>
        <w:tc>
          <w:tcPr>
            <w:tcW w:w="4650" w:type="dxa"/>
            <w:shd w:val="clear" w:color="auto" w:fill="E5DFEC" w:themeFill="accent4" w:themeFillTint="33"/>
            <w:tcMar>
              <w:top w:w="90" w:type="dxa"/>
              <w:left w:w="90" w:type="dxa"/>
              <w:bottom w:w="90" w:type="dxa"/>
              <w:right w:w="90" w:type="dxa"/>
            </w:tcMar>
            <w:vAlign w:val="center"/>
          </w:tcPr>
          <w:p w14:paraId="4F1B0EE6" w14:textId="12C66A1A" w:rsidR="003A1F3A" w:rsidRPr="003331F3" w:rsidRDefault="003A1F3A" w:rsidP="00952F7F">
            <w:pPr>
              <w:spacing w:line="360" w:lineRule="auto"/>
              <w:rPr>
                <w:rFonts w:ascii="Times New Roman" w:hAnsi="Times New Roman" w:cs="Times New Roman"/>
                <w:sz w:val="30"/>
                <w:szCs w:val="30"/>
              </w:rPr>
            </w:pPr>
            <w:r w:rsidRPr="003A1F3A">
              <w:rPr>
                <w:rFonts w:ascii="Times New Roman" w:hAnsi="Times New Roman" w:cs="Times New Roman"/>
                <w:b/>
                <w:bCs/>
                <w:sz w:val="30"/>
                <w:szCs w:val="30"/>
              </w:rPr>
              <w:t>Lecturer</w:t>
            </w:r>
          </w:p>
        </w:tc>
        <w:tc>
          <w:tcPr>
            <w:tcW w:w="4650" w:type="dxa"/>
            <w:tcMar>
              <w:top w:w="90" w:type="dxa"/>
              <w:left w:w="90" w:type="dxa"/>
              <w:bottom w:w="90" w:type="dxa"/>
              <w:right w:w="90" w:type="dxa"/>
            </w:tcMar>
            <w:vAlign w:val="center"/>
          </w:tcPr>
          <w:p w14:paraId="5C175E67" w14:textId="6018E718" w:rsidR="003A1F3A" w:rsidRPr="003A1F3A" w:rsidRDefault="003A1F3A" w:rsidP="00952F7F">
            <w:pPr>
              <w:spacing w:line="360" w:lineRule="auto"/>
              <w:rPr>
                <w:rFonts w:ascii="Times New Roman" w:hAnsi="Times New Roman" w:cs="Times New Roman"/>
                <w:sz w:val="30"/>
                <w:szCs w:val="30"/>
              </w:rPr>
            </w:pPr>
            <w:r w:rsidRPr="003A1F3A">
              <w:rPr>
                <w:rFonts w:ascii="Times New Roman" w:hAnsi="Times New Roman" w:cs="Times New Roman"/>
                <w:sz w:val="30"/>
                <w:szCs w:val="30"/>
              </w:rPr>
              <w:t>Rebecca Francis-Davies</w:t>
            </w:r>
          </w:p>
        </w:tc>
      </w:tr>
      <w:tr w:rsidR="003A1F3A" w:rsidRPr="003331F3" w14:paraId="70B4AADD" w14:textId="77777777" w:rsidTr="003A1F3A">
        <w:trPr>
          <w:trHeight w:val="600"/>
          <w:jc w:val="center"/>
        </w:trPr>
        <w:tc>
          <w:tcPr>
            <w:tcW w:w="4650" w:type="dxa"/>
            <w:shd w:val="clear" w:color="auto" w:fill="E5DFEC" w:themeFill="accent4" w:themeFillTint="33"/>
            <w:tcMar>
              <w:top w:w="90" w:type="dxa"/>
              <w:left w:w="90" w:type="dxa"/>
              <w:bottom w:w="90" w:type="dxa"/>
              <w:right w:w="90" w:type="dxa"/>
            </w:tcMar>
            <w:vAlign w:val="center"/>
          </w:tcPr>
          <w:p w14:paraId="7535B231" w14:textId="2BF0E593" w:rsidR="003A1F3A" w:rsidRPr="003A1F3A" w:rsidRDefault="003A1F3A" w:rsidP="00952F7F">
            <w:pPr>
              <w:spacing w:line="360" w:lineRule="auto"/>
              <w:rPr>
                <w:rFonts w:ascii="Times New Roman" w:hAnsi="Times New Roman" w:cs="Times New Roman"/>
                <w:b/>
                <w:bCs/>
                <w:sz w:val="30"/>
                <w:szCs w:val="30"/>
              </w:rPr>
            </w:pPr>
            <w:r>
              <w:rPr>
                <w:rFonts w:ascii="Times New Roman" w:hAnsi="Times New Roman" w:cs="Times New Roman"/>
                <w:b/>
                <w:bCs/>
                <w:sz w:val="30"/>
                <w:szCs w:val="30"/>
              </w:rPr>
              <w:t>Submission Date</w:t>
            </w:r>
          </w:p>
        </w:tc>
        <w:tc>
          <w:tcPr>
            <w:tcW w:w="4650" w:type="dxa"/>
            <w:tcMar>
              <w:top w:w="90" w:type="dxa"/>
              <w:left w:w="90" w:type="dxa"/>
              <w:bottom w:w="90" w:type="dxa"/>
              <w:right w:w="90" w:type="dxa"/>
            </w:tcMar>
            <w:vAlign w:val="center"/>
          </w:tcPr>
          <w:p w14:paraId="28020633" w14:textId="4C70BAD9" w:rsidR="003A1F3A" w:rsidRPr="003A1F3A" w:rsidRDefault="003A1F3A" w:rsidP="00952F7F">
            <w:pPr>
              <w:spacing w:line="360" w:lineRule="auto"/>
              <w:rPr>
                <w:rFonts w:ascii="Times New Roman" w:hAnsi="Times New Roman" w:cs="Times New Roman"/>
                <w:sz w:val="30"/>
                <w:szCs w:val="30"/>
              </w:rPr>
            </w:pPr>
            <w:r>
              <w:rPr>
                <w:rFonts w:ascii="Times New Roman" w:hAnsi="Times New Roman" w:cs="Times New Roman"/>
                <w:sz w:val="30"/>
                <w:szCs w:val="30"/>
              </w:rPr>
              <w:t>15-04-2026</w:t>
            </w:r>
          </w:p>
        </w:tc>
      </w:tr>
    </w:tbl>
    <w:p w14:paraId="4AAB7CBC" w14:textId="77777777" w:rsidR="00314E51" w:rsidRPr="003331F3" w:rsidRDefault="00314E51" w:rsidP="00952F7F">
      <w:pPr>
        <w:spacing w:line="360" w:lineRule="auto"/>
        <w:rPr>
          <w:rFonts w:ascii="Times New Roman" w:hAnsi="Times New Roman" w:cs="Times New Roman"/>
          <w:sz w:val="24"/>
          <w:szCs w:val="24"/>
        </w:rPr>
      </w:pPr>
    </w:p>
    <w:p w14:paraId="3D832476" w14:textId="77777777" w:rsidR="003A1F3A" w:rsidRDefault="003A1F3A" w:rsidP="00952F7F">
      <w:pPr>
        <w:spacing w:line="360" w:lineRule="auto"/>
        <w:rPr>
          <w:rFonts w:ascii="Times New Roman" w:hAnsi="Times New Roman" w:cs="Times New Roman"/>
          <w:sz w:val="24"/>
          <w:szCs w:val="24"/>
        </w:rPr>
      </w:pPr>
    </w:p>
    <w:p w14:paraId="78EEC6EB" w14:textId="77777777" w:rsidR="003A1F3A" w:rsidRDefault="003A1F3A" w:rsidP="00952F7F">
      <w:pPr>
        <w:spacing w:line="360" w:lineRule="auto"/>
        <w:rPr>
          <w:rFonts w:ascii="Times New Roman" w:hAnsi="Times New Roman" w:cs="Times New Roman"/>
          <w:sz w:val="24"/>
          <w:szCs w:val="24"/>
        </w:rPr>
      </w:pPr>
    </w:p>
    <w:p w14:paraId="50EAC4EB" w14:textId="5AA62E87" w:rsidR="00314E51" w:rsidRPr="003331F3" w:rsidRDefault="003A1F3A" w:rsidP="00952F7F">
      <w:pPr>
        <w:spacing w:line="360" w:lineRule="auto"/>
        <w:rPr>
          <w:rFonts w:ascii="Times New Roman" w:hAnsi="Times New Roman" w:cs="Times New Roman"/>
          <w:sz w:val="24"/>
          <w:szCs w:val="24"/>
        </w:rPr>
      </w:pPr>
      <w:r>
        <w:rPr>
          <w:rFonts w:ascii="Times New Roman" w:hAnsi="Times New Roman" w:cs="Times New Roman"/>
          <w:sz w:val="24"/>
          <w:szCs w:val="24"/>
        </w:rPr>
        <w:t>Word Count: 6013</w:t>
      </w:r>
      <w:r w:rsidR="00000000" w:rsidRPr="003331F3">
        <w:rPr>
          <w:rFonts w:ascii="Times New Roman" w:hAnsi="Times New Roman" w:cs="Times New Roman"/>
          <w:sz w:val="24"/>
          <w:szCs w:val="24"/>
        </w:rPr>
        <w:br w:type="page"/>
      </w:r>
    </w:p>
    <w:sdt>
      <w:sdtPr>
        <w:rPr>
          <w:rFonts w:ascii="Aptos" w:eastAsia="Calibri" w:hAnsi="Aptos" w:cstheme="minorBidi"/>
          <w:b w:val="0"/>
          <w:bCs w:val="0"/>
          <w:color w:val="auto"/>
          <w:sz w:val="24"/>
          <w:szCs w:val="24"/>
        </w:rPr>
        <w:id w:val="-1057619209"/>
        <w:docPartObj>
          <w:docPartGallery w:val="Table of Contents"/>
          <w:docPartUnique/>
        </w:docPartObj>
      </w:sdtPr>
      <w:sdtEndPr>
        <w:rPr>
          <w:noProof/>
        </w:rPr>
      </w:sdtEndPr>
      <w:sdtContent>
        <w:p w14:paraId="768ADF81" w14:textId="6BD83524" w:rsidR="0019665F" w:rsidRPr="003331F3" w:rsidRDefault="0019665F" w:rsidP="00952F7F">
          <w:pPr>
            <w:pStyle w:val="TOCHeading"/>
            <w:spacing w:line="240" w:lineRule="auto"/>
            <w:rPr>
              <w:color w:val="auto"/>
              <w:sz w:val="24"/>
              <w:szCs w:val="24"/>
            </w:rPr>
          </w:pPr>
          <w:r w:rsidRPr="003331F3">
            <w:rPr>
              <w:color w:val="auto"/>
              <w:sz w:val="24"/>
              <w:szCs w:val="24"/>
            </w:rPr>
            <w:t>Contents</w:t>
          </w:r>
        </w:p>
        <w:p w14:paraId="38B52E82" w14:textId="15638408" w:rsidR="003B41E7" w:rsidRPr="00AC5D62" w:rsidRDefault="0019665F">
          <w:pPr>
            <w:pStyle w:val="TOC1"/>
            <w:tabs>
              <w:tab w:val="right" w:leader="dot" w:pos="9350"/>
            </w:tabs>
            <w:rPr>
              <w:rFonts w:ascii="Times New Roman" w:eastAsiaTheme="minorEastAsia" w:hAnsi="Times New Roman" w:cs="Times New Roman"/>
              <w:noProof/>
              <w:kern w:val="2"/>
              <w:sz w:val="24"/>
              <w:szCs w:val="24"/>
              <w14:ligatures w14:val="standardContextual"/>
            </w:rPr>
          </w:pPr>
          <w:r w:rsidRPr="00AC5D62">
            <w:rPr>
              <w:rFonts w:ascii="Times New Roman" w:hAnsi="Times New Roman" w:cs="Times New Roman"/>
              <w:sz w:val="24"/>
              <w:szCs w:val="24"/>
            </w:rPr>
            <w:fldChar w:fldCharType="begin"/>
          </w:r>
          <w:r w:rsidRPr="00AC5D62">
            <w:rPr>
              <w:rFonts w:ascii="Times New Roman" w:hAnsi="Times New Roman" w:cs="Times New Roman"/>
              <w:sz w:val="24"/>
              <w:szCs w:val="24"/>
            </w:rPr>
            <w:instrText xml:space="preserve"> TOC \o "1-3" \h \z \u </w:instrText>
          </w:r>
          <w:r w:rsidRPr="00AC5D62">
            <w:rPr>
              <w:rFonts w:ascii="Times New Roman" w:hAnsi="Times New Roman" w:cs="Times New Roman"/>
              <w:sz w:val="24"/>
              <w:szCs w:val="24"/>
            </w:rPr>
            <w:fldChar w:fldCharType="separate"/>
          </w:r>
          <w:hyperlink w:anchor="_Toc225165980" w:history="1">
            <w:r w:rsidR="003B41E7" w:rsidRPr="00AC5D62">
              <w:rPr>
                <w:rStyle w:val="Hyperlink"/>
                <w:rFonts w:ascii="Times New Roman" w:hAnsi="Times New Roman" w:cs="Times New Roman"/>
                <w:noProof/>
              </w:rPr>
              <w:t>Executive Summary</w:t>
            </w:r>
            <w:r w:rsidR="003B41E7" w:rsidRPr="00AC5D62">
              <w:rPr>
                <w:rFonts w:ascii="Times New Roman" w:hAnsi="Times New Roman" w:cs="Times New Roman"/>
                <w:noProof/>
                <w:webHidden/>
              </w:rPr>
              <w:tab/>
            </w:r>
            <w:r w:rsidR="003B41E7" w:rsidRPr="00AC5D62">
              <w:rPr>
                <w:rFonts w:ascii="Times New Roman" w:hAnsi="Times New Roman" w:cs="Times New Roman"/>
                <w:noProof/>
                <w:webHidden/>
              </w:rPr>
              <w:fldChar w:fldCharType="begin"/>
            </w:r>
            <w:r w:rsidR="003B41E7" w:rsidRPr="00AC5D62">
              <w:rPr>
                <w:rFonts w:ascii="Times New Roman" w:hAnsi="Times New Roman" w:cs="Times New Roman"/>
                <w:noProof/>
                <w:webHidden/>
              </w:rPr>
              <w:instrText xml:space="preserve"> PAGEREF _Toc225165980 \h </w:instrText>
            </w:r>
            <w:r w:rsidR="003B41E7" w:rsidRPr="00AC5D62">
              <w:rPr>
                <w:rFonts w:ascii="Times New Roman" w:hAnsi="Times New Roman" w:cs="Times New Roman"/>
                <w:noProof/>
                <w:webHidden/>
              </w:rPr>
            </w:r>
            <w:r w:rsidR="003B41E7" w:rsidRPr="00AC5D62">
              <w:rPr>
                <w:rFonts w:ascii="Times New Roman" w:hAnsi="Times New Roman" w:cs="Times New Roman"/>
                <w:noProof/>
                <w:webHidden/>
              </w:rPr>
              <w:fldChar w:fldCharType="separate"/>
            </w:r>
            <w:r w:rsidR="003B41E7" w:rsidRPr="00AC5D62">
              <w:rPr>
                <w:rFonts w:ascii="Times New Roman" w:hAnsi="Times New Roman" w:cs="Times New Roman"/>
                <w:noProof/>
                <w:webHidden/>
              </w:rPr>
              <w:t>3</w:t>
            </w:r>
            <w:r w:rsidR="003B41E7" w:rsidRPr="00AC5D62">
              <w:rPr>
                <w:rFonts w:ascii="Times New Roman" w:hAnsi="Times New Roman" w:cs="Times New Roman"/>
                <w:noProof/>
                <w:webHidden/>
              </w:rPr>
              <w:fldChar w:fldCharType="end"/>
            </w:r>
          </w:hyperlink>
        </w:p>
        <w:p w14:paraId="19C6090C" w14:textId="3E1F3C11" w:rsidR="003B41E7" w:rsidRPr="00AC5D62" w:rsidRDefault="003B41E7">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25165981" w:history="1">
            <w:r w:rsidRPr="00AC5D62">
              <w:rPr>
                <w:rStyle w:val="Hyperlink"/>
                <w:rFonts w:ascii="Times New Roman" w:hAnsi="Times New Roman" w:cs="Times New Roman"/>
                <w:noProof/>
              </w:rPr>
              <w:t>1. Introduction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_Toc225165981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3</w:t>
            </w:r>
            <w:r w:rsidRPr="00AC5D62">
              <w:rPr>
                <w:rFonts w:ascii="Times New Roman" w:hAnsi="Times New Roman" w:cs="Times New Roman"/>
                <w:noProof/>
                <w:webHidden/>
              </w:rPr>
              <w:fldChar w:fldCharType="end"/>
            </w:r>
          </w:hyperlink>
        </w:p>
        <w:p w14:paraId="5D55C057" w14:textId="544AC1BA" w:rsidR="003B41E7" w:rsidRPr="00AC5D62" w:rsidRDefault="003B41E7">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25165982" w:history="1">
            <w:r w:rsidRPr="00AC5D62">
              <w:rPr>
                <w:rStyle w:val="Hyperlink"/>
                <w:rFonts w:ascii="Times New Roman" w:hAnsi="Times New Roman" w:cs="Times New Roman"/>
                <w:noProof/>
              </w:rPr>
              <w:t>2. Main Findings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_Toc225165982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4</w:t>
            </w:r>
            <w:r w:rsidRPr="00AC5D62">
              <w:rPr>
                <w:rFonts w:ascii="Times New Roman" w:hAnsi="Times New Roman" w:cs="Times New Roman"/>
                <w:noProof/>
                <w:webHidden/>
              </w:rPr>
              <w:fldChar w:fldCharType="end"/>
            </w:r>
          </w:hyperlink>
        </w:p>
        <w:p w14:paraId="3DC09F2D" w14:textId="61D45417"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3" w:history="1">
            <w:r w:rsidRPr="00AC5D62">
              <w:rPr>
                <w:rStyle w:val="Hyperlink"/>
                <w:rFonts w:ascii="Times New Roman" w:hAnsi="Times New Roman" w:cs="Times New Roman"/>
                <w:noProof/>
              </w:rPr>
              <w:t>2.1 Macro-Economic Context: A PESTLE Analysis of Amazon’s AI Environment</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_Toc225165983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4</w:t>
            </w:r>
            <w:r w:rsidRPr="00AC5D62">
              <w:rPr>
                <w:rFonts w:ascii="Times New Roman" w:hAnsi="Times New Roman" w:cs="Times New Roman"/>
                <w:noProof/>
                <w:webHidden/>
              </w:rPr>
              <w:fldChar w:fldCharType="end"/>
            </w:r>
          </w:hyperlink>
        </w:p>
        <w:p w14:paraId="21A74576" w14:textId="1DF866AD"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4" w:history="1">
            <w:r w:rsidRPr="00AC5D62">
              <w:rPr>
                <w:rStyle w:val="Hyperlink"/>
                <w:rFonts w:ascii="Times New Roman" w:hAnsi="Times New Roman" w:cs="Times New Roman"/>
                <w:noProof/>
              </w:rPr>
              <w:t>2.1.1 International Trade Theory and AI Expansion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_Toc225165984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6</w:t>
            </w:r>
            <w:r w:rsidRPr="00AC5D62">
              <w:rPr>
                <w:rFonts w:ascii="Times New Roman" w:hAnsi="Times New Roman" w:cs="Times New Roman"/>
                <w:noProof/>
                <w:webHidden/>
              </w:rPr>
              <w:fldChar w:fldCharType="end"/>
            </w:r>
          </w:hyperlink>
        </w:p>
        <w:p w14:paraId="2920779E" w14:textId="3C22D633"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5" w:history="1">
            <w:r w:rsidRPr="00AC5D62">
              <w:rPr>
                <w:rStyle w:val="Hyperlink"/>
                <w:rFonts w:ascii="Times New Roman" w:hAnsi="Times New Roman" w:cs="Times New Roman"/>
                <w:noProof/>
              </w:rPr>
              <w:t>2.1.2 Micro-Economic Structures and Organisational Decision Making</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_Toc225165985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6</w:t>
            </w:r>
            <w:r w:rsidRPr="00AC5D62">
              <w:rPr>
                <w:rFonts w:ascii="Times New Roman" w:hAnsi="Times New Roman" w:cs="Times New Roman"/>
                <w:noProof/>
                <w:webHidden/>
              </w:rPr>
              <w:fldChar w:fldCharType="end"/>
            </w:r>
          </w:hyperlink>
        </w:p>
        <w:p w14:paraId="5D99A144" w14:textId="15EEEFF2"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6" w:history="1">
            <w:r w:rsidRPr="00AC5D62">
              <w:rPr>
                <w:rStyle w:val="Hyperlink"/>
                <w:rFonts w:ascii="Times New Roman" w:hAnsi="Times New Roman" w:cs="Times New Roman"/>
                <w:noProof/>
              </w:rPr>
              <w:t>2.2 The Impact of Rapid AI Growth on Enterprise Risk Management</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_Toc225165986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7</w:t>
            </w:r>
            <w:r w:rsidRPr="00AC5D62">
              <w:rPr>
                <w:rFonts w:ascii="Times New Roman" w:hAnsi="Times New Roman" w:cs="Times New Roman"/>
                <w:noProof/>
                <w:webHidden/>
              </w:rPr>
              <w:fldChar w:fldCharType="end"/>
            </w:r>
          </w:hyperlink>
        </w:p>
        <w:p w14:paraId="69CCA8BC" w14:textId="2F433F85"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7" w:history="1">
            <w:r w:rsidRPr="00AC5D62">
              <w:rPr>
                <w:rStyle w:val="Hyperlink"/>
                <w:rFonts w:ascii="Times New Roman" w:hAnsi="Times New Roman" w:cs="Times New Roman"/>
                <w:noProof/>
              </w:rPr>
              <w:t>2.2.1 Data Governance and Security Vulnerabilities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_Toc225165987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7</w:t>
            </w:r>
            <w:r w:rsidRPr="00AC5D62">
              <w:rPr>
                <w:rFonts w:ascii="Times New Roman" w:hAnsi="Times New Roman" w:cs="Times New Roman"/>
                <w:noProof/>
                <w:webHidden/>
              </w:rPr>
              <w:fldChar w:fldCharType="end"/>
            </w:r>
          </w:hyperlink>
        </w:p>
        <w:p w14:paraId="6B7217E0" w14:textId="1548B739"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8" w:history="1">
            <w:r w:rsidRPr="00AC5D62">
              <w:rPr>
                <w:rStyle w:val="Hyperlink"/>
                <w:rFonts w:ascii="Times New Roman" w:hAnsi="Times New Roman" w:cs="Times New Roman"/>
                <w:noProof/>
              </w:rPr>
              <w:t>2.2.2 Ethical AI Use and Algorithmic Bias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_Toc225165988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8</w:t>
            </w:r>
            <w:r w:rsidRPr="00AC5D62">
              <w:rPr>
                <w:rFonts w:ascii="Times New Roman" w:hAnsi="Times New Roman" w:cs="Times New Roman"/>
                <w:noProof/>
                <w:webHidden/>
              </w:rPr>
              <w:fldChar w:fldCharType="end"/>
            </w:r>
          </w:hyperlink>
        </w:p>
        <w:p w14:paraId="130AD594" w14:textId="0AEC66D0"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89" w:history="1">
            <w:r w:rsidRPr="00AC5D62">
              <w:rPr>
                <w:rStyle w:val="Hyperlink"/>
                <w:rFonts w:ascii="Times New Roman" w:hAnsi="Times New Roman" w:cs="Times New Roman"/>
                <w:noProof/>
              </w:rPr>
              <w:t>2.2.3 Sustaining Customer Trust in an Automated Era</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_Toc225165989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8</w:t>
            </w:r>
            <w:r w:rsidRPr="00AC5D62">
              <w:rPr>
                <w:rFonts w:ascii="Times New Roman" w:hAnsi="Times New Roman" w:cs="Times New Roman"/>
                <w:noProof/>
                <w:webHidden/>
              </w:rPr>
              <w:fldChar w:fldCharType="end"/>
            </w:r>
          </w:hyperlink>
        </w:p>
        <w:p w14:paraId="21B04325" w14:textId="33DF94D6"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0" w:history="1">
            <w:r w:rsidRPr="00AC5D62">
              <w:rPr>
                <w:rStyle w:val="Hyperlink"/>
                <w:rFonts w:ascii="Times New Roman" w:hAnsi="Times New Roman" w:cs="Times New Roman"/>
                <w:noProof/>
              </w:rPr>
              <w:t>2.3 Regulatory Compliance: A Comparative Analysis of the UK and the EU</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_Toc225165990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9</w:t>
            </w:r>
            <w:r w:rsidRPr="00AC5D62">
              <w:rPr>
                <w:rFonts w:ascii="Times New Roman" w:hAnsi="Times New Roman" w:cs="Times New Roman"/>
                <w:noProof/>
                <w:webHidden/>
              </w:rPr>
              <w:fldChar w:fldCharType="end"/>
            </w:r>
          </w:hyperlink>
        </w:p>
        <w:p w14:paraId="020C94A6" w14:textId="5D0BAE74"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1" w:history="1">
            <w:r w:rsidRPr="00AC5D62">
              <w:rPr>
                <w:rStyle w:val="Hyperlink"/>
                <w:rFonts w:ascii="Times New Roman" w:hAnsi="Times New Roman" w:cs="Times New Roman"/>
                <w:noProof/>
              </w:rPr>
              <w:t>2.3.1 The UK Approach: Pro-Innovation and Sector-Led</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_Toc225165991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9</w:t>
            </w:r>
            <w:r w:rsidRPr="00AC5D62">
              <w:rPr>
                <w:rFonts w:ascii="Times New Roman" w:hAnsi="Times New Roman" w:cs="Times New Roman"/>
                <w:noProof/>
                <w:webHidden/>
              </w:rPr>
              <w:fldChar w:fldCharType="end"/>
            </w:r>
          </w:hyperlink>
        </w:p>
        <w:p w14:paraId="37AF4C3E" w14:textId="73D621BB"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2" w:history="1">
            <w:r w:rsidRPr="00AC5D62">
              <w:rPr>
                <w:rStyle w:val="Hyperlink"/>
                <w:rFonts w:ascii="Times New Roman" w:hAnsi="Times New Roman" w:cs="Times New Roman"/>
                <w:noProof/>
              </w:rPr>
              <w:t>2.3.2 The EU Approach: The AI Act and Strict Risk Categorisation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_Toc225165992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9</w:t>
            </w:r>
            <w:r w:rsidRPr="00AC5D62">
              <w:rPr>
                <w:rFonts w:ascii="Times New Roman" w:hAnsi="Times New Roman" w:cs="Times New Roman"/>
                <w:noProof/>
                <w:webHidden/>
              </w:rPr>
              <w:fldChar w:fldCharType="end"/>
            </w:r>
          </w:hyperlink>
        </w:p>
        <w:p w14:paraId="5B0CB93F" w14:textId="3443D68A"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3" w:history="1">
            <w:r w:rsidRPr="00AC5D62">
              <w:rPr>
                <w:rStyle w:val="Hyperlink"/>
                <w:rFonts w:ascii="Times New Roman" w:hAnsi="Times New Roman" w:cs="Times New Roman"/>
                <w:noProof/>
              </w:rPr>
              <w:t>2.3.3 Strategic Implications for Amazon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_Toc225165993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10</w:t>
            </w:r>
            <w:r w:rsidRPr="00AC5D62">
              <w:rPr>
                <w:rFonts w:ascii="Times New Roman" w:hAnsi="Times New Roman" w:cs="Times New Roman"/>
                <w:noProof/>
                <w:webHidden/>
              </w:rPr>
              <w:fldChar w:fldCharType="end"/>
            </w:r>
          </w:hyperlink>
        </w:p>
        <w:p w14:paraId="122B84C0" w14:textId="347DE33D"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4" w:history="1">
            <w:r w:rsidRPr="00AC5D62">
              <w:rPr>
                <w:rStyle w:val="Hyperlink"/>
                <w:rFonts w:ascii="Times New Roman" w:hAnsi="Times New Roman" w:cs="Times New Roman"/>
                <w:noProof/>
              </w:rPr>
              <w:t>2.4 Advanced Data Governance Strategies for AWS and Retail Operations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_Toc225165994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10</w:t>
            </w:r>
            <w:r w:rsidRPr="00AC5D62">
              <w:rPr>
                <w:rFonts w:ascii="Times New Roman" w:hAnsi="Times New Roman" w:cs="Times New Roman"/>
                <w:noProof/>
                <w:webHidden/>
              </w:rPr>
              <w:fldChar w:fldCharType="end"/>
            </w:r>
          </w:hyperlink>
        </w:p>
        <w:p w14:paraId="2A906B94" w14:textId="39E19609"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5" w:history="1">
            <w:r w:rsidRPr="00AC5D62">
              <w:rPr>
                <w:rStyle w:val="Hyperlink"/>
                <w:rFonts w:ascii="Times New Roman" w:hAnsi="Times New Roman" w:cs="Times New Roman"/>
                <w:noProof/>
              </w:rPr>
              <w:t>2.4.1 Securing the Cloud: The Shared Responsibility Model</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_Toc225165995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11</w:t>
            </w:r>
            <w:r w:rsidRPr="00AC5D62">
              <w:rPr>
                <w:rFonts w:ascii="Times New Roman" w:hAnsi="Times New Roman" w:cs="Times New Roman"/>
                <w:noProof/>
                <w:webHidden/>
              </w:rPr>
              <w:fldChar w:fldCharType="end"/>
            </w:r>
          </w:hyperlink>
        </w:p>
        <w:p w14:paraId="017BDE97" w14:textId="71665F53"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6" w:history="1">
            <w:r w:rsidRPr="00AC5D62">
              <w:rPr>
                <w:rStyle w:val="Hyperlink"/>
                <w:rFonts w:ascii="Times New Roman" w:hAnsi="Times New Roman" w:cs="Times New Roman"/>
                <w:noProof/>
              </w:rPr>
              <w:t>2.4.2 Intellectual Property and Generative AI Risks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_Toc225165996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11</w:t>
            </w:r>
            <w:r w:rsidRPr="00AC5D62">
              <w:rPr>
                <w:rFonts w:ascii="Times New Roman" w:hAnsi="Times New Roman" w:cs="Times New Roman"/>
                <w:noProof/>
                <w:webHidden/>
              </w:rPr>
              <w:fldChar w:fldCharType="end"/>
            </w:r>
          </w:hyperlink>
        </w:p>
        <w:p w14:paraId="081707D2" w14:textId="38987A83"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7" w:history="1">
            <w:r w:rsidRPr="00AC5D62">
              <w:rPr>
                <w:rStyle w:val="Hyperlink"/>
                <w:rFonts w:ascii="Times New Roman" w:hAnsi="Times New Roman" w:cs="Times New Roman"/>
                <w:noProof/>
              </w:rPr>
              <w:t>2.5 Operationalising Ethical AI: Moving Beyond Theoretical Frameworks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_Toc225165997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11</w:t>
            </w:r>
            <w:r w:rsidRPr="00AC5D62">
              <w:rPr>
                <w:rFonts w:ascii="Times New Roman" w:hAnsi="Times New Roman" w:cs="Times New Roman"/>
                <w:noProof/>
                <w:webHidden/>
              </w:rPr>
              <w:fldChar w:fldCharType="end"/>
            </w:r>
          </w:hyperlink>
        </w:p>
        <w:p w14:paraId="7693C945" w14:textId="5085802A"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8" w:history="1">
            <w:r w:rsidRPr="00AC5D62">
              <w:rPr>
                <w:rStyle w:val="Hyperlink"/>
                <w:rFonts w:ascii="Times New Roman" w:hAnsi="Times New Roman" w:cs="Times New Roman"/>
                <w:noProof/>
              </w:rPr>
              <w:t>2.5.1 Algorithmic Management and the Human Cost of Efficiency</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_Toc225165998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12</w:t>
            </w:r>
            <w:r w:rsidRPr="00AC5D62">
              <w:rPr>
                <w:rFonts w:ascii="Times New Roman" w:hAnsi="Times New Roman" w:cs="Times New Roman"/>
                <w:noProof/>
                <w:webHidden/>
              </w:rPr>
              <w:fldChar w:fldCharType="end"/>
            </w:r>
          </w:hyperlink>
        </w:p>
        <w:p w14:paraId="1E9D5A6F" w14:textId="1460D8E4"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5999" w:history="1">
            <w:r w:rsidRPr="00AC5D62">
              <w:rPr>
                <w:rStyle w:val="Hyperlink"/>
                <w:rFonts w:ascii="Times New Roman" w:hAnsi="Times New Roman" w:cs="Times New Roman"/>
                <w:noProof/>
              </w:rPr>
              <w:t>2.6 The Economics of Customer Trust in the Age of Hyper-Personalisation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_Toc225165999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12</w:t>
            </w:r>
            <w:r w:rsidRPr="00AC5D62">
              <w:rPr>
                <w:rFonts w:ascii="Times New Roman" w:hAnsi="Times New Roman" w:cs="Times New Roman"/>
                <w:noProof/>
                <w:webHidden/>
              </w:rPr>
              <w:fldChar w:fldCharType="end"/>
            </w:r>
          </w:hyperlink>
        </w:p>
        <w:p w14:paraId="15A32806" w14:textId="17D3FD2A"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0" w:history="1">
            <w:r w:rsidRPr="00AC5D62">
              <w:rPr>
                <w:rStyle w:val="Hyperlink"/>
                <w:rFonts w:ascii="Times New Roman" w:hAnsi="Times New Roman" w:cs="Times New Roman"/>
                <w:noProof/>
              </w:rPr>
              <w:t>2.7 Integrating AI into Enterprise Risk Management (ERM) Frameworks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_Toc225166000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13</w:t>
            </w:r>
            <w:r w:rsidRPr="00AC5D62">
              <w:rPr>
                <w:rFonts w:ascii="Times New Roman" w:hAnsi="Times New Roman" w:cs="Times New Roman"/>
                <w:noProof/>
                <w:webHidden/>
              </w:rPr>
              <w:fldChar w:fldCharType="end"/>
            </w:r>
          </w:hyperlink>
        </w:p>
        <w:p w14:paraId="2F431D89" w14:textId="4095BF96"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1" w:history="1">
            <w:r w:rsidRPr="00AC5D62">
              <w:rPr>
                <w:rStyle w:val="Hyperlink"/>
                <w:rFonts w:ascii="Times New Roman" w:hAnsi="Times New Roman" w:cs="Times New Roman"/>
                <w:noProof/>
              </w:rPr>
              <w:t>2.7.1 The Ecological Cost: Measuring and Managing AI Carbon Footprints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_Toc225166001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13</w:t>
            </w:r>
            <w:r w:rsidRPr="00AC5D62">
              <w:rPr>
                <w:rFonts w:ascii="Times New Roman" w:hAnsi="Times New Roman" w:cs="Times New Roman"/>
                <w:noProof/>
                <w:webHidden/>
              </w:rPr>
              <w:fldChar w:fldCharType="end"/>
            </w:r>
          </w:hyperlink>
        </w:p>
        <w:p w14:paraId="3CD0E2D1" w14:textId="77C3E327"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2" w:history="1">
            <w:r w:rsidRPr="00AC5D62">
              <w:rPr>
                <w:rStyle w:val="Hyperlink"/>
                <w:rFonts w:ascii="Times New Roman" w:hAnsi="Times New Roman" w:cs="Times New Roman"/>
                <w:noProof/>
              </w:rPr>
              <w:t>2.8 Navigating the Regulatory Schism: A Deep Dive into UK vs. EU AI Frameworks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_Toc225166002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13</w:t>
            </w:r>
            <w:r w:rsidRPr="00AC5D62">
              <w:rPr>
                <w:rFonts w:ascii="Times New Roman" w:hAnsi="Times New Roman" w:cs="Times New Roman"/>
                <w:noProof/>
                <w:webHidden/>
              </w:rPr>
              <w:fldChar w:fldCharType="end"/>
            </w:r>
          </w:hyperlink>
        </w:p>
        <w:p w14:paraId="349A41CB" w14:textId="42E33030"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3" w:history="1">
            <w:r w:rsidRPr="00AC5D62">
              <w:rPr>
                <w:rStyle w:val="Hyperlink"/>
                <w:rFonts w:ascii="Times New Roman" w:hAnsi="Times New Roman" w:cs="Times New Roman"/>
                <w:noProof/>
              </w:rPr>
              <w:t>2.8.1 The UK’s Agile, Contextual Framework</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_Toc225166003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14</w:t>
            </w:r>
            <w:r w:rsidRPr="00AC5D62">
              <w:rPr>
                <w:rFonts w:ascii="Times New Roman" w:hAnsi="Times New Roman" w:cs="Times New Roman"/>
                <w:noProof/>
                <w:webHidden/>
              </w:rPr>
              <w:fldChar w:fldCharType="end"/>
            </w:r>
          </w:hyperlink>
        </w:p>
        <w:p w14:paraId="1CDAE8BB" w14:textId="79C3C51C"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4" w:history="1">
            <w:r w:rsidRPr="00AC5D62">
              <w:rPr>
                <w:rStyle w:val="Hyperlink"/>
                <w:rFonts w:ascii="Times New Roman" w:hAnsi="Times New Roman" w:cs="Times New Roman"/>
                <w:noProof/>
              </w:rPr>
              <w:t>2.8.2 The European Union AI Act: Stringent Risk Categorisation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_Toc225166004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14</w:t>
            </w:r>
            <w:r w:rsidRPr="00AC5D62">
              <w:rPr>
                <w:rFonts w:ascii="Times New Roman" w:hAnsi="Times New Roman" w:cs="Times New Roman"/>
                <w:noProof/>
                <w:webHidden/>
              </w:rPr>
              <w:fldChar w:fldCharType="end"/>
            </w:r>
          </w:hyperlink>
        </w:p>
        <w:p w14:paraId="151F1B90" w14:textId="19328AFA"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5" w:history="1">
            <w:r w:rsidRPr="00AC5D62">
              <w:rPr>
                <w:rStyle w:val="Hyperlink"/>
                <w:rFonts w:ascii="Times New Roman" w:hAnsi="Times New Roman" w:cs="Times New Roman"/>
                <w:noProof/>
              </w:rPr>
              <w:t>2.8.3 The "Brussels Effect" and Amazon’s Strategic Dilemma</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_Toc225166005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14</w:t>
            </w:r>
            <w:r w:rsidRPr="00AC5D62">
              <w:rPr>
                <w:rFonts w:ascii="Times New Roman" w:hAnsi="Times New Roman" w:cs="Times New Roman"/>
                <w:noProof/>
                <w:webHidden/>
              </w:rPr>
              <w:fldChar w:fldCharType="end"/>
            </w:r>
          </w:hyperlink>
        </w:p>
        <w:p w14:paraId="65711DAE" w14:textId="7DA4EB33" w:rsidR="003B41E7" w:rsidRPr="00AC5D62" w:rsidRDefault="003B41E7">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225166006" w:history="1">
            <w:r w:rsidRPr="00AC5D62">
              <w:rPr>
                <w:rStyle w:val="Hyperlink"/>
                <w:rFonts w:ascii="Times New Roman" w:hAnsi="Times New Roman" w:cs="Times New Roman"/>
                <w:noProof/>
              </w:rPr>
              <w:t>2.8.4 The Tri-Polar Regulatory World: Factoring in the United States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_Toc225166006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15</w:t>
            </w:r>
            <w:r w:rsidRPr="00AC5D62">
              <w:rPr>
                <w:rFonts w:ascii="Times New Roman" w:hAnsi="Times New Roman" w:cs="Times New Roman"/>
                <w:noProof/>
                <w:webHidden/>
              </w:rPr>
              <w:fldChar w:fldCharType="end"/>
            </w:r>
          </w:hyperlink>
        </w:p>
        <w:p w14:paraId="3F8C8928" w14:textId="3EA2D29D" w:rsidR="003B41E7" w:rsidRPr="00AC5D62" w:rsidRDefault="003B41E7">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25166007" w:history="1">
            <w:r w:rsidRPr="00AC5D62">
              <w:rPr>
                <w:rStyle w:val="Hyperlink"/>
                <w:rFonts w:ascii="Times New Roman" w:hAnsi="Times New Roman" w:cs="Times New Roman"/>
                <w:noProof/>
              </w:rPr>
              <w:t>3. Implementation Plan: Strategic Roadmap for Amazon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_Toc225166007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15</w:t>
            </w:r>
            <w:r w:rsidRPr="00AC5D62">
              <w:rPr>
                <w:rFonts w:ascii="Times New Roman" w:hAnsi="Times New Roman" w:cs="Times New Roman"/>
                <w:noProof/>
                <w:webHidden/>
              </w:rPr>
              <w:fldChar w:fldCharType="end"/>
            </w:r>
          </w:hyperlink>
        </w:p>
        <w:p w14:paraId="0D76A16B" w14:textId="705AAFF7" w:rsidR="003B41E7" w:rsidRPr="00AC5D62" w:rsidRDefault="003B41E7">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25166008" w:history="1">
            <w:r w:rsidRPr="00AC5D62">
              <w:rPr>
                <w:rStyle w:val="Hyperlink"/>
                <w:rFonts w:ascii="Times New Roman" w:hAnsi="Times New Roman" w:cs="Times New Roman"/>
                <w:noProof/>
              </w:rPr>
              <w:t>4. Conclusion</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_Toc225166008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17</w:t>
            </w:r>
            <w:r w:rsidRPr="00AC5D62">
              <w:rPr>
                <w:rFonts w:ascii="Times New Roman" w:hAnsi="Times New Roman" w:cs="Times New Roman"/>
                <w:noProof/>
                <w:webHidden/>
              </w:rPr>
              <w:fldChar w:fldCharType="end"/>
            </w:r>
          </w:hyperlink>
        </w:p>
        <w:p w14:paraId="1B1B5034" w14:textId="2134A307" w:rsidR="003B41E7" w:rsidRPr="00AC5D62" w:rsidRDefault="003B41E7">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225166009" w:history="1">
            <w:r w:rsidRPr="00AC5D62">
              <w:rPr>
                <w:rStyle w:val="Hyperlink"/>
                <w:rFonts w:ascii="Times New Roman" w:hAnsi="Times New Roman" w:cs="Times New Roman"/>
                <w:noProof/>
              </w:rPr>
              <w:t>5. References</w:t>
            </w:r>
            <w:r w:rsidRPr="00AC5D62">
              <w:rPr>
                <w:rFonts w:ascii="Times New Roman" w:hAnsi="Times New Roman" w:cs="Times New Roman"/>
                <w:noProof/>
                <w:webHidden/>
              </w:rPr>
              <w:tab/>
            </w:r>
            <w:r w:rsidRPr="00AC5D62">
              <w:rPr>
                <w:rFonts w:ascii="Times New Roman" w:hAnsi="Times New Roman" w:cs="Times New Roman"/>
                <w:noProof/>
                <w:webHidden/>
              </w:rPr>
              <w:fldChar w:fldCharType="begin"/>
            </w:r>
            <w:r w:rsidRPr="00AC5D62">
              <w:rPr>
                <w:rFonts w:ascii="Times New Roman" w:hAnsi="Times New Roman" w:cs="Times New Roman"/>
                <w:noProof/>
                <w:webHidden/>
              </w:rPr>
              <w:instrText xml:space="preserve"> PAGEREF _Toc225166009 \h </w:instrText>
            </w:r>
            <w:r w:rsidRPr="00AC5D62">
              <w:rPr>
                <w:rFonts w:ascii="Times New Roman" w:hAnsi="Times New Roman" w:cs="Times New Roman"/>
                <w:noProof/>
                <w:webHidden/>
              </w:rPr>
            </w:r>
            <w:r w:rsidRPr="00AC5D62">
              <w:rPr>
                <w:rFonts w:ascii="Times New Roman" w:hAnsi="Times New Roman" w:cs="Times New Roman"/>
                <w:noProof/>
                <w:webHidden/>
              </w:rPr>
              <w:fldChar w:fldCharType="separate"/>
            </w:r>
            <w:r w:rsidRPr="00AC5D62">
              <w:rPr>
                <w:rFonts w:ascii="Times New Roman" w:hAnsi="Times New Roman" w:cs="Times New Roman"/>
                <w:noProof/>
                <w:webHidden/>
              </w:rPr>
              <w:t>19</w:t>
            </w:r>
            <w:r w:rsidRPr="00AC5D62">
              <w:rPr>
                <w:rFonts w:ascii="Times New Roman" w:hAnsi="Times New Roman" w:cs="Times New Roman"/>
                <w:noProof/>
                <w:webHidden/>
              </w:rPr>
              <w:fldChar w:fldCharType="end"/>
            </w:r>
          </w:hyperlink>
        </w:p>
        <w:p w14:paraId="1ACCE265" w14:textId="01E09590" w:rsidR="00314E51" w:rsidRPr="003331F3" w:rsidRDefault="0019665F" w:rsidP="00952F7F">
          <w:pPr>
            <w:spacing w:line="240" w:lineRule="auto"/>
            <w:rPr>
              <w:sz w:val="24"/>
              <w:szCs w:val="24"/>
            </w:rPr>
          </w:pPr>
          <w:r w:rsidRPr="00AC5D62">
            <w:rPr>
              <w:rFonts w:ascii="Times New Roman" w:hAnsi="Times New Roman" w:cs="Times New Roman"/>
              <w:b/>
              <w:bCs/>
              <w:noProof/>
              <w:sz w:val="24"/>
              <w:szCs w:val="24"/>
            </w:rPr>
            <w:fldChar w:fldCharType="end"/>
          </w:r>
        </w:p>
      </w:sdtContent>
    </w:sdt>
    <w:p w14:paraId="4115F0C4" w14:textId="2422E4CF" w:rsidR="00314E51" w:rsidRPr="003331F3" w:rsidRDefault="00000000" w:rsidP="00952F7F">
      <w:pPr>
        <w:pStyle w:val="Heading1"/>
        <w:spacing w:line="360" w:lineRule="auto"/>
        <w:rPr>
          <w:color w:val="auto"/>
          <w:sz w:val="24"/>
          <w:szCs w:val="24"/>
        </w:rPr>
      </w:pPr>
      <w:bookmarkStart w:id="0" w:name="_Toc225165980"/>
      <w:r w:rsidRPr="003331F3">
        <w:rPr>
          <w:color w:val="auto"/>
          <w:sz w:val="24"/>
          <w:szCs w:val="24"/>
        </w:rPr>
        <w:lastRenderedPageBreak/>
        <w:t>Executive Summary</w:t>
      </w:r>
      <w:bookmarkEnd w:id="0"/>
    </w:p>
    <w:p w14:paraId="70B1EC5D" w14:textId="39269C28" w:rsidR="005A34DB" w:rsidRPr="003331F3" w:rsidRDefault="005A34DB"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This report recommends to the senior management at Amazon on the ways the rapid expansion of artificial intelligence (AI) is transforming the international business risk management. The case of Amazon is suitable since AI has traversed its retail business, logistics, devices, advertising services and AWS cloud business (Amazon.com, Inc., 2026a; Amazon.com, Inc., 2026b). The applications of AI to enhance forecasting, search, customer service and software productivity can be achieved, but acuter risks arise in areas of data governance, cyber security, bias, intellectual property, regulatory compliance and customer trust. The review concludes that Amazon is not only facing an AI problem that is not technical. It is organisational, legal and economic as well. Cross-border data flows, scale and standardised platforms are positive aspects of Amazon in the context of international trade, but they are undermined in case jurisdictions introduce various regulations on data, copyright liability and AI accountability (Deane et al., 2024; European Commission, 2025a). At the micro-economic scale, AI reduces the coordination costs and reinforces centralised decision making, yet it may even increase the presence of hidden bias, employee pressure and reputational risk in case the local judgement and human supervision is eliminated (Coase, 1937; Williamson, 1981). The comparison of the United Kingdom and the European Union is discussed in the report. UK still prefers to be pro-innovation, sector based and situational. The AI Act has been the next step towards binding, risk-based regulation by the EU (UK Government, 2024; European Commission, 2025a). In the case of Amazon, this poses a regulatory split hence the report suggests high-water-mark governance model in high impact AI systems in markets. There is a suggested plan of implementation that is phased. It initiates board accountability, model and data audits and risk classification. Then it goes to technical protection, open customer controls, enhanced documentation and environmental monitoring. The general suggestion is that Amazon ought to consider AI an enterprise governance problem rather than a product or engineering problem.</w:t>
      </w:r>
    </w:p>
    <w:p w14:paraId="3E0846E4" w14:textId="77777777" w:rsidR="00E06B59" w:rsidRPr="003331F3" w:rsidRDefault="00000000" w:rsidP="00952F7F">
      <w:pPr>
        <w:pStyle w:val="Heading1"/>
        <w:spacing w:line="360" w:lineRule="auto"/>
        <w:rPr>
          <w:color w:val="auto"/>
          <w:sz w:val="24"/>
          <w:szCs w:val="24"/>
        </w:rPr>
      </w:pPr>
      <w:bookmarkStart w:id="1" w:name="_Toc225165981"/>
      <w:r w:rsidRPr="003331F3">
        <w:rPr>
          <w:color w:val="auto"/>
          <w:sz w:val="24"/>
          <w:szCs w:val="24"/>
        </w:rPr>
        <w:t>1. Introduction</w:t>
      </w:r>
      <w:bookmarkEnd w:id="1"/>
    </w:p>
    <w:p w14:paraId="0D3FE0C0" w14:textId="2A2F07E1" w:rsidR="00F960DD" w:rsidRPr="003331F3" w:rsidRDefault="00F960DD" w:rsidP="00952F7F">
      <w:pPr>
        <w:spacing w:line="360" w:lineRule="auto"/>
        <w:jc w:val="both"/>
        <w:rPr>
          <w:rFonts w:ascii="Times New Roman" w:eastAsiaTheme="majorEastAsia" w:hAnsi="Times New Roman" w:cs="Times New Roman"/>
          <w:b/>
          <w:bCs/>
          <w:sz w:val="24"/>
          <w:szCs w:val="24"/>
        </w:rPr>
      </w:pPr>
      <w:r w:rsidRPr="003331F3">
        <w:rPr>
          <w:rFonts w:ascii="Times New Roman" w:hAnsi="Times New Roman" w:cs="Times New Roman"/>
          <w:sz w:val="24"/>
          <w:szCs w:val="24"/>
        </w:rPr>
        <w:t xml:space="preserve">Artificial intelligence is transforming the world economy and the work-based operations of major companies. In the case of Amazon, AI is no longer a fringing innovation. It influences the demand forecasting, fulfilment routing, recommendation system, seller tools, fraud detection, customer service automation and growth strategy of AWS (Amazon.com, Inc., 2026b). This provides Amazon with a significant commercial advantage, but it also puts the firm at increased risk of </w:t>
      </w:r>
      <w:r w:rsidRPr="003331F3">
        <w:rPr>
          <w:rFonts w:ascii="Times New Roman" w:hAnsi="Times New Roman" w:cs="Times New Roman"/>
          <w:sz w:val="24"/>
          <w:szCs w:val="24"/>
        </w:rPr>
        <w:lastRenderedPageBreak/>
        <w:t xml:space="preserve">strategic more than the previous enterprise risk models were created to manage. The assignment brief asks at </w:t>
      </w:r>
      <w:r w:rsidR="003331F3">
        <w:rPr>
          <w:rFonts w:ascii="Times New Roman" w:hAnsi="Times New Roman" w:cs="Times New Roman"/>
          <w:sz w:val="24"/>
          <w:szCs w:val="24"/>
        </w:rPr>
        <w:t xml:space="preserve">a </w:t>
      </w:r>
      <w:r w:rsidRPr="003331F3">
        <w:rPr>
          <w:rFonts w:ascii="Times New Roman" w:hAnsi="Times New Roman" w:cs="Times New Roman"/>
          <w:sz w:val="24"/>
          <w:szCs w:val="24"/>
        </w:rPr>
        <w:t xml:space="preserve">senior level level regarding the impacts of political, technological and regulatory change in </w:t>
      </w:r>
      <w:r w:rsidR="003331F3">
        <w:rPr>
          <w:rFonts w:ascii="Times New Roman" w:hAnsi="Times New Roman" w:cs="Times New Roman"/>
          <w:sz w:val="24"/>
          <w:szCs w:val="24"/>
        </w:rPr>
        <w:t xml:space="preserve">the </w:t>
      </w:r>
      <w:r w:rsidRPr="003331F3">
        <w:rPr>
          <w:rFonts w:ascii="Times New Roman" w:hAnsi="Times New Roman" w:cs="Times New Roman"/>
          <w:sz w:val="24"/>
          <w:szCs w:val="24"/>
        </w:rPr>
        <w:t xml:space="preserve">international environment. This report thus looks at Amazon in the three related lenses. It starts </w:t>
      </w:r>
      <w:r w:rsidR="003331F3">
        <w:rPr>
          <w:rFonts w:ascii="Times New Roman" w:hAnsi="Times New Roman" w:cs="Times New Roman"/>
          <w:sz w:val="24"/>
          <w:szCs w:val="24"/>
        </w:rPr>
        <w:t>by reviewing</w:t>
      </w:r>
      <w:r w:rsidRPr="003331F3">
        <w:rPr>
          <w:rFonts w:ascii="Times New Roman" w:hAnsi="Times New Roman" w:cs="Times New Roman"/>
          <w:sz w:val="24"/>
          <w:szCs w:val="24"/>
        </w:rPr>
        <w:t xml:space="preserve"> the macro-economic and institutional environment within which the AI strategy of Amazon operates at present. Secondly, it reflects on the fast adoption of AI that transforms enterprise risk management, in particular, data governance, ethical AI, customer trust, and regulatory compliance. Third, it transforms analysis in action by a step-by-step implementation plan. The report posits the argument that Amazon cannot handle AI using independent product teams only. Competition, legal exposure, labour relations, intellectual property, sustainability performance and licence to operate by the firm are now influenced by AI. Due to the fact that Amazon has business in the UK, the EU, and the United States, as well as various other jurisdictions, the company has to deal with a more dispersed regulatory environment too (UK Government, 2024; European Commission, 2025a). The solution to future-proof response would be thus in more internal governance, more visible accountability, and a sensible balance between the pace of innovation and institutional control.</w:t>
      </w:r>
    </w:p>
    <w:p w14:paraId="6EC580C1" w14:textId="52B1E235" w:rsidR="00314E51" w:rsidRPr="003331F3" w:rsidRDefault="00000000" w:rsidP="00952F7F">
      <w:pPr>
        <w:pStyle w:val="Heading1"/>
        <w:spacing w:line="360" w:lineRule="auto"/>
        <w:rPr>
          <w:color w:val="auto"/>
          <w:sz w:val="24"/>
          <w:szCs w:val="24"/>
        </w:rPr>
      </w:pPr>
      <w:bookmarkStart w:id="2" w:name="_Toc225165982"/>
      <w:r w:rsidRPr="003331F3">
        <w:rPr>
          <w:color w:val="auto"/>
          <w:sz w:val="24"/>
          <w:szCs w:val="24"/>
        </w:rPr>
        <w:t>2. Main Findings</w:t>
      </w:r>
      <w:bookmarkEnd w:id="2"/>
    </w:p>
    <w:p w14:paraId="0E10EF32" w14:textId="77777777" w:rsidR="00E06B59" w:rsidRPr="003331F3" w:rsidRDefault="00000000" w:rsidP="00952F7F">
      <w:pPr>
        <w:pStyle w:val="Heading2"/>
        <w:spacing w:line="360" w:lineRule="auto"/>
        <w:rPr>
          <w:color w:val="auto"/>
          <w:sz w:val="24"/>
          <w:szCs w:val="24"/>
        </w:rPr>
      </w:pPr>
      <w:bookmarkStart w:id="3" w:name="_Toc225165983"/>
      <w:r w:rsidRPr="003331F3">
        <w:rPr>
          <w:color w:val="auto"/>
          <w:sz w:val="24"/>
          <w:szCs w:val="24"/>
        </w:rPr>
        <w:t>2.1 Macro-Economic Context: A PESTLE Analysis of Amazon’s AI Environment</w:t>
      </w:r>
      <w:bookmarkEnd w:id="3"/>
    </w:p>
    <w:p w14:paraId="09CDED03" w14:textId="385E207B" w:rsidR="00C76A97" w:rsidRPr="003331F3" w:rsidRDefault="00F960DD" w:rsidP="00952F7F">
      <w:pPr>
        <w:spacing w:line="360" w:lineRule="auto"/>
        <w:jc w:val="both"/>
        <w:rPr>
          <w:rFonts w:ascii="Times New Roman" w:eastAsiaTheme="majorEastAsia" w:hAnsi="Times New Roman" w:cs="Times New Roman"/>
          <w:b/>
          <w:bCs/>
          <w:sz w:val="24"/>
          <w:szCs w:val="24"/>
        </w:rPr>
      </w:pPr>
      <w:r w:rsidRPr="003331F3">
        <w:rPr>
          <w:rFonts w:ascii="Times New Roman" w:hAnsi="Times New Roman" w:cs="Times New Roman"/>
          <w:sz w:val="24"/>
          <w:szCs w:val="24"/>
        </w:rPr>
        <w:t xml:space="preserve">The AI environment in Amazon can be explained within the following PESTLE framework since the firm experiences both political, economic, social, technological, legal, and environmental forces. It is now a question of political factors. The capability of AI, the data infrastructure and cloud services are becoming strategic assets by governments. In the case of Amazon, it can be considered as the possibility of growth based on national AI programmes, yet also greater attention to the issues of concentration, resilience and digital sovereignty (UK Government, 2026a; European Commission, 2025a). Economic issues are still strong. The most recent performance of Amazon indicates a continuation of its trend, but AI is also expanding the fixed costs, in the form of chips and compute, specialist labour and compliance work (Amazon.com, Inc., 2026a). The AI reward scale of economics, however, also castigates governance failure with greater rapidity. There is a gap of trust that is caused by social factors. Customers would prefer speed and </w:t>
      </w:r>
      <w:proofErr w:type="gramStart"/>
      <w:r w:rsidRPr="003331F3">
        <w:rPr>
          <w:rFonts w:ascii="Times New Roman" w:hAnsi="Times New Roman" w:cs="Times New Roman"/>
          <w:sz w:val="24"/>
          <w:szCs w:val="24"/>
        </w:rPr>
        <w:t>convenience,</w:t>
      </w:r>
      <w:proofErr w:type="gramEnd"/>
      <w:r w:rsidRPr="003331F3">
        <w:rPr>
          <w:rFonts w:ascii="Times New Roman" w:hAnsi="Times New Roman" w:cs="Times New Roman"/>
          <w:sz w:val="24"/>
          <w:szCs w:val="24"/>
        </w:rPr>
        <w:t xml:space="preserve"> however, they are increasingly conscious of surveillance, automated decision making and abuse of their personal data (Awad and Krishnan, 2006; Zuboff, 2019). Similarly, employees </w:t>
      </w:r>
      <w:r w:rsidRPr="003331F3">
        <w:rPr>
          <w:rFonts w:ascii="Times New Roman" w:hAnsi="Times New Roman" w:cs="Times New Roman"/>
          <w:sz w:val="24"/>
          <w:szCs w:val="24"/>
        </w:rPr>
        <w:lastRenderedPageBreak/>
        <w:t>and regulators are not so much inclined to embrace opaque optimisation systems. Exposure is aggravated by technological factors due to the nature of the models, cyber security and infrastructure decisions changing at a very high rate. Amazon Bedrock, Nova models and AI-retail system generation value, yet these are increasing the drift surface, hallucination, model misuse and supply-chain dependency (AWS, n.d.a; AWS, n.d.c). The most rapidly moving legal implications in the field of privacy are in the copyright and accountability of AI. The importance of environmental factors is also at the centre of focus since the growth of AI amplifies the energy and water usage in data-centres, meaning that the sustainability performance is now included in operational legitimacy, as well as, corporate reporting (Amazon, 2026; de Vries-Gao, 2026).</w:t>
      </w:r>
      <w:r w:rsidR="00C76A97" w:rsidRPr="003331F3">
        <w:rPr>
          <w:rFonts w:ascii="Times New Roman" w:hAnsi="Times New Roman" w:cs="Times New Roman"/>
          <w:sz w:val="24"/>
          <w:szCs w:val="24"/>
        </w:rPr>
        <w:t xml:space="preserve"> A graphical overview of these systemic external pressures is shown below in Figure 1</w:t>
      </w:r>
      <w:r w:rsidR="00C76A97" w:rsidRPr="003331F3">
        <w:rPr>
          <w:rFonts w:ascii="Times New Roman" w:hAnsi="Times New Roman" w:cs="Times New Roman"/>
          <w:b/>
          <w:bCs/>
          <w:sz w:val="24"/>
          <w:szCs w:val="24"/>
        </w:rPr>
        <w:t>.</w:t>
      </w:r>
    </w:p>
    <w:p w14:paraId="50F8C375" w14:textId="77777777" w:rsidR="00C76A97" w:rsidRPr="003331F3" w:rsidRDefault="00C76A97"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b/>
          <w:bCs/>
          <w:noProof/>
          <w:sz w:val="24"/>
          <w:szCs w:val="24"/>
        </w:rPr>
        <w:drawing>
          <wp:inline distT="0" distB="0" distL="0" distR="0" wp14:anchorId="2FBB595C" wp14:editId="5BBC6FAB">
            <wp:extent cx="4980791" cy="2463501"/>
            <wp:effectExtent l="0" t="0" r="0" b="13335"/>
            <wp:docPr id="21279480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26F37C4" w14:textId="77777777" w:rsidR="00C76A97" w:rsidRPr="003331F3" w:rsidRDefault="00C76A97"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Figure 1: Macro-Environmental Pressures (PESTLE) Shaping HSBC’s AI Strategy.</w:t>
      </w:r>
    </w:p>
    <w:p w14:paraId="0FCC6C34" w14:textId="305FC77B" w:rsidR="00952F7F" w:rsidRDefault="00C76A97"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Source: </w:t>
      </w:r>
      <w:r w:rsidR="003331F3">
        <w:rPr>
          <w:rFonts w:ascii="Times New Roman" w:hAnsi="Times New Roman" w:cs="Times New Roman"/>
          <w:sz w:val="24"/>
          <w:szCs w:val="24"/>
        </w:rPr>
        <w:t>O</w:t>
      </w:r>
      <w:r w:rsidRPr="003331F3">
        <w:rPr>
          <w:rFonts w:ascii="Times New Roman" w:hAnsi="Times New Roman" w:cs="Times New Roman"/>
          <w:sz w:val="24"/>
          <w:szCs w:val="24"/>
        </w:rPr>
        <w:t>wn composition.</w:t>
      </w:r>
    </w:p>
    <w:p w14:paraId="41D9A98B" w14:textId="77777777" w:rsidR="00952F7F" w:rsidRPr="00952F7F" w:rsidRDefault="00952F7F" w:rsidP="00952F7F">
      <w:pPr>
        <w:spacing w:line="360" w:lineRule="auto"/>
        <w:jc w:val="both"/>
        <w:rPr>
          <w:rFonts w:ascii="Times New Roman" w:hAnsi="Times New Roman" w:cs="Times New Roman"/>
          <w:sz w:val="24"/>
          <w:szCs w:val="24"/>
        </w:rPr>
      </w:pPr>
    </w:p>
    <w:p w14:paraId="13BFF4B5" w14:textId="1613C72B" w:rsidR="00E06B59" w:rsidRPr="003331F3" w:rsidRDefault="00000000" w:rsidP="00952F7F">
      <w:pPr>
        <w:pStyle w:val="Heading2"/>
        <w:spacing w:line="360" w:lineRule="auto"/>
        <w:rPr>
          <w:color w:val="auto"/>
          <w:sz w:val="24"/>
          <w:szCs w:val="24"/>
        </w:rPr>
      </w:pPr>
      <w:bookmarkStart w:id="4" w:name="_Toc225165984"/>
      <w:r w:rsidRPr="003331F3">
        <w:rPr>
          <w:color w:val="auto"/>
          <w:sz w:val="24"/>
          <w:szCs w:val="24"/>
        </w:rPr>
        <w:t>2.1.1 International Trade Theory and AI Expansion</w:t>
      </w:r>
      <w:bookmarkEnd w:id="4"/>
    </w:p>
    <w:p w14:paraId="5D2912F2" w14:textId="0A87B88F" w:rsidR="00E6069F" w:rsidRPr="003331F3" w:rsidRDefault="00E6069F"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The theory of international trade allows understanding why AI has become a strategic concern of Amazon. In the digital market, the comparative advantage is becoming determined by data accessibility, cloud computing, intellectual property, skilled labour and information cross-border mobility. This is beneficial to Amazon since AWS enables the company to divide fixed costs among customers worldwide, whereas retail and advertisement processes receive knowledge on </w:t>
      </w:r>
      <w:r w:rsidRPr="003331F3">
        <w:rPr>
          <w:rFonts w:ascii="Times New Roman" w:hAnsi="Times New Roman" w:cs="Times New Roman"/>
          <w:sz w:val="24"/>
          <w:szCs w:val="24"/>
        </w:rPr>
        <w:lastRenderedPageBreak/>
        <w:t>the basis of extremely big amounts of data (Amazon.com, Inc., 2026b; Shapiro and Varian, 1999). The digital trade however is more susceptible to fragmentation as compared to traditional goods trade. The gains of scale start to decline when the states are in need of local storage, model disclosure, or different copyright and safety rules. In their argument, Deane et al. claim that fragmented digital rules can serve as trade barriers due to the increased costs of compliance and restricted data flows that can be interoperated (Deane et al., 2024). In the case of Amazon, it implies that the AI strategy cannot be isolated of trade policy and regulatory diplomacy.</w:t>
      </w:r>
    </w:p>
    <w:p w14:paraId="765411F4" w14:textId="6AE7E42A" w:rsidR="00314E51" w:rsidRPr="003331F3" w:rsidRDefault="00000000" w:rsidP="00952F7F">
      <w:pPr>
        <w:pStyle w:val="Heading2"/>
        <w:spacing w:line="360" w:lineRule="auto"/>
        <w:rPr>
          <w:color w:val="auto"/>
          <w:sz w:val="24"/>
          <w:szCs w:val="24"/>
        </w:rPr>
      </w:pPr>
      <w:bookmarkStart w:id="5" w:name="_Toc225165985"/>
      <w:r w:rsidRPr="003331F3">
        <w:rPr>
          <w:color w:val="auto"/>
          <w:sz w:val="24"/>
          <w:szCs w:val="24"/>
        </w:rPr>
        <w:t>2.1.2 Micro-Economic Structures and Organisational Decision Making</w:t>
      </w:r>
      <w:bookmarkEnd w:id="5"/>
    </w:p>
    <w:p w14:paraId="18B50D58" w14:textId="77777777" w:rsidR="00E6069F" w:rsidRPr="003331F3" w:rsidRDefault="00E6069F"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second point about the AI growth at Amazon can be explained through micro-economics. In the firm level, AI reduces the costs of search, coordination and monitoring. According to Coasean terms, the lower the cost of organising activity in the firm, as compared to sluggish manual routines, the better the information systems will be (Coase, 1937). Economies of scale and scope are also enhanced by AI: by the same infrastructure of a shared model, one can process retail forecasting, advertising optimisation, customer support and enterprise cloud services simultaneously (Shapiro and Varian, 1999). But the same logic brings about government conflict. According to the transaction cost theory, centralisation only works well when the cost of adaptation is low (Williamson, 1981). When AI model is not developed in proximity with local operations the firm will save on administrative cost but lose on contextual judgement. That may result in inefficiencies that are not seen, such as lower seller performance, less powerful employee voice, unfair treatment of customers and slower correction, in the event of model failure. This is important to Amazon since AI may encourage leaders to believe that central control is more effective in making decisions. The ideal governance is in fact composite. Centralisation of strategic standards, audit rules and model architecture, and more context-sensitive decisions, appeals and remediation should be nearby markets, functions and people subjected to automated systems.</w:t>
      </w:r>
    </w:p>
    <w:p w14:paraId="7C7C3779" w14:textId="1AED3272" w:rsidR="00314E51" w:rsidRPr="003331F3" w:rsidRDefault="00000000" w:rsidP="00952F7F">
      <w:pPr>
        <w:pStyle w:val="Heading2"/>
        <w:spacing w:line="360" w:lineRule="auto"/>
        <w:rPr>
          <w:color w:val="auto"/>
          <w:sz w:val="24"/>
          <w:szCs w:val="24"/>
        </w:rPr>
      </w:pPr>
      <w:bookmarkStart w:id="6" w:name="_Toc225165986"/>
      <w:r w:rsidRPr="003331F3">
        <w:rPr>
          <w:color w:val="auto"/>
          <w:sz w:val="24"/>
          <w:szCs w:val="24"/>
        </w:rPr>
        <w:t>2.2 The Impact of Rapid AI Growth on Enterprise Risk Management</w:t>
      </w:r>
      <w:bookmarkEnd w:id="6"/>
    </w:p>
    <w:p w14:paraId="568FBF93" w14:textId="77777777" w:rsidR="00E6069F" w:rsidRPr="003331F3" w:rsidRDefault="00E6069F"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The fast development of AI is transforming the enterprise risk management as it not only changes the origin of risk but also the rate of risk becoming material. The classic ERM usually isolates operational, legal, reputational and strategic risk. AI cuts across them all. One chain can lead to a cyber incident, unfair results, regulatory inquiry, customer mistrust and loss of finances using a weak model (Tabassi, 2023). In the case of Amazon, it implies that ERM should cease to be a </w:t>
      </w:r>
      <w:r w:rsidRPr="003331F3">
        <w:rPr>
          <w:rFonts w:ascii="Times New Roman" w:hAnsi="Times New Roman" w:cs="Times New Roman"/>
          <w:sz w:val="24"/>
          <w:szCs w:val="24"/>
        </w:rPr>
        <w:lastRenderedPageBreak/>
        <w:t>passive reporting to a lifecycle governance. Risk must be detected and identified prior to deployment of the model, observed during actual operation and retrospected following incidents or significant changes of the system. Whether or not Amazon is using AI is no longer a question but rather whether it can regulate AI on the same magnitude that it is executing it.</w:t>
      </w:r>
    </w:p>
    <w:p w14:paraId="1153CB44" w14:textId="71A809E0" w:rsidR="00314E51" w:rsidRPr="003331F3" w:rsidRDefault="00000000" w:rsidP="00952F7F">
      <w:pPr>
        <w:pStyle w:val="Heading2"/>
        <w:spacing w:line="360" w:lineRule="auto"/>
        <w:rPr>
          <w:color w:val="auto"/>
          <w:sz w:val="24"/>
          <w:szCs w:val="24"/>
        </w:rPr>
      </w:pPr>
      <w:bookmarkStart w:id="7" w:name="_Toc225165987"/>
      <w:r w:rsidRPr="003331F3">
        <w:rPr>
          <w:color w:val="auto"/>
          <w:sz w:val="24"/>
          <w:szCs w:val="24"/>
        </w:rPr>
        <w:t>2.2.1 Data Governance and Security Vulnerabilities</w:t>
      </w:r>
      <w:bookmarkEnd w:id="7"/>
    </w:p>
    <w:p w14:paraId="2711EA8C" w14:textId="77777777" w:rsidR="00E6069F" w:rsidRPr="003331F3" w:rsidRDefault="00E6069F"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Trustworthy AI is based on data governance. AI services at Amazon are based on very huge amounts of customer, seller, logistics, and enterprise data. Bedrock within AWS is sold with a high level of privacy and security, such as the fact that the inputs and outputs of the customers are not distributed to the model providers and do not guide the training of base models (AWS, n.d.a). This is commercially worthwhile but it also increases the bar of governance. Amazon needs to demonstrate lineage, access control, retention discipline and legal use throughout all data lifecycle phases. Cyber security increases the risk. The attractive targets of attackers are centralised data stores, model repositories and applications programming interfaces. The 2025 response of the UK Government on the cyber security of AI along with its Code of Practice indicate clearly that AI systems pose vulnerabilities throughout the development, deployment and monitoring processes (UK Government, 2025a; UK Government, 2025b). Good governance to Amazon is therefore beyond paper work compliance. It needs provenance registers, access and role controls, model logging, continuous testing and secure third-party integration and clear ownership in remediation in case of failure. In the absence of such controls, scale is its liability and not an asset.</w:t>
      </w:r>
    </w:p>
    <w:p w14:paraId="459B053C" w14:textId="15C44EDB" w:rsidR="00314E51" w:rsidRPr="003331F3" w:rsidRDefault="00000000" w:rsidP="00952F7F">
      <w:pPr>
        <w:pStyle w:val="Heading2"/>
        <w:spacing w:line="360" w:lineRule="auto"/>
        <w:rPr>
          <w:color w:val="auto"/>
          <w:sz w:val="24"/>
          <w:szCs w:val="24"/>
        </w:rPr>
      </w:pPr>
      <w:bookmarkStart w:id="8" w:name="_Toc225165988"/>
      <w:r w:rsidRPr="003331F3">
        <w:rPr>
          <w:color w:val="auto"/>
          <w:sz w:val="24"/>
          <w:szCs w:val="24"/>
        </w:rPr>
        <w:t>2.2.2 Ethical AI Use and Algorithmic Bias</w:t>
      </w:r>
      <w:bookmarkEnd w:id="8"/>
    </w:p>
    <w:p w14:paraId="3067C408" w14:textId="77777777" w:rsidR="00E6069F" w:rsidRPr="003331F3" w:rsidRDefault="00E6069F"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The implementation of AI is not an abstract moral question of Amazon. It is a market risk that has both legal and reputation impacts. The AI systems have an impact on ranking, pricing, hiring, productivity and customer interaction. Provided that such systems incorporate biased data, proxy discrimination or non-transparent decision-making, the organization will soon become the subject of a social media scandal, and regulators will start to investigate the issue (Floridi et al., 2018; O'Neil, 2016). The most famous warning is the recruitment tool created by Amazon that, allegedly, fined CVs belonging to women (Dastin, 2018). The study by Buolamwini and Gebru also demonstrates that commercial AI systems are capable of generating materially different results in demographic groups (Buolamwini and Gebru, 2018). This is important since Amazon is a </w:t>
      </w:r>
      <w:proofErr w:type="gramStart"/>
      <w:r w:rsidRPr="003331F3">
        <w:rPr>
          <w:rFonts w:ascii="Times New Roman" w:hAnsi="Times New Roman" w:cs="Times New Roman"/>
          <w:sz w:val="24"/>
          <w:szCs w:val="24"/>
        </w:rPr>
        <w:t>large scale</w:t>
      </w:r>
      <w:proofErr w:type="gramEnd"/>
      <w:r w:rsidRPr="003331F3">
        <w:rPr>
          <w:rFonts w:ascii="Times New Roman" w:hAnsi="Times New Roman" w:cs="Times New Roman"/>
          <w:sz w:val="24"/>
          <w:szCs w:val="24"/>
        </w:rPr>
        <w:t xml:space="preserve"> operation. Amazon has released responsible AI principles in AWS, yet principles are </w:t>
      </w:r>
      <w:r w:rsidRPr="003331F3">
        <w:rPr>
          <w:rFonts w:ascii="Times New Roman" w:hAnsi="Times New Roman" w:cs="Times New Roman"/>
          <w:sz w:val="24"/>
          <w:szCs w:val="24"/>
        </w:rPr>
        <w:lastRenderedPageBreak/>
        <w:t xml:space="preserve">insufficient </w:t>
      </w:r>
      <w:proofErr w:type="gramStart"/>
      <w:r w:rsidRPr="003331F3">
        <w:rPr>
          <w:rFonts w:ascii="Times New Roman" w:hAnsi="Times New Roman" w:cs="Times New Roman"/>
          <w:sz w:val="24"/>
          <w:szCs w:val="24"/>
        </w:rPr>
        <w:t>( AWS</w:t>
      </w:r>
      <w:proofErr w:type="gramEnd"/>
      <w:r w:rsidRPr="003331F3">
        <w:rPr>
          <w:rFonts w:ascii="Times New Roman" w:hAnsi="Times New Roman" w:cs="Times New Roman"/>
          <w:sz w:val="24"/>
          <w:szCs w:val="24"/>
        </w:rPr>
        <w:t>, n.d.c). High-impact uses should be subject to human control, there should be disparate-impact testing, purpose and limits of the model should be documented, and a formal right to appeal the deployment decision should be established.</w:t>
      </w:r>
    </w:p>
    <w:p w14:paraId="05AB1847" w14:textId="60E79C65" w:rsidR="00314E51" w:rsidRPr="003331F3" w:rsidRDefault="00000000" w:rsidP="00952F7F">
      <w:pPr>
        <w:pStyle w:val="Heading2"/>
        <w:spacing w:line="360" w:lineRule="auto"/>
        <w:rPr>
          <w:color w:val="auto"/>
          <w:sz w:val="24"/>
          <w:szCs w:val="24"/>
        </w:rPr>
      </w:pPr>
      <w:bookmarkStart w:id="9" w:name="_Toc225165989"/>
      <w:r w:rsidRPr="003331F3">
        <w:rPr>
          <w:color w:val="auto"/>
          <w:sz w:val="24"/>
          <w:szCs w:val="24"/>
        </w:rPr>
        <w:t>2.2.3 Sustaining Customer Trust in an Automated Era</w:t>
      </w:r>
      <w:bookmarkEnd w:id="9"/>
    </w:p>
    <w:p w14:paraId="0E0A44FB"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One of the most precious economic resources of Amazon is the customer trust. That trust can be enhanced by AI when it enhances relevancy, speed and service quality. It may also destroy trust in instances when the customers feel that they are being followed, controlled or failed to comprehend the </w:t>
      </w:r>
      <w:proofErr w:type="gramStart"/>
      <w:r w:rsidRPr="003331F3">
        <w:rPr>
          <w:rFonts w:ascii="Times New Roman" w:hAnsi="Times New Roman" w:cs="Times New Roman"/>
          <w:sz w:val="24"/>
          <w:szCs w:val="24"/>
        </w:rPr>
        <w:t>decision making</w:t>
      </w:r>
      <w:proofErr w:type="gramEnd"/>
      <w:r w:rsidRPr="003331F3">
        <w:rPr>
          <w:rFonts w:ascii="Times New Roman" w:hAnsi="Times New Roman" w:cs="Times New Roman"/>
          <w:sz w:val="24"/>
          <w:szCs w:val="24"/>
        </w:rPr>
        <w:t xml:space="preserve"> process. Economics of trust thus lie at the centre of AI risk management (Awad and Krishnan, 2006). The 2023 FTC case about Alexa children voice recordings illustrated how fast a convenient technology turns into a regulatory and a reputational issue (FTC, 2023). Brand loss is an expensive phenomenon as it makes customers more suspicious, reduces their readiness to provide data and complicates the process of introducing new AI products to the market. It may also have an impact on enterprise clients that might be looking at Bedrock and other AWS products, as the corporate customer must be assured that Amazon will not put them at risk of privacy, security or copyright violations. In the case of Amazon, maintaining the trust incorporates observable design decisions: plain-language notices, meaningful user controls, more powerful deletion paths, cautious defaults and plausible incident response. Trust is a strategic asset that should be dealt with and not an end result of marketing.</w:t>
      </w:r>
    </w:p>
    <w:p w14:paraId="14AC45B3" w14:textId="43C8EBC9" w:rsidR="00314E51" w:rsidRPr="003331F3" w:rsidRDefault="00000000" w:rsidP="00952F7F">
      <w:pPr>
        <w:pStyle w:val="Heading2"/>
        <w:spacing w:line="360" w:lineRule="auto"/>
        <w:rPr>
          <w:color w:val="auto"/>
          <w:sz w:val="24"/>
          <w:szCs w:val="24"/>
        </w:rPr>
      </w:pPr>
      <w:bookmarkStart w:id="10" w:name="_Toc225165990"/>
      <w:r w:rsidRPr="003331F3">
        <w:rPr>
          <w:color w:val="auto"/>
          <w:sz w:val="24"/>
          <w:szCs w:val="24"/>
        </w:rPr>
        <w:t>2.3 Regulatory Compliance: A Comparative Analysis of the UK and the EU</w:t>
      </w:r>
      <w:bookmarkEnd w:id="10"/>
    </w:p>
    <w:p w14:paraId="371FC433"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One of the key variables that influence the AI strategy of Amazon is now regulatory compliance. There is no one set of global rules that the company has to deal with. Rather, it exists within an array of national and regional regimes which vary in philosophy, timing and enforcement. The most striking one is between the UK and the EU where both jurisdictions allow innovation yet have adopted alternative regulatory frameworks (UK Government, 2024; European Commission, 2025a). In the case of Amazon, it is not only compliance with the law. The speed of product launch, documentation burden, the accessibility of the market and internal governance cost are also influenced by regulatory design. UK and EU thus have two variants of handling the same technological challenge.</w:t>
      </w:r>
    </w:p>
    <w:p w14:paraId="3D115056" w14:textId="69247816" w:rsidR="00314E51" w:rsidRPr="003331F3" w:rsidRDefault="00000000" w:rsidP="00952F7F">
      <w:pPr>
        <w:pStyle w:val="Heading2"/>
        <w:spacing w:line="360" w:lineRule="auto"/>
        <w:rPr>
          <w:color w:val="auto"/>
          <w:sz w:val="24"/>
          <w:szCs w:val="24"/>
        </w:rPr>
      </w:pPr>
      <w:bookmarkStart w:id="11" w:name="_Toc225165991"/>
      <w:r w:rsidRPr="003331F3">
        <w:rPr>
          <w:color w:val="auto"/>
          <w:sz w:val="24"/>
          <w:szCs w:val="24"/>
        </w:rPr>
        <w:lastRenderedPageBreak/>
        <w:t>2.3.1 The UK Approach: Pro-Innovation and Sector-Led</w:t>
      </w:r>
      <w:bookmarkEnd w:id="11"/>
    </w:p>
    <w:p w14:paraId="295A2247" w14:textId="3CF6A82C" w:rsidR="00E274A3" w:rsidRPr="003331F3" w:rsidRDefault="00BD43BC" w:rsidP="00952F7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In the UK, a sector-led and pro-innovation paradigm is still preferred. </w:t>
      </w:r>
      <w:r w:rsidR="00E274A3" w:rsidRPr="003331F3">
        <w:rPr>
          <w:rFonts w:ascii="Times New Roman" w:hAnsi="Times New Roman" w:cs="Times New Roman"/>
          <w:sz w:val="24"/>
          <w:szCs w:val="24"/>
        </w:rPr>
        <w:t xml:space="preserve">Instead of implementing a single horizontal AI statute, it has requested the pre-existing regulators to enforce cross-cutting principles like safety, transparency, fairness, accountability and contestability in their respective fields (UK Government, 2024). This approach is supported by the 2025 AI Opportunities Action Plan and its 2026 update where AI governance is connected to productivity, infrastructure and adoption (UK Government, 2026a). In the case of </w:t>
      </w:r>
      <w:proofErr w:type="gramStart"/>
      <w:r w:rsidR="00E274A3" w:rsidRPr="003331F3">
        <w:rPr>
          <w:rFonts w:ascii="Times New Roman" w:hAnsi="Times New Roman" w:cs="Times New Roman"/>
          <w:sz w:val="24"/>
          <w:szCs w:val="24"/>
        </w:rPr>
        <w:t>Amazon</w:t>
      </w:r>
      <w:proofErr w:type="gramEnd"/>
      <w:r w:rsidR="00E274A3" w:rsidRPr="003331F3">
        <w:rPr>
          <w:rFonts w:ascii="Times New Roman" w:hAnsi="Times New Roman" w:cs="Times New Roman"/>
          <w:sz w:val="24"/>
          <w:szCs w:val="24"/>
        </w:rPr>
        <w:t xml:space="preserve"> the UK model is flexible. It is capable of promoting faster experimentation and less friction of early compliance particularly in lower risk retail and cloud applications. Nevertheless, flexibility implies interpretive uncertainty. Companies can have to deal with a variety of authorities, which have become more discreet with less immediate clarity on which standard exactly should be anticipated in disputed cases.</w:t>
      </w:r>
    </w:p>
    <w:p w14:paraId="2E67A417" w14:textId="599E4F6E" w:rsidR="00314E51" w:rsidRPr="003331F3" w:rsidRDefault="00000000" w:rsidP="00952F7F">
      <w:pPr>
        <w:pStyle w:val="Heading2"/>
        <w:spacing w:line="360" w:lineRule="auto"/>
        <w:rPr>
          <w:color w:val="auto"/>
          <w:sz w:val="24"/>
          <w:szCs w:val="24"/>
        </w:rPr>
      </w:pPr>
      <w:bookmarkStart w:id="12" w:name="_Toc225165992"/>
      <w:r w:rsidRPr="003331F3">
        <w:rPr>
          <w:color w:val="auto"/>
          <w:sz w:val="24"/>
          <w:szCs w:val="24"/>
        </w:rPr>
        <w:t>2.3.2 The EU Approach: The AI Act and Strict Risk Categorisation</w:t>
      </w:r>
      <w:bookmarkEnd w:id="12"/>
    </w:p>
    <w:p w14:paraId="0FA423CD" w14:textId="09D9D678" w:rsidR="00E274A3" w:rsidRPr="003331F3" w:rsidRDefault="00BD43BC" w:rsidP="00952F7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The EU has taken a more prescriptive stance as a result of the AI Act. The Act was put into effect in 2024 and is mandatory based on the risk category, some of which begin in February 2025. General-purpose AI model requirements came into effect in August 2025, while broader obligations continue to take effect through 2026 and beyond (European Commission, 2025a). </w:t>
      </w:r>
      <w:r w:rsidR="00E274A3" w:rsidRPr="003331F3">
        <w:rPr>
          <w:rFonts w:ascii="Times New Roman" w:hAnsi="Times New Roman" w:cs="Times New Roman"/>
          <w:sz w:val="24"/>
          <w:szCs w:val="24"/>
        </w:rPr>
        <w:t>This framework provides companies with greater confidence regarding the legal requirements, though it entails greater paperwork, testing and control tasks. To Amazon, the EU model is of interest since much of its AI applications may interrelate with high-risk or highly regulated ones, particularly where systems are applied to employment, safety, identification, access to a marketplace or general-purpose provision of a model. The latter thus necessitates more robust technical documentation, post-market surveillance and regulation on upstream and downstream AI applications.</w:t>
      </w:r>
    </w:p>
    <w:p w14:paraId="276BB5FD" w14:textId="16492885" w:rsidR="00314E51" w:rsidRPr="003331F3" w:rsidRDefault="00000000" w:rsidP="00952F7F">
      <w:pPr>
        <w:pStyle w:val="Heading2"/>
        <w:spacing w:line="360" w:lineRule="auto"/>
        <w:rPr>
          <w:color w:val="auto"/>
          <w:sz w:val="24"/>
          <w:szCs w:val="24"/>
        </w:rPr>
      </w:pPr>
      <w:bookmarkStart w:id="13" w:name="_Toc225165993"/>
      <w:r w:rsidRPr="003331F3">
        <w:rPr>
          <w:color w:val="auto"/>
          <w:sz w:val="24"/>
          <w:szCs w:val="24"/>
        </w:rPr>
        <w:t>2.3.3 Strategic Implications for Amazon</w:t>
      </w:r>
      <w:bookmarkEnd w:id="13"/>
    </w:p>
    <w:p w14:paraId="0DC38441"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The strategic implication of the whole issue with Amazon is that fragmented compliance is not a good long-term option. The company might technically run one of the less strict models in the case of flexible jurisdictions and one of the less flexible models in the case of the EU. However, such a strategy would elevate the complexity of governance, legal ambiguity and internal assurance would become more complicated. Selective harmonisation is a more appropriate option. Amazon </w:t>
      </w:r>
      <w:r w:rsidRPr="003331F3">
        <w:rPr>
          <w:rFonts w:ascii="Times New Roman" w:hAnsi="Times New Roman" w:cs="Times New Roman"/>
          <w:sz w:val="24"/>
          <w:szCs w:val="24"/>
        </w:rPr>
        <w:lastRenderedPageBreak/>
        <w:t xml:space="preserve">ought to implement a high-water-mark governance approach to high-impact AI systems in various markets, but keep </w:t>
      </w:r>
      <w:proofErr w:type="gramStart"/>
      <w:r w:rsidRPr="003331F3">
        <w:rPr>
          <w:rFonts w:ascii="Times New Roman" w:hAnsi="Times New Roman" w:cs="Times New Roman"/>
          <w:sz w:val="24"/>
          <w:szCs w:val="24"/>
        </w:rPr>
        <w:t>less</w:t>
      </w:r>
      <w:proofErr w:type="gramEnd"/>
      <w:r w:rsidRPr="003331F3">
        <w:rPr>
          <w:rFonts w:ascii="Times New Roman" w:hAnsi="Times New Roman" w:cs="Times New Roman"/>
          <w:sz w:val="24"/>
          <w:szCs w:val="24"/>
        </w:rPr>
        <w:t xml:space="preserve"> demanding processes in place when using low-risk tools. This would minimize the risk of system developed based on less stringent assumptions subsequently finding itself in a more stringent market, without sufficient controls. It would also contribute to a more plausible external stance: that Amazon governance standard is risk and rights-based, rather than the minimum legal standard that can be found in any of the jurisdictions (Bradford, 2020).</w:t>
      </w:r>
    </w:p>
    <w:p w14:paraId="06E440C4" w14:textId="1E1B060B" w:rsidR="00314E51" w:rsidRPr="003331F3" w:rsidRDefault="00000000" w:rsidP="00952F7F">
      <w:pPr>
        <w:pStyle w:val="Heading2"/>
        <w:spacing w:line="360" w:lineRule="auto"/>
        <w:rPr>
          <w:color w:val="auto"/>
          <w:sz w:val="24"/>
          <w:szCs w:val="24"/>
        </w:rPr>
      </w:pPr>
      <w:bookmarkStart w:id="14" w:name="_Toc225165994"/>
      <w:r w:rsidRPr="003331F3">
        <w:rPr>
          <w:color w:val="auto"/>
          <w:sz w:val="24"/>
          <w:szCs w:val="24"/>
        </w:rPr>
        <w:t>2.4 Advanced Data Governance Strategies for AWS and Retail Operations</w:t>
      </w:r>
      <w:bookmarkEnd w:id="14"/>
    </w:p>
    <w:p w14:paraId="6E91A52B"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high level of data governance is particularly vital to Amazon since the company is a hybrid of two AI systems. It also operates as an infrastructure provider, model and tools services provider to enterprise clients in AWS. It is the operator and, in many cases, the primary decision maker in the retail and devices business. These positions produce various responsibilities and alternative liability trends. An approach that is mature has to be able to tie in technical controls with business structure. Amazon requires a governmental structure that operates in the core cloud architecture, internal retail datasets, third-party sellers, device ecosystems and external customer workloads. The key concept here must be traceability: the management should be aware of the data that was inputted into a system, by what authority, what was its purpose, and what impact it had downstream (AWS, n.d.b; Tabassi, 2023).</w:t>
      </w:r>
    </w:p>
    <w:p w14:paraId="62EB21E4" w14:textId="5EA4AD1A" w:rsidR="00314E51" w:rsidRPr="003331F3" w:rsidRDefault="00000000" w:rsidP="00952F7F">
      <w:pPr>
        <w:pStyle w:val="Heading2"/>
        <w:spacing w:line="360" w:lineRule="auto"/>
        <w:rPr>
          <w:color w:val="auto"/>
          <w:sz w:val="24"/>
          <w:szCs w:val="24"/>
        </w:rPr>
      </w:pPr>
      <w:bookmarkStart w:id="15" w:name="_Toc225165995"/>
      <w:r w:rsidRPr="003331F3">
        <w:rPr>
          <w:color w:val="auto"/>
          <w:sz w:val="24"/>
          <w:szCs w:val="24"/>
        </w:rPr>
        <w:t>2.4.1 Securing the Cloud: The Shared Responsibility Model</w:t>
      </w:r>
      <w:bookmarkEnd w:id="15"/>
    </w:p>
    <w:p w14:paraId="5F78EBB3"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AWS Shared Responsibility Model can be considered as a nice point of entry since the model separates the responsibility that Amazon has to secure cloud security and the responsibility that the customer has to secure what they are creating in the cloud (AWS, n.d.b). Such differentiation is commercially reasonable, but generative AI makes it more complicated. Practically security, privacy and audit expectations may be confused with models finetuning by customers, third-party data integration or with open models attached to sensitive processes. Amazon needs to then apply the shared responsibility logic to a more explicit AI responsibility architecture. In the case of Bedrock and related services, this will entail enhanced default logging, more articulate model cards, better templates of lawful use and instructions on the direct data classification, retention and prompt-level controls. Greater transparency would minimize controversies and make the risk position of Amazon more acceptable in the world of business and consumers.</w:t>
      </w:r>
    </w:p>
    <w:p w14:paraId="5B4A9B10" w14:textId="4E48F201" w:rsidR="00314E51" w:rsidRPr="003331F3" w:rsidRDefault="00000000" w:rsidP="00952F7F">
      <w:pPr>
        <w:pStyle w:val="Heading2"/>
        <w:spacing w:line="360" w:lineRule="auto"/>
        <w:rPr>
          <w:color w:val="auto"/>
          <w:sz w:val="24"/>
          <w:szCs w:val="24"/>
        </w:rPr>
      </w:pPr>
      <w:bookmarkStart w:id="16" w:name="_Toc225165996"/>
      <w:r w:rsidRPr="003331F3">
        <w:rPr>
          <w:color w:val="auto"/>
          <w:sz w:val="24"/>
          <w:szCs w:val="24"/>
        </w:rPr>
        <w:lastRenderedPageBreak/>
        <w:t>2.4.2 Intellectual Property and Generative AI Risks</w:t>
      </w:r>
      <w:bookmarkEnd w:id="16"/>
    </w:p>
    <w:p w14:paraId="7FA6A073"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Intellectual property risk is also generated by generative AI. The questions of the training data, model outputs, scraping, licensing and transparency are controversial across jurisdictions. The two-year old 2026 report on copyright and AI under the Data (Use and Access) Act in the UK indicates that the balance between creator rights, innovation and workable licensing has not been settled (UK Government, 2026b). Stylistic requirements on general-purpose AI providers have also shifted towards the EU (European Commission, 2025a). In the case of Amazon, IP risk is relevant in two aspects. The company should secure itself first when it is advancing and providing AI capabilities. Secondly, it should assist AWS customers to lessen the downstream infringement risk. The best solution is to offer some more robust provenance, locking out unverified datasets, having contracts to govern third party content and quick response mechanisms to deal with takedown and dispute management.</w:t>
      </w:r>
    </w:p>
    <w:p w14:paraId="1A2EECCA" w14:textId="0F6DBADE" w:rsidR="00314E51" w:rsidRPr="003331F3" w:rsidRDefault="00000000" w:rsidP="00952F7F">
      <w:pPr>
        <w:pStyle w:val="Heading2"/>
        <w:spacing w:line="360" w:lineRule="auto"/>
        <w:rPr>
          <w:color w:val="auto"/>
          <w:sz w:val="24"/>
          <w:szCs w:val="24"/>
        </w:rPr>
      </w:pPr>
      <w:bookmarkStart w:id="17" w:name="_Toc225165997"/>
      <w:r w:rsidRPr="003331F3">
        <w:rPr>
          <w:color w:val="auto"/>
          <w:sz w:val="24"/>
          <w:szCs w:val="24"/>
        </w:rPr>
        <w:t>2.5 Operationalising Ethical AI: Moving Beyond Theoretical Frameworks</w:t>
      </w:r>
      <w:bookmarkEnd w:id="17"/>
    </w:p>
    <w:p w14:paraId="34801C78"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Operationalising ethical AI refers to the translation of general values into organisational routines. Several companies have ethical principles posted, but not many have them incorporated in funding approval, model release, procurement, training and internal audit. In the case of Amazon, this gap is important since a small design failure is magnified at the scale. The discipline of management and oversight by the board should be combined in a realistic structure. The projects with high impact are to be assessed in impacts prior to the launch, legal and risk teams should sign, fairness testing should be documented, and post-deployment evaluation should be triggered. The NIST AI Risk Management Framework comes in handy in this case as it creates connections between governance and mapping, measurement and continuous management (Tabassi, 2023). The real-world application of ethical AI is only possible when it influences those who are authorized to approve a model, what data they should study and what occurs upon performance errors.</w:t>
      </w:r>
    </w:p>
    <w:p w14:paraId="25B23F4C" w14:textId="56772981" w:rsidR="00314E51" w:rsidRPr="003331F3" w:rsidRDefault="00000000" w:rsidP="00952F7F">
      <w:pPr>
        <w:pStyle w:val="Heading2"/>
        <w:spacing w:line="360" w:lineRule="auto"/>
        <w:rPr>
          <w:color w:val="auto"/>
          <w:sz w:val="24"/>
          <w:szCs w:val="24"/>
        </w:rPr>
      </w:pPr>
      <w:bookmarkStart w:id="18" w:name="_Toc225165998"/>
      <w:r w:rsidRPr="003331F3">
        <w:rPr>
          <w:color w:val="auto"/>
          <w:sz w:val="24"/>
          <w:szCs w:val="24"/>
        </w:rPr>
        <w:t>2.5.1 Algorithmic Management and the Human Cost of Efficiency</w:t>
      </w:r>
      <w:bookmarkEnd w:id="18"/>
    </w:p>
    <w:p w14:paraId="20376F7C"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Amazon also has to face the human cost of efficiency. Algorithms management may enhance throughput, minimise idle time and uniformity of performance expectations but a study established that algorithms management also may diminish worker discretion and weaken voice. Workers in labour intensive environments like fulfilment, routing and platform oversight might find </w:t>
      </w:r>
      <w:r w:rsidRPr="003331F3">
        <w:rPr>
          <w:rFonts w:ascii="Times New Roman" w:hAnsi="Times New Roman" w:cs="Times New Roman"/>
          <w:sz w:val="24"/>
          <w:szCs w:val="24"/>
        </w:rPr>
        <w:lastRenderedPageBreak/>
        <w:t>themselves in a situation where they feel AI is not helping them, but is monitoring and pressuring their decision making (Cameron, 2024). This is important in strategic terms since labour dissatisfaction may turn out to be an operation and reputation risk. According to Collins and Atkinson, the worker voice is particularly significant when the employment conditions are determined by algorithmic systems (Collins and Atkinson, 2023). In the case of Amazon, responsible AI thus incorporates enhanced explanation, appeal pathways and workforce consultation in which algorithmic systems influence velocity, assessment or time frame.</w:t>
      </w:r>
    </w:p>
    <w:p w14:paraId="3BBECC7D" w14:textId="72A432A2" w:rsidR="00314E51" w:rsidRPr="003331F3" w:rsidRDefault="00000000" w:rsidP="00952F7F">
      <w:pPr>
        <w:pStyle w:val="Heading2"/>
        <w:spacing w:line="360" w:lineRule="auto"/>
        <w:rPr>
          <w:color w:val="auto"/>
          <w:sz w:val="24"/>
          <w:szCs w:val="24"/>
        </w:rPr>
      </w:pPr>
      <w:bookmarkStart w:id="19" w:name="_Toc225165999"/>
      <w:r w:rsidRPr="003331F3">
        <w:rPr>
          <w:color w:val="auto"/>
          <w:sz w:val="24"/>
          <w:szCs w:val="24"/>
        </w:rPr>
        <w:t>2.6 The Economics of Customer Trust in the Age of Hyper-Personalisation</w:t>
      </w:r>
      <w:bookmarkEnd w:id="19"/>
    </w:p>
    <w:p w14:paraId="55C43C47"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In the era of hyper-personalisation, the economics of customer trust is complicated. Customisation can augment conversion, basket size and retention and, that is why it is still core to the Amazon business model. However, literature in privacy paradox reveals that consumers do not only prefer personalized services but are equally afraid of excessive data gathering and obscure profiling (Awad and Krishnan, 2006). This brings out a traditional long-term and short-term trade-off. The fight of using data can bring about improved short-term commercial success, yet it can ruin the credibility and result in more expensive deals in the future. In the case of Amazon, trust does have an economic benefit: it reduces customer mistrust, contributes to retention of Prime, encourages sellers to stay on the platform and is a reassurance to AWS clients that governance claims can be trusted. Trust must then be considered as a productive asset that has its own key performance indicators rather than a soft reputational concept that is outside the financial management.</w:t>
      </w:r>
    </w:p>
    <w:p w14:paraId="1DC4852F" w14:textId="4A590FE9" w:rsidR="00314E51" w:rsidRPr="003331F3" w:rsidRDefault="00000000" w:rsidP="00952F7F">
      <w:pPr>
        <w:pStyle w:val="Heading2"/>
        <w:spacing w:line="360" w:lineRule="auto"/>
        <w:rPr>
          <w:color w:val="auto"/>
          <w:sz w:val="24"/>
          <w:szCs w:val="24"/>
        </w:rPr>
      </w:pPr>
      <w:bookmarkStart w:id="20" w:name="_Toc225166000"/>
      <w:r w:rsidRPr="003331F3">
        <w:rPr>
          <w:color w:val="auto"/>
          <w:sz w:val="24"/>
          <w:szCs w:val="24"/>
        </w:rPr>
        <w:t>2.7 Integrating AI into Enterprise Risk Management (ERM) Frameworks</w:t>
      </w:r>
      <w:bookmarkEnd w:id="20"/>
    </w:p>
    <w:p w14:paraId="233223B6"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Amazon ought to incorporate AI in its enterprise risk management architecture and not have a parallel system. The risks related to AI may be plotted into the already established strategic, operational, legal, financial, cyber and reputational categories, yet each of them should include AI-related triggers, owners and thresholds (Tabassi, 2023). This translates into the creation of an AI risk register that is associated with the corporate ERM procedure, the executive ownership of various model classes, and common reporting to the board. The model drift, unresolved bias results, gaps in data lineage, regulatory notes, customer complaints in relation to automated decisions, and carbon or water intensity of high-compute workloads may be used as key risk indicators. The reason why it is important is that integration will ensure that AI governance is not </w:t>
      </w:r>
      <w:r w:rsidRPr="003331F3">
        <w:rPr>
          <w:rFonts w:ascii="Times New Roman" w:hAnsi="Times New Roman" w:cs="Times New Roman"/>
          <w:sz w:val="24"/>
          <w:szCs w:val="24"/>
        </w:rPr>
        <w:lastRenderedPageBreak/>
        <w:t>symbolic. The leaders of seniors can only take action on the risks that are apparent within the already existing systems.</w:t>
      </w:r>
    </w:p>
    <w:p w14:paraId="13D0B9ED" w14:textId="6519A093" w:rsidR="00314E51" w:rsidRPr="003331F3" w:rsidRDefault="00000000" w:rsidP="00952F7F">
      <w:pPr>
        <w:pStyle w:val="Heading2"/>
        <w:spacing w:line="360" w:lineRule="auto"/>
        <w:rPr>
          <w:color w:val="auto"/>
          <w:sz w:val="24"/>
          <w:szCs w:val="24"/>
        </w:rPr>
      </w:pPr>
      <w:bookmarkStart w:id="21" w:name="_Toc225166001"/>
      <w:r w:rsidRPr="003331F3">
        <w:rPr>
          <w:color w:val="auto"/>
          <w:sz w:val="24"/>
          <w:szCs w:val="24"/>
        </w:rPr>
        <w:t>2.7.1 The Ecological Cost: Measuring and Managing AI Carbon Footprints</w:t>
      </w:r>
      <w:bookmarkEnd w:id="21"/>
    </w:p>
    <w:p w14:paraId="380293A8"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risk management should also consider the ecological cost of AI. A 2024 sustainability report of Amazon indicates significant investment in more efficient data-centre design and the company reports that 100 per cent of the power used in all its operations was balanced in 2024 with renewable energy (Amazon, 2026). However, with AI expansion, there is an increase in absolute demand of power, cooling, water as more massive models and services 24/7 grow. According to the latest studies the carbon and water footprint of data centres are emerging as a tangible governor problem in AI-intensive companies (de Vries-Gao, 2026). In the case of Amazon, plausible answers should involve carbon-conscious location of workload, model efficiency objectives, reporting of compute-intensive applications, supplier anticipations of low-carbon foundation, and the review of AI-related resource density by the board (AWS, n.d.d).</w:t>
      </w:r>
    </w:p>
    <w:p w14:paraId="54F3364B" w14:textId="65097CB8" w:rsidR="00314E51" w:rsidRPr="003331F3" w:rsidRDefault="00000000" w:rsidP="00952F7F">
      <w:pPr>
        <w:pStyle w:val="Heading2"/>
        <w:spacing w:line="360" w:lineRule="auto"/>
        <w:rPr>
          <w:color w:val="auto"/>
          <w:sz w:val="24"/>
          <w:szCs w:val="24"/>
        </w:rPr>
      </w:pPr>
      <w:bookmarkStart w:id="22" w:name="_Toc225166002"/>
      <w:r w:rsidRPr="003331F3">
        <w:rPr>
          <w:color w:val="auto"/>
          <w:sz w:val="24"/>
          <w:szCs w:val="24"/>
        </w:rPr>
        <w:t>2.8 Navigating the Regulatory Schism: A Deep Dive into UK vs. EU AI Frameworks</w:t>
      </w:r>
      <w:bookmarkEnd w:id="22"/>
    </w:p>
    <w:p w14:paraId="7DECFE8A" w14:textId="77777777" w:rsidR="00E274A3" w:rsidRPr="003331F3" w:rsidRDefault="00E274A3"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An In-depth Tour of UK vs. EU AI Regulations.</w:t>
      </w:r>
    </w:p>
    <w:p w14:paraId="272BB5E2"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legal comparison between the UK and the EU is not the only regulatory divide that presents a strategic design challenge to Amazon. The firm has a choice of establishing a single governance structure that can cross jurisdictions or a less restrictive patchwork that adapts to the market. This part intensifies such a dilemma.</w:t>
      </w:r>
    </w:p>
    <w:p w14:paraId="147AC2BC" w14:textId="50A36377" w:rsidR="00314E51" w:rsidRPr="003331F3" w:rsidRDefault="00000000" w:rsidP="00952F7F">
      <w:pPr>
        <w:pStyle w:val="Heading2"/>
        <w:spacing w:line="360" w:lineRule="auto"/>
        <w:rPr>
          <w:color w:val="auto"/>
          <w:sz w:val="24"/>
          <w:szCs w:val="24"/>
        </w:rPr>
      </w:pPr>
      <w:bookmarkStart w:id="23" w:name="_Toc225166003"/>
      <w:r w:rsidRPr="003331F3">
        <w:rPr>
          <w:color w:val="auto"/>
          <w:sz w:val="24"/>
          <w:szCs w:val="24"/>
        </w:rPr>
        <w:t>2.8.1 The UK’s Agile, Contextual Framework</w:t>
      </w:r>
      <w:bookmarkEnd w:id="23"/>
    </w:p>
    <w:p w14:paraId="1F449AAC" w14:textId="77777777" w:rsidR="00E274A3" w:rsidRPr="003331F3" w:rsidRDefault="00E274A3"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Speed is the strength of the agile and contextual framework of the UK. It enables the guidance to change with the technology and does not tie firms into strict categories of law too soon. In the case of Amazon that can help in accelerated experimentation and a more adaptive dialogue on compliance. Its weakness is ambiguity: companies need to comprehend principles in other industries and predict how lawmakers can respond in the future (UK Government, 2024).</w:t>
      </w:r>
    </w:p>
    <w:p w14:paraId="7C7DA0D3" w14:textId="41DEE6AF" w:rsidR="00314E51" w:rsidRPr="003331F3" w:rsidRDefault="00000000" w:rsidP="00952F7F">
      <w:pPr>
        <w:pStyle w:val="Heading2"/>
        <w:spacing w:line="360" w:lineRule="auto"/>
        <w:rPr>
          <w:color w:val="auto"/>
          <w:sz w:val="24"/>
          <w:szCs w:val="24"/>
        </w:rPr>
      </w:pPr>
      <w:bookmarkStart w:id="24" w:name="_Toc225166004"/>
      <w:r w:rsidRPr="003331F3">
        <w:rPr>
          <w:color w:val="auto"/>
          <w:sz w:val="24"/>
          <w:szCs w:val="24"/>
        </w:rPr>
        <w:t>2.8.2 The European Union AI Act: Stringent Risk Categorisation</w:t>
      </w:r>
      <w:bookmarkEnd w:id="24"/>
    </w:p>
    <w:p w14:paraId="1EC93E85" w14:textId="77777777" w:rsidR="00D77BE0" w:rsidRPr="003331F3" w:rsidRDefault="00D77BE0"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 xml:space="preserve">EU AI Act represents the reverse of trade-off. It is darker and heavier, yet more explicit. The classification of risks, responsibilities of the providers, post-market and transparency regulations </w:t>
      </w:r>
      <w:r w:rsidRPr="003331F3">
        <w:rPr>
          <w:rFonts w:ascii="Times New Roman" w:hAnsi="Times New Roman" w:cs="Times New Roman"/>
          <w:sz w:val="24"/>
          <w:szCs w:val="24"/>
        </w:rPr>
        <w:lastRenderedPageBreak/>
        <w:t>eliminate ambiguity about what the regulated actors should do (European Commission, 2025a). This can be cumbersome to Amazon but it also offers a more transparent foundation to internal controls, preparation of audit and write-up of contracts.</w:t>
      </w:r>
    </w:p>
    <w:p w14:paraId="767A363C" w14:textId="1C0FA212" w:rsidR="00314E51" w:rsidRPr="003331F3" w:rsidRDefault="00000000" w:rsidP="00952F7F">
      <w:pPr>
        <w:pStyle w:val="Heading2"/>
        <w:spacing w:line="360" w:lineRule="auto"/>
        <w:rPr>
          <w:color w:val="auto"/>
          <w:sz w:val="24"/>
          <w:szCs w:val="24"/>
        </w:rPr>
      </w:pPr>
      <w:bookmarkStart w:id="25" w:name="_Toc225166005"/>
      <w:r w:rsidRPr="003331F3">
        <w:rPr>
          <w:color w:val="auto"/>
          <w:sz w:val="24"/>
          <w:szCs w:val="24"/>
        </w:rPr>
        <w:t>2.8.3 The "Brussels Effect" and Amazon’s Strategic Dilemma</w:t>
      </w:r>
      <w:bookmarkEnd w:id="25"/>
    </w:p>
    <w:p w14:paraId="5F3AA089" w14:textId="77777777" w:rsidR="00D77BE0" w:rsidRPr="003331F3" w:rsidRDefault="00D77BE0"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This concept of the Brussels Effect by Bradford comes in very handy. Multinational companies that have a large scale tend to use EU standards more actively than needed since it can be less expensive and less risky to have a single, solid compliance model than to have many different versions (Bradford, 2020). It is precisely this dilemma that Amazon is in. Strict EU-aligned architecture might seem to be initially expensive but it can eliminate the cross-border friction, ease assurance and send a message of seriousness to the enterprise customers, regulators and investors. The threat is excess compliance in less stringent jurisdictions. Nevertheless, under high-impact AI applications, the strategic benefit of uniformity in the long-run will pay off more than the short-run disadvantage of stricter controls. The question that Amazon is facing is not whether the EU will affect it, but the extent to which an EU logic will influence a significant part of global AI governance at Amazon.</w:t>
      </w:r>
    </w:p>
    <w:p w14:paraId="3F120370" w14:textId="27CF8554" w:rsidR="00314E51" w:rsidRPr="003331F3" w:rsidRDefault="00000000" w:rsidP="00952F7F">
      <w:pPr>
        <w:pStyle w:val="Heading2"/>
        <w:spacing w:line="360" w:lineRule="auto"/>
        <w:rPr>
          <w:color w:val="auto"/>
          <w:sz w:val="24"/>
          <w:szCs w:val="24"/>
        </w:rPr>
      </w:pPr>
      <w:bookmarkStart w:id="26" w:name="_Toc225166006"/>
      <w:r w:rsidRPr="003331F3">
        <w:rPr>
          <w:color w:val="auto"/>
          <w:sz w:val="24"/>
          <w:szCs w:val="24"/>
        </w:rPr>
        <w:t>2.8.4 The Tri-Polar Regulatory World: Factoring in the United States</w:t>
      </w:r>
      <w:bookmarkEnd w:id="26"/>
    </w:p>
    <w:p w14:paraId="24123DA2" w14:textId="77777777" w:rsidR="00084ECE" w:rsidRPr="003331F3" w:rsidRDefault="00084ECE" w:rsidP="00952F7F">
      <w:pPr>
        <w:spacing w:line="360" w:lineRule="auto"/>
        <w:jc w:val="both"/>
        <w:rPr>
          <w:rFonts w:ascii="Times New Roman" w:hAnsi="Times New Roman" w:cs="Times New Roman"/>
          <w:b/>
          <w:bCs/>
          <w:sz w:val="24"/>
          <w:szCs w:val="24"/>
        </w:rPr>
      </w:pPr>
      <w:r w:rsidRPr="003331F3">
        <w:rPr>
          <w:rFonts w:ascii="Times New Roman" w:hAnsi="Times New Roman" w:cs="Times New Roman"/>
          <w:sz w:val="24"/>
          <w:szCs w:val="24"/>
        </w:rPr>
        <w:t>The United States should also be taken into full consideration. However, the United States is more divided than the United Kingdom or the European Union, with its standards, agency action, litigation and state-level efforts, as opposed to a single national AI statute. NIST AI Risk Management Framework is consequently notably significant as a feasible day-to-day reference frame to multinational companies (Tabassi, 2023). In the case of Amazon, the result is a tri-polar world, i.e. UK flexibility, EU codification, and US fragmentation. The most secure strategic reaction is the modular governance founded on shared internal controls, and the extra requirements associated with jurisdictions added where necessary.</w:t>
      </w:r>
    </w:p>
    <w:p w14:paraId="68B3E891" w14:textId="53F97534" w:rsidR="00314E51" w:rsidRPr="003331F3" w:rsidRDefault="00000000" w:rsidP="00952F7F">
      <w:pPr>
        <w:pStyle w:val="Heading1"/>
        <w:spacing w:line="360" w:lineRule="auto"/>
        <w:rPr>
          <w:color w:val="auto"/>
          <w:sz w:val="24"/>
          <w:szCs w:val="24"/>
        </w:rPr>
      </w:pPr>
      <w:bookmarkStart w:id="27" w:name="_Toc225166007"/>
      <w:r w:rsidRPr="003331F3">
        <w:rPr>
          <w:color w:val="auto"/>
          <w:sz w:val="24"/>
          <w:szCs w:val="24"/>
        </w:rPr>
        <w:t>3. Implementation Plan: Strategic Roadmap for Amazon</w:t>
      </w:r>
      <w:bookmarkEnd w:id="27"/>
    </w:p>
    <w:p w14:paraId="3D2F9863" w14:textId="0542E1AD" w:rsidR="00084ECE" w:rsidRPr="003331F3" w:rsidRDefault="00084ECE"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The following implementation plan converts the findings of the report into a roadmap that is implemented in </w:t>
      </w:r>
      <w:r w:rsidR="00E06B59" w:rsidRPr="003331F3">
        <w:rPr>
          <w:rFonts w:ascii="Times New Roman" w:hAnsi="Times New Roman" w:cs="Times New Roman"/>
          <w:sz w:val="24"/>
          <w:szCs w:val="24"/>
        </w:rPr>
        <w:t>sequence</w:t>
      </w:r>
      <w:r w:rsidRPr="003331F3">
        <w:rPr>
          <w:rFonts w:ascii="Times New Roman" w:hAnsi="Times New Roman" w:cs="Times New Roman"/>
          <w:sz w:val="24"/>
          <w:szCs w:val="24"/>
        </w:rPr>
        <w:t>. The reason is straightforward</w:t>
      </w:r>
      <w:r w:rsidR="00E06B59" w:rsidRPr="003331F3">
        <w:rPr>
          <w:rFonts w:ascii="Times New Roman" w:hAnsi="Times New Roman" w:cs="Times New Roman"/>
          <w:sz w:val="24"/>
          <w:szCs w:val="24"/>
        </w:rPr>
        <w:t>:</w:t>
      </w:r>
      <w:r w:rsidRPr="003331F3">
        <w:rPr>
          <w:rFonts w:ascii="Times New Roman" w:hAnsi="Times New Roman" w:cs="Times New Roman"/>
          <w:sz w:val="24"/>
          <w:szCs w:val="24"/>
        </w:rPr>
        <w:t xml:space="preserve"> create governance and visibility, reinforce technical and legal controls, </w:t>
      </w:r>
      <w:r w:rsidR="00E06B59" w:rsidRPr="003331F3">
        <w:rPr>
          <w:rFonts w:ascii="Times New Roman" w:hAnsi="Times New Roman" w:cs="Times New Roman"/>
          <w:sz w:val="24"/>
          <w:szCs w:val="24"/>
        </w:rPr>
        <w:t>instill</w:t>
      </w:r>
      <w:r w:rsidRPr="003331F3">
        <w:rPr>
          <w:rFonts w:ascii="Times New Roman" w:hAnsi="Times New Roman" w:cs="Times New Roman"/>
          <w:sz w:val="24"/>
          <w:szCs w:val="24"/>
        </w:rPr>
        <w:t xml:space="preserve"> strategic resilience</w:t>
      </w:r>
      <w:r w:rsidR="00E06B59" w:rsidRPr="003331F3">
        <w:rPr>
          <w:rFonts w:ascii="Times New Roman" w:hAnsi="Times New Roman" w:cs="Times New Roman"/>
          <w:sz w:val="24"/>
          <w:szCs w:val="24"/>
        </w:rPr>
        <w:t>,</w:t>
      </w:r>
      <w:r w:rsidRPr="003331F3">
        <w:rPr>
          <w:rFonts w:ascii="Times New Roman" w:hAnsi="Times New Roman" w:cs="Times New Roman"/>
          <w:sz w:val="24"/>
          <w:szCs w:val="24"/>
        </w:rPr>
        <w:t xml:space="preserve"> and lastly institutionalise </w:t>
      </w:r>
      <w:r w:rsidRPr="003331F3">
        <w:rPr>
          <w:rFonts w:ascii="Times New Roman" w:hAnsi="Times New Roman" w:cs="Times New Roman"/>
          <w:sz w:val="24"/>
          <w:szCs w:val="24"/>
        </w:rPr>
        <w:lastRenderedPageBreak/>
        <w:t>monitoring. The phases are sequential in that accountability is evident</w:t>
      </w:r>
      <w:r w:rsidR="00E06B59" w:rsidRPr="003331F3">
        <w:rPr>
          <w:rFonts w:ascii="Times New Roman" w:hAnsi="Times New Roman" w:cs="Times New Roman"/>
          <w:sz w:val="24"/>
          <w:szCs w:val="24"/>
        </w:rPr>
        <w:t>,</w:t>
      </w:r>
      <w:r w:rsidRPr="003331F3">
        <w:rPr>
          <w:rFonts w:ascii="Times New Roman" w:hAnsi="Times New Roman" w:cs="Times New Roman"/>
          <w:sz w:val="24"/>
          <w:szCs w:val="24"/>
        </w:rPr>
        <w:t xml:space="preserve"> and the programme appears to be sensible on the board level.</w:t>
      </w:r>
    </w:p>
    <w:p w14:paraId="1F52CC92" w14:textId="62BF45AC" w:rsidR="009F0033" w:rsidRPr="007D404F" w:rsidRDefault="009F0033" w:rsidP="009F0033">
      <w:pPr>
        <w:spacing w:line="360" w:lineRule="auto"/>
        <w:jc w:val="both"/>
        <w:rPr>
          <w:rFonts w:ascii="Times New Roman" w:hAnsi="Times New Roman" w:cs="Times New Roman"/>
          <w:b/>
          <w:bCs/>
          <w:sz w:val="24"/>
          <w:szCs w:val="24"/>
        </w:rPr>
      </w:pPr>
      <w:r w:rsidRPr="009F0033">
        <w:rPr>
          <w:rFonts w:ascii="Times New Roman" w:hAnsi="Times New Roman" w:cs="Times New Roman"/>
          <w:b/>
          <w:bCs/>
          <w:sz w:val="24"/>
          <w:szCs w:val="24"/>
        </w:rPr>
        <w:t>Phase 1:</w:t>
      </w:r>
      <w:r>
        <w:rPr>
          <w:rFonts w:ascii="Times New Roman" w:hAnsi="Times New Roman" w:cs="Times New Roman"/>
          <w:sz w:val="24"/>
          <w:szCs w:val="24"/>
        </w:rPr>
        <w:t xml:space="preserve"> </w:t>
      </w:r>
      <w:r w:rsidRPr="007D404F">
        <w:rPr>
          <w:rFonts w:ascii="Times New Roman" w:hAnsi="Times New Roman" w:cs="Times New Roman"/>
          <w:b/>
          <w:bCs/>
          <w:sz w:val="24"/>
          <w:szCs w:val="24"/>
        </w:rPr>
        <w:t>Short-term Interventions- Governance and Auditing (Months 1-6)</w:t>
      </w:r>
    </w:p>
    <w:p w14:paraId="467EBB61" w14:textId="77777777" w:rsidR="009F0033" w:rsidRPr="009F003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sz w:val="24"/>
          <w:szCs w:val="24"/>
        </w:rPr>
        <w:t xml:space="preserve">Phase 1 has to establish the groundwork. Amazon should introduce an AI sponsor on the board, AI governance office on the enterprise level and inventory material AI systems both in retail and devices, and in AWS. The systems should be classified according to the impact level, data and regulatory exposure sensitivity. At this point internal audit should test over data lineage, model documentation, and access permissions and incident escalation controls. An accountability and visibility </w:t>
      </w:r>
      <w:proofErr w:type="gramStart"/>
      <w:r w:rsidRPr="009F0033">
        <w:rPr>
          <w:rFonts w:ascii="Times New Roman" w:hAnsi="Times New Roman" w:cs="Times New Roman"/>
          <w:sz w:val="24"/>
          <w:szCs w:val="24"/>
        </w:rPr>
        <w:t>is</w:t>
      </w:r>
      <w:proofErr w:type="gramEnd"/>
      <w:r w:rsidRPr="009F0033">
        <w:rPr>
          <w:rFonts w:ascii="Times New Roman" w:hAnsi="Times New Roman" w:cs="Times New Roman"/>
          <w:sz w:val="24"/>
          <w:szCs w:val="24"/>
        </w:rPr>
        <w:t xml:space="preserve"> the </w:t>
      </w:r>
      <w:proofErr w:type="gramStart"/>
      <w:r w:rsidRPr="009F0033">
        <w:rPr>
          <w:rFonts w:ascii="Times New Roman" w:hAnsi="Times New Roman" w:cs="Times New Roman"/>
          <w:sz w:val="24"/>
          <w:szCs w:val="24"/>
        </w:rPr>
        <w:t>short term</w:t>
      </w:r>
      <w:proofErr w:type="gramEnd"/>
      <w:r w:rsidRPr="009F0033">
        <w:rPr>
          <w:rFonts w:ascii="Times New Roman" w:hAnsi="Times New Roman" w:cs="Times New Roman"/>
          <w:sz w:val="24"/>
          <w:szCs w:val="24"/>
        </w:rPr>
        <w:t xml:space="preserve"> goal.</w:t>
      </w:r>
    </w:p>
    <w:p w14:paraId="06E76261" w14:textId="77777777" w:rsidR="009F0033" w:rsidRPr="009F003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b/>
          <w:bCs/>
          <w:sz w:val="24"/>
          <w:szCs w:val="24"/>
        </w:rPr>
        <w:t>Phase 2:</w:t>
      </w:r>
      <w:r w:rsidRPr="009F0033">
        <w:rPr>
          <w:rFonts w:ascii="Times New Roman" w:hAnsi="Times New Roman" w:cs="Times New Roman"/>
          <w:sz w:val="24"/>
          <w:szCs w:val="24"/>
        </w:rPr>
        <w:t xml:space="preserve"> </w:t>
      </w:r>
      <w:r w:rsidRPr="007D404F">
        <w:rPr>
          <w:rFonts w:ascii="Times New Roman" w:hAnsi="Times New Roman" w:cs="Times New Roman"/>
          <w:b/>
          <w:bCs/>
          <w:sz w:val="24"/>
          <w:szCs w:val="24"/>
        </w:rPr>
        <w:t>Medium-Term Strategy - Technological Insurance and Trust (Month 6-12)</w:t>
      </w:r>
    </w:p>
    <w:p w14:paraId="75B5CED8" w14:textId="77777777" w:rsidR="009F0033" w:rsidRPr="009F003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sz w:val="24"/>
          <w:szCs w:val="24"/>
        </w:rPr>
        <w:t>Phase 2 should install superior controls on live systems. Amazon should apply standard model cards, do more logging and monitoring, have higher human approval of major decisions and introduce more transparent customer notification and erase routes. Enhanced templates of customers, data-handling standards and prompt security measures ought to strengthen Bedrock-related guidelines in AWS. This stage would be aimed at reducing operational exposure and increasing customer and regulator confidence.</w:t>
      </w:r>
    </w:p>
    <w:p w14:paraId="5ACD29BB" w14:textId="77777777" w:rsidR="009F0033" w:rsidRPr="007D404F" w:rsidRDefault="009F0033" w:rsidP="009F0033">
      <w:pPr>
        <w:spacing w:line="360" w:lineRule="auto"/>
        <w:jc w:val="both"/>
        <w:rPr>
          <w:rFonts w:ascii="Times New Roman" w:hAnsi="Times New Roman" w:cs="Times New Roman"/>
          <w:b/>
          <w:bCs/>
          <w:sz w:val="24"/>
          <w:szCs w:val="24"/>
        </w:rPr>
      </w:pPr>
      <w:r w:rsidRPr="009F0033">
        <w:rPr>
          <w:rFonts w:ascii="Times New Roman" w:hAnsi="Times New Roman" w:cs="Times New Roman"/>
          <w:b/>
          <w:bCs/>
          <w:sz w:val="24"/>
          <w:szCs w:val="24"/>
        </w:rPr>
        <w:t xml:space="preserve">Phase </w:t>
      </w:r>
      <w:r w:rsidRPr="007D404F">
        <w:rPr>
          <w:rFonts w:ascii="Times New Roman" w:hAnsi="Times New Roman" w:cs="Times New Roman"/>
          <w:b/>
          <w:bCs/>
          <w:sz w:val="24"/>
          <w:szCs w:val="24"/>
        </w:rPr>
        <w:t>3: Long-term vision - Regulatory Agility (Months 12-18)</w:t>
      </w:r>
    </w:p>
    <w:p w14:paraId="0BC6CF1E" w14:textId="43C2D871" w:rsidR="009F0033" w:rsidRPr="009F003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sz w:val="24"/>
          <w:szCs w:val="24"/>
        </w:rPr>
        <w:t xml:space="preserve">The third stage will be strategic resilience. Amazon should incorporate </w:t>
      </w:r>
      <w:r>
        <w:rPr>
          <w:rFonts w:ascii="Times New Roman" w:hAnsi="Times New Roman" w:cs="Times New Roman"/>
          <w:sz w:val="24"/>
          <w:szCs w:val="24"/>
        </w:rPr>
        <w:t>high-impact</w:t>
      </w:r>
      <w:r w:rsidRPr="009F0033">
        <w:rPr>
          <w:rFonts w:ascii="Times New Roman" w:hAnsi="Times New Roman" w:cs="Times New Roman"/>
          <w:sz w:val="24"/>
          <w:szCs w:val="24"/>
        </w:rPr>
        <w:t xml:space="preserve"> AI systems and </w:t>
      </w:r>
      <w:r>
        <w:rPr>
          <w:rFonts w:ascii="Times New Roman" w:hAnsi="Times New Roman" w:cs="Times New Roman"/>
          <w:sz w:val="24"/>
          <w:szCs w:val="24"/>
        </w:rPr>
        <w:t>a high-watermark</w:t>
      </w:r>
      <w:r w:rsidRPr="009F0033">
        <w:rPr>
          <w:rFonts w:ascii="Times New Roman" w:hAnsi="Times New Roman" w:cs="Times New Roman"/>
          <w:sz w:val="24"/>
          <w:szCs w:val="24"/>
        </w:rPr>
        <w:t xml:space="preserve"> compliance model </w:t>
      </w:r>
      <w:r>
        <w:rPr>
          <w:rFonts w:ascii="Times New Roman" w:hAnsi="Times New Roman" w:cs="Times New Roman"/>
          <w:sz w:val="24"/>
          <w:szCs w:val="24"/>
        </w:rPr>
        <w:t>that</w:t>
      </w:r>
      <w:r w:rsidRPr="009F0033">
        <w:rPr>
          <w:rFonts w:ascii="Times New Roman" w:hAnsi="Times New Roman" w:cs="Times New Roman"/>
          <w:sz w:val="24"/>
          <w:szCs w:val="24"/>
        </w:rPr>
        <w:t xml:space="preserve"> is robust enough to be applicable in the EU but not excessive to apply to UK and the US. It should also increase the management of its intellectual property, cross-country mapping and assurance of suppliers of key models and data by </w:t>
      </w:r>
      <w:r>
        <w:rPr>
          <w:rFonts w:ascii="Times New Roman" w:hAnsi="Times New Roman" w:cs="Times New Roman"/>
          <w:sz w:val="24"/>
          <w:szCs w:val="24"/>
        </w:rPr>
        <w:t>third parties</w:t>
      </w:r>
      <w:r w:rsidRPr="009F0033">
        <w:rPr>
          <w:rFonts w:ascii="Times New Roman" w:hAnsi="Times New Roman" w:cs="Times New Roman"/>
          <w:sz w:val="24"/>
          <w:szCs w:val="24"/>
        </w:rPr>
        <w:t>. This phase is interested in a transition of fragmented compliance to an enlarged corporate standard.</w:t>
      </w:r>
    </w:p>
    <w:p w14:paraId="65045FC1" w14:textId="723EB130" w:rsidR="009F0033" w:rsidRPr="009F003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b/>
          <w:bCs/>
          <w:sz w:val="24"/>
          <w:szCs w:val="24"/>
        </w:rPr>
        <w:t>Phase 4:</w:t>
      </w:r>
      <w:r w:rsidRPr="009F0033">
        <w:rPr>
          <w:rFonts w:ascii="Times New Roman" w:hAnsi="Times New Roman" w:cs="Times New Roman"/>
          <w:sz w:val="24"/>
          <w:szCs w:val="24"/>
        </w:rPr>
        <w:t xml:space="preserve"> </w:t>
      </w:r>
      <w:r w:rsidRPr="007D404F">
        <w:rPr>
          <w:rFonts w:ascii="Times New Roman" w:hAnsi="Times New Roman" w:cs="Times New Roman"/>
          <w:b/>
          <w:bCs/>
          <w:sz w:val="24"/>
          <w:szCs w:val="24"/>
        </w:rPr>
        <w:t>Monitoring and Key Performance Indicators (Month 18-24)</w:t>
      </w:r>
    </w:p>
    <w:p w14:paraId="0F179158" w14:textId="5D1A62D0" w:rsidR="00314E51" w:rsidRPr="003331F3" w:rsidRDefault="009F0033" w:rsidP="009F0033">
      <w:pPr>
        <w:spacing w:line="360" w:lineRule="auto"/>
        <w:jc w:val="both"/>
        <w:rPr>
          <w:rFonts w:ascii="Times New Roman" w:hAnsi="Times New Roman" w:cs="Times New Roman"/>
          <w:sz w:val="24"/>
          <w:szCs w:val="24"/>
        </w:rPr>
      </w:pPr>
      <w:r w:rsidRPr="009F0033">
        <w:rPr>
          <w:rFonts w:ascii="Times New Roman" w:hAnsi="Times New Roman" w:cs="Times New Roman"/>
          <w:sz w:val="24"/>
          <w:szCs w:val="24"/>
        </w:rPr>
        <w:t>Institutionalisation of continuous monitoring should be practised in phase 4. There should be periodic red team activities and routine reporting of AI risk signs through the core ERM system with the measurements of customer trust and environmental intensity measurements of compute-intensive workloads. This is to make sure that AI governance does not remain a fixed set of rules but a living and measurable</w:t>
      </w:r>
      <w:r>
        <w:rPr>
          <w:rFonts w:ascii="Times New Roman" w:hAnsi="Times New Roman" w:cs="Times New Roman"/>
          <w:sz w:val="24"/>
          <w:szCs w:val="24"/>
        </w:rPr>
        <w:t>,</w:t>
      </w:r>
      <w:r w:rsidRPr="009F0033">
        <w:rPr>
          <w:rFonts w:ascii="Times New Roman" w:hAnsi="Times New Roman" w:cs="Times New Roman"/>
          <w:sz w:val="24"/>
          <w:szCs w:val="24"/>
        </w:rPr>
        <w:t xml:space="preserve"> and flexible set.</w:t>
      </w:r>
    </w:p>
    <w:p w14:paraId="7B088D93" w14:textId="376C8270" w:rsidR="00953B81" w:rsidRPr="003331F3" w:rsidRDefault="00000000" w:rsidP="00952F7F">
      <w:pPr>
        <w:pStyle w:val="Heading1"/>
        <w:spacing w:line="360" w:lineRule="auto"/>
        <w:rPr>
          <w:color w:val="auto"/>
          <w:sz w:val="24"/>
          <w:szCs w:val="24"/>
        </w:rPr>
      </w:pPr>
      <w:bookmarkStart w:id="28" w:name="_Toc225166008"/>
      <w:r w:rsidRPr="003331F3">
        <w:rPr>
          <w:color w:val="auto"/>
          <w:sz w:val="24"/>
          <w:szCs w:val="24"/>
        </w:rPr>
        <w:lastRenderedPageBreak/>
        <w:t>4. Conclusion</w:t>
      </w:r>
      <w:bookmarkEnd w:id="28"/>
    </w:p>
    <w:p w14:paraId="3DCCBBAF" w14:textId="335C67D8" w:rsidR="00084ECE" w:rsidRDefault="00084ECE"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Artificial intelligence is broadening the strategic choices of Amazon, as well as increasing it towards legal, ethical, operational and reputational risk. The scale and cross-border data flows and platform integration are more advantageous to the company compared to many of its competitors because it is in the retail, cloud computing, and data infrastructure business. However, it is these strengths that cause governance failure to be more significant. As demonstrated in this report, the issue of AI in Amazon must be considered within the context of macro-economic and micro-economic parameters. The theory of international trade clarifies the reasons as to why data flows, standards and regulatory fragmentation are important to the competitive advantage. Micro-economic analysis reveals why AI has the potential to enable coordination costs to be lower, along with enhancing scale, but induces hidden costs in the form of over-centralisation, pressure on workers and loss of trust. Similarly, UK and the EU show that the technology can be regulated by applying very different institutional logics. The primary suggestion is obvious. Amazon needs to implement high-water-mark and enterprise-wide approach of high-impact AI systems, with greater data governance, documented ethical controls, articulate customer protections, ERM reporting built-in, and more grave focus on environmental intensity. That is the most plausible method of staying innovative as well as shielding market entry, validity and value generation over the long term.</w:t>
      </w:r>
    </w:p>
    <w:p w14:paraId="4CB88ED6" w14:textId="77777777" w:rsidR="00952F7F" w:rsidRDefault="00952F7F" w:rsidP="00952F7F">
      <w:pPr>
        <w:spacing w:line="360" w:lineRule="auto"/>
        <w:jc w:val="both"/>
        <w:rPr>
          <w:rFonts w:ascii="Times New Roman" w:hAnsi="Times New Roman" w:cs="Times New Roman"/>
          <w:sz w:val="24"/>
          <w:szCs w:val="24"/>
        </w:rPr>
      </w:pPr>
    </w:p>
    <w:p w14:paraId="134257C1" w14:textId="77777777" w:rsidR="00952F7F" w:rsidRDefault="00952F7F" w:rsidP="00952F7F">
      <w:pPr>
        <w:spacing w:line="360" w:lineRule="auto"/>
        <w:jc w:val="both"/>
        <w:rPr>
          <w:rFonts w:ascii="Times New Roman" w:hAnsi="Times New Roman" w:cs="Times New Roman"/>
          <w:sz w:val="24"/>
          <w:szCs w:val="24"/>
        </w:rPr>
      </w:pPr>
    </w:p>
    <w:p w14:paraId="2B6C6AAA" w14:textId="77777777" w:rsidR="00952F7F" w:rsidRDefault="00952F7F" w:rsidP="00952F7F">
      <w:pPr>
        <w:spacing w:line="360" w:lineRule="auto"/>
        <w:jc w:val="both"/>
        <w:rPr>
          <w:rFonts w:ascii="Times New Roman" w:hAnsi="Times New Roman" w:cs="Times New Roman"/>
          <w:sz w:val="24"/>
          <w:szCs w:val="24"/>
        </w:rPr>
      </w:pPr>
    </w:p>
    <w:p w14:paraId="5DEEC0D8" w14:textId="77777777" w:rsidR="00952F7F" w:rsidRDefault="00952F7F" w:rsidP="00952F7F">
      <w:pPr>
        <w:spacing w:line="360" w:lineRule="auto"/>
        <w:jc w:val="both"/>
        <w:rPr>
          <w:rFonts w:ascii="Times New Roman" w:hAnsi="Times New Roman" w:cs="Times New Roman"/>
          <w:sz w:val="24"/>
          <w:szCs w:val="24"/>
        </w:rPr>
      </w:pPr>
    </w:p>
    <w:p w14:paraId="0EB70449" w14:textId="6C4B2F74" w:rsidR="00314E51" w:rsidRPr="003331F3" w:rsidRDefault="00000000" w:rsidP="00952F7F">
      <w:pPr>
        <w:pStyle w:val="Heading1"/>
        <w:spacing w:line="360" w:lineRule="auto"/>
        <w:rPr>
          <w:color w:val="auto"/>
          <w:sz w:val="24"/>
          <w:szCs w:val="24"/>
        </w:rPr>
      </w:pPr>
      <w:bookmarkStart w:id="29" w:name="_Toc225166009"/>
      <w:r w:rsidRPr="003331F3">
        <w:rPr>
          <w:color w:val="auto"/>
          <w:sz w:val="24"/>
          <w:szCs w:val="24"/>
        </w:rPr>
        <w:t xml:space="preserve">5. </w:t>
      </w:r>
      <w:r w:rsidR="0054764A">
        <w:rPr>
          <w:color w:val="auto"/>
          <w:sz w:val="24"/>
          <w:szCs w:val="24"/>
        </w:rPr>
        <w:t>References</w:t>
      </w:r>
      <w:bookmarkEnd w:id="29"/>
    </w:p>
    <w:p w14:paraId="4F91D513"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Amazon (2026) </w:t>
      </w:r>
      <w:r w:rsidRPr="003331F3">
        <w:rPr>
          <w:rFonts w:ascii="Times New Roman" w:hAnsi="Times New Roman" w:cs="Times New Roman"/>
          <w:i/>
          <w:iCs/>
          <w:sz w:val="24"/>
          <w:szCs w:val="24"/>
        </w:rPr>
        <w:t>2024 Amazon Sustainability Report</w:t>
      </w:r>
      <w:r w:rsidRPr="003331F3">
        <w:rPr>
          <w:rFonts w:ascii="Times New Roman" w:hAnsi="Times New Roman" w:cs="Times New Roman"/>
          <w:sz w:val="24"/>
          <w:szCs w:val="24"/>
        </w:rPr>
        <w:t xml:space="preserve">. Available at: </w:t>
      </w:r>
      <w:hyperlink r:id="rId13" w:tgtFrame="_blank" w:history="1">
        <w:r w:rsidRPr="003331F3">
          <w:rPr>
            <w:rStyle w:val="Hyperlink"/>
            <w:rFonts w:ascii="Times New Roman" w:hAnsi="Times New Roman" w:cs="Times New Roman"/>
            <w:color w:val="auto"/>
            <w:sz w:val="24"/>
            <w:szCs w:val="24"/>
          </w:rPr>
          <w:t>https://sustainability.aboutamazon.com/2024-amazon-sustainability-report.pdf</w:t>
        </w:r>
      </w:hyperlink>
      <w:r w:rsidRPr="003331F3">
        <w:rPr>
          <w:rFonts w:ascii="Times New Roman" w:hAnsi="Times New Roman" w:cs="Times New Roman"/>
          <w:sz w:val="24"/>
          <w:szCs w:val="24"/>
        </w:rPr>
        <w:t xml:space="preserve"> (Accessed: 23 March 2026).</w:t>
      </w:r>
    </w:p>
    <w:p w14:paraId="28A82726"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lastRenderedPageBreak/>
        <w:t xml:space="preserve">Amazon.com, Inc. (2026a) </w:t>
      </w:r>
      <w:r w:rsidRPr="003331F3">
        <w:rPr>
          <w:rFonts w:ascii="Times New Roman" w:hAnsi="Times New Roman" w:cs="Times New Roman"/>
          <w:i/>
          <w:iCs/>
          <w:sz w:val="24"/>
          <w:szCs w:val="24"/>
        </w:rPr>
        <w:t>Amazon.com Announces Fourth Quarter Results</w:t>
      </w:r>
      <w:r w:rsidRPr="003331F3">
        <w:rPr>
          <w:rFonts w:ascii="Times New Roman" w:hAnsi="Times New Roman" w:cs="Times New Roman"/>
          <w:sz w:val="24"/>
          <w:szCs w:val="24"/>
        </w:rPr>
        <w:t xml:space="preserve">. 5 February. Available at: </w:t>
      </w:r>
      <w:hyperlink r:id="rId14" w:tgtFrame="_blank" w:history="1">
        <w:r w:rsidRPr="003331F3">
          <w:rPr>
            <w:rStyle w:val="Hyperlink"/>
            <w:rFonts w:ascii="Times New Roman" w:hAnsi="Times New Roman" w:cs="Times New Roman"/>
            <w:color w:val="auto"/>
            <w:sz w:val="24"/>
            <w:szCs w:val="24"/>
          </w:rPr>
          <w:t>https://ir.aboutamazon.com/news-release/news-release-details/2026/Amazon-com-Announces-Fourth-Quarter-Results/</w:t>
        </w:r>
      </w:hyperlink>
      <w:r w:rsidRPr="003331F3">
        <w:rPr>
          <w:rFonts w:ascii="Times New Roman" w:hAnsi="Times New Roman" w:cs="Times New Roman"/>
          <w:sz w:val="24"/>
          <w:szCs w:val="24"/>
        </w:rPr>
        <w:t xml:space="preserve"> (Accessed: 23 March 2026).</w:t>
      </w:r>
    </w:p>
    <w:p w14:paraId="55F2B033"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Amazon.com, Inc. (2026b) </w:t>
      </w:r>
      <w:r w:rsidRPr="003331F3">
        <w:rPr>
          <w:rFonts w:ascii="Times New Roman" w:hAnsi="Times New Roman" w:cs="Times New Roman"/>
          <w:i/>
          <w:iCs/>
          <w:sz w:val="24"/>
          <w:szCs w:val="24"/>
        </w:rPr>
        <w:t>Annual Report on Form 10-K for the fiscal year ended 31 December 2025</w:t>
      </w:r>
      <w:r w:rsidRPr="003331F3">
        <w:rPr>
          <w:rFonts w:ascii="Times New Roman" w:hAnsi="Times New Roman" w:cs="Times New Roman"/>
          <w:sz w:val="24"/>
          <w:szCs w:val="24"/>
        </w:rPr>
        <w:t xml:space="preserve">. Available at: </w:t>
      </w:r>
      <w:hyperlink r:id="rId15" w:tgtFrame="_blank" w:history="1">
        <w:r w:rsidRPr="003331F3">
          <w:rPr>
            <w:rStyle w:val="Hyperlink"/>
            <w:rFonts w:ascii="Times New Roman" w:hAnsi="Times New Roman" w:cs="Times New Roman"/>
            <w:color w:val="auto"/>
            <w:sz w:val="24"/>
            <w:szCs w:val="24"/>
          </w:rPr>
          <w:t>https://www.sec.gov/Archives/edgar/data/1018724/000101872426000004/amzn-20251231.htm</w:t>
        </w:r>
      </w:hyperlink>
      <w:r w:rsidRPr="003331F3">
        <w:rPr>
          <w:rFonts w:ascii="Times New Roman" w:hAnsi="Times New Roman" w:cs="Times New Roman"/>
          <w:sz w:val="24"/>
          <w:szCs w:val="24"/>
        </w:rPr>
        <w:t xml:space="preserve"> (Accessed: 23 March 2026).</w:t>
      </w:r>
    </w:p>
    <w:p w14:paraId="5A5E74BC"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Awad, N.F. and Krishnan, M.S. (2006) ‘The personalization privacy paradox: An empirical evaluation of information transparency and the willingness to be profiled online for personalization’, </w:t>
      </w:r>
      <w:r w:rsidRPr="003331F3">
        <w:rPr>
          <w:rFonts w:ascii="Times New Roman" w:hAnsi="Times New Roman" w:cs="Times New Roman"/>
          <w:i/>
          <w:iCs/>
          <w:sz w:val="24"/>
          <w:szCs w:val="24"/>
        </w:rPr>
        <w:t>MIS Quarterly</w:t>
      </w:r>
      <w:r w:rsidRPr="003331F3">
        <w:rPr>
          <w:rFonts w:ascii="Times New Roman" w:hAnsi="Times New Roman" w:cs="Times New Roman"/>
          <w:sz w:val="24"/>
          <w:szCs w:val="24"/>
        </w:rPr>
        <w:t>, 30(1), pp. 13-28.</w:t>
      </w:r>
    </w:p>
    <w:p w14:paraId="74B132D3"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AWS (n.d.a) </w:t>
      </w:r>
      <w:r w:rsidRPr="003331F3">
        <w:rPr>
          <w:rFonts w:ascii="Times New Roman" w:hAnsi="Times New Roman" w:cs="Times New Roman"/>
          <w:i/>
          <w:iCs/>
          <w:sz w:val="24"/>
          <w:szCs w:val="24"/>
        </w:rPr>
        <w:t>Amazon Bedrock security, privacy, and responsible AI</w:t>
      </w:r>
      <w:r w:rsidRPr="003331F3">
        <w:rPr>
          <w:rFonts w:ascii="Times New Roman" w:hAnsi="Times New Roman" w:cs="Times New Roman"/>
          <w:sz w:val="24"/>
          <w:szCs w:val="24"/>
        </w:rPr>
        <w:t xml:space="preserve">. Available at: </w:t>
      </w:r>
      <w:hyperlink r:id="rId16" w:tgtFrame="_blank" w:history="1">
        <w:r w:rsidRPr="003331F3">
          <w:rPr>
            <w:rStyle w:val="Hyperlink"/>
            <w:rFonts w:ascii="Times New Roman" w:hAnsi="Times New Roman" w:cs="Times New Roman"/>
            <w:color w:val="auto"/>
            <w:sz w:val="24"/>
            <w:szCs w:val="24"/>
          </w:rPr>
          <w:t>https://aws.amazon.com/bedrock/security-privacy-responsible-ai/</w:t>
        </w:r>
      </w:hyperlink>
      <w:r w:rsidRPr="003331F3">
        <w:rPr>
          <w:rFonts w:ascii="Times New Roman" w:hAnsi="Times New Roman" w:cs="Times New Roman"/>
          <w:sz w:val="24"/>
          <w:szCs w:val="24"/>
        </w:rPr>
        <w:t xml:space="preserve"> (Accessed: 23 March 2026).</w:t>
      </w:r>
    </w:p>
    <w:p w14:paraId="4CF7C36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AWS (n.d.b) </w:t>
      </w:r>
      <w:r w:rsidRPr="003331F3">
        <w:rPr>
          <w:rFonts w:ascii="Times New Roman" w:hAnsi="Times New Roman" w:cs="Times New Roman"/>
          <w:i/>
          <w:iCs/>
          <w:sz w:val="24"/>
          <w:szCs w:val="24"/>
        </w:rPr>
        <w:t>Shared Responsibility Model</w:t>
      </w:r>
      <w:r w:rsidRPr="003331F3">
        <w:rPr>
          <w:rFonts w:ascii="Times New Roman" w:hAnsi="Times New Roman" w:cs="Times New Roman"/>
          <w:sz w:val="24"/>
          <w:szCs w:val="24"/>
        </w:rPr>
        <w:t xml:space="preserve">. Available at: </w:t>
      </w:r>
      <w:hyperlink r:id="rId17" w:tgtFrame="_blank" w:history="1">
        <w:r w:rsidRPr="003331F3">
          <w:rPr>
            <w:rStyle w:val="Hyperlink"/>
            <w:rFonts w:ascii="Times New Roman" w:hAnsi="Times New Roman" w:cs="Times New Roman"/>
            <w:color w:val="auto"/>
            <w:sz w:val="24"/>
            <w:szCs w:val="24"/>
          </w:rPr>
          <w:t>https://aws.amazon.com/compliance/shared-responsibility-model/</w:t>
        </w:r>
      </w:hyperlink>
      <w:r w:rsidRPr="003331F3">
        <w:rPr>
          <w:rFonts w:ascii="Times New Roman" w:hAnsi="Times New Roman" w:cs="Times New Roman"/>
          <w:sz w:val="24"/>
          <w:szCs w:val="24"/>
        </w:rPr>
        <w:t xml:space="preserve"> (Accessed: 23 March 2026).</w:t>
      </w:r>
    </w:p>
    <w:p w14:paraId="580F74D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AWS (n.d.c) </w:t>
      </w:r>
      <w:r w:rsidRPr="003331F3">
        <w:rPr>
          <w:rFonts w:ascii="Times New Roman" w:hAnsi="Times New Roman" w:cs="Times New Roman"/>
          <w:i/>
          <w:iCs/>
          <w:sz w:val="24"/>
          <w:szCs w:val="24"/>
        </w:rPr>
        <w:t>Responsible AI: From principles to practice</w:t>
      </w:r>
      <w:r w:rsidRPr="003331F3">
        <w:rPr>
          <w:rFonts w:ascii="Times New Roman" w:hAnsi="Times New Roman" w:cs="Times New Roman"/>
          <w:sz w:val="24"/>
          <w:szCs w:val="24"/>
        </w:rPr>
        <w:t xml:space="preserve">. Available at: </w:t>
      </w:r>
      <w:hyperlink r:id="rId18" w:tgtFrame="_blank" w:history="1">
        <w:r w:rsidRPr="003331F3">
          <w:rPr>
            <w:rStyle w:val="Hyperlink"/>
            <w:rFonts w:ascii="Times New Roman" w:hAnsi="Times New Roman" w:cs="Times New Roman"/>
            <w:color w:val="auto"/>
            <w:sz w:val="24"/>
            <w:szCs w:val="24"/>
          </w:rPr>
          <w:t>https://aws.amazon.com/ai/responsible-ai/</w:t>
        </w:r>
      </w:hyperlink>
      <w:r w:rsidRPr="003331F3">
        <w:rPr>
          <w:rFonts w:ascii="Times New Roman" w:hAnsi="Times New Roman" w:cs="Times New Roman"/>
          <w:sz w:val="24"/>
          <w:szCs w:val="24"/>
        </w:rPr>
        <w:t xml:space="preserve"> (Accessed: 23 March 2026).</w:t>
      </w:r>
    </w:p>
    <w:p w14:paraId="64017D8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AWS (n.d.d) </w:t>
      </w:r>
      <w:r w:rsidRPr="003331F3">
        <w:rPr>
          <w:rFonts w:ascii="Times New Roman" w:hAnsi="Times New Roman" w:cs="Times New Roman"/>
          <w:i/>
          <w:iCs/>
          <w:sz w:val="24"/>
          <w:szCs w:val="24"/>
        </w:rPr>
        <w:t>AWS Sustainable Infrastructure</w:t>
      </w:r>
      <w:r w:rsidRPr="003331F3">
        <w:rPr>
          <w:rFonts w:ascii="Times New Roman" w:hAnsi="Times New Roman" w:cs="Times New Roman"/>
          <w:sz w:val="24"/>
          <w:szCs w:val="24"/>
        </w:rPr>
        <w:t xml:space="preserve">. Available at: </w:t>
      </w:r>
      <w:hyperlink r:id="rId19" w:tgtFrame="_blank" w:history="1">
        <w:r w:rsidRPr="003331F3">
          <w:rPr>
            <w:rStyle w:val="Hyperlink"/>
            <w:rFonts w:ascii="Times New Roman" w:hAnsi="Times New Roman" w:cs="Times New Roman"/>
            <w:color w:val="auto"/>
            <w:sz w:val="24"/>
            <w:szCs w:val="24"/>
          </w:rPr>
          <w:t>https://aws.amazon.com/sustainability/data-centers/</w:t>
        </w:r>
      </w:hyperlink>
      <w:r w:rsidRPr="003331F3">
        <w:rPr>
          <w:rFonts w:ascii="Times New Roman" w:hAnsi="Times New Roman" w:cs="Times New Roman"/>
          <w:sz w:val="24"/>
          <w:szCs w:val="24"/>
        </w:rPr>
        <w:t xml:space="preserve"> (Accessed: 23 March 2026).</w:t>
      </w:r>
    </w:p>
    <w:p w14:paraId="283A34DC"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Bradford, A. (2020) </w:t>
      </w:r>
      <w:r w:rsidRPr="003331F3">
        <w:rPr>
          <w:rFonts w:ascii="Times New Roman" w:hAnsi="Times New Roman" w:cs="Times New Roman"/>
          <w:i/>
          <w:iCs/>
          <w:sz w:val="24"/>
          <w:szCs w:val="24"/>
        </w:rPr>
        <w:t>The Brussels Effect: How the European Union Rules the World</w:t>
      </w:r>
      <w:r w:rsidRPr="003331F3">
        <w:rPr>
          <w:rFonts w:ascii="Times New Roman" w:hAnsi="Times New Roman" w:cs="Times New Roman"/>
          <w:sz w:val="24"/>
          <w:szCs w:val="24"/>
        </w:rPr>
        <w:t>. Oxford: Oxford University Press.</w:t>
      </w:r>
    </w:p>
    <w:p w14:paraId="5C0A9CF5"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Buolamwini, J. and Gebru, T. (2018) ‘Gender shades: Intersectional accuracy disparities in commercial gender classification’, </w:t>
      </w:r>
      <w:r w:rsidRPr="003331F3">
        <w:rPr>
          <w:rFonts w:ascii="Times New Roman" w:hAnsi="Times New Roman" w:cs="Times New Roman"/>
          <w:i/>
          <w:iCs/>
          <w:sz w:val="24"/>
          <w:szCs w:val="24"/>
        </w:rPr>
        <w:t>Proceedings of Machine Learning Research</w:t>
      </w:r>
      <w:r w:rsidRPr="003331F3">
        <w:rPr>
          <w:rFonts w:ascii="Times New Roman" w:hAnsi="Times New Roman" w:cs="Times New Roman"/>
          <w:sz w:val="24"/>
          <w:szCs w:val="24"/>
        </w:rPr>
        <w:t>, 81, pp. 1-15.</w:t>
      </w:r>
    </w:p>
    <w:p w14:paraId="1E34565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Cameron, L.D. (2024) ‘The Making of the “Good Bad” Job: How Algorithmic Management Manufactures Consent Through Constant and Confined Choices’, </w:t>
      </w:r>
      <w:r w:rsidRPr="003331F3">
        <w:rPr>
          <w:rFonts w:ascii="Times New Roman" w:hAnsi="Times New Roman" w:cs="Times New Roman"/>
          <w:i/>
          <w:iCs/>
          <w:sz w:val="24"/>
          <w:szCs w:val="24"/>
        </w:rPr>
        <w:t>Administrative Science Quarterly</w:t>
      </w:r>
      <w:r w:rsidRPr="003331F3">
        <w:rPr>
          <w:rFonts w:ascii="Times New Roman" w:hAnsi="Times New Roman" w:cs="Times New Roman"/>
          <w:sz w:val="24"/>
          <w:szCs w:val="24"/>
        </w:rPr>
        <w:t>, 69, pp. 458-514. doi: 10.1177/00018392241236163.</w:t>
      </w:r>
    </w:p>
    <w:p w14:paraId="58E0502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Coase, R.H. (1937) ‘The nature of the firm’, </w:t>
      </w:r>
      <w:r w:rsidRPr="003331F3">
        <w:rPr>
          <w:rFonts w:ascii="Times New Roman" w:hAnsi="Times New Roman" w:cs="Times New Roman"/>
          <w:i/>
          <w:iCs/>
          <w:sz w:val="24"/>
          <w:szCs w:val="24"/>
        </w:rPr>
        <w:t>Economica</w:t>
      </w:r>
      <w:r w:rsidRPr="003331F3">
        <w:rPr>
          <w:rFonts w:ascii="Times New Roman" w:hAnsi="Times New Roman" w:cs="Times New Roman"/>
          <w:sz w:val="24"/>
          <w:szCs w:val="24"/>
        </w:rPr>
        <w:t>, 4(16), pp. 386-405.</w:t>
      </w:r>
    </w:p>
    <w:p w14:paraId="30706D4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lastRenderedPageBreak/>
        <w:t xml:space="preserve">Collins, P.M. and Atkinson, J. (2023) ‘Worker voice and algorithmic management in post-Brexit Britain’, </w:t>
      </w:r>
      <w:r w:rsidRPr="003331F3">
        <w:rPr>
          <w:rFonts w:ascii="Times New Roman" w:hAnsi="Times New Roman" w:cs="Times New Roman"/>
          <w:i/>
          <w:iCs/>
          <w:sz w:val="24"/>
          <w:szCs w:val="24"/>
        </w:rPr>
        <w:t>Transfer: European Review of Labour and Research</w:t>
      </w:r>
      <w:r w:rsidRPr="003331F3">
        <w:rPr>
          <w:rFonts w:ascii="Times New Roman" w:hAnsi="Times New Roman" w:cs="Times New Roman"/>
          <w:sz w:val="24"/>
          <w:szCs w:val="24"/>
        </w:rPr>
        <w:t>, 29(1), pp. 37-52. doi: 10.1177/10242589221143068.</w:t>
      </w:r>
    </w:p>
    <w:p w14:paraId="641DB0C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Dastin, J. (2018) ‘Amazon scraps secret AI recruiting tool that showed bias against women’, </w:t>
      </w:r>
      <w:r w:rsidRPr="003331F3">
        <w:rPr>
          <w:rFonts w:ascii="Times New Roman" w:hAnsi="Times New Roman" w:cs="Times New Roman"/>
          <w:i/>
          <w:iCs/>
          <w:sz w:val="24"/>
          <w:szCs w:val="24"/>
        </w:rPr>
        <w:t>Reuters</w:t>
      </w:r>
      <w:r w:rsidRPr="003331F3">
        <w:rPr>
          <w:rFonts w:ascii="Times New Roman" w:hAnsi="Times New Roman" w:cs="Times New Roman"/>
          <w:sz w:val="24"/>
          <w:szCs w:val="24"/>
        </w:rPr>
        <w:t xml:space="preserve">, 10 October. Available at: </w:t>
      </w:r>
      <w:hyperlink r:id="rId20" w:tgtFrame="_blank" w:history="1">
        <w:r w:rsidRPr="003331F3">
          <w:rPr>
            <w:rStyle w:val="Hyperlink"/>
            <w:rFonts w:ascii="Times New Roman" w:hAnsi="Times New Roman" w:cs="Times New Roman"/>
            <w:color w:val="auto"/>
            <w:sz w:val="24"/>
            <w:szCs w:val="24"/>
          </w:rPr>
          <w:t>https://www.reuters.com/article/us-amazon-com-jobs-automation-insight-idUSKCN1MK08G/</w:t>
        </w:r>
      </w:hyperlink>
      <w:r w:rsidRPr="003331F3">
        <w:rPr>
          <w:rFonts w:ascii="Times New Roman" w:hAnsi="Times New Roman" w:cs="Times New Roman"/>
          <w:sz w:val="24"/>
          <w:szCs w:val="24"/>
        </w:rPr>
        <w:t xml:space="preserve"> (Accessed: 23 March 2026).</w:t>
      </w:r>
    </w:p>
    <w:p w14:paraId="6212EC80"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Deane, F., Woolmer, E., Cao, S. and Tranter, K. (2024) ‘Trade in the Digital Age: Agreements to Mitigate Fragmentation’, </w:t>
      </w:r>
      <w:r w:rsidRPr="003331F3">
        <w:rPr>
          <w:rFonts w:ascii="Times New Roman" w:hAnsi="Times New Roman" w:cs="Times New Roman"/>
          <w:i/>
          <w:iCs/>
          <w:sz w:val="24"/>
          <w:szCs w:val="24"/>
        </w:rPr>
        <w:t>Asian Journal of International Law</w:t>
      </w:r>
      <w:r w:rsidRPr="003331F3">
        <w:rPr>
          <w:rFonts w:ascii="Times New Roman" w:hAnsi="Times New Roman" w:cs="Times New Roman"/>
          <w:sz w:val="24"/>
          <w:szCs w:val="24"/>
        </w:rPr>
        <w:t>, 14(1), pp. 1-26. doi: 10.1017/S204425132300036X.</w:t>
      </w:r>
    </w:p>
    <w:p w14:paraId="0B07C52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de Vries-Gao, A. (2026) ‘The carbon and water footprints of data centers and what this could mean for artificial intelligence’, </w:t>
      </w:r>
      <w:r w:rsidRPr="003331F3">
        <w:rPr>
          <w:rFonts w:ascii="Times New Roman" w:hAnsi="Times New Roman" w:cs="Times New Roman"/>
          <w:i/>
          <w:iCs/>
          <w:sz w:val="24"/>
          <w:szCs w:val="24"/>
        </w:rPr>
        <w:t>Patterns</w:t>
      </w:r>
      <w:r w:rsidRPr="003331F3">
        <w:rPr>
          <w:rFonts w:ascii="Times New Roman" w:hAnsi="Times New Roman" w:cs="Times New Roman"/>
          <w:sz w:val="24"/>
          <w:szCs w:val="24"/>
        </w:rPr>
        <w:t>, 7(1), 101430. doi: 10.1016/j.patter.2025.101430.</w:t>
      </w:r>
    </w:p>
    <w:p w14:paraId="4423ADD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European Commission (2025a) </w:t>
      </w:r>
      <w:r w:rsidRPr="003331F3">
        <w:rPr>
          <w:rFonts w:ascii="Times New Roman" w:hAnsi="Times New Roman" w:cs="Times New Roman"/>
          <w:i/>
          <w:iCs/>
          <w:sz w:val="24"/>
          <w:szCs w:val="24"/>
        </w:rPr>
        <w:t>AI Act</w:t>
      </w:r>
      <w:r w:rsidRPr="003331F3">
        <w:rPr>
          <w:rFonts w:ascii="Times New Roman" w:hAnsi="Times New Roman" w:cs="Times New Roman"/>
          <w:sz w:val="24"/>
          <w:szCs w:val="24"/>
        </w:rPr>
        <w:t xml:space="preserve">. Available at: </w:t>
      </w:r>
      <w:hyperlink r:id="rId21" w:tgtFrame="_blank" w:history="1">
        <w:r w:rsidRPr="003331F3">
          <w:rPr>
            <w:rStyle w:val="Hyperlink"/>
            <w:rFonts w:ascii="Times New Roman" w:hAnsi="Times New Roman" w:cs="Times New Roman"/>
            <w:color w:val="auto"/>
            <w:sz w:val="24"/>
            <w:szCs w:val="24"/>
          </w:rPr>
          <w:t>https://digital-strategy.ec.europa.eu/en/policies/regulatory-framework-ai</w:t>
        </w:r>
      </w:hyperlink>
      <w:r w:rsidRPr="003331F3">
        <w:rPr>
          <w:rFonts w:ascii="Times New Roman" w:hAnsi="Times New Roman" w:cs="Times New Roman"/>
          <w:sz w:val="24"/>
          <w:szCs w:val="24"/>
        </w:rPr>
        <w:t xml:space="preserve"> (Accessed: 23 March 2026).</w:t>
      </w:r>
    </w:p>
    <w:p w14:paraId="27D17CFB"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Federal Trade Commission (FTC) (2023) </w:t>
      </w:r>
      <w:r w:rsidRPr="003331F3">
        <w:rPr>
          <w:rFonts w:ascii="Times New Roman" w:hAnsi="Times New Roman" w:cs="Times New Roman"/>
          <w:i/>
          <w:iCs/>
          <w:sz w:val="24"/>
          <w:szCs w:val="24"/>
        </w:rPr>
        <w:t>FTC and DOJ Charge Amazon with Violating Children’s Privacy Law by Keeping Kids’ Alexa Voice Recordings Forever and Undermining Parents’ Deletion Requests</w:t>
      </w:r>
      <w:r w:rsidRPr="003331F3">
        <w:rPr>
          <w:rFonts w:ascii="Times New Roman" w:hAnsi="Times New Roman" w:cs="Times New Roman"/>
          <w:sz w:val="24"/>
          <w:szCs w:val="24"/>
        </w:rPr>
        <w:t xml:space="preserve">. Available at: </w:t>
      </w:r>
      <w:hyperlink r:id="rId22" w:tgtFrame="_blank" w:history="1">
        <w:r w:rsidRPr="003331F3">
          <w:rPr>
            <w:rStyle w:val="Hyperlink"/>
            <w:rFonts w:ascii="Times New Roman" w:hAnsi="Times New Roman" w:cs="Times New Roman"/>
            <w:color w:val="auto"/>
            <w:sz w:val="24"/>
            <w:szCs w:val="24"/>
          </w:rPr>
          <w:t>https://www.ftc.gov/news-events/news/press-releases/2023/05/ftc-doj-charge-amazon-violating-childrens-privacy-law-keeping-kids-alexa-voice-recordings-forever</w:t>
        </w:r>
      </w:hyperlink>
      <w:r w:rsidRPr="003331F3">
        <w:rPr>
          <w:rFonts w:ascii="Times New Roman" w:hAnsi="Times New Roman" w:cs="Times New Roman"/>
          <w:sz w:val="24"/>
          <w:szCs w:val="24"/>
        </w:rPr>
        <w:t xml:space="preserve"> (Accessed: 23 March 2026).</w:t>
      </w:r>
    </w:p>
    <w:p w14:paraId="2AB47B88"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Floridi, L., Cowls, J., Beltrametti, M., Chatila, R., Chazerand, P., Dignum, V., Luetge, C., Madelin, R., Pagallo, U., Rossi, F., Schafer, B., Valcke, P. and Vayena, E. (2018) ‘AI4People - An ethical framework for a good AI society: Opportunities, risks, principles, and recommendations’, </w:t>
      </w:r>
      <w:r w:rsidRPr="003331F3">
        <w:rPr>
          <w:rFonts w:ascii="Times New Roman" w:hAnsi="Times New Roman" w:cs="Times New Roman"/>
          <w:i/>
          <w:iCs/>
          <w:sz w:val="24"/>
          <w:szCs w:val="24"/>
        </w:rPr>
        <w:t>Minds and Machines</w:t>
      </w:r>
      <w:r w:rsidRPr="003331F3">
        <w:rPr>
          <w:rFonts w:ascii="Times New Roman" w:hAnsi="Times New Roman" w:cs="Times New Roman"/>
          <w:sz w:val="24"/>
          <w:szCs w:val="24"/>
        </w:rPr>
        <w:t>, 28(4), pp. 689-707.</w:t>
      </w:r>
    </w:p>
    <w:p w14:paraId="68F3DBC8"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O’Neil, C. (2016) </w:t>
      </w:r>
      <w:r w:rsidRPr="003331F3">
        <w:rPr>
          <w:rFonts w:ascii="Times New Roman" w:hAnsi="Times New Roman" w:cs="Times New Roman"/>
          <w:i/>
          <w:iCs/>
          <w:sz w:val="24"/>
          <w:szCs w:val="24"/>
        </w:rPr>
        <w:t>Weapons of Math Destruction</w:t>
      </w:r>
      <w:r w:rsidRPr="003331F3">
        <w:rPr>
          <w:rFonts w:ascii="Times New Roman" w:hAnsi="Times New Roman" w:cs="Times New Roman"/>
          <w:sz w:val="24"/>
          <w:szCs w:val="24"/>
        </w:rPr>
        <w:t>. New York: Crown.</w:t>
      </w:r>
    </w:p>
    <w:p w14:paraId="6E437D84"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Shapiro, C. and Varian, H.R. (1999) </w:t>
      </w:r>
      <w:r w:rsidRPr="003331F3">
        <w:rPr>
          <w:rFonts w:ascii="Times New Roman" w:hAnsi="Times New Roman" w:cs="Times New Roman"/>
          <w:i/>
          <w:iCs/>
          <w:sz w:val="24"/>
          <w:szCs w:val="24"/>
        </w:rPr>
        <w:t>Information Rules: A Strategic Guide to the Network Economy</w:t>
      </w:r>
      <w:r w:rsidRPr="003331F3">
        <w:rPr>
          <w:rFonts w:ascii="Times New Roman" w:hAnsi="Times New Roman" w:cs="Times New Roman"/>
          <w:sz w:val="24"/>
          <w:szCs w:val="24"/>
        </w:rPr>
        <w:t>. Boston, MA: Harvard Business School Press.</w:t>
      </w:r>
    </w:p>
    <w:p w14:paraId="2E332671"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Tabassi, E. (2023) </w:t>
      </w:r>
      <w:r w:rsidRPr="003331F3">
        <w:rPr>
          <w:rFonts w:ascii="Times New Roman" w:hAnsi="Times New Roman" w:cs="Times New Roman"/>
          <w:i/>
          <w:iCs/>
          <w:sz w:val="24"/>
          <w:szCs w:val="24"/>
        </w:rPr>
        <w:t>Artificial Intelligence Risk Management Framework (AI RMF 1.0)</w:t>
      </w:r>
      <w:r w:rsidRPr="003331F3">
        <w:rPr>
          <w:rFonts w:ascii="Times New Roman" w:hAnsi="Times New Roman" w:cs="Times New Roman"/>
          <w:sz w:val="24"/>
          <w:szCs w:val="24"/>
        </w:rPr>
        <w:t>. Gaithersburg, MD: National Institute of Standards and Technology. doi: 10.6028/NIST.AI.100-1.</w:t>
      </w:r>
    </w:p>
    <w:p w14:paraId="7B568FB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lastRenderedPageBreak/>
        <w:t xml:space="preserve">UK Government (2024) </w:t>
      </w:r>
      <w:r w:rsidRPr="003331F3">
        <w:rPr>
          <w:rFonts w:ascii="Times New Roman" w:hAnsi="Times New Roman" w:cs="Times New Roman"/>
          <w:i/>
          <w:iCs/>
          <w:sz w:val="24"/>
          <w:szCs w:val="24"/>
        </w:rPr>
        <w:t>A pro-innovation approach to AI regulation: government response</w:t>
      </w:r>
      <w:r w:rsidRPr="003331F3">
        <w:rPr>
          <w:rFonts w:ascii="Times New Roman" w:hAnsi="Times New Roman" w:cs="Times New Roman"/>
          <w:sz w:val="24"/>
          <w:szCs w:val="24"/>
        </w:rPr>
        <w:t xml:space="preserve">. Available at: </w:t>
      </w:r>
      <w:hyperlink r:id="rId23" w:tgtFrame="_blank" w:history="1">
        <w:r w:rsidRPr="003331F3">
          <w:rPr>
            <w:rStyle w:val="Hyperlink"/>
            <w:rFonts w:ascii="Times New Roman" w:hAnsi="Times New Roman" w:cs="Times New Roman"/>
            <w:color w:val="auto"/>
            <w:sz w:val="24"/>
            <w:szCs w:val="24"/>
          </w:rPr>
          <w:t>https://www.gov.uk/government/consultations/ai-regulation-a-pro-innovation-approach-policy-proposals/outcome/a-pro-innovation-approach-to-ai-regulation-government-response</w:t>
        </w:r>
      </w:hyperlink>
      <w:r w:rsidRPr="003331F3">
        <w:rPr>
          <w:rFonts w:ascii="Times New Roman" w:hAnsi="Times New Roman" w:cs="Times New Roman"/>
          <w:sz w:val="24"/>
          <w:szCs w:val="24"/>
        </w:rPr>
        <w:t xml:space="preserve"> (Accessed: 23 March 2026).</w:t>
      </w:r>
    </w:p>
    <w:p w14:paraId="42D386EA"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UK Government (2025a) </w:t>
      </w:r>
      <w:r w:rsidRPr="003331F3">
        <w:rPr>
          <w:rFonts w:ascii="Times New Roman" w:hAnsi="Times New Roman" w:cs="Times New Roman"/>
          <w:i/>
          <w:iCs/>
          <w:sz w:val="24"/>
          <w:szCs w:val="24"/>
        </w:rPr>
        <w:t>Government response on AI cyber security</w:t>
      </w:r>
      <w:r w:rsidRPr="003331F3">
        <w:rPr>
          <w:rFonts w:ascii="Times New Roman" w:hAnsi="Times New Roman" w:cs="Times New Roman"/>
          <w:sz w:val="24"/>
          <w:szCs w:val="24"/>
        </w:rPr>
        <w:t xml:space="preserve">. Available at: </w:t>
      </w:r>
      <w:hyperlink r:id="rId24" w:tgtFrame="_blank" w:history="1">
        <w:r w:rsidRPr="003331F3">
          <w:rPr>
            <w:rStyle w:val="Hyperlink"/>
            <w:rFonts w:ascii="Times New Roman" w:hAnsi="Times New Roman" w:cs="Times New Roman"/>
            <w:color w:val="auto"/>
            <w:sz w:val="24"/>
            <w:szCs w:val="24"/>
          </w:rPr>
          <w:t>https://www.gov.uk/government/calls-for-evidence/cyber-security-of-ai-a-call-for-views/outcome/government-response-on-the-cyber-security-of-ai</w:t>
        </w:r>
      </w:hyperlink>
      <w:r w:rsidRPr="003331F3">
        <w:rPr>
          <w:rFonts w:ascii="Times New Roman" w:hAnsi="Times New Roman" w:cs="Times New Roman"/>
          <w:sz w:val="24"/>
          <w:szCs w:val="24"/>
        </w:rPr>
        <w:t xml:space="preserve"> (Accessed: 23 March 2026).</w:t>
      </w:r>
    </w:p>
    <w:p w14:paraId="47EBA489"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UK Government (2025b) </w:t>
      </w:r>
      <w:r w:rsidRPr="003331F3">
        <w:rPr>
          <w:rFonts w:ascii="Times New Roman" w:hAnsi="Times New Roman" w:cs="Times New Roman"/>
          <w:i/>
          <w:iCs/>
          <w:sz w:val="24"/>
          <w:szCs w:val="24"/>
        </w:rPr>
        <w:t>Code of Practice for the Cyber Security of AI</w:t>
      </w:r>
      <w:r w:rsidRPr="003331F3">
        <w:rPr>
          <w:rFonts w:ascii="Times New Roman" w:hAnsi="Times New Roman" w:cs="Times New Roman"/>
          <w:sz w:val="24"/>
          <w:szCs w:val="24"/>
        </w:rPr>
        <w:t xml:space="preserve">. Available at: </w:t>
      </w:r>
      <w:hyperlink r:id="rId25" w:tgtFrame="_blank" w:history="1">
        <w:r w:rsidRPr="003331F3">
          <w:rPr>
            <w:rStyle w:val="Hyperlink"/>
            <w:rFonts w:ascii="Times New Roman" w:hAnsi="Times New Roman" w:cs="Times New Roman"/>
            <w:color w:val="auto"/>
            <w:sz w:val="24"/>
            <w:szCs w:val="24"/>
          </w:rPr>
          <w:t>https://www.gov.uk/government/publications/ai-cyber-security-code-of-practice/code-of-practice-for-the-cyber-security-of-ai</w:t>
        </w:r>
      </w:hyperlink>
      <w:r w:rsidRPr="003331F3">
        <w:rPr>
          <w:rFonts w:ascii="Times New Roman" w:hAnsi="Times New Roman" w:cs="Times New Roman"/>
          <w:sz w:val="24"/>
          <w:szCs w:val="24"/>
        </w:rPr>
        <w:t xml:space="preserve"> (Accessed: 23 March 2026).</w:t>
      </w:r>
    </w:p>
    <w:p w14:paraId="3613FA54"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UK Government (2026a) </w:t>
      </w:r>
      <w:r w:rsidRPr="003331F3">
        <w:rPr>
          <w:rFonts w:ascii="Times New Roman" w:hAnsi="Times New Roman" w:cs="Times New Roman"/>
          <w:i/>
          <w:iCs/>
          <w:sz w:val="24"/>
          <w:szCs w:val="24"/>
        </w:rPr>
        <w:t>AI Opportunities Action Plan: One Year On</w:t>
      </w:r>
      <w:r w:rsidRPr="003331F3">
        <w:rPr>
          <w:rFonts w:ascii="Times New Roman" w:hAnsi="Times New Roman" w:cs="Times New Roman"/>
          <w:sz w:val="24"/>
          <w:szCs w:val="24"/>
        </w:rPr>
        <w:t xml:space="preserve">. Available at: </w:t>
      </w:r>
      <w:hyperlink r:id="rId26" w:tgtFrame="_blank" w:history="1">
        <w:r w:rsidRPr="003331F3">
          <w:rPr>
            <w:rStyle w:val="Hyperlink"/>
            <w:rFonts w:ascii="Times New Roman" w:hAnsi="Times New Roman" w:cs="Times New Roman"/>
            <w:color w:val="auto"/>
            <w:sz w:val="24"/>
            <w:szCs w:val="24"/>
          </w:rPr>
          <w:t>https://www.gov.uk/government/publications/ai-opportunities-action-plan-one-year-on/ai-opportunities-action-plan-one-year-on</w:t>
        </w:r>
      </w:hyperlink>
      <w:r w:rsidRPr="003331F3">
        <w:rPr>
          <w:rFonts w:ascii="Times New Roman" w:hAnsi="Times New Roman" w:cs="Times New Roman"/>
          <w:sz w:val="24"/>
          <w:szCs w:val="24"/>
        </w:rPr>
        <w:t xml:space="preserve"> (Accessed: 23 March 2026).</w:t>
      </w:r>
    </w:p>
    <w:p w14:paraId="37774B32"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UK Government (2026b) </w:t>
      </w:r>
      <w:r w:rsidRPr="003331F3">
        <w:rPr>
          <w:rFonts w:ascii="Times New Roman" w:hAnsi="Times New Roman" w:cs="Times New Roman"/>
          <w:i/>
          <w:iCs/>
          <w:sz w:val="24"/>
          <w:szCs w:val="24"/>
        </w:rPr>
        <w:t>Report on Copyright and Artificial Intelligence</w:t>
      </w:r>
      <w:r w:rsidRPr="003331F3">
        <w:rPr>
          <w:rFonts w:ascii="Times New Roman" w:hAnsi="Times New Roman" w:cs="Times New Roman"/>
          <w:sz w:val="24"/>
          <w:szCs w:val="24"/>
        </w:rPr>
        <w:t xml:space="preserve">. Available at: </w:t>
      </w:r>
      <w:hyperlink r:id="rId27" w:tgtFrame="_blank" w:history="1">
        <w:r w:rsidRPr="003331F3">
          <w:rPr>
            <w:rStyle w:val="Hyperlink"/>
            <w:rFonts w:ascii="Times New Roman" w:hAnsi="Times New Roman" w:cs="Times New Roman"/>
            <w:color w:val="auto"/>
            <w:sz w:val="24"/>
            <w:szCs w:val="24"/>
          </w:rPr>
          <w:t>https://www.gov.uk/government/publications/report-on-copyright-and-artificial-intelligence</w:t>
        </w:r>
      </w:hyperlink>
      <w:r w:rsidRPr="003331F3">
        <w:rPr>
          <w:rFonts w:ascii="Times New Roman" w:hAnsi="Times New Roman" w:cs="Times New Roman"/>
          <w:sz w:val="24"/>
          <w:szCs w:val="24"/>
        </w:rPr>
        <w:t xml:space="preserve"> (Accessed: 23 March 2026).</w:t>
      </w:r>
    </w:p>
    <w:p w14:paraId="768C9F78"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Williamson, O.E. (1981) ‘The economics of organization: The transaction cost approach’, </w:t>
      </w:r>
      <w:r w:rsidRPr="003331F3">
        <w:rPr>
          <w:rFonts w:ascii="Times New Roman" w:hAnsi="Times New Roman" w:cs="Times New Roman"/>
          <w:i/>
          <w:iCs/>
          <w:sz w:val="24"/>
          <w:szCs w:val="24"/>
        </w:rPr>
        <w:t>American Journal of Sociology</w:t>
      </w:r>
      <w:r w:rsidRPr="003331F3">
        <w:rPr>
          <w:rFonts w:ascii="Times New Roman" w:hAnsi="Times New Roman" w:cs="Times New Roman"/>
          <w:sz w:val="24"/>
          <w:szCs w:val="24"/>
        </w:rPr>
        <w:t>, 87(3), pp. 548-577.</w:t>
      </w:r>
    </w:p>
    <w:p w14:paraId="0BCEA46D" w14:textId="77777777" w:rsidR="00290339" w:rsidRPr="003331F3" w:rsidRDefault="00290339" w:rsidP="00952F7F">
      <w:pPr>
        <w:spacing w:line="360" w:lineRule="auto"/>
        <w:jc w:val="both"/>
        <w:rPr>
          <w:rFonts w:ascii="Times New Roman" w:hAnsi="Times New Roman" w:cs="Times New Roman"/>
          <w:sz w:val="24"/>
          <w:szCs w:val="24"/>
        </w:rPr>
      </w:pPr>
      <w:r w:rsidRPr="003331F3">
        <w:rPr>
          <w:rFonts w:ascii="Times New Roman" w:hAnsi="Times New Roman" w:cs="Times New Roman"/>
          <w:sz w:val="24"/>
          <w:szCs w:val="24"/>
        </w:rPr>
        <w:t xml:space="preserve">Zuboff, S. (2019) </w:t>
      </w:r>
      <w:r w:rsidRPr="003331F3">
        <w:rPr>
          <w:rFonts w:ascii="Times New Roman" w:hAnsi="Times New Roman" w:cs="Times New Roman"/>
          <w:i/>
          <w:iCs/>
          <w:sz w:val="24"/>
          <w:szCs w:val="24"/>
        </w:rPr>
        <w:t>The Age of Surveillance Capitalism</w:t>
      </w:r>
      <w:r w:rsidRPr="003331F3">
        <w:rPr>
          <w:rFonts w:ascii="Times New Roman" w:hAnsi="Times New Roman" w:cs="Times New Roman"/>
          <w:sz w:val="24"/>
          <w:szCs w:val="24"/>
        </w:rPr>
        <w:t>. London: Profile Books.</w:t>
      </w:r>
    </w:p>
    <w:p w14:paraId="3F2F9BCE" w14:textId="602D93F4" w:rsidR="00314E51" w:rsidRPr="003331F3" w:rsidRDefault="00314E51" w:rsidP="00952F7F">
      <w:pPr>
        <w:spacing w:line="360" w:lineRule="auto"/>
        <w:jc w:val="both"/>
        <w:rPr>
          <w:rFonts w:ascii="Times New Roman" w:hAnsi="Times New Roman" w:cs="Times New Roman"/>
          <w:sz w:val="24"/>
          <w:szCs w:val="24"/>
        </w:rPr>
      </w:pPr>
    </w:p>
    <w:sectPr w:rsidR="00314E51" w:rsidRPr="003331F3" w:rsidSect="00F960DD">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D38E9" w14:textId="77777777" w:rsidR="00340BF2" w:rsidRDefault="00340BF2">
      <w:pPr>
        <w:spacing w:after="0" w:line="240" w:lineRule="auto"/>
      </w:pPr>
      <w:r>
        <w:separator/>
      </w:r>
    </w:p>
  </w:endnote>
  <w:endnote w:type="continuationSeparator" w:id="0">
    <w:p w14:paraId="7E686523" w14:textId="77777777" w:rsidR="00340BF2" w:rsidRDefault="00340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22E2" w14:textId="77777777" w:rsidR="00314E51" w:rsidRDefault="00000000">
    <w:pPr>
      <w:pStyle w:val="Footer"/>
      <w:jc w:val="center"/>
    </w:pPr>
    <w:r>
      <w:t xml:space="preserve">Page </w:t>
    </w:r>
    <w:r>
      <w:fldChar w:fldCharType="begin"/>
    </w:r>
    <w:r>
      <w:instrText>PAGE</w:instrText>
    </w:r>
    <w:r>
      <w:fldChar w:fldCharType="separate"/>
    </w:r>
    <w:r w:rsidR="00B976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0E974" w14:textId="77777777" w:rsidR="00340BF2" w:rsidRDefault="00340BF2">
      <w:pPr>
        <w:spacing w:after="0" w:line="240" w:lineRule="auto"/>
      </w:pPr>
      <w:r>
        <w:separator/>
      </w:r>
    </w:p>
  </w:footnote>
  <w:footnote w:type="continuationSeparator" w:id="0">
    <w:p w14:paraId="53574856" w14:textId="77777777" w:rsidR="00340BF2" w:rsidRDefault="00340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06091988">
    <w:abstractNumId w:val="8"/>
  </w:num>
  <w:num w:numId="2" w16cid:durableId="1655718935">
    <w:abstractNumId w:val="6"/>
  </w:num>
  <w:num w:numId="3" w16cid:durableId="1171067080">
    <w:abstractNumId w:val="5"/>
  </w:num>
  <w:num w:numId="4" w16cid:durableId="1094203468">
    <w:abstractNumId w:val="4"/>
  </w:num>
  <w:num w:numId="5" w16cid:durableId="1131360607">
    <w:abstractNumId w:val="7"/>
  </w:num>
  <w:num w:numId="6" w16cid:durableId="957837721">
    <w:abstractNumId w:val="3"/>
  </w:num>
  <w:num w:numId="7" w16cid:durableId="892696002">
    <w:abstractNumId w:val="2"/>
  </w:num>
  <w:num w:numId="8" w16cid:durableId="1037200405">
    <w:abstractNumId w:val="1"/>
  </w:num>
  <w:num w:numId="9" w16cid:durableId="9989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4ECE"/>
    <w:rsid w:val="000B379A"/>
    <w:rsid w:val="0015074B"/>
    <w:rsid w:val="00182524"/>
    <w:rsid w:val="0019665F"/>
    <w:rsid w:val="001F5CDF"/>
    <w:rsid w:val="00290339"/>
    <w:rsid w:val="0029639D"/>
    <w:rsid w:val="00301BD7"/>
    <w:rsid w:val="00314E51"/>
    <w:rsid w:val="003175B3"/>
    <w:rsid w:val="00326F90"/>
    <w:rsid w:val="003331F3"/>
    <w:rsid w:val="00340BF2"/>
    <w:rsid w:val="003A1F3A"/>
    <w:rsid w:val="003B41E7"/>
    <w:rsid w:val="0054764A"/>
    <w:rsid w:val="0057052A"/>
    <w:rsid w:val="00572BD5"/>
    <w:rsid w:val="0058312B"/>
    <w:rsid w:val="005A34DB"/>
    <w:rsid w:val="005B7FCD"/>
    <w:rsid w:val="005E3350"/>
    <w:rsid w:val="005F54E6"/>
    <w:rsid w:val="00681429"/>
    <w:rsid w:val="006A14CA"/>
    <w:rsid w:val="00705EF9"/>
    <w:rsid w:val="00766ECC"/>
    <w:rsid w:val="007D404F"/>
    <w:rsid w:val="007E04DF"/>
    <w:rsid w:val="008B7BAF"/>
    <w:rsid w:val="008F4E0E"/>
    <w:rsid w:val="00921499"/>
    <w:rsid w:val="009429B2"/>
    <w:rsid w:val="0094613C"/>
    <w:rsid w:val="00952F7F"/>
    <w:rsid w:val="00953B81"/>
    <w:rsid w:val="00977A4E"/>
    <w:rsid w:val="009F0033"/>
    <w:rsid w:val="00A406E0"/>
    <w:rsid w:val="00AA1D8D"/>
    <w:rsid w:val="00AC5D62"/>
    <w:rsid w:val="00B47730"/>
    <w:rsid w:val="00B513DB"/>
    <w:rsid w:val="00B7734A"/>
    <w:rsid w:val="00B97640"/>
    <w:rsid w:val="00BB5580"/>
    <w:rsid w:val="00BD43BC"/>
    <w:rsid w:val="00BE435B"/>
    <w:rsid w:val="00C2458B"/>
    <w:rsid w:val="00C441B3"/>
    <w:rsid w:val="00C60831"/>
    <w:rsid w:val="00C76A97"/>
    <w:rsid w:val="00CB0664"/>
    <w:rsid w:val="00D00157"/>
    <w:rsid w:val="00D12BE0"/>
    <w:rsid w:val="00D22396"/>
    <w:rsid w:val="00D23222"/>
    <w:rsid w:val="00D4295D"/>
    <w:rsid w:val="00D77BE0"/>
    <w:rsid w:val="00E06B59"/>
    <w:rsid w:val="00E21576"/>
    <w:rsid w:val="00E274A3"/>
    <w:rsid w:val="00E6069F"/>
    <w:rsid w:val="00F07433"/>
    <w:rsid w:val="00F43A02"/>
    <w:rsid w:val="00F5102E"/>
    <w:rsid w:val="00F960DD"/>
    <w:rsid w:val="00FC693F"/>
    <w:rsid w:val="00FC79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B3324C"/>
  <w14:defaultImageDpi w14:val="300"/>
  <w15:docId w15:val="{D1A5921B-4195-4D6E-857F-673BC3A5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eastAsia="Calibri" w:hAnsi="Aptos"/>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b/>
      <w:bCs/>
      <w:color w:val="2F549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6D8E"/>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90339"/>
    <w:rPr>
      <w:color w:val="0000FF" w:themeColor="hyperlink"/>
      <w:u w:val="single"/>
    </w:rPr>
  </w:style>
  <w:style w:type="character" w:styleId="UnresolvedMention">
    <w:name w:val="Unresolved Mention"/>
    <w:basedOn w:val="DefaultParagraphFont"/>
    <w:uiPriority w:val="99"/>
    <w:semiHidden/>
    <w:unhideWhenUsed/>
    <w:rsid w:val="00290339"/>
    <w:rPr>
      <w:color w:val="605E5C"/>
      <w:shd w:val="clear" w:color="auto" w:fill="E1DFDD"/>
    </w:rPr>
  </w:style>
  <w:style w:type="paragraph" w:styleId="TOC1">
    <w:name w:val="toc 1"/>
    <w:basedOn w:val="Normal"/>
    <w:next w:val="Normal"/>
    <w:autoRedefine/>
    <w:uiPriority w:val="39"/>
    <w:unhideWhenUsed/>
    <w:rsid w:val="00953B81"/>
    <w:pPr>
      <w:spacing w:after="100"/>
    </w:pPr>
  </w:style>
  <w:style w:type="paragraph" w:styleId="TOC2">
    <w:name w:val="toc 2"/>
    <w:basedOn w:val="Normal"/>
    <w:next w:val="Normal"/>
    <w:autoRedefine/>
    <w:uiPriority w:val="39"/>
    <w:unhideWhenUsed/>
    <w:rsid w:val="00953B81"/>
    <w:pPr>
      <w:spacing w:after="100"/>
      <w:ind w:left="220"/>
    </w:pPr>
  </w:style>
  <w:style w:type="paragraph" w:styleId="TOC3">
    <w:name w:val="toc 3"/>
    <w:basedOn w:val="Normal"/>
    <w:next w:val="Normal"/>
    <w:autoRedefine/>
    <w:uiPriority w:val="39"/>
    <w:unhideWhenUsed/>
    <w:rsid w:val="00953B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sustainability.aboutamazon.com/2024-amazon-sustainability-report.pdf" TargetMode="External"/><Relationship Id="rId18" Type="http://schemas.openxmlformats.org/officeDocument/2006/relationships/hyperlink" Target="https://aws.amazon.com/ai/responsible-ai/" TargetMode="External"/><Relationship Id="rId26" Type="http://schemas.openxmlformats.org/officeDocument/2006/relationships/hyperlink" Target="https://www.gov.uk/government/publications/ai-opportunities-action-plan-one-year-on/ai-opportunities-action-plan-one-year-on" TargetMode="External"/><Relationship Id="rId3" Type="http://schemas.openxmlformats.org/officeDocument/2006/relationships/styles" Target="styles.xml"/><Relationship Id="rId21" Type="http://schemas.openxmlformats.org/officeDocument/2006/relationships/hyperlink" Target="https://digital-strategy.ec.europa.eu/en/policies/regulatory-framework-ai"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aws.amazon.com/compliance/shared-responsibility-model/" TargetMode="External"/><Relationship Id="rId25" Type="http://schemas.openxmlformats.org/officeDocument/2006/relationships/hyperlink" Target="https://www.gov.uk/government/publications/ai-cyber-security-code-of-practice/code-of-practice-for-the-cyber-security-of-ai" TargetMode="External"/><Relationship Id="rId2" Type="http://schemas.openxmlformats.org/officeDocument/2006/relationships/numbering" Target="numbering.xml"/><Relationship Id="rId16" Type="http://schemas.openxmlformats.org/officeDocument/2006/relationships/hyperlink" Target="https://aws.amazon.com/bedrock/security-privacy-responsible-ai/" TargetMode="External"/><Relationship Id="rId20" Type="http://schemas.openxmlformats.org/officeDocument/2006/relationships/hyperlink" Target="https://www.reuters.com/article/us-amazon-com-jobs-automation-insight-idUSKCN1MK08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gov.uk/government/calls-for-evidence/cyber-security-of-ai-a-call-for-views/outcome/government-response-on-the-cyber-security-of-ai" TargetMode="External"/><Relationship Id="rId5" Type="http://schemas.openxmlformats.org/officeDocument/2006/relationships/webSettings" Target="webSettings.xml"/><Relationship Id="rId15" Type="http://schemas.openxmlformats.org/officeDocument/2006/relationships/hyperlink" Target="https://www.sec.gov/Archives/edgar/data/1018724/000101872426000004/amzn-20251231.htm" TargetMode="External"/><Relationship Id="rId23" Type="http://schemas.openxmlformats.org/officeDocument/2006/relationships/hyperlink" Target="https://www.gov.uk/government/consultations/ai-regulation-a-pro-innovation-approach-policy-proposals/outcome/a-pro-innovation-approach-to-ai-regulation-government-response" TargetMode="Externa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aws.amazon.com/sustainability/data-center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ir.aboutamazon.com/news-release/news-release-details/2026/Amazon-com-Announces-Fourth-Quarter-Results/" TargetMode="External"/><Relationship Id="rId22" Type="http://schemas.openxmlformats.org/officeDocument/2006/relationships/hyperlink" Target="https://www.ftc.gov/news-events/news/press-releases/2023/05/ftc-doj-charge-amazon-violating-childrens-privacy-law-keeping-kids-alexa-voice-recordings-forever" TargetMode="External"/><Relationship Id="rId27" Type="http://schemas.openxmlformats.org/officeDocument/2006/relationships/hyperlink" Target="https://www.gov.uk/government/publications/report-on-copyright-and-artificial-intelligence"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DFB733-FD02-4D87-8E95-5BB5F3BAAD3E}"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579284AF-4845-4381-99CC-DCAEC12D2530}">
      <dgm:prSet phldrT="[Text]"/>
      <dgm:spPr/>
      <dgm:t>
        <a:bodyPr/>
        <a:lstStyle/>
        <a:p>
          <a:pPr>
            <a:buNone/>
          </a:pPr>
          <a:r>
            <a:rPr lang="en-US" b="1">
              <a:latin typeface="Times New Roman" panose="02020603050405020304" pitchFamily="18" charset="0"/>
              <a:cs typeface="Times New Roman" panose="02020603050405020304" pitchFamily="18" charset="0"/>
            </a:rPr>
            <a:t>PESTLE</a:t>
          </a:r>
        </a:p>
      </dgm:t>
    </dgm:pt>
    <dgm:pt modelId="{CF9A777E-BF05-4D3F-8068-EAF4D5D6D939}" type="parTrans" cxnId="{8AC45213-8A53-4E6F-9338-EC837C88FCBE}">
      <dgm:prSet/>
      <dgm:spPr/>
      <dgm:t>
        <a:bodyPr/>
        <a:lstStyle/>
        <a:p>
          <a:endParaRPr lang="en-US"/>
        </a:p>
      </dgm:t>
    </dgm:pt>
    <dgm:pt modelId="{3E6D858B-3577-4748-AD1C-4598F4E56268}" type="sibTrans" cxnId="{8AC45213-8A53-4E6F-9338-EC837C88FCBE}">
      <dgm:prSet/>
      <dgm:spPr/>
      <dgm:t>
        <a:bodyPr/>
        <a:lstStyle/>
        <a:p>
          <a:endParaRPr lang="en-US"/>
        </a:p>
      </dgm:t>
    </dgm:pt>
    <dgm:pt modelId="{2025E602-7A4D-4C3F-90BC-0E687EF9D3CC}">
      <dgm:prSet phldrT="[Text]"/>
      <dgm:spPr/>
      <dgm:t>
        <a:bodyPr/>
        <a:lstStyle/>
        <a:p>
          <a:pPr>
            <a:buNone/>
          </a:pPr>
          <a:r>
            <a:rPr lang="en-US" b="1">
              <a:latin typeface="Times New Roman" panose="02020603050405020304" pitchFamily="18" charset="0"/>
              <a:cs typeface="Times New Roman" panose="02020603050405020304" pitchFamily="18" charset="0"/>
            </a:rPr>
            <a:t>Political</a:t>
          </a:r>
        </a:p>
      </dgm:t>
    </dgm:pt>
    <dgm:pt modelId="{271215AF-BE0F-4486-8EE0-303EC58D9066}" type="parTrans" cxnId="{C036205A-BEBF-4587-BA4E-DA0A20BE46E4}">
      <dgm:prSet/>
      <dgm:spPr/>
      <dgm:t>
        <a:bodyPr/>
        <a:lstStyle/>
        <a:p>
          <a:endParaRPr lang="en-US"/>
        </a:p>
      </dgm:t>
    </dgm:pt>
    <dgm:pt modelId="{28BEEA6B-8BBF-4750-A150-CE3F534ADEE9}" type="sibTrans" cxnId="{C036205A-BEBF-4587-BA4E-DA0A20BE46E4}">
      <dgm:prSet/>
      <dgm:spPr/>
      <dgm:t>
        <a:bodyPr/>
        <a:lstStyle/>
        <a:p>
          <a:endParaRPr lang="en-US"/>
        </a:p>
      </dgm:t>
    </dgm:pt>
    <dgm:pt modelId="{8FECEB76-0A0A-408C-AF79-2B0601C3721B}">
      <dgm:prSet phldrT="[Text]"/>
      <dgm:spPr/>
      <dgm:t>
        <a:bodyPr/>
        <a:lstStyle/>
        <a:p>
          <a:pPr>
            <a:buNone/>
          </a:pPr>
          <a:r>
            <a:rPr lang="en-US" b="1">
              <a:latin typeface="Times New Roman" panose="02020603050405020304" pitchFamily="18" charset="0"/>
              <a:cs typeface="Times New Roman" panose="02020603050405020304" pitchFamily="18" charset="0"/>
            </a:rPr>
            <a:t>Economic</a:t>
          </a:r>
        </a:p>
      </dgm:t>
    </dgm:pt>
    <dgm:pt modelId="{DAAF9F9D-243C-44F8-911F-09EDF4122A7E}" type="parTrans" cxnId="{8032CD03-107D-4468-B956-C09E8B384D48}">
      <dgm:prSet/>
      <dgm:spPr/>
      <dgm:t>
        <a:bodyPr/>
        <a:lstStyle/>
        <a:p>
          <a:endParaRPr lang="en-US"/>
        </a:p>
      </dgm:t>
    </dgm:pt>
    <dgm:pt modelId="{991FE46B-1C46-46AD-B46C-085C61A9B2E0}" type="sibTrans" cxnId="{8032CD03-107D-4468-B956-C09E8B384D48}">
      <dgm:prSet/>
      <dgm:spPr/>
      <dgm:t>
        <a:bodyPr/>
        <a:lstStyle/>
        <a:p>
          <a:endParaRPr lang="en-US"/>
        </a:p>
      </dgm:t>
    </dgm:pt>
    <dgm:pt modelId="{038F11DF-F927-4787-ABDB-820411B9B3D9}">
      <dgm:prSet phldrT="[Text]"/>
      <dgm:spPr/>
      <dgm:t>
        <a:bodyPr/>
        <a:lstStyle/>
        <a:p>
          <a:pPr>
            <a:buNone/>
          </a:pPr>
          <a:r>
            <a:rPr lang="en-US" b="1">
              <a:latin typeface="Times New Roman" panose="02020603050405020304" pitchFamily="18" charset="0"/>
              <a:cs typeface="Times New Roman" panose="02020603050405020304" pitchFamily="18" charset="0"/>
            </a:rPr>
            <a:t>Technological</a:t>
          </a:r>
        </a:p>
      </dgm:t>
    </dgm:pt>
    <dgm:pt modelId="{7B2AD2A3-1E5A-424D-9BCD-46FC0F7AF505}" type="parTrans" cxnId="{0DD6358A-FBDE-4CCC-980E-FB97AE60A74B}">
      <dgm:prSet/>
      <dgm:spPr/>
      <dgm:t>
        <a:bodyPr/>
        <a:lstStyle/>
        <a:p>
          <a:endParaRPr lang="en-US"/>
        </a:p>
      </dgm:t>
    </dgm:pt>
    <dgm:pt modelId="{31D10C00-2853-4340-925C-A1D214B81938}" type="sibTrans" cxnId="{0DD6358A-FBDE-4CCC-980E-FB97AE60A74B}">
      <dgm:prSet/>
      <dgm:spPr/>
      <dgm:t>
        <a:bodyPr/>
        <a:lstStyle/>
        <a:p>
          <a:endParaRPr lang="en-US"/>
        </a:p>
      </dgm:t>
    </dgm:pt>
    <dgm:pt modelId="{4E57BC82-B7BC-43A1-9D12-588F9F8B09A9}">
      <dgm:prSet phldrT="[Text]"/>
      <dgm:spPr/>
      <dgm:t>
        <a:bodyPr/>
        <a:lstStyle/>
        <a:p>
          <a:pPr>
            <a:buNone/>
          </a:pPr>
          <a:r>
            <a:rPr lang="en-US" b="1">
              <a:latin typeface="Times New Roman" panose="02020603050405020304" pitchFamily="18" charset="0"/>
              <a:cs typeface="Times New Roman" panose="02020603050405020304" pitchFamily="18" charset="0"/>
            </a:rPr>
            <a:t>Environmental</a:t>
          </a:r>
        </a:p>
      </dgm:t>
    </dgm:pt>
    <dgm:pt modelId="{3BE36E06-770B-42F4-BAA1-D9CA3AAD7401}" type="parTrans" cxnId="{AFAB85A2-5EDE-4E0D-ADD9-7177B9E1A089}">
      <dgm:prSet/>
      <dgm:spPr/>
      <dgm:t>
        <a:bodyPr/>
        <a:lstStyle/>
        <a:p>
          <a:endParaRPr lang="en-US"/>
        </a:p>
      </dgm:t>
    </dgm:pt>
    <dgm:pt modelId="{E5606A24-CF44-4C5D-86A5-5912597F176E}" type="sibTrans" cxnId="{AFAB85A2-5EDE-4E0D-ADD9-7177B9E1A089}">
      <dgm:prSet/>
      <dgm:spPr/>
      <dgm:t>
        <a:bodyPr/>
        <a:lstStyle/>
        <a:p>
          <a:endParaRPr lang="en-US"/>
        </a:p>
      </dgm:t>
    </dgm:pt>
    <dgm:pt modelId="{8036D2D6-1BD6-4B25-953A-746043CCEC03}">
      <dgm:prSet phldrT="[Text]"/>
      <dgm:spPr/>
      <dgm:t>
        <a:bodyPr/>
        <a:lstStyle/>
        <a:p>
          <a:pPr>
            <a:buNone/>
          </a:pPr>
          <a:r>
            <a:rPr lang="en-US" b="1">
              <a:latin typeface="Times New Roman" panose="02020603050405020304" pitchFamily="18" charset="0"/>
              <a:cs typeface="Times New Roman" panose="02020603050405020304" pitchFamily="18" charset="0"/>
            </a:rPr>
            <a:t>Social</a:t>
          </a:r>
        </a:p>
      </dgm:t>
    </dgm:pt>
    <dgm:pt modelId="{E9CE0CDD-10EC-4110-B125-13710A018951}" type="parTrans" cxnId="{6896F5F3-43B6-4094-BF44-77E9811953E0}">
      <dgm:prSet/>
      <dgm:spPr/>
      <dgm:t>
        <a:bodyPr/>
        <a:lstStyle/>
        <a:p>
          <a:endParaRPr lang="en-US"/>
        </a:p>
      </dgm:t>
    </dgm:pt>
    <dgm:pt modelId="{67E27ED9-78DA-4F3D-A171-26D342DDC5D9}" type="sibTrans" cxnId="{6896F5F3-43B6-4094-BF44-77E9811953E0}">
      <dgm:prSet/>
      <dgm:spPr/>
      <dgm:t>
        <a:bodyPr/>
        <a:lstStyle/>
        <a:p>
          <a:endParaRPr lang="en-US"/>
        </a:p>
      </dgm:t>
    </dgm:pt>
    <dgm:pt modelId="{1343D214-10D6-451C-8129-3D2B788D914B}">
      <dgm:prSet phldrT="[Text]" phldr="1"/>
      <dgm:spPr/>
      <dgm:t>
        <a:bodyPr/>
        <a:lstStyle/>
        <a:p>
          <a:endParaRPr lang="en-US"/>
        </a:p>
      </dgm:t>
    </dgm:pt>
    <dgm:pt modelId="{2E4E45DD-B6E0-443F-964E-A2E4E07CF192}" type="parTrans" cxnId="{85F8AABC-FC6E-488E-8A91-CDF7BB58EB26}">
      <dgm:prSet/>
      <dgm:spPr/>
      <dgm:t>
        <a:bodyPr/>
        <a:lstStyle/>
        <a:p>
          <a:endParaRPr lang="en-US"/>
        </a:p>
      </dgm:t>
    </dgm:pt>
    <dgm:pt modelId="{0017F3E9-5254-427F-8EB1-46972E023B6D}" type="sibTrans" cxnId="{85F8AABC-FC6E-488E-8A91-CDF7BB58EB26}">
      <dgm:prSet/>
      <dgm:spPr/>
      <dgm:t>
        <a:bodyPr/>
        <a:lstStyle/>
        <a:p>
          <a:endParaRPr lang="en-US"/>
        </a:p>
      </dgm:t>
    </dgm:pt>
    <dgm:pt modelId="{52E9544A-53A9-40DD-99A0-690B290611C9}">
      <dgm:prSet phldrT="[Text]" custT="1"/>
      <dgm:spPr/>
      <dgm:t>
        <a:bodyPr/>
        <a:lstStyle/>
        <a:p>
          <a:pPr>
            <a:buNone/>
          </a:pPr>
          <a:r>
            <a:rPr lang="en-US" sz="1100" b="1"/>
            <a:t>Legal</a:t>
          </a:r>
        </a:p>
      </dgm:t>
    </dgm:pt>
    <dgm:pt modelId="{81A1659A-EF7A-4F75-A2CC-978E6C5D882C}" type="parTrans" cxnId="{3608843A-CFE7-46A6-B410-82C56E2E8D3C}">
      <dgm:prSet/>
      <dgm:spPr/>
      <dgm:t>
        <a:bodyPr/>
        <a:lstStyle/>
        <a:p>
          <a:endParaRPr lang="en-US"/>
        </a:p>
      </dgm:t>
    </dgm:pt>
    <dgm:pt modelId="{A4EF5DB4-AD1C-419F-B584-0D57B5BD2E9D}" type="sibTrans" cxnId="{3608843A-CFE7-46A6-B410-82C56E2E8D3C}">
      <dgm:prSet/>
      <dgm:spPr/>
      <dgm:t>
        <a:bodyPr/>
        <a:lstStyle/>
        <a:p>
          <a:endParaRPr lang="en-US"/>
        </a:p>
      </dgm:t>
    </dgm:pt>
    <dgm:pt modelId="{E618EFD5-25CD-47CF-9EA3-A26E1284F70A}" type="pres">
      <dgm:prSet presAssocID="{87DFB733-FD02-4D87-8E95-5BB5F3BAAD3E}" presName="cycle" presStyleCnt="0">
        <dgm:presLayoutVars>
          <dgm:chMax val="1"/>
          <dgm:dir/>
          <dgm:animLvl val="ctr"/>
          <dgm:resizeHandles val="exact"/>
        </dgm:presLayoutVars>
      </dgm:prSet>
      <dgm:spPr/>
    </dgm:pt>
    <dgm:pt modelId="{09F6AA5E-A985-4685-B561-C9FF8F8DC5FA}" type="pres">
      <dgm:prSet presAssocID="{579284AF-4845-4381-99CC-DCAEC12D2530}" presName="centerShape" presStyleLbl="node0" presStyleIdx="0" presStyleCnt="1"/>
      <dgm:spPr/>
    </dgm:pt>
    <dgm:pt modelId="{B560780B-E5BA-4E92-9C21-69399441E66A}" type="pres">
      <dgm:prSet presAssocID="{271215AF-BE0F-4486-8EE0-303EC58D9066}" presName="Name9" presStyleLbl="parChTrans1D2" presStyleIdx="0" presStyleCnt="6"/>
      <dgm:spPr/>
    </dgm:pt>
    <dgm:pt modelId="{DCFB80CD-8D8C-4352-A543-04840DCC9AA0}" type="pres">
      <dgm:prSet presAssocID="{271215AF-BE0F-4486-8EE0-303EC58D9066}" presName="connTx" presStyleLbl="parChTrans1D2" presStyleIdx="0" presStyleCnt="6"/>
      <dgm:spPr/>
    </dgm:pt>
    <dgm:pt modelId="{DEF463E1-8CA9-473E-8CBD-DAAA909E6411}" type="pres">
      <dgm:prSet presAssocID="{2025E602-7A4D-4C3F-90BC-0E687EF9D3CC}" presName="node" presStyleLbl="node1" presStyleIdx="0" presStyleCnt="6">
        <dgm:presLayoutVars>
          <dgm:bulletEnabled val="1"/>
        </dgm:presLayoutVars>
      </dgm:prSet>
      <dgm:spPr/>
    </dgm:pt>
    <dgm:pt modelId="{23C3B868-E132-4FE5-8BBC-C48C1BB7CA2F}" type="pres">
      <dgm:prSet presAssocID="{DAAF9F9D-243C-44F8-911F-09EDF4122A7E}" presName="Name9" presStyleLbl="parChTrans1D2" presStyleIdx="1" presStyleCnt="6"/>
      <dgm:spPr/>
    </dgm:pt>
    <dgm:pt modelId="{55F4DBA7-FD3F-4427-973C-A534344CA5FC}" type="pres">
      <dgm:prSet presAssocID="{DAAF9F9D-243C-44F8-911F-09EDF4122A7E}" presName="connTx" presStyleLbl="parChTrans1D2" presStyleIdx="1" presStyleCnt="6"/>
      <dgm:spPr/>
    </dgm:pt>
    <dgm:pt modelId="{2BBE8F09-4F52-458D-A4AB-2294040C50F4}" type="pres">
      <dgm:prSet presAssocID="{8FECEB76-0A0A-408C-AF79-2B0601C3721B}" presName="node" presStyleLbl="node1" presStyleIdx="1" presStyleCnt="6">
        <dgm:presLayoutVars>
          <dgm:bulletEnabled val="1"/>
        </dgm:presLayoutVars>
      </dgm:prSet>
      <dgm:spPr/>
    </dgm:pt>
    <dgm:pt modelId="{3673E9C5-6315-4F9F-A875-055526C5618E}" type="pres">
      <dgm:prSet presAssocID="{E9CE0CDD-10EC-4110-B125-13710A018951}" presName="Name9" presStyleLbl="parChTrans1D2" presStyleIdx="2" presStyleCnt="6"/>
      <dgm:spPr/>
    </dgm:pt>
    <dgm:pt modelId="{5B9CD20B-A5F8-4508-AC30-C70FA4838FAC}" type="pres">
      <dgm:prSet presAssocID="{E9CE0CDD-10EC-4110-B125-13710A018951}" presName="connTx" presStyleLbl="parChTrans1D2" presStyleIdx="2" presStyleCnt="6"/>
      <dgm:spPr/>
    </dgm:pt>
    <dgm:pt modelId="{ECA33EC6-760C-4D08-A3CF-E6BCF3FB39AB}" type="pres">
      <dgm:prSet presAssocID="{8036D2D6-1BD6-4B25-953A-746043CCEC03}" presName="node" presStyleLbl="node1" presStyleIdx="2" presStyleCnt="6">
        <dgm:presLayoutVars>
          <dgm:bulletEnabled val="1"/>
        </dgm:presLayoutVars>
      </dgm:prSet>
      <dgm:spPr/>
    </dgm:pt>
    <dgm:pt modelId="{2B1ED985-C813-4C99-9E62-35A64686C3F0}" type="pres">
      <dgm:prSet presAssocID="{7B2AD2A3-1E5A-424D-9BCD-46FC0F7AF505}" presName="Name9" presStyleLbl="parChTrans1D2" presStyleIdx="3" presStyleCnt="6"/>
      <dgm:spPr/>
    </dgm:pt>
    <dgm:pt modelId="{94E3E6E1-3426-427E-BC1B-65351B693D99}" type="pres">
      <dgm:prSet presAssocID="{7B2AD2A3-1E5A-424D-9BCD-46FC0F7AF505}" presName="connTx" presStyleLbl="parChTrans1D2" presStyleIdx="3" presStyleCnt="6"/>
      <dgm:spPr/>
    </dgm:pt>
    <dgm:pt modelId="{22113620-3CE5-4088-A8BB-1703C4C0AD9B}" type="pres">
      <dgm:prSet presAssocID="{038F11DF-F927-4787-ABDB-820411B9B3D9}" presName="node" presStyleLbl="node1" presStyleIdx="3" presStyleCnt="6">
        <dgm:presLayoutVars>
          <dgm:bulletEnabled val="1"/>
        </dgm:presLayoutVars>
      </dgm:prSet>
      <dgm:spPr/>
    </dgm:pt>
    <dgm:pt modelId="{A77BBE2D-CE9B-4610-827E-096E1161603F}" type="pres">
      <dgm:prSet presAssocID="{81A1659A-EF7A-4F75-A2CC-978E6C5D882C}" presName="Name9" presStyleLbl="parChTrans1D2" presStyleIdx="4" presStyleCnt="6"/>
      <dgm:spPr/>
    </dgm:pt>
    <dgm:pt modelId="{30D30857-92CF-457D-A33A-2BA4938C6EA4}" type="pres">
      <dgm:prSet presAssocID="{81A1659A-EF7A-4F75-A2CC-978E6C5D882C}" presName="connTx" presStyleLbl="parChTrans1D2" presStyleIdx="4" presStyleCnt="6"/>
      <dgm:spPr/>
    </dgm:pt>
    <dgm:pt modelId="{BBF63418-F601-4FEA-9428-84E26E02B1D6}" type="pres">
      <dgm:prSet presAssocID="{52E9544A-53A9-40DD-99A0-690B290611C9}" presName="node" presStyleLbl="node1" presStyleIdx="4" presStyleCnt="6">
        <dgm:presLayoutVars>
          <dgm:bulletEnabled val="1"/>
        </dgm:presLayoutVars>
      </dgm:prSet>
      <dgm:spPr/>
    </dgm:pt>
    <dgm:pt modelId="{D8C6DE1E-C7EE-4718-848F-59F7416A3194}" type="pres">
      <dgm:prSet presAssocID="{3BE36E06-770B-42F4-BAA1-D9CA3AAD7401}" presName="Name9" presStyleLbl="parChTrans1D2" presStyleIdx="5" presStyleCnt="6"/>
      <dgm:spPr/>
    </dgm:pt>
    <dgm:pt modelId="{ABE7B283-DBD5-453A-B1B1-1C04A80AE347}" type="pres">
      <dgm:prSet presAssocID="{3BE36E06-770B-42F4-BAA1-D9CA3AAD7401}" presName="connTx" presStyleLbl="parChTrans1D2" presStyleIdx="5" presStyleCnt="6"/>
      <dgm:spPr/>
    </dgm:pt>
    <dgm:pt modelId="{D2DF96BA-14E7-4CE7-B5F4-A1A59A08F37E}" type="pres">
      <dgm:prSet presAssocID="{4E57BC82-B7BC-43A1-9D12-588F9F8B09A9}" presName="node" presStyleLbl="node1" presStyleIdx="5" presStyleCnt="6">
        <dgm:presLayoutVars>
          <dgm:bulletEnabled val="1"/>
        </dgm:presLayoutVars>
      </dgm:prSet>
      <dgm:spPr/>
    </dgm:pt>
  </dgm:ptLst>
  <dgm:cxnLst>
    <dgm:cxn modelId="{8032CD03-107D-4468-B956-C09E8B384D48}" srcId="{579284AF-4845-4381-99CC-DCAEC12D2530}" destId="{8FECEB76-0A0A-408C-AF79-2B0601C3721B}" srcOrd="1" destOrd="0" parTransId="{DAAF9F9D-243C-44F8-911F-09EDF4122A7E}" sibTransId="{991FE46B-1C46-46AD-B46C-085C61A9B2E0}"/>
    <dgm:cxn modelId="{8349D007-7AA2-483F-A58C-C4CE09EC2486}" type="presOf" srcId="{81A1659A-EF7A-4F75-A2CC-978E6C5D882C}" destId="{30D30857-92CF-457D-A33A-2BA4938C6EA4}" srcOrd="1" destOrd="0" presId="urn:microsoft.com/office/officeart/2005/8/layout/radial1"/>
    <dgm:cxn modelId="{BB47B908-B665-46B9-B10A-82805D8E3874}" type="presOf" srcId="{87DFB733-FD02-4D87-8E95-5BB5F3BAAD3E}" destId="{E618EFD5-25CD-47CF-9EA3-A26E1284F70A}" srcOrd="0" destOrd="0" presId="urn:microsoft.com/office/officeart/2005/8/layout/radial1"/>
    <dgm:cxn modelId="{8AC45213-8A53-4E6F-9338-EC837C88FCBE}" srcId="{87DFB733-FD02-4D87-8E95-5BB5F3BAAD3E}" destId="{579284AF-4845-4381-99CC-DCAEC12D2530}" srcOrd="0" destOrd="0" parTransId="{CF9A777E-BF05-4D3F-8068-EAF4D5D6D939}" sibTransId="{3E6D858B-3577-4748-AD1C-4598F4E56268}"/>
    <dgm:cxn modelId="{1C6EB122-1EC5-47BE-9D26-AD4BB99A0C44}" type="presOf" srcId="{3BE36E06-770B-42F4-BAA1-D9CA3AAD7401}" destId="{D8C6DE1E-C7EE-4718-848F-59F7416A3194}" srcOrd="0" destOrd="0" presId="urn:microsoft.com/office/officeart/2005/8/layout/radial1"/>
    <dgm:cxn modelId="{2A504F26-25AE-493C-B0A8-03C2CD63A8B2}" type="presOf" srcId="{271215AF-BE0F-4486-8EE0-303EC58D9066}" destId="{DCFB80CD-8D8C-4352-A543-04840DCC9AA0}" srcOrd="1" destOrd="0" presId="urn:microsoft.com/office/officeart/2005/8/layout/radial1"/>
    <dgm:cxn modelId="{D6EDDE2A-EB00-4849-A5DC-670B1016C51E}" type="presOf" srcId="{DAAF9F9D-243C-44F8-911F-09EDF4122A7E}" destId="{55F4DBA7-FD3F-4427-973C-A534344CA5FC}" srcOrd="1" destOrd="0" presId="urn:microsoft.com/office/officeart/2005/8/layout/radial1"/>
    <dgm:cxn modelId="{A2BC2832-50A1-44EC-8DF7-5EBE4FFC6969}" type="presOf" srcId="{81A1659A-EF7A-4F75-A2CC-978E6C5D882C}" destId="{A77BBE2D-CE9B-4610-827E-096E1161603F}" srcOrd="0" destOrd="0" presId="urn:microsoft.com/office/officeart/2005/8/layout/radial1"/>
    <dgm:cxn modelId="{DD755D32-B66B-4EA1-AAEC-594CF73049FC}" type="presOf" srcId="{8036D2D6-1BD6-4B25-953A-746043CCEC03}" destId="{ECA33EC6-760C-4D08-A3CF-E6BCF3FB39AB}" srcOrd="0" destOrd="0" presId="urn:microsoft.com/office/officeart/2005/8/layout/radial1"/>
    <dgm:cxn modelId="{BB4FDA32-7A23-423B-9069-4BC2A1BA34A2}" type="presOf" srcId="{038F11DF-F927-4787-ABDB-820411B9B3D9}" destId="{22113620-3CE5-4088-A8BB-1703C4C0AD9B}" srcOrd="0" destOrd="0" presId="urn:microsoft.com/office/officeart/2005/8/layout/radial1"/>
    <dgm:cxn modelId="{5A634534-DA63-4776-90E9-6B97EA3FAF97}" type="presOf" srcId="{52E9544A-53A9-40DD-99A0-690B290611C9}" destId="{BBF63418-F601-4FEA-9428-84E26E02B1D6}" srcOrd="0" destOrd="0" presId="urn:microsoft.com/office/officeart/2005/8/layout/radial1"/>
    <dgm:cxn modelId="{1A51A934-5EB8-4046-8A1C-47FB52B44218}" type="presOf" srcId="{DAAF9F9D-243C-44F8-911F-09EDF4122A7E}" destId="{23C3B868-E132-4FE5-8BBC-C48C1BB7CA2F}" srcOrd="0" destOrd="0" presId="urn:microsoft.com/office/officeart/2005/8/layout/radial1"/>
    <dgm:cxn modelId="{3608843A-CFE7-46A6-B410-82C56E2E8D3C}" srcId="{579284AF-4845-4381-99CC-DCAEC12D2530}" destId="{52E9544A-53A9-40DD-99A0-690B290611C9}" srcOrd="4" destOrd="0" parTransId="{81A1659A-EF7A-4F75-A2CC-978E6C5D882C}" sibTransId="{A4EF5DB4-AD1C-419F-B584-0D57B5BD2E9D}"/>
    <dgm:cxn modelId="{C036205A-BEBF-4587-BA4E-DA0A20BE46E4}" srcId="{579284AF-4845-4381-99CC-DCAEC12D2530}" destId="{2025E602-7A4D-4C3F-90BC-0E687EF9D3CC}" srcOrd="0" destOrd="0" parTransId="{271215AF-BE0F-4486-8EE0-303EC58D9066}" sibTransId="{28BEEA6B-8BBF-4750-A150-CE3F534ADEE9}"/>
    <dgm:cxn modelId="{04DBF585-6BC8-4FD7-B711-28DB8B4DC5C1}" type="presOf" srcId="{E9CE0CDD-10EC-4110-B125-13710A018951}" destId="{5B9CD20B-A5F8-4508-AC30-C70FA4838FAC}" srcOrd="1" destOrd="0" presId="urn:microsoft.com/office/officeart/2005/8/layout/radial1"/>
    <dgm:cxn modelId="{0DD6358A-FBDE-4CCC-980E-FB97AE60A74B}" srcId="{579284AF-4845-4381-99CC-DCAEC12D2530}" destId="{038F11DF-F927-4787-ABDB-820411B9B3D9}" srcOrd="3" destOrd="0" parTransId="{7B2AD2A3-1E5A-424D-9BCD-46FC0F7AF505}" sibTransId="{31D10C00-2853-4340-925C-A1D214B81938}"/>
    <dgm:cxn modelId="{9075408C-07CF-4110-A7B6-B557B64B26C0}" type="presOf" srcId="{7B2AD2A3-1E5A-424D-9BCD-46FC0F7AF505}" destId="{94E3E6E1-3426-427E-BC1B-65351B693D99}" srcOrd="1" destOrd="0" presId="urn:microsoft.com/office/officeart/2005/8/layout/radial1"/>
    <dgm:cxn modelId="{AFAB85A2-5EDE-4E0D-ADD9-7177B9E1A089}" srcId="{579284AF-4845-4381-99CC-DCAEC12D2530}" destId="{4E57BC82-B7BC-43A1-9D12-588F9F8B09A9}" srcOrd="5" destOrd="0" parTransId="{3BE36E06-770B-42F4-BAA1-D9CA3AAD7401}" sibTransId="{E5606A24-CF44-4C5D-86A5-5912597F176E}"/>
    <dgm:cxn modelId="{414484B7-CC26-4AEE-B1C2-F3D7100C5414}" type="presOf" srcId="{2025E602-7A4D-4C3F-90BC-0E687EF9D3CC}" destId="{DEF463E1-8CA9-473E-8CBD-DAAA909E6411}" srcOrd="0" destOrd="0" presId="urn:microsoft.com/office/officeart/2005/8/layout/radial1"/>
    <dgm:cxn modelId="{22B6B9B8-D95D-4E9A-8E14-C5B56775DCD6}" type="presOf" srcId="{3BE36E06-770B-42F4-BAA1-D9CA3AAD7401}" destId="{ABE7B283-DBD5-453A-B1B1-1C04A80AE347}" srcOrd="1" destOrd="0" presId="urn:microsoft.com/office/officeart/2005/8/layout/radial1"/>
    <dgm:cxn modelId="{85F8AABC-FC6E-488E-8A91-CDF7BB58EB26}" srcId="{87DFB733-FD02-4D87-8E95-5BB5F3BAAD3E}" destId="{1343D214-10D6-451C-8129-3D2B788D914B}" srcOrd="1" destOrd="0" parTransId="{2E4E45DD-B6E0-443F-964E-A2E4E07CF192}" sibTransId="{0017F3E9-5254-427F-8EB1-46972E023B6D}"/>
    <dgm:cxn modelId="{547488CF-03C9-4EFF-8FC2-2D25C441C2E9}" type="presOf" srcId="{271215AF-BE0F-4486-8EE0-303EC58D9066}" destId="{B560780B-E5BA-4E92-9C21-69399441E66A}" srcOrd="0" destOrd="0" presId="urn:microsoft.com/office/officeart/2005/8/layout/radial1"/>
    <dgm:cxn modelId="{D10DC1DA-830D-4FD3-9B37-F139F2239D3E}" type="presOf" srcId="{E9CE0CDD-10EC-4110-B125-13710A018951}" destId="{3673E9C5-6315-4F9F-A875-055526C5618E}" srcOrd="0" destOrd="0" presId="urn:microsoft.com/office/officeart/2005/8/layout/radial1"/>
    <dgm:cxn modelId="{3AF94CE7-7640-4D2E-AB34-7FD7E294DBC3}" type="presOf" srcId="{7B2AD2A3-1E5A-424D-9BCD-46FC0F7AF505}" destId="{2B1ED985-C813-4C99-9E62-35A64686C3F0}" srcOrd="0" destOrd="0" presId="urn:microsoft.com/office/officeart/2005/8/layout/radial1"/>
    <dgm:cxn modelId="{6B61A7EF-88AC-43D2-A4FA-656C7E638C8F}" type="presOf" srcId="{4E57BC82-B7BC-43A1-9D12-588F9F8B09A9}" destId="{D2DF96BA-14E7-4CE7-B5F4-A1A59A08F37E}" srcOrd="0" destOrd="0" presId="urn:microsoft.com/office/officeart/2005/8/layout/radial1"/>
    <dgm:cxn modelId="{6896F5F3-43B6-4094-BF44-77E9811953E0}" srcId="{579284AF-4845-4381-99CC-DCAEC12D2530}" destId="{8036D2D6-1BD6-4B25-953A-746043CCEC03}" srcOrd="2" destOrd="0" parTransId="{E9CE0CDD-10EC-4110-B125-13710A018951}" sibTransId="{67E27ED9-78DA-4F3D-A171-26D342DDC5D9}"/>
    <dgm:cxn modelId="{BB117EFA-CE6E-4DDF-B623-8E5EB4C0B465}" type="presOf" srcId="{579284AF-4845-4381-99CC-DCAEC12D2530}" destId="{09F6AA5E-A985-4685-B561-C9FF8F8DC5FA}" srcOrd="0" destOrd="0" presId="urn:microsoft.com/office/officeart/2005/8/layout/radial1"/>
    <dgm:cxn modelId="{AF8733FD-B7CC-47F4-9407-AFB4191B1336}" type="presOf" srcId="{8FECEB76-0A0A-408C-AF79-2B0601C3721B}" destId="{2BBE8F09-4F52-458D-A4AB-2294040C50F4}" srcOrd="0" destOrd="0" presId="urn:microsoft.com/office/officeart/2005/8/layout/radial1"/>
    <dgm:cxn modelId="{17F43C80-BD7F-42D4-8FB8-18EC5F203A3A}" type="presParOf" srcId="{E618EFD5-25CD-47CF-9EA3-A26E1284F70A}" destId="{09F6AA5E-A985-4685-B561-C9FF8F8DC5FA}" srcOrd="0" destOrd="0" presId="urn:microsoft.com/office/officeart/2005/8/layout/radial1"/>
    <dgm:cxn modelId="{DBFEEFC5-5119-4C26-80B4-10D761473925}" type="presParOf" srcId="{E618EFD5-25CD-47CF-9EA3-A26E1284F70A}" destId="{B560780B-E5BA-4E92-9C21-69399441E66A}" srcOrd="1" destOrd="0" presId="urn:microsoft.com/office/officeart/2005/8/layout/radial1"/>
    <dgm:cxn modelId="{6F1D1E7D-C9C7-4A35-BAEE-8A16CC0CB294}" type="presParOf" srcId="{B560780B-E5BA-4E92-9C21-69399441E66A}" destId="{DCFB80CD-8D8C-4352-A543-04840DCC9AA0}" srcOrd="0" destOrd="0" presId="urn:microsoft.com/office/officeart/2005/8/layout/radial1"/>
    <dgm:cxn modelId="{CD6AE6C5-294E-47B9-8779-82B020ED9E82}" type="presParOf" srcId="{E618EFD5-25CD-47CF-9EA3-A26E1284F70A}" destId="{DEF463E1-8CA9-473E-8CBD-DAAA909E6411}" srcOrd="2" destOrd="0" presId="urn:microsoft.com/office/officeart/2005/8/layout/radial1"/>
    <dgm:cxn modelId="{5DA073FB-406D-42C7-9AE6-28211445B6E8}" type="presParOf" srcId="{E618EFD5-25CD-47CF-9EA3-A26E1284F70A}" destId="{23C3B868-E132-4FE5-8BBC-C48C1BB7CA2F}" srcOrd="3" destOrd="0" presId="urn:microsoft.com/office/officeart/2005/8/layout/radial1"/>
    <dgm:cxn modelId="{58C629D8-D460-476E-AAA9-90CC9CB4AE69}" type="presParOf" srcId="{23C3B868-E132-4FE5-8BBC-C48C1BB7CA2F}" destId="{55F4DBA7-FD3F-4427-973C-A534344CA5FC}" srcOrd="0" destOrd="0" presId="urn:microsoft.com/office/officeart/2005/8/layout/radial1"/>
    <dgm:cxn modelId="{33C2DEDF-5854-4926-B13E-9507F433D44C}" type="presParOf" srcId="{E618EFD5-25CD-47CF-9EA3-A26E1284F70A}" destId="{2BBE8F09-4F52-458D-A4AB-2294040C50F4}" srcOrd="4" destOrd="0" presId="urn:microsoft.com/office/officeart/2005/8/layout/radial1"/>
    <dgm:cxn modelId="{D8153843-97BF-409E-A4FD-85F71B2E61A3}" type="presParOf" srcId="{E618EFD5-25CD-47CF-9EA3-A26E1284F70A}" destId="{3673E9C5-6315-4F9F-A875-055526C5618E}" srcOrd="5" destOrd="0" presId="urn:microsoft.com/office/officeart/2005/8/layout/radial1"/>
    <dgm:cxn modelId="{046CE3C6-76FE-48F2-9102-A90EAE8ABB25}" type="presParOf" srcId="{3673E9C5-6315-4F9F-A875-055526C5618E}" destId="{5B9CD20B-A5F8-4508-AC30-C70FA4838FAC}" srcOrd="0" destOrd="0" presId="urn:microsoft.com/office/officeart/2005/8/layout/radial1"/>
    <dgm:cxn modelId="{C60DE6C8-E787-4195-BDDC-982F148827BE}" type="presParOf" srcId="{E618EFD5-25CD-47CF-9EA3-A26E1284F70A}" destId="{ECA33EC6-760C-4D08-A3CF-E6BCF3FB39AB}" srcOrd="6" destOrd="0" presId="urn:microsoft.com/office/officeart/2005/8/layout/radial1"/>
    <dgm:cxn modelId="{A4342C69-0070-41CB-A704-18864F826C42}" type="presParOf" srcId="{E618EFD5-25CD-47CF-9EA3-A26E1284F70A}" destId="{2B1ED985-C813-4C99-9E62-35A64686C3F0}" srcOrd="7" destOrd="0" presId="urn:microsoft.com/office/officeart/2005/8/layout/radial1"/>
    <dgm:cxn modelId="{C8AE1312-3A83-43A7-BF4E-2E023893EECE}" type="presParOf" srcId="{2B1ED985-C813-4C99-9E62-35A64686C3F0}" destId="{94E3E6E1-3426-427E-BC1B-65351B693D99}" srcOrd="0" destOrd="0" presId="urn:microsoft.com/office/officeart/2005/8/layout/radial1"/>
    <dgm:cxn modelId="{18B75669-2AA5-45C7-8CC2-18CA68FCE499}" type="presParOf" srcId="{E618EFD5-25CD-47CF-9EA3-A26E1284F70A}" destId="{22113620-3CE5-4088-A8BB-1703C4C0AD9B}" srcOrd="8" destOrd="0" presId="urn:microsoft.com/office/officeart/2005/8/layout/radial1"/>
    <dgm:cxn modelId="{DFE98237-6489-453B-9B69-0CC739019B10}" type="presParOf" srcId="{E618EFD5-25CD-47CF-9EA3-A26E1284F70A}" destId="{A77BBE2D-CE9B-4610-827E-096E1161603F}" srcOrd="9" destOrd="0" presId="urn:microsoft.com/office/officeart/2005/8/layout/radial1"/>
    <dgm:cxn modelId="{FB5225ED-FA2D-47C6-A24E-7CDAC2D32211}" type="presParOf" srcId="{A77BBE2D-CE9B-4610-827E-096E1161603F}" destId="{30D30857-92CF-457D-A33A-2BA4938C6EA4}" srcOrd="0" destOrd="0" presId="urn:microsoft.com/office/officeart/2005/8/layout/radial1"/>
    <dgm:cxn modelId="{C4ED2C03-9197-4B07-A015-A424CF8506CC}" type="presParOf" srcId="{E618EFD5-25CD-47CF-9EA3-A26E1284F70A}" destId="{BBF63418-F601-4FEA-9428-84E26E02B1D6}" srcOrd="10" destOrd="0" presId="urn:microsoft.com/office/officeart/2005/8/layout/radial1"/>
    <dgm:cxn modelId="{18E3D6B7-495D-4941-929C-C9996DE8BD85}" type="presParOf" srcId="{E618EFD5-25CD-47CF-9EA3-A26E1284F70A}" destId="{D8C6DE1E-C7EE-4718-848F-59F7416A3194}" srcOrd="11" destOrd="0" presId="urn:microsoft.com/office/officeart/2005/8/layout/radial1"/>
    <dgm:cxn modelId="{834E7A67-6B30-4C80-B6D4-415705AD254F}" type="presParOf" srcId="{D8C6DE1E-C7EE-4718-848F-59F7416A3194}" destId="{ABE7B283-DBD5-453A-B1B1-1C04A80AE347}" srcOrd="0" destOrd="0" presId="urn:microsoft.com/office/officeart/2005/8/layout/radial1"/>
    <dgm:cxn modelId="{9CFCF63E-75C7-4BE2-BA1D-E531885E9676}" type="presParOf" srcId="{E618EFD5-25CD-47CF-9EA3-A26E1284F70A}" destId="{D2DF96BA-14E7-4CE7-B5F4-A1A59A08F37E}" srcOrd="12"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F6AA5E-A985-4685-B561-C9FF8F8DC5FA}">
      <dsp:nvSpPr>
        <dsp:cNvPr id="0" name=""/>
        <dsp:cNvSpPr/>
      </dsp:nvSpPr>
      <dsp:spPr>
        <a:xfrm>
          <a:off x="2148695" y="890050"/>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PESTLE</a:t>
          </a:r>
        </a:p>
      </dsp:txBody>
      <dsp:txXfrm>
        <a:off x="2248776" y="990131"/>
        <a:ext cx="483237" cy="483237"/>
      </dsp:txXfrm>
    </dsp:sp>
    <dsp:sp modelId="{B560780B-E5BA-4E92-9C21-69399441E66A}">
      <dsp:nvSpPr>
        <dsp:cNvPr id="0" name=""/>
        <dsp:cNvSpPr/>
      </dsp:nvSpPr>
      <dsp:spPr>
        <a:xfrm rot="16200000">
          <a:off x="2387583" y="774890"/>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85254" y="782098"/>
        <a:ext cx="10281" cy="10281"/>
      </dsp:txXfrm>
    </dsp:sp>
    <dsp:sp modelId="{DEF463E1-8CA9-473E-8CBD-DAAA909E6411}">
      <dsp:nvSpPr>
        <dsp:cNvPr id="0" name=""/>
        <dsp:cNvSpPr/>
      </dsp:nvSpPr>
      <dsp:spPr>
        <a:xfrm>
          <a:off x="2148695" y="1028"/>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Political</a:t>
          </a:r>
        </a:p>
      </dsp:txBody>
      <dsp:txXfrm>
        <a:off x="2248776" y="101109"/>
        <a:ext cx="483237" cy="483237"/>
      </dsp:txXfrm>
    </dsp:sp>
    <dsp:sp modelId="{23C3B868-E132-4FE5-8BBC-C48C1BB7CA2F}">
      <dsp:nvSpPr>
        <dsp:cNvPr id="0" name=""/>
        <dsp:cNvSpPr/>
      </dsp:nvSpPr>
      <dsp:spPr>
        <a:xfrm rot="19800000">
          <a:off x="2772542" y="997146"/>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70213" y="1004354"/>
        <a:ext cx="10281" cy="10281"/>
      </dsp:txXfrm>
    </dsp:sp>
    <dsp:sp modelId="{2BBE8F09-4F52-458D-A4AB-2294040C50F4}">
      <dsp:nvSpPr>
        <dsp:cNvPr id="0" name=""/>
        <dsp:cNvSpPr/>
      </dsp:nvSpPr>
      <dsp:spPr>
        <a:xfrm>
          <a:off x="2918611" y="445539"/>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Economic</a:t>
          </a:r>
        </a:p>
      </dsp:txBody>
      <dsp:txXfrm>
        <a:off x="3018692" y="545620"/>
        <a:ext cx="483237" cy="483237"/>
      </dsp:txXfrm>
    </dsp:sp>
    <dsp:sp modelId="{3673E9C5-6315-4F9F-A875-055526C5618E}">
      <dsp:nvSpPr>
        <dsp:cNvPr id="0" name=""/>
        <dsp:cNvSpPr/>
      </dsp:nvSpPr>
      <dsp:spPr>
        <a:xfrm rot="1800000">
          <a:off x="2772542" y="1441657"/>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70213" y="1448865"/>
        <a:ext cx="10281" cy="10281"/>
      </dsp:txXfrm>
    </dsp:sp>
    <dsp:sp modelId="{ECA33EC6-760C-4D08-A3CF-E6BCF3FB39AB}">
      <dsp:nvSpPr>
        <dsp:cNvPr id="0" name=""/>
        <dsp:cNvSpPr/>
      </dsp:nvSpPr>
      <dsp:spPr>
        <a:xfrm>
          <a:off x="2918611" y="1334562"/>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Social</a:t>
          </a:r>
        </a:p>
      </dsp:txBody>
      <dsp:txXfrm>
        <a:off x="3018692" y="1434643"/>
        <a:ext cx="483237" cy="483237"/>
      </dsp:txXfrm>
    </dsp:sp>
    <dsp:sp modelId="{2B1ED985-C813-4C99-9E62-35A64686C3F0}">
      <dsp:nvSpPr>
        <dsp:cNvPr id="0" name=""/>
        <dsp:cNvSpPr/>
      </dsp:nvSpPr>
      <dsp:spPr>
        <a:xfrm rot="5400000">
          <a:off x="2387583" y="1663913"/>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85254" y="1671121"/>
        <a:ext cx="10281" cy="10281"/>
      </dsp:txXfrm>
    </dsp:sp>
    <dsp:sp modelId="{22113620-3CE5-4088-A8BB-1703C4C0AD9B}">
      <dsp:nvSpPr>
        <dsp:cNvPr id="0" name=""/>
        <dsp:cNvSpPr/>
      </dsp:nvSpPr>
      <dsp:spPr>
        <a:xfrm>
          <a:off x="2148695" y="1779073"/>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Technological</a:t>
          </a:r>
        </a:p>
      </dsp:txBody>
      <dsp:txXfrm>
        <a:off x="2248776" y="1879154"/>
        <a:ext cx="483237" cy="483237"/>
      </dsp:txXfrm>
    </dsp:sp>
    <dsp:sp modelId="{A77BBE2D-CE9B-4610-827E-096E1161603F}">
      <dsp:nvSpPr>
        <dsp:cNvPr id="0" name=""/>
        <dsp:cNvSpPr/>
      </dsp:nvSpPr>
      <dsp:spPr>
        <a:xfrm rot="9000000">
          <a:off x="2002625" y="1441657"/>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00296" y="1448865"/>
        <a:ext cx="10281" cy="10281"/>
      </dsp:txXfrm>
    </dsp:sp>
    <dsp:sp modelId="{BBF63418-F601-4FEA-9428-84E26E02B1D6}">
      <dsp:nvSpPr>
        <dsp:cNvPr id="0" name=""/>
        <dsp:cNvSpPr/>
      </dsp:nvSpPr>
      <dsp:spPr>
        <a:xfrm>
          <a:off x="1378779" y="1334562"/>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t>Legal</a:t>
          </a:r>
        </a:p>
      </dsp:txBody>
      <dsp:txXfrm>
        <a:off x="1478860" y="1434643"/>
        <a:ext cx="483237" cy="483237"/>
      </dsp:txXfrm>
    </dsp:sp>
    <dsp:sp modelId="{D8C6DE1E-C7EE-4718-848F-59F7416A3194}">
      <dsp:nvSpPr>
        <dsp:cNvPr id="0" name=""/>
        <dsp:cNvSpPr/>
      </dsp:nvSpPr>
      <dsp:spPr>
        <a:xfrm rot="12600000">
          <a:off x="2002625" y="997146"/>
          <a:ext cx="205623" cy="24697"/>
        </a:xfrm>
        <a:custGeom>
          <a:avLst/>
          <a:gdLst/>
          <a:ahLst/>
          <a:cxnLst/>
          <a:rect l="0" t="0" r="0" b="0"/>
          <a:pathLst>
            <a:path>
              <a:moveTo>
                <a:pt x="0" y="12348"/>
              </a:moveTo>
              <a:lnTo>
                <a:pt x="205623" y="123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00296" y="1004354"/>
        <a:ext cx="10281" cy="10281"/>
      </dsp:txXfrm>
    </dsp:sp>
    <dsp:sp modelId="{D2DF96BA-14E7-4CE7-B5F4-A1A59A08F37E}">
      <dsp:nvSpPr>
        <dsp:cNvPr id="0" name=""/>
        <dsp:cNvSpPr/>
      </dsp:nvSpPr>
      <dsp:spPr>
        <a:xfrm>
          <a:off x="1378779" y="445539"/>
          <a:ext cx="683399" cy="683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Environmental</a:t>
          </a:r>
        </a:p>
      </dsp:txBody>
      <dsp:txXfrm>
        <a:off x="1478860" y="545620"/>
        <a:ext cx="483237" cy="4832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23DE7D-04E4-4FD4-96A1-59223C31B8C7}">
  <we:reference id="wa200000368" version="1.0.0.0" store="en-US" storeType="OMEX"/>
  <we:alternateReferences>
    <we:reference id="wa200000368" version="1.0.0.0" store="en-US" storeType="OMEX"/>
  </we:alternateReferences>
  <we:properties>
    <we:property name="documentId" value="&quot;9271e85b0b7fbbc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6776</Words>
  <Characters>38627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45313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Shahed Rayhan</dc:creator>
  <cp:keywords/>
  <dc:description>Global Business Challenges-docx</dc:description>
  <cp:lastModifiedBy>Shahed Rayhan</cp:lastModifiedBy>
  <cp:revision>3</cp:revision>
  <dcterms:created xsi:type="dcterms:W3CDTF">2026-04-14T20:32:00Z</dcterms:created>
  <dcterms:modified xsi:type="dcterms:W3CDTF">2026-04-15T22:34:00Z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55dbbfcc-e4fd-4522-8b3b-01e6275ecc10</vt:lpwstr>
  </property>
</Properties>
</file>