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B74A5" w14:textId="77777777" w:rsidR="00E274EB" w:rsidRDefault="00E274EB" w:rsidP="0022357C">
      <w:pPr>
        <w:spacing w:before="120" w:after="120"/>
        <w:jc w:val="center"/>
        <w:rPr>
          <w:rFonts w:ascii="Calibri" w:hAnsi="Calibri" w:cs="Calibri"/>
          <w:b/>
          <w:bCs/>
          <w:szCs w:val="22"/>
        </w:rPr>
      </w:pPr>
      <w:r>
        <w:rPr>
          <w:rFonts w:ascii="Calibri" w:hAnsi="Calibri" w:cs="Calibri"/>
          <w:b/>
          <w:bCs/>
          <w:szCs w:val="22"/>
        </w:rPr>
        <w:t>Business Report of IFRS</w:t>
      </w:r>
    </w:p>
    <w:p w14:paraId="1E800459" w14:textId="7B716C13" w:rsidR="00D70216" w:rsidRDefault="00D70216" w:rsidP="00E274EB">
      <w:pPr>
        <w:spacing w:before="120" w:after="120"/>
        <w:rPr>
          <w:rFonts w:ascii="Calibri" w:hAnsi="Calibri" w:cs="Calibri"/>
          <w:b/>
          <w:bCs/>
          <w:szCs w:val="22"/>
        </w:rPr>
      </w:pPr>
      <w:r>
        <w:rPr>
          <w:rFonts w:ascii="Calibri" w:hAnsi="Calibri" w:cs="Calibri"/>
          <w:b/>
          <w:bCs/>
          <w:szCs w:val="22"/>
        </w:rPr>
        <w:t>Student Name</w:t>
      </w:r>
      <w:r w:rsidRPr="00A0309A">
        <w:rPr>
          <w:rFonts w:ascii="Calibri" w:hAnsi="Calibri" w:cs="Calibri"/>
          <w:szCs w:val="22"/>
        </w:rPr>
        <w:t>: Buhari Jeng</w:t>
      </w:r>
      <w:r>
        <w:rPr>
          <w:rFonts w:ascii="Calibri" w:hAnsi="Calibri" w:cs="Calibri"/>
          <w:b/>
          <w:bCs/>
          <w:szCs w:val="22"/>
        </w:rPr>
        <w:t xml:space="preserve"> </w:t>
      </w:r>
    </w:p>
    <w:p w14:paraId="04FF96AF" w14:textId="292F814C" w:rsidR="00793D3E" w:rsidRPr="00A0309A" w:rsidRDefault="00793D3E" w:rsidP="00E274EB">
      <w:pPr>
        <w:spacing w:before="120" w:after="120"/>
        <w:rPr>
          <w:rFonts w:ascii="Calibri" w:hAnsi="Calibri" w:cs="Calibri"/>
          <w:szCs w:val="22"/>
        </w:rPr>
      </w:pPr>
      <w:r>
        <w:rPr>
          <w:rFonts w:ascii="Calibri" w:hAnsi="Calibri" w:cs="Calibri"/>
          <w:b/>
          <w:bCs/>
          <w:szCs w:val="22"/>
        </w:rPr>
        <w:t xml:space="preserve">Module: </w:t>
      </w:r>
      <w:r w:rsidRPr="00A0309A">
        <w:rPr>
          <w:rFonts w:ascii="Calibri" w:hAnsi="Calibri" w:cs="Calibri"/>
          <w:szCs w:val="22"/>
        </w:rPr>
        <w:t xml:space="preserve">Financial Reporting </w:t>
      </w:r>
    </w:p>
    <w:p w14:paraId="66019421" w14:textId="260A3C47" w:rsidR="00793D3E" w:rsidRPr="00A0309A" w:rsidRDefault="00793D3E" w:rsidP="00E274EB">
      <w:pPr>
        <w:spacing w:before="120" w:after="120"/>
        <w:rPr>
          <w:rFonts w:ascii="Calibri" w:hAnsi="Calibri" w:cs="Calibri"/>
          <w:szCs w:val="22"/>
        </w:rPr>
      </w:pPr>
      <w:r>
        <w:rPr>
          <w:rFonts w:ascii="Calibri" w:hAnsi="Calibri" w:cs="Calibri"/>
          <w:b/>
          <w:bCs/>
          <w:szCs w:val="22"/>
        </w:rPr>
        <w:t xml:space="preserve">Module Code: </w:t>
      </w:r>
      <w:r w:rsidRPr="00A0309A">
        <w:rPr>
          <w:rFonts w:ascii="Calibri" w:hAnsi="Calibri" w:cs="Calibri"/>
          <w:szCs w:val="22"/>
        </w:rPr>
        <w:t>BMBM5018</w:t>
      </w:r>
    </w:p>
    <w:p w14:paraId="6F43D991" w14:textId="231A2594" w:rsidR="00667D7F" w:rsidRPr="00A0309A" w:rsidRDefault="00667D7F" w:rsidP="00E274EB">
      <w:pPr>
        <w:spacing w:before="120" w:after="120"/>
        <w:rPr>
          <w:rFonts w:ascii="Calibri" w:hAnsi="Calibri" w:cs="Calibri"/>
          <w:szCs w:val="22"/>
        </w:rPr>
      </w:pPr>
      <w:r>
        <w:rPr>
          <w:rFonts w:ascii="Calibri" w:hAnsi="Calibri" w:cs="Calibri"/>
          <w:b/>
          <w:bCs/>
          <w:szCs w:val="22"/>
        </w:rPr>
        <w:t>Lectur</w:t>
      </w:r>
      <w:r w:rsidR="0022357C">
        <w:rPr>
          <w:rFonts w:ascii="Calibri" w:hAnsi="Calibri" w:cs="Calibri"/>
          <w:b/>
          <w:bCs/>
          <w:szCs w:val="22"/>
        </w:rPr>
        <w:t xml:space="preserve">er: </w:t>
      </w:r>
      <w:r w:rsidR="0022357C" w:rsidRPr="00A0309A">
        <w:rPr>
          <w:rFonts w:ascii="Calibri" w:hAnsi="Calibri" w:cs="Calibri"/>
          <w:szCs w:val="22"/>
        </w:rPr>
        <w:t>Badir Miftah</w:t>
      </w:r>
    </w:p>
    <w:p w14:paraId="06F4FD02" w14:textId="406B538A" w:rsidR="00D70216" w:rsidRDefault="00D70216" w:rsidP="00E274EB">
      <w:pPr>
        <w:spacing w:before="120" w:after="120"/>
        <w:rPr>
          <w:rFonts w:ascii="Calibri" w:hAnsi="Calibri" w:cs="Calibri"/>
          <w:b/>
          <w:bCs/>
          <w:szCs w:val="22"/>
        </w:rPr>
      </w:pPr>
      <w:r>
        <w:rPr>
          <w:rFonts w:ascii="Calibri" w:hAnsi="Calibri" w:cs="Calibri"/>
          <w:b/>
          <w:bCs/>
          <w:szCs w:val="22"/>
        </w:rPr>
        <w:t xml:space="preserve">Deadline: </w:t>
      </w:r>
      <w:r w:rsidRPr="00A0309A">
        <w:rPr>
          <w:rFonts w:ascii="Calibri" w:hAnsi="Calibri" w:cs="Calibri"/>
          <w:szCs w:val="22"/>
        </w:rPr>
        <w:t>12</w:t>
      </w:r>
      <w:r w:rsidR="00A0309A" w:rsidRPr="00A0309A">
        <w:rPr>
          <w:rFonts w:ascii="Calibri" w:hAnsi="Calibri" w:cs="Calibri"/>
          <w:szCs w:val="22"/>
          <w:vertAlign w:val="superscript"/>
        </w:rPr>
        <w:t>th</w:t>
      </w:r>
      <w:r w:rsidR="00A0309A" w:rsidRPr="00A0309A">
        <w:rPr>
          <w:rFonts w:ascii="Calibri" w:hAnsi="Calibri" w:cs="Calibri"/>
          <w:szCs w:val="22"/>
        </w:rPr>
        <w:t xml:space="preserve"> December 2025</w:t>
      </w:r>
    </w:p>
    <w:p w14:paraId="20E52DD0" w14:textId="77777777" w:rsidR="0022357C" w:rsidRDefault="0022357C" w:rsidP="00E274EB">
      <w:pPr>
        <w:spacing w:before="120" w:after="120"/>
        <w:rPr>
          <w:rFonts w:cs="Arial"/>
          <w:b/>
          <w:szCs w:val="22"/>
        </w:rPr>
      </w:pPr>
    </w:p>
    <w:p w14:paraId="7481AB01" w14:textId="77777777" w:rsidR="00A87FAA" w:rsidRDefault="00A87FAA" w:rsidP="003B06B5">
      <w:pPr>
        <w:spacing w:before="120" w:after="120"/>
        <w:rPr>
          <w:rFonts w:ascii="Calibri" w:hAnsi="Calibri" w:cs="Calibri"/>
          <w:b/>
          <w:bCs/>
          <w:szCs w:val="22"/>
        </w:rPr>
      </w:pPr>
    </w:p>
    <w:p w14:paraId="2D1CF788" w14:textId="77777777" w:rsidR="00A87FAA" w:rsidRDefault="00A87FAA" w:rsidP="003B06B5">
      <w:pPr>
        <w:spacing w:before="120" w:after="120"/>
        <w:rPr>
          <w:rFonts w:ascii="Calibri" w:hAnsi="Calibri" w:cs="Calibri"/>
          <w:b/>
          <w:bCs/>
          <w:szCs w:val="22"/>
        </w:rPr>
      </w:pPr>
    </w:p>
    <w:p w14:paraId="7726F88E" w14:textId="77777777" w:rsidR="00A87FAA" w:rsidRDefault="00A87FAA" w:rsidP="003B06B5">
      <w:pPr>
        <w:spacing w:before="120" w:after="120"/>
        <w:rPr>
          <w:rFonts w:ascii="Calibri" w:hAnsi="Calibri" w:cs="Calibri"/>
          <w:b/>
          <w:bCs/>
          <w:szCs w:val="22"/>
        </w:rPr>
      </w:pPr>
    </w:p>
    <w:p w14:paraId="64FC9B08" w14:textId="77777777" w:rsidR="00A87FAA" w:rsidRDefault="00A87FAA" w:rsidP="003B06B5">
      <w:pPr>
        <w:spacing w:before="120" w:after="120"/>
        <w:rPr>
          <w:rFonts w:ascii="Calibri" w:hAnsi="Calibri" w:cs="Calibri"/>
          <w:b/>
          <w:bCs/>
          <w:szCs w:val="22"/>
        </w:rPr>
      </w:pPr>
    </w:p>
    <w:p w14:paraId="750106D6" w14:textId="77777777" w:rsidR="00A87FAA" w:rsidRDefault="00A87FAA" w:rsidP="003B06B5">
      <w:pPr>
        <w:spacing w:before="120" w:after="120"/>
        <w:rPr>
          <w:rFonts w:ascii="Calibri" w:hAnsi="Calibri" w:cs="Calibri"/>
          <w:b/>
          <w:bCs/>
          <w:szCs w:val="22"/>
        </w:rPr>
      </w:pPr>
    </w:p>
    <w:p w14:paraId="448E55DF" w14:textId="77777777" w:rsidR="00A87FAA" w:rsidRDefault="00A87FAA" w:rsidP="003B06B5">
      <w:pPr>
        <w:spacing w:before="120" w:after="120"/>
        <w:rPr>
          <w:rFonts w:ascii="Calibri" w:hAnsi="Calibri" w:cs="Calibri"/>
          <w:b/>
          <w:bCs/>
          <w:szCs w:val="22"/>
        </w:rPr>
      </w:pPr>
    </w:p>
    <w:p w14:paraId="2B0C1F96" w14:textId="77777777" w:rsidR="00A87FAA" w:rsidRDefault="00A87FAA" w:rsidP="003B06B5">
      <w:pPr>
        <w:spacing w:before="120" w:after="120"/>
        <w:rPr>
          <w:rFonts w:ascii="Calibri" w:hAnsi="Calibri" w:cs="Calibri"/>
          <w:b/>
          <w:bCs/>
          <w:szCs w:val="22"/>
        </w:rPr>
      </w:pPr>
    </w:p>
    <w:p w14:paraId="141C5D15" w14:textId="77777777" w:rsidR="00A87FAA" w:rsidRDefault="00A87FAA" w:rsidP="003B06B5">
      <w:pPr>
        <w:spacing w:before="120" w:after="120"/>
        <w:rPr>
          <w:rFonts w:ascii="Calibri" w:hAnsi="Calibri" w:cs="Calibri"/>
          <w:b/>
          <w:bCs/>
          <w:szCs w:val="22"/>
        </w:rPr>
      </w:pPr>
    </w:p>
    <w:p w14:paraId="692A49A4" w14:textId="77777777" w:rsidR="00A87FAA" w:rsidRDefault="00A87FAA" w:rsidP="003B06B5">
      <w:pPr>
        <w:spacing w:before="120" w:after="120"/>
        <w:rPr>
          <w:rFonts w:ascii="Calibri" w:hAnsi="Calibri" w:cs="Calibri"/>
          <w:b/>
          <w:bCs/>
          <w:szCs w:val="22"/>
        </w:rPr>
      </w:pPr>
    </w:p>
    <w:p w14:paraId="49D303D3" w14:textId="77777777" w:rsidR="00A87FAA" w:rsidRDefault="00A87FAA" w:rsidP="003B06B5">
      <w:pPr>
        <w:spacing w:before="120" w:after="120"/>
        <w:rPr>
          <w:rFonts w:ascii="Calibri" w:hAnsi="Calibri" w:cs="Calibri"/>
          <w:b/>
          <w:bCs/>
          <w:szCs w:val="22"/>
        </w:rPr>
      </w:pPr>
    </w:p>
    <w:p w14:paraId="0FE4D2FE" w14:textId="77777777" w:rsidR="00A87FAA" w:rsidRDefault="00A87FAA" w:rsidP="003B06B5">
      <w:pPr>
        <w:spacing w:before="120" w:after="120"/>
        <w:rPr>
          <w:rFonts w:ascii="Calibri" w:hAnsi="Calibri" w:cs="Calibri"/>
          <w:b/>
          <w:bCs/>
          <w:szCs w:val="22"/>
        </w:rPr>
      </w:pPr>
    </w:p>
    <w:p w14:paraId="1F981565" w14:textId="77777777" w:rsidR="00A87FAA" w:rsidRDefault="00A87FAA" w:rsidP="003B06B5">
      <w:pPr>
        <w:spacing w:before="120" w:after="120"/>
        <w:rPr>
          <w:rFonts w:ascii="Calibri" w:hAnsi="Calibri" w:cs="Calibri"/>
          <w:b/>
          <w:bCs/>
          <w:szCs w:val="22"/>
        </w:rPr>
      </w:pPr>
    </w:p>
    <w:p w14:paraId="59F3FABA" w14:textId="77777777" w:rsidR="00A87FAA" w:rsidRDefault="00A87FAA" w:rsidP="003B06B5">
      <w:pPr>
        <w:spacing w:before="120" w:after="120"/>
        <w:rPr>
          <w:rFonts w:ascii="Calibri" w:hAnsi="Calibri" w:cs="Calibri"/>
          <w:b/>
          <w:bCs/>
          <w:szCs w:val="22"/>
        </w:rPr>
      </w:pPr>
    </w:p>
    <w:p w14:paraId="4D114F33" w14:textId="77777777" w:rsidR="00A87FAA" w:rsidRDefault="00A87FAA" w:rsidP="003B06B5">
      <w:pPr>
        <w:spacing w:before="120" w:after="120"/>
        <w:rPr>
          <w:rFonts w:ascii="Calibri" w:hAnsi="Calibri" w:cs="Calibri"/>
          <w:b/>
          <w:bCs/>
          <w:szCs w:val="22"/>
        </w:rPr>
      </w:pPr>
    </w:p>
    <w:p w14:paraId="39699AF5" w14:textId="77777777" w:rsidR="00A87FAA" w:rsidRDefault="00A87FAA" w:rsidP="003B06B5">
      <w:pPr>
        <w:spacing w:before="120" w:after="120"/>
        <w:rPr>
          <w:rFonts w:ascii="Calibri" w:hAnsi="Calibri" w:cs="Calibri"/>
          <w:b/>
          <w:bCs/>
          <w:szCs w:val="22"/>
        </w:rPr>
      </w:pPr>
    </w:p>
    <w:p w14:paraId="45504AFD" w14:textId="77777777" w:rsidR="00A87FAA" w:rsidRDefault="00A87FAA" w:rsidP="003B06B5">
      <w:pPr>
        <w:spacing w:before="120" w:after="120"/>
        <w:rPr>
          <w:rFonts w:ascii="Calibri" w:hAnsi="Calibri" w:cs="Calibri"/>
          <w:b/>
          <w:bCs/>
          <w:szCs w:val="22"/>
        </w:rPr>
      </w:pPr>
    </w:p>
    <w:p w14:paraId="6FCAF650" w14:textId="77777777" w:rsidR="00A87FAA" w:rsidRDefault="00A87FAA" w:rsidP="003B06B5">
      <w:pPr>
        <w:spacing w:before="120" w:after="120"/>
        <w:rPr>
          <w:rFonts w:ascii="Calibri" w:hAnsi="Calibri" w:cs="Calibri"/>
          <w:b/>
          <w:bCs/>
          <w:szCs w:val="22"/>
        </w:rPr>
      </w:pPr>
    </w:p>
    <w:p w14:paraId="506754D0" w14:textId="77777777" w:rsidR="00A87FAA" w:rsidRDefault="00A87FAA" w:rsidP="003B06B5">
      <w:pPr>
        <w:spacing w:before="120" w:after="120"/>
        <w:rPr>
          <w:rFonts w:ascii="Calibri" w:hAnsi="Calibri" w:cs="Calibri"/>
          <w:b/>
          <w:bCs/>
          <w:szCs w:val="22"/>
        </w:rPr>
      </w:pPr>
    </w:p>
    <w:p w14:paraId="18C6688D" w14:textId="77777777" w:rsidR="00A87FAA" w:rsidRDefault="00A87FAA" w:rsidP="003B06B5">
      <w:pPr>
        <w:spacing w:before="120" w:after="120"/>
        <w:rPr>
          <w:rFonts w:ascii="Calibri" w:hAnsi="Calibri" w:cs="Calibri"/>
          <w:b/>
          <w:bCs/>
          <w:szCs w:val="22"/>
        </w:rPr>
      </w:pPr>
    </w:p>
    <w:p w14:paraId="02A46EC3" w14:textId="77777777" w:rsidR="00A87FAA" w:rsidRDefault="00A87FAA" w:rsidP="003B06B5">
      <w:pPr>
        <w:spacing w:before="120" w:after="120"/>
        <w:rPr>
          <w:rFonts w:ascii="Calibri" w:hAnsi="Calibri" w:cs="Calibri"/>
          <w:b/>
          <w:bCs/>
          <w:szCs w:val="22"/>
        </w:rPr>
      </w:pPr>
    </w:p>
    <w:p w14:paraId="3ED6D624" w14:textId="77777777" w:rsidR="00A87FAA" w:rsidRDefault="00A87FAA" w:rsidP="003B06B5">
      <w:pPr>
        <w:spacing w:before="120" w:after="120"/>
        <w:rPr>
          <w:rFonts w:ascii="Calibri" w:hAnsi="Calibri" w:cs="Calibri"/>
          <w:b/>
          <w:bCs/>
          <w:szCs w:val="22"/>
        </w:rPr>
      </w:pPr>
    </w:p>
    <w:p w14:paraId="41DBDE9D" w14:textId="77777777" w:rsidR="00A87FAA" w:rsidRDefault="00A87FAA" w:rsidP="003B06B5">
      <w:pPr>
        <w:spacing w:before="120" w:after="120"/>
        <w:rPr>
          <w:rFonts w:ascii="Calibri" w:hAnsi="Calibri" w:cs="Calibri"/>
          <w:b/>
          <w:bCs/>
          <w:szCs w:val="22"/>
        </w:rPr>
      </w:pPr>
    </w:p>
    <w:p w14:paraId="196119DE" w14:textId="77777777" w:rsidR="00A0309A" w:rsidRDefault="00A0309A" w:rsidP="00C618F4">
      <w:pPr>
        <w:rPr>
          <w:rFonts w:ascii="Calibri" w:hAnsi="Calibri" w:cs="Calibri"/>
          <w:b/>
          <w:bCs/>
          <w:szCs w:val="22"/>
        </w:rPr>
      </w:pPr>
    </w:p>
    <w:p w14:paraId="49AED6EB" w14:textId="182D3543" w:rsidR="00C618F4" w:rsidRPr="00AF4572" w:rsidRDefault="00C618F4" w:rsidP="00C618F4">
      <w:pPr>
        <w:rPr>
          <w:b/>
          <w:bCs/>
        </w:rPr>
      </w:pPr>
      <w:r w:rsidRPr="00AF4572">
        <w:rPr>
          <w:b/>
          <w:bCs/>
        </w:rPr>
        <w:lastRenderedPageBreak/>
        <w:t>Executive Summary</w:t>
      </w:r>
    </w:p>
    <w:p w14:paraId="773AC726" w14:textId="5C8C4ED2" w:rsidR="0036578F" w:rsidRPr="0036578F" w:rsidRDefault="0036578F" w:rsidP="0036578F">
      <w:r w:rsidRPr="0036578F">
        <w:t>International Financial Reporting Standards (IFRS) are essential in shaping accounting practices globally, particularly in inventory reporting and long-term contracts. This report focuses on two key standards: IAS 2, which governs inventory reporting, and IFRS 15, which outlines revenue recognition for long-term contracts. These standards significantly enhance the comparability, transparency, and reliability of financial statements.</w:t>
      </w:r>
    </w:p>
    <w:p w14:paraId="31359468" w14:textId="5A42F518" w:rsidR="0036578F" w:rsidRPr="0036578F" w:rsidRDefault="0036578F" w:rsidP="0036578F">
      <w:r w:rsidRPr="0036578F">
        <w:t>Through real-world examples from both developed economies, such as the UK, and developing economies, like India, the report illustrates the practical impacts of IFRS on reporting practices. For instance, companies like Tesco in the UK demonstrate how adherence to IAS 2 leads to clearer inventory valuations, while Balfour Beatty showcases improved revenue reporting under IFRS 15.</w:t>
      </w:r>
    </w:p>
    <w:p w14:paraId="49C6D241" w14:textId="0764BF60" w:rsidR="0036578F" w:rsidRPr="0036578F" w:rsidRDefault="0036578F" w:rsidP="0036578F">
      <w:r w:rsidRPr="0036578F">
        <w:t>The report also discusses the benefits of adopting IFRS, including improved investor confidence and enhanced comparability across borders, which facilitates informed decision-making. However, it acknowledges the challenges businesses face during implementation, such as high compliance costs and the complexity of the standards. </w:t>
      </w:r>
    </w:p>
    <w:p w14:paraId="6B7CDAB5" w14:textId="77777777" w:rsidR="0036578F" w:rsidRPr="0036578F" w:rsidRDefault="0036578F" w:rsidP="0036578F">
      <w:r w:rsidRPr="0036578F">
        <w:t>Overall, the findings highlight the critical role of IFRS in promoting consistent financial reporting, which is vital for stakeholders. By ensuring reliable financial information, IFRS supports better decision-making processes, ultimately contributing to a more stable and trustworthy global financial environment.</w:t>
      </w:r>
    </w:p>
    <w:p w14:paraId="13573E81" w14:textId="77777777" w:rsidR="00A0309A" w:rsidRDefault="00A0309A" w:rsidP="00C618F4">
      <w:pPr>
        <w:rPr>
          <w:b/>
          <w:bCs/>
        </w:rPr>
      </w:pPr>
    </w:p>
    <w:p w14:paraId="127A228A" w14:textId="77777777" w:rsidR="00A0309A" w:rsidRDefault="00A0309A" w:rsidP="00C618F4">
      <w:pPr>
        <w:rPr>
          <w:b/>
          <w:bCs/>
        </w:rPr>
      </w:pPr>
    </w:p>
    <w:p w14:paraId="742DB269" w14:textId="77777777" w:rsidR="00A0309A" w:rsidRDefault="00A0309A" w:rsidP="00C618F4">
      <w:pPr>
        <w:rPr>
          <w:b/>
          <w:bCs/>
        </w:rPr>
      </w:pPr>
    </w:p>
    <w:p w14:paraId="7BBA2AB2" w14:textId="77777777" w:rsidR="00A0309A" w:rsidRDefault="00A0309A" w:rsidP="00C618F4">
      <w:pPr>
        <w:rPr>
          <w:b/>
          <w:bCs/>
        </w:rPr>
      </w:pPr>
    </w:p>
    <w:p w14:paraId="46ABBF39" w14:textId="77777777" w:rsidR="00A0309A" w:rsidRDefault="00A0309A" w:rsidP="00C618F4">
      <w:pPr>
        <w:rPr>
          <w:b/>
          <w:bCs/>
        </w:rPr>
      </w:pPr>
    </w:p>
    <w:p w14:paraId="6830BC50" w14:textId="77777777" w:rsidR="00A0309A" w:rsidRDefault="00A0309A" w:rsidP="00C618F4">
      <w:pPr>
        <w:rPr>
          <w:b/>
          <w:bCs/>
        </w:rPr>
      </w:pPr>
    </w:p>
    <w:p w14:paraId="3591E9D5" w14:textId="77777777" w:rsidR="00A0309A" w:rsidRDefault="00A0309A" w:rsidP="00C618F4">
      <w:pPr>
        <w:rPr>
          <w:b/>
          <w:bCs/>
        </w:rPr>
      </w:pPr>
    </w:p>
    <w:p w14:paraId="3F56D613" w14:textId="77777777" w:rsidR="00A0309A" w:rsidRDefault="00A0309A" w:rsidP="00C618F4">
      <w:pPr>
        <w:rPr>
          <w:b/>
          <w:bCs/>
        </w:rPr>
      </w:pPr>
    </w:p>
    <w:p w14:paraId="479FC1BC" w14:textId="77777777" w:rsidR="00A0309A" w:rsidRDefault="00A0309A" w:rsidP="00C618F4">
      <w:pPr>
        <w:rPr>
          <w:b/>
          <w:bCs/>
        </w:rPr>
      </w:pPr>
    </w:p>
    <w:p w14:paraId="3E4161E9" w14:textId="77777777" w:rsidR="00A0309A" w:rsidRDefault="00A0309A" w:rsidP="00C618F4">
      <w:pPr>
        <w:rPr>
          <w:b/>
          <w:bCs/>
        </w:rPr>
      </w:pPr>
    </w:p>
    <w:p w14:paraId="15D4971F" w14:textId="77777777" w:rsidR="00A0309A" w:rsidRDefault="00A0309A" w:rsidP="00C618F4">
      <w:pPr>
        <w:rPr>
          <w:b/>
          <w:bCs/>
        </w:rPr>
      </w:pPr>
    </w:p>
    <w:p w14:paraId="4481249B" w14:textId="77777777" w:rsidR="00A0309A" w:rsidRDefault="00A0309A" w:rsidP="00C618F4">
      <w:pPr>
        <w:rPr>
          <w:b/>
          <w:bCs/>
        </w:rPr>
      </w:pPr>
    </w:p>
    <w:p w14:paraId="56E422F5" w14:textId="77777777" w:rsidR="007723ED" w:rsidRDefault="007723ED" w:rsidP="00C618F4">
      <w:pPr>
        <w:rPr>
          <w:b/>
          <w:bCs/>
        </w:rPr>
      </w:pPr>
    </w:p>
    <w:p w14:paraId="41178F45" w14:textId="77777777" w:rsidR="007723ED" w:rsidRDefault="007723ED" w:rsidP="00C618F4">
      <w:pPr>
        <w:rPr>
          <w:b/>
          <w:bCs/>
        </w:rPr>
      </w:pPr>
      <w:r>
        <w:rPr>
          <w:b/>
          <w:bCs/>
        </w:rPr>
        <w:t xml:space="preserve">Table of Content </w:t>
      </w:r>
    </w:p>
    <w:p w14:paraId="675AE623" w14:textId="77777777" w:rsidR="00A4710D" w:rsidRPr="00D6177C" w:rsidRDefault="00A4710D" w:rsidP="00A4710D">
      <w:pPr>
        <w:rPr>
          <w:lang w:val="en-US"/>
        </w:rPr>
      </w:pPr>
    </w:p>
    <w:p w14:paraId="253BAB80" w14:textId="2C441DDB" w:rsidR="00A4710D" w:rsidRPr="008B0B60" w:rsidRDefault="00A4710D" w:rsidP="00A4710D">
      <w:pPr>
        <w:rPr>
          <w:rFonts w:ascii="Arial" w:hAnsi="Arial" w:cs="Arial"/>
          <w:lang w:val="en-US"/>
        </w:rPr>
      </w:pPr>
      <w:r w:rsidRPr="008B0B60">
        <w:rPr>
          <w:rFonts w:ascii="Arial" w:hAnsi="Arial" w:cs="Arial"/>
          <w:lang w:val="en-US"/>
        </w:rPr>
        <w:t xml:space="preserve">Executive Summary ………………………………………………………………… </w:t>
      </w:r>
      <w:r w:rsidR="00A15E6A">
        <w:rPr>
          <w:rFonts w:ascii="Arial" w:hAnsi="Arial" w:cs="Arial"/>
          <w:lang w:val="en-US"/>
        </w:rPr>
        <w:t>2</w:t>
      </w:r>
    </w:p>
    <w:p w14:paraId="7D2F1EB8" w14:textId="6183FF89" w:rsidR="00A4710D" w:rsidRPr="008B0B60" w:rsidRDefault="00A4710D" w:rsidP="00A4710D">
      <w:pPr>
        <w:rPr>
          <w:rFonts w:ascii="Arial" w:hAnsi="Arial" w:cs="Arial"/>
          <w:lang w:val="en-US"/>
        </w:rPr>
      </w:pPr>
      <w:r w:rsidRPr="008B0B60">
        <w:rPr>
          <w:rFonts w:ascii="Arial" w:hAnsi="Arial" w:cs="Arial"/>
          <w:lang w:val="en-US"/>
        </w:rPr>
        <w:t>Introduction ……………………………………………………………………………</w:t>
      </w:r>
      <w:r w:rsidR="000B7CBB">
        <w:rPr>
          <w:rFonts w:ascii="Arial" w:hAnsi="Arial" w:cs="Arial"/>
          <w:lang w:val="en-US"/>
        </w:rPr>
        <w:t>4</w:t>
      </w:r>
    </w:p>
    <w:p w14:paraId="13BA7527" w14:textId="77777777" w:rsidR="00A4710D" w:rsidRPr="008B0B60" w:rsidRDefault="00A4710D" w:rsidP="00A4710D">
      <w:pPr>
        <w:rPr>
          <w:rFonts w:ascii="Arial" w:hAnsi="Arial" w:cs="Arial"/>
          <w:lang w:val="en-US"/>
        </w:rPr>
      </w:pPr>
      <w:r w:rsidRPr="008B0B60">
        <w:rPr>
          <w:rFonts w:ascii="Arial" w:hAnsi="Arial" w:cs="Arial"/>
          <w:lang w:val="en-US"/>
        </w:rPr>
        <w:t>Main Findings</w:t>
      </w:r>
      <w:r>
        <w:rPr>
          <w:rFonts w:ascii="Arial" w:hAnsi="Arial" w:cs="Arial"/>
          <w:lang w:val="en-US"/>
        </w:rPr>
        <w:t>:</w:t>
      </w:r>
    </w:p>
    <w:p w14:paraId="2444D0DB" w14:textId="05F56EE9" w:rsidR="00A4710D" w:rsidRPr="00EE1F6D" w:rsidRDefault="00A4710D" w:rsidP="00A4710D">
      <w:r w:rsidRPr="008B0B60">
        <w:rPr>
          <w:rFonts w:ascii="Arial" w:hAnsi="Arial" w:cs="Arial"/>
          <w:lang w:val="en-US"/>
        </w:rPr>
        <w:tab/>
      </w:r>
      <w:r w:rsidR="00131F06">
        <w:rPr>
          <w:rFonts w:ascii="Arial" w:hAnsi="Arial" w:cs="Arial"/>
        </w:rPr>
        <w:t>Inventorie</w:t>
      </w:r>
      <w:r w:rsidR="000F1144">
        <w:rPr>
          <w:rFonts w:ascii="Arial" w:hAnsi="Arial" w:cs="Arial"/>
        </w:rPr>
        <w:t xml:space="preserve">s &amp; </w:t>
      </w:r>
      <w:r w:rsidR="000F1144" w:rsidRPr="00C618F4">
        <w:t>Cost Measurement Under IAS 2</w:t>
      </w:r>
      <w:proofErr w:type="gramStart"/>
      <w:r w:rsidR="0028549F">
        <w:t>…..</w:t>
      </w:r>
      <w:proofErr w:type="gramEnd"/>
      <w:r w:rsidRPr="008B0B60">
        <w:rPr>
          <w:rFonts w:ascii="Arial" w:hAnsi="Arial" w:cs="Arial"/>
          <w:lang w:val="en-US"/>
        </w:rPr>
        <w:t>………</w:t>
      </w:r>
      <w:r>
        <w:rPr>
          <w:rFonts w:ascii="Arial" w:hAnsi="Arial" w:cs="Arial"/>
          <w:lang w:val="en-US"/>
        </w:rPr>
        <w:t>…………………..</w:t>
      </w:r>
      <w:r w:rsidR="000B7CBB">
        <w:rPr>
          <w:rFonts w:ascii="Arial" w:hAnsi="Arial" w:cs="Arial"/>
          <w:lang w:val="en-US"/>
        </w:rPr>
        <w:t>5</w:t>
      </w:r>
    </w:p>
    <w:p w14:paraId="7F0D1854" w14:textId="3E8A3B83" w:rsidR="00A4710D" w:rsidRDefault="00A4710D" w:rsidP="00A4710D">
      <w:pPr>
        <w:rPr>
          <w:rFonts w:ascii="Arial" w:hAnsi="Arial" w:cs="Arial"/>
        </w:rPr>
      </w:pPr>
      <w:r>
        <w:rPr>
          <w:rFonts w:ascii="Arial" w:hAnsi="Arial" w:cs="Arial"/>
        </w:rPr>
        <w:tab/>
      </w:r>
      <w:r w:rsidR="00F853AA">
        <w:rPr>
          <w:rFonts w:ascii="Arial" w:hAnsi="Arial" w:cs="Arial"/>
        </w:rPr>
        <w:t>Revenue from Contracts ……………………………………</w:t>
      </w:r>
      <w:r>
        <w:rPr>
          <w:rFonts w:ascii="Arial" w:hAnsi="Arial" w:cs="Arial"/>
        </w:rPr>
        <w:t>……………</w:t>
      </w:r>
      <w:proofErr w:type="gramStart"/>
      <w:r>
        <w:rPr>
          <w:rFonts w:ascii="Arial" w:hAnsi="Arial" w:cs="Arial"/>
        </w:rPr>
        <w:t>….</w:t>
      </w:r>
      <w:r w:rsidR="008743A4">
        <w:rPr>
          <w:rFonts w:ascii="Arial" w:hAnsi="Arial" w:cs="Arial"/>
        </w:rPr>
        <w:t>.</w:t>
      </w:r>
      <w:proofErr w:type="gramEnd"/>
      <w:r w:rsidR="0028549F">
        <w:rPr>
          <w:rFonts w:ascii="Arial" w:hAnsi="Arial" w:cs="Arial"/>
        </w:rPr>
        <w:t>6</w:t>
      </w:r>
    </w:p>
    <w:p w14:paraId="346B4641" w14:textId="7609A6B5" w:rsidR="00A4710D" w:rsidRPr="002613C2" w:rsidRDefault="00A4710D" w:rsidP="00A4710D">
      <w:pPr>
        <w:rPr>
          <w:b/>
          <w:bCs/>
        </w:rPr>
      </w:pPr>
      <w:r>
        <w:rPr>
          <w:rFonts w:ascii="Arial" w:hAnsi="Arial" w:cs="Arial"/>
        </w:rPr>
        <w:tab/>
      </w:r>
      <w:r w:rsidR="002613C2" w:rsidRPr="005B2A02">
        <w:t>Benefits</w:t>
      </w:r>
      <w:r w:rsidR="005B2A02" w:rsidRPr="005B2A02">
        <w:t xml:space="preserve"> and Challenges</w:t>
      </w:r>
      <w:r w:rsidR="002613C2" w:rsidRPr="005B2A02">
        <w:t xml:space="preserve"> of Implementing IFRS</w:t>
      </w:r>
      <w:r w:rsidR="005B2A02" w:rsidRPr="005B2A02">
        <w:t xml:space="preserve"> …………………</w:t>
      </w:r>
      <w:r w:rsidR="005B2A02">
        <w:t>……………</w:t>
      </w:r>
      <w:r w:rsidRPr="005B2A02">
        <w:rPr>
          <w:rFonts w:ascii="Arial" w:hAnsi="Arial" w:cs="Arial"/>
        </w:rPr>
        <w:t>…...</w:t>
      </w:r>
      <w:r w:rsidR="008743A4">
        <w:rPr>
          <w:rFonts w:ascii="Arial" w:hAnsi="Arial" w:cs="Arial"/>
        </w:rPr>
        <w:t>8</w:t>
      </w:r>
    </w:p>
    <w:p w14:paraId="1272E948" w14:textId="7A63F746" w:rsidR="00A4710D" w:rsidRPr="008B0B60" w:rsidRDefault="00A4710D" w:rsidP="00A4710D">
      <w:pPr>
        <w:rPr>
          <w:rFonts w:ascii="Arial" w:hAnsi="Arial" w:cs="Arial"/>
          <w:lang w:val="en-US"/>
        </w:rPr>
      </w:pPr>
      <w:r w:rsidRPr="008B0B60">
        <w:rPr>
          <w:rFonts w:ascii="Arial" w:hAnsi="Arial" w:cs="Arial"/>
          <w:lang w:val="en-US"/>
        </w:rPr>
        <w:t>Conclusion …………………………………………………………………………</w:t>
      </w:r>
      <w:proofErr w:type="gramStart"/>
      <w:r w:rsidRPr="008B0B60">
        <w:rPr>
          <w:rFonts w:ascii="Arial" w:hAnsi="Arial" w:cs="Arial"/>
          <w:lang w:val="en-US"/>
        </w:rPr>
        <w:t>…</w:t>
      </w:r>
      <w:r>
        <w:rPr>
          <w:rFonts w:ascii="Arial" w:hAnsi="Arial" w:cs="Arial"/>
          <w:lang w:val="en-US"/>
        </w:rPr>
        <w:t>.</w:t>
      </w:r>
      <w:r w:rsidR="007F658F">
        <w:rPr>
          <w:rFonts w:ascii="Arial" w:hAnsi="Arial" w:cs="Arial"/>
          <w:lang w:val="en-US"/>
        </w:rPr>
        <w:t>.</w:t>
      </w:r>
      <w:proofErr w:type="gramEnd"/>
      <w:r w:rsidR="008743A4">
        <w:rPr>
          <w:rFonts w:ascii="Arial" w:hAnsi="Arial" w:cs="Arial"/>
          <w:lang w:val="en-US"/>
        </w:rPr>
        <w:t>9</w:t>
      </w:r>
    </w:p>
    <w:p w14:paraId="5D6C3570" w14:textId="1ECB6853" w:rsidR="00A4710D" w:rsidRPr="008B0B60" w:rsidRDefault="00131F06" w:rsidP="00A4710D">
      <w:pPr>
        <w:rPr>
          <w:rFonts w:ascii="Arial" w:hAnsi="Arial" w:cs="Arial"/>
          <w:lang w:val="en-US"/>
        </w:rPr>
      </w:pPr>
      <w:proofErr w:type="gramStart"/>
      <w:r>
        <w:rPr>
          <w:rFonts w:ascii="Arial" w:hAnsi="Arial" w:cs="Arial"/>
          <w:lang w:val="en-US"/>
        </w:rPr>
        <w:t>Reference</w:t>
      </w:r>
      <w:r w:rsidR="00E63314">
        <w:rPr>
          <w:rFonts w:ascii="Arial" w:hAnsi="Arial" w:cs="Arial"/>
          <w:lang w:val="en-US"/>
        </w:rPr>
        <w:t>s</w:t>
      </w:r>
      <w:r w:rsidR="00A87F53">
        <w:rPr>
          <w:rFonts w:ascii="Arial" w:hAnsi="Arial" w:cs="Arial"/>
          <w:lang w:val="en-US"/>
        </w:rPr>
        <w:t xml:space="preserve"> .</w:t>
      </w:r>
      <w:proofErr w:type="gramEnd"/>
      <w:r w:rsidR="00A4710D" w:rsidRPr="008B0B60">
        <w:rPr>
          <w:rFonts w:ascii="Arial" w:hAnsi="Arial" w:cs="Arial"/>
          <w:lang w:val="en-US"/>
        </w:rPr>
        <w:t>…………………………………………………………………………</w:t>
      </w:r>
      <w:r w:rsidR="00A4710D">
        <w:rPr>
          <w:rFonts w:ascii="Arial" w:hAnsi="Arial" w:cs="Arial"/>
          <w:lang w:val="en-US"/>
        </w:rPr>
        <w:t>…1</w:t>
      </w:r>
      <w:r w:rsidR="007F658F">
        <w:rPr>
          <w:rFonts w:ascii="Arial" w:hAnsi="Arial" w:cs="Arial"/>
          <w:lang w:val="en-US"/>
        </w:rPr>
        <w:t>0</w:t>
      </w:r>
    </w:p>
    <w:p w14:paraId="304096E0" w14:textId="77777777" w:rsidR="007723ED" w:rsidRDefault="007723ED" w:rsidP="00C618F4">
      <w:pPr>
        <w:rPr>
          <w:b/>
          <w:bCs/>
        </w:rPr>
      </w:pPr>
    </w:p>
    <w:p w14:paraId="5836CC72" w14:textId="77777777" w:rsidR="007723ED" w:rsidRDefault="007723ED" w:rsidP="00C618F4">
      <w:pPr>
        <w:rPr>
          <w:b/>
          <w:bCs/>
        </w:rPr>
      </w:pPr>
    </w:p>
    <w:p w14:paraId="56681C5D" w14:textId="77777777" w:rsidR="007723ED" w:rsidRDefault="007723ED" w:rsidP="00C618F4">
      <w:pPr>
        <w:rPr>
          <w:b/>
          <w:bCs/>
        </w:rPr>
      </w:pPr>
    </w:p>
    <w:p w14:paraId="09222A24" w14:textId="77777777" w:rsidR="007723ED" w:rsidRDefault="007723ED" w:rsidP="00C618F4">
      <w:pPr>
        <w:rPr>
          <w:b/>
          <w:bCs/>
        </w:rPr>
      </w:pPr>
    </w:p>
    <w:p w14:paraId="5C44BDCE" w14:textId="77777777" w:rsidR="007723ED" w:rsidRDefault="007723ED" w:rsidP="00C618F4">
      <w:pPr>
        <w:rPr>
          <w:b/>
          <w:bCs/>
        </w:rPr>
      </w:pPr>
    </w:p>
    <w:p w14:paraId="30914534" w14:textId="77777777" w:rsidR="007723ED" w:rsidRDefault="007723ED" w:rsidP="00C618F4">
      <w:pPr>
        <w:rPr>
          <w:b/>
          <w:bCs/>
        </w:rPr>
      </w:pPr>
    </w:p>
    <w:p w14:paraId="5E42E124" w14:textId="77777777" w:rsidR="007723ED" w:rsidRDefault="007723ED" w:rsidP="00C618F4">
      <w:pPr>
        <w:rPr>
          <w:b/>
          <w:bCs/>
        </w:rPr>
      </w:pPr>
    </w:p>
    <w:p w14:paraId="681732DE" w14:textId="77777777" w:rsidR="007723ED" w:rsidRDefault="007723ED" w:rsidP="00C618F4">
      <w:pPr>
        <w:rPr>
          <w:b/>
          <w:bCs/>
        </w:rPr>
      </w:pPr>
    </w:p>
    <w:p w14:paraId="7F6E474C" w14:textId="77777777" w:rsidR="007723ED" w:rsidRDefault="007723ED" w:rsidP="00C618F4">
      <w:pPr>
        <w:rPr>
          <w:b/>
          <w:bCs/>
        </w:rPr>
      </w:pPr>
    </w:p>
    <w:p w14:paraId="028135E6" w14:textId="77777777" w:rsidR="007723ED" w:rsidRDefault="007723ED" w:rsidP="00C618F4">
      <w:pPr>
        <w:rPr>
          <w:b/>
          <w:bCs/>
        </w:rPr>
      </w:pPr>
    </w:p>
    <w:p w14:paraId="63FACB80" w14:textId="77777777" w:rsidR="007723ED" w:rsidRDefault="007723ED" w:rsidP="00C618F4">
      <w:pPr>
        <w:rPr>
          <w:b/>
          <w:bCs/>
        </w:rPr>
      </w:pPr>
    </w:p>
    <w:p w14:paraId="5428211A" w14:textId="77777777" w:rsidR="007723ED" w:rsidRDefault="007723ED" w:rsidP="00C618F4">
      <w:pPr>
        <w:rPr>
          <w:b/>
          <w:bCs/>
        </w:rPr>
      </w:pPr>
    </w:p>
    <w:p w14:paraId="435FA069" w14:textId="77777777" w:rsidR="007723ED" w:rsidRDefault="007723ED" w:rsidP="00C618F4">
      <w:pPr>
        <w:rPr>
          <w:b/>
          <w:bCs/>
        </w:rPr>
      </w:pPr>
    </w:p>
    <w:p w14:paraId="11ADD8CF" w14:textId="77777777" w:rsidR="007723ED" w:rsidRDefault="007723ED" w:rsidP="00C618F4">
      <w:pPr>
        <w:rPr>
          <w:b/>
          <w:bCs/>
        </w:rPr>
      </w:pPr>
    </w:p>
    <w:p w14:paraId="5A186577" w14:textId="77777777" w:rsidR="007723ED" w:rsidRDefault="007723ED" w:rsidP="00C618F4">
      <w:pPr>
        <w:rPr>
          <w:b/>
          <w:bCs/>
        </w:rPr>
      </w:pPr>
    </w:p>
    <w:p w14:paraId="2099452D" w14:textId="77777777" w:rsidR="007723ED" w:rsidRDefault="007723ED" w:rsidP="00C618F4">
      <w:pPr>
        <w:rPr>
          <w:b/>
          <w:bCs/>
        </w:rPr>
      </w:pPr>
    </w:p>
    <w:p w14:paraId="72C0B87F" w14:textId="77777777" w:rsidR="00131F06" w:rsidRDefault="00131F06" w:rsidP="00C618F4">
      <w:pPr>
        <w:rPr>
          <w:b/>
          <w:bCs/>
        </w:rPr>
      </w:pPr>
    </w:p>
    <w:p w14:paraId="0318291E" w14:textId="0DD6567D" w:rsidR="00C618F4" w:rsidRPr="00AF4572" w:rsidRDefault="00C618F4" w:rsidP="00C618F4">
      <w:pPr>
        <w:rPr>
          <w:b/>
          <w:bCs/>
        </w:rPr>
      </w:pPr>
      <w:r w:rsidRPr="00AF4572">
        <w:rPr>
          <w:b/>
          <w:bCs/>
        </w:rPr>
        <w:lastRenderedPageBreak/>
        <w:t>Introduction</w:t>
      </w:r>
    </w:p>
    <w:p w14:paraId="66D4DEE9" w14:textId="28F50004" w:rsidR="00AF4572" w:rsidRPr="00AF4572" w:rsidRDefault="00AF4572" w:rsidP="00AF4572">
      <w:r w:rsidRPr="00AF4572">
        <w:t>The global business environment is more connected than ever, making it crucial for companies to have standardized financial reporting practices. This is where International Financial Reporting Standards (IFRS) come into play. IFRS provides a consistent framework for financial reporting, which helps ensure that financial statements are comparable, transparent, and reliable across different countries. This is important because investors and stakeholders need clear and consistent information to make informed decisions about where to invest their money.</w:t>
      </w:r>
    </w:p>
    <w:p w14:paraId="0F788A42" w14:textId="77777777" w:rsidR="00AF4572" w:rsidRPr="00AF4572" w:rsidRDefault="00AF4572" w:rsidP="00AF4572">
      <w:r w:rsidRPr="00AF4572">
        <w:t>This report focuses on two important IFRS standards: IAS 2 and IFRS 15. IAS 2 deals with how companies should report their inventories, ensuring that these assets are valued accurately. This prevents companies from overstating their inventory values, which can mislead investors about their financial health. On the other hand, IFRS 15 outlines how businesses should recognize revenue from long-term contracts, emphasizing transparency in how and when revenue is reported.</w:t>
      </w:r>
    </w:p>
    <w:p w14:paraId="1E5CB1E3" w14:textId="77777777" w:rsidR="00AF4572" w:rsidRPr="00AF4572" w:rsidRDefault="00AF4572" w:rsidP="00AF4572"/>
    <w:p w14:paraId="415105FF" w14:textId="27EDF9CD" w:rsidR="00AF4572" w:rsidRPr="00AF4572" w:rsidRDefault="00AF4572" w:rsidP="00AF4572">
      <w:r w:rsidRPr="00AF4572">
        <w:t>Accurate reporting of inventories and long-term contracts is essential because these factors can greatly influence a company's financial performance and position in the market. By following IFRS, companies can provide stakeholders with reliable and relevant information, which supports better decision-making.</w:t>
      </w:r>
    </w:p>
    <w:p w14:paraId="5C5FD663" w14:textId="77777777" w:rsidR="00AF4572" w:rsidRPr="00AF4572" w:rsidRDefault="00AF4572" w:rsidP="00AF4572">
      <w:r w:rsidRPr="00AF4572">
        <w:t>The report will explain how IFRS affects the reporting of stocks and long-term contracts, showing how these standards improve comparability, transparency, and reliability. It will also include case studies from both developed and developing countries, highlighting the benefits and challenges businesses face when implementing IFRS in their reporting practices.</w:t>
      </w:r>
    </w:p>
    <w:p w14:paraId="099E07E4" w14:textId="77777777" w:rsidR="007723ED" w:rsidRDefault="007723ED" w:rsidP="00C618F4">
      <w:pPr>
        <w:rPr>
          <w:b/>
          <w:bCs/>
        </w:rPr>
      </w:pPr>
    </w:p>
    <w:p w14:paraId="5F29BFD6" w14:textId="77777777" w:rsidR="007723ED" w:rsidRDefault="007723ED" w:rsidP="00C618F4">
      <w:pPr>
        <w:rPr>
          <w:b/>
          <w:bCs/>
        </w:rPr>
      </w:pPr>
    </w:p>
    <w:p w14:paraId="33A71332" w14:textId="77777777" w:rsidR="007723ED" w:rsidRDefault="007723ED" w:rsidP="00C618F4">
      <w:pPr>
        <w:rPr>
          <w:b/>
          <w:bCs/>
        </w:rPr>
      </w:pPr>
    </w:p>
    <w:p w14:paraId="06718C2F" w14:textId="77777777" w:rsidR="007723ED" w:rsidRDefault="007723ED" w:rsidP="00C618F4">
      <w:pPr>
        <w:rPr>
          <w:b/>
          <w:bCs/>
        </w:rPr>
      </w:pPr>
    </w:p>
    <w:p w14:paraId="35EB3192" w14:textId="77777777" w:rsidR="007723ED" w:rsidRDefault="007723ED" w:rsidP="00C618F4">
      <w:pPr>
        <w:rPr>
          <w:b/>
          <w:bCs/>
        </w:rPr>
      </w:pPr>
    </w:p>
    <w:p w14:paraId="2375B47C" w14:textId="77777777" w:rsidR="007723ED" w:rsidRDefault="007723ED" w:rsidP="00C618F4">
      <w:pPr>
        <w:rPr>
          <w:b/>
          <w:bCs/>
        </w:rPr>
      </w:pPr>
    </w:p>
    <w:p w14:paraId="2719F8B6" w14:textId="77777777" w:rsidR="007723ED" w:rsidRDefault="007723ED" w:rsidP="00C618F4">
      <w:pPr>
        <w:rPr>
          <w:b/>
          <w:bCs/>
        </w:rPr>
      </w:pPr>
    </w:p>
    <w:p w14:paraId="51652B82" w14:textId="77777777" w:rsidR="007723ED" w:rsidRDefault="007723ED" w:rsidP="00C618F4">
      <w:pPr>
        <w:rPr>
          <w:b/>
          <w:bCs/>
        </w:rPr>
      </w:pPr>
    </w:p>
    <w:p w14:paraId="001FAAE7" w14:textId="77777777" w:rsidR="0028549F" w:rsidRDefault="0028549F" w:rsidP="00C618F4">
      <w:pPr>
        <w:rPr>
          <w:b/>
          <w:bCs/>
        </w:rPr>
      </w:pPr>
    </w:p>
    <w:p w14:paraId="79A78ABB" w14:textId="33AC9D6A" w:rsidR="00C618F4" w:rsidRPr="00AF4572" w:rsidRDefault="00C618F4" w:rsidP="00C618F4">
      <w:pPr>
        <w:rPr>
          <w:b/>
          <w:bCs/>
        </w:rPr>
      </w:pPr>
      <w:r w:rsidRPr="00AF4572">
        <w:rPr>
          <w:b/>
          <w:bCs/>
        </w:rPr>
        <w:lastRenderedPageBreak/>
        <w:t>Main Findings</w:t>
      </w:r>
    </w:p>
    <w:p w14:paraId="14A476CE" w14:textId="06000A22" w:rsidR="00C618F4" w:rsidRPr="00C618F4" w:rsidRDefault="00C618F4" w:rsidP="00C618F4">
      <w:r w:rsidRPr="00C618F4">
        <w:t>Inventories</w:t>
      </w:r>
    </w:p>
    <w:p w14:paraId="1C81171B" w14:textId="25DDC7AA" w:rsidR="00C618F4" w:rsidRPr="00C618F4" w:rsidRDefault="00C618F4" w:rsidP="00C618F4">
      <w:r w:rsidRPr="00A356D8">
        <w:t>IAS 2 establishes the principles for recogni</w:t>
      </w:r>
      <w:r w:rsidR="00E835C1" w:rsidRPr="00A356D8">
        <w:t>s</w:t>
      </w:r>
      <w:r w:rsidRPr="00A356D8">
        <w:t>ing and measuring inventories, which include goods held for sale, work in progress, and materials and supplies</w:t>
      </w:r>
      <w:r w:rsidRPr="00C618F4">
        <w:t xml:space="preserve"> (</w:t>
      </w:r>
      <w:r w:rsidR="00AA3664" w:rsidRPr="00463009">
        <w:rPr>
          <w:rFonts w:ascii="Arial" w:eastAsia="Times New Roman" w:hAnsi="Arial" w:cs="Arial"/>
          <w:color w:val="222222"/>
          <w:kern w:val="0"/>
          <w:lang w:eastAsia="en-GB"/>
          <w14:ligatures w14:val="none"/>
        </w:rPr>
        <w:t>Morshed and Ramadan, 2023</w:t>
      </w:r>
      <w:r w:rsidRPr="00C618F4">
        <w:t>). The standard requires inventories to be measured at the lower of cost and net reali</w:t>
      </w:r>
      <w:r w:rsidR="003E6FF7">
        <w:t>s</w:t>
      </w:r>
      <w:r w:rsidRPr="00C618F4">
        <w:t>able value, ensuring that inventories are not overstated on the</w:t>
      </w:r>
      <w:r>
        <w:t xml:space="preserve"> </w:t>
      </w:r>
      <w:r w:rsidRPr="00C618F4">
        <w:t xml:space="preserve">balance sheet (Barry &amp; Elliott, 2015). </w:t>
      </w:r>
      <w:r w:rsidR="00753234">
        <w:t xml:space="preserve">According to </w:t>
      </w:r>
      <w:r w:rsidR="00753234" w:rsidRPr="003D2145">
        <w:t>Morshed</w:t>
      </w:r>
      <w:r w:rsidR="00080DAA">
        <w:t xml:space="preserve"> </w:t>
      </w:r>
      <w:r w:rsidR="00753234" w:rsidRPr="003D2145">
        <w:t>and Ramadan</w:t>
      </w:r>
      <w:r w:rsidR="00080DAA">
        <w:t xml:space="preserve"> (</w:t>
      </w:r>
      <w:r w:rsidR="00753234" w:rsidRPr="003D2145">
        <w:t>2023</w:t>
      </w:r>
      <w:r w:rsidR="00080DAA">
        <w:t>), t</w:t>
      </w:r>
      <w:r w:rsidRPr="00C618F4">
        <w:t>his requirement promotes accurate financial reporting and reflects the true economic value of inventory.</w:t>
      </w:r>
    </w:p>
    <w:p w14:paraId="489A6920" w14:textId="1769977D" w:rsidR="00C618F4" w:rsidRPr="00C618F4" w:rsidRDefault="00C618F4" w:rsidP="00C618F4">
      <w:r w:rsidRPr="00C618F4">
        <w:t>Cost Measurement Under IAS 2</w:t>
      </w:r>
    </w:p>
    <w:p w14:paraId="68061A8C" w14:textId="48E546D0" w:rsidR="00C618F4" w:rsidRPr="00C618F4" w:rsidRDefault="00C618F4" w:rsidP="00C618F4">
      <w:r w:rsidRPr="00C618F4">
        <w:t>Under IAS 2, the cost of inventories includes all costs of purchase, conversion costs, and other costs incurred to bring the inventories to their current condition and location. Businesses can use different methods for inventory costing, including specific identification, first-in, first-out (FIFO), or weighted average cost (Young &amp; Cohen, 2013). </w:t>
      </w:r>
    </w:p>
    <w:p w14:paraId="1044EE6F" w14:textId="28244F55" w:rsidR="00C618F4" w:rsidRPr="00C618F4" w:rsidRDefault="00C618F4" w:rsidP="00C618F4">
      <w:r w:rsidRPr="00C618F4">
        <w:t xml:space="preserve">For instance, a manufacturing company that employs the FIFO method will recognize the cost of the oldest inventory first when items are sold. This approach can significantly </w:t>
      </w:r>
      <w:r w:rsidR="00EE7D13">
        <w:t>increase</w:t>
      </w:r>
      <w:r w:rsidRPr="00C618F4">
        <w:t xml:space="preserve"> profit margins during </w:t>
      </w:r>
      <w:r w:rsidR="00B96211">
        <w:t>inf</w:t>
      </w:r>
      <w:r w:rsidR="00D722CB">
        <w:t xml:space="preserve">lationary </w:t>
      </w:r>
      <w:r w:rsidRPr="00C618F4">
        <w:t>(Melville, 2014).</w:t>
      </w:r>
    </w:p>
    <w:p w14:paraId="4D727CA2" w14:textId="0136087C" w:rsidR="00C618F4" w:rsidRPr="00BD1672" w:rsidRDefault="00C618F4" w:rsidP="00C618F4">
      <w:r w:rsidRPr="00CB50C0">
        <w:t>In the United States, Walmart follows IAS 2 principles in its inventory accounting. Walmart utili</w:t>
      </w:r>
      <w:r w:rsidR="004B4317" w:rsidRPr="00CB50C0">
        <w:t>s</w:t>
      </w:r>
      <w:r w:rsidRPr="00CB50C0">
        <w:t xml:space="preserve">es the FIFO method for inventory valuation, ensuring that its financial statements reflect the </w:t>
      </w:r>
      <w:r w:rsidR="001E6CC7">
        <w:t>oldest</w:t>
      </w:r>
      <w:r w:rsidRPr="00CB50C0">
        <w:t xml:space="preserve"> costs associated with the inventory sold</w:t>
      </w:r>
      <w:r w:rsidR="00303706">
        <w:t xml:space="preserve">, which can lead </w:t>
      </w:r>
      <w:r w:rsidR="0017351E">
        <w:t>discrepancies between reported profits and current market conditions</w:t>
      </w:r>
      <w:r w:rsidRPr="00CB50C0">
        <w:t xml:space="preserve"> </w:t>
      </w:r>
      <w:r w:rsidR="00A53105" w:rsidRPr="00CB50C0">
        <w:t>(</w:t>
      </w:r>
      <w:r w:rsidR="00A53105" w:rsidRPr="00A53105">
        <w:rPr>
          <w:rFonts w:ascii="Arial" w:eastAsia="Times New Roman" w:hAnsi="Arial" w:cs="Arial"/>
          <w:color w:val="222222"/>
          <w:kern w:val="0"/>
          <w:lang w:eastAsia="en-GB"/>
          <w14:ligatures w14:val="none"/>
        </w:rPr>
        <w:t>Ainsworth</w:t>
      </w:r>
      <w:r w:rsidR="006C7F99">
        <w:rPr>
          <w:rFonts w:ascii="Arial" w:eastAsia="Times New Roman" w:hAnsi="Arial" w:cs="Arial"/>
          <w:color w:val="222222"/>
          <w:kern w:val="0"/>
          <w:lang w:eastAsia="en-GB"/>
          <w14:ligatures w14:val="none"/>
        </w:rPr>
        <w:t>,</w:t>
      </w:r>
      <w:r w:rsidR="00A53105" w:rsidRPr="00A53105">
        <w:rPr>
          <w:rFonts w:ascii="Arial" w:eastAsia="Times New Roman" w:hAnsi="Arial" w:cs="Arial"/>
          <w:color w:val="222222"/>
          <w:kern w:val="0"/>
          <w:lang w:eastAsia="en-GB"/>
          <w14:ligatures w14:val="none"/>
        </w:rPr>
        <w:t xml:space="preserve"> and Deines</w:t>
      </w:r>
      <w:r w:rsidR="006C7F99">
        <w:rPr>
          <w:rFonts w:ascii="Arial" w:eastAsia="Times New Roman" w:hAnsi="Arial" w:cs="Arial"/>
          <w:color w:val="222222"/>
          <w:kern w:val="0"/>
          <w:lang w:eastAsia="en-GB"/>
          <w14:ligatures w14:val="none"/>
        </w:rPr>
        <w:t xml:space="preserve">, </w:t>
      </w:r>
      <w:r w:rsidR="00A53105" w:rsidRPr="00A53105">
        <w:rPr>
          <w:rFonts w:ascii="Arial" w:eastAsia="Times New Roman" w:hAnsi="Arial" w:cs="Arial"/>
          <w:color w:val="222222"/>
          <w:kern w:val="0"/>
          <w:lang w:eastAsia="en-GB"/>
          <w14:ligatures w14:val="none"/>
        </w:rPr>
        <w:t>2019</w:t>
      </w:r>
      <w:r w:rsidRPr="00D57600">
        <w:rPr>
          <w:b/>
          <w:bCs/>
        </w:rPr>
        <w:t xml:space="preserve">). </w:t>
      </w:r>
      <w:r w:rsidR="000B3D1D" w:rsidRPr="00BD1672">
        <w:t xml:space="preserve">According to </w:t>
      </w:r>
      <w:r w:rsidR="000B3D1D" w:rsidRPr="00D57600">
        <w:rPr>
          <w:rFonts w:ascii="Arial" w:eastAsia="Times New Roman" w:hAnsi="Arial" w:cs="Arial"/>
          <w:color w:val="222222"/>
          <w:kern w:val="0"/>
          <w:lang w:eastAsia="en-GB"/>
          <w14:ligatures w14:val="none"/>
        </w:rPr>
        <w:t>Alam</w:t>
      </w:r>
      <w:r w:rsidR="00BD1672" w:rsidRPr="00BD1672">
        <w:rPr>
          <w:rFonts w:ascii="Arial" w:eastAsia="Times New Roman" w:hAnsi="Arial" w:cs="Arial"/>
          <w:color w:val="222222"/>
          <w:kern w:val="0"/>
          <w:lang w:eastAsia="en-GB"/>
          <w14:ligatures w14:val="none"/>
        </w:rPr>
        <w:t xml:space="preserve"> (</w:t>
      </w:r>
      <w:r w:rsidR="000B3D1D" w:rsidRPr="00D57600">
        <w:rPr>
          <w:rFonts w:ascii="Arial" w:eastAsia="Times New Roman" w:hAnsi="Arial" w:cs="Arial"/>
          <w:color w:val="222222"/>
          <w:kern w:val="0"/>
          <w:lang w:eastAsia="en-GB"/>
          <w14:ligatures w14:val="none"/>
        </w:rPr>
        <w:t>2016</w:t>
      </w:r>
      <w:r w:rsidR="000B3D1D" w:rsidRPr="00BD1672">
        <w:rPr>
          <w:rFonts w:ascii="Arial" w:eastAsia="Times New Roman" w:hAnsi="Arial" w:cs="Arial"/>
          <w:color w:val="222222"/>
          <w:kern w:val="0"/>
          <w:lang w:eastAsia="en-GB"/>
          <w14:ligatures w14:val="none"/>
        </w:rPr>
        <w:t>)</w:t>
      </w:r>
      <w:r w:rsidR="00BD1672" w:rsidRPr="00BD1672">
        <w:rPr>
          <w:rFonts w:ascii="Arial" w:eastAsia="Times New Roman" w:hAnsi="Arial" w:cs="Arial"/>
          <w:color w:val="222222"/>
          <w:kern w:val="0"/>
          <w:lang w:eastAsia="en-GB"/>
          <w14:ligatures w14:val="none"/>
        </w:rPr>
        <w:t>, t</w:t>
      </w:r>
      <w:r w:rsidRPr="00BD1672">
        <w:t>his practice enhances the comparability of financial statements, as stakeholders can assess Walmart's performance against other companies using similar inventory accounting methods.</w:t>
      </w:r>
    </w:p>
    <w:p w14:paraId="10AECDF9" w14:textId="7262E624" w:rsidR="00C618F4" w:rsidRPr="000A72D9" w:rsidRDefault="00FE186E" w:rsidP="00C618F4">
      <w:r>
        <w:t>On the other hand</w:t>
      </w:r>
      <w:r w:rsidR="00C618F4" w:rsidRPr="00C618F4">
        <w:t>, Tata Steel</w:t>
      </w:r>
      <w:r w:rsidR="00ED3F5D">
        <w:t xml:space="preserve"> in India</w:t>
      </w:r>
      <w:r w:rsidR="00C618F4" w:rsidRPr="00C618F4">
        <w:t xml:space="preserve"> adheres to IAS 2 for inventory reporting. Tata Steel </w:t>
      </w:r>
      <w:r w:rsidR="00B90B26">
        <w:t>primar</w:t>
      </w:r>
      <w:r w:rsidR="009408AF">
        <w:t xml:space="preserve">ily </w:t>
      </w:r>
      <w:r w:rsidR="00C618F4" w:rsidRPr="00C618F4">
        <w:t xml:space="preserve">employs weighted average cost methods to value its inventory. </w:t>
      </w:r>
      <w:r w:rsidR="00F425FF">
        <w:t xml:space="preserve">This method calculates the cost of inventory based on the average cost of all similar items </w:t>
      </w:r>
      <w:r w:rsidR="006B682A">
        <w:t xml:space="preserve">available for sale during a specific period. </w:t>
      </w:r>
      <w:r w:rsidR="00C618F4" w:rsidRPr="000A72D9">
        <w:t>By following these standards, Tata Steel provides stakeholders with reliable financial information, enhancing transparency and facilitating better comparisons with competitors in the steel industry (</w:t>
      </w:r>
      <w:r w:rsidR="007F7863" w:rsidRPr="00215CB9">
        <w:rPr>
          <w:rFonts w:ascii="Arial" w:eastAsia="Times New Roman" w:hAnsi="Arial" w:cs="Arial"/>
          <w:color w:val="222222"/>
          <w:kern w:val="0"/>
          <w:lang w:eastAsia="en-GB"/>
          <w14:ligatures w14:val="none"/>
        </w:rPr>
        <w:t>Andreotti</w:t>
      </w:r>
      <w:r w:rsidR="00A52291" w:rsidRPr="000A72D9">
        <w:rPr>
          <w:rFonts w:ascii="Arial" w:eastAsia="Times New Roman" w:hAnsi="Arial" w:cs="Arial"/>
          <w:color w:val="222222"/>
          <w:kern w:val="0"/>
          <w:lang w:eastAsia="en-GB"/>
          <w14:ligatures w14:val="none"/>
        </w:rPr>
        <w:t xml:space="preserve"> et al</w:t>
      </w:r>
      <w:r w:rsidR="000A72D9" w:rsidRPr="000A72D9">
        <w:rPr>
          <w:rFonts w:ascii="Arial" w:eastAsia="Times New Roman" w:hAnsi="Arial" w:cs="Arial"/>
          <w:color w:val="222222"/>
          <w:kern w:val="0"/>
          <w:lang w:eastAsia="en-GB"/>
          <w14:ligatures w14:val="none"/>
        </w:rPr>
        <w:t xml:space="preserve">, </w:t>
      </w:r>
      <w:r w:rsidR="00C618F4" w:rsidRPr="000A72D9">
        <w:t>2023). </w:t>
      </w:r>
    </w:p>
    <w:p w14:paraId="27870F5A" w14:textId="77777777" w:rsidR="00E95001" w:rsidRDefault="00E95001" w:rsidP="00C618F4">
      <w:pPr>
        <w:rPr>
          <w:b/>
          <w:bCs/>
        </w:rPr>
      </w:pPr>
    </w:p>
    <w:p w14:paraId="4AFF10AD" w14:textId="77777777" w:rsidR="00E95001" w:rsidRDefault="00E95001" w:rsidP="00C618F4">
      <w:pPr>
        <w:rPr>
          <w:b/>
          <w:bCs/>
        </w:rPr>
      </w:pPr>
    </w:p>
    <w:p w14:paraId="67FD45C1" w14:textId="77777777" w:rsidR="000B7CBB" w:rsidRDefault="000B7CBB" w:rsidP="00C618F4">
      <w:pPr>
        <w:rPr>
          <w:b/>
          <w:bCs/>
        </w:rPr>
      </w:pPr>
    </w:p>
    <w:p w14:paraId="35AE6D64" w14:textId="77777777" w:rsidR="00585029" w:rsidRDefault="00585029" w:rsidP="00C618F4">
      <w:pPr>
        <w:rPr>
          <w:b/>
          <w:bCs/>
        </w:rPr>
      </w:pPr>
    </w:p>
    <w:p w14:paraId="551019EA" w14:textId="77777777" w:rsidR="00585029" w:rsidRDefault="00585029" w:rsidP="00C618F4">
      <w:pPr>
        <w:rPr>
          <w:b/>
          <w:bCs/>
        </w:rPr>
      </w:pPr>
    </w:p>
    <w:p w14:paraId="25D436ED" w14:textId="7FA76D11" w:rsidR="00C618F4" w:rsidRPr="000A72D9" w:rsidRDefault="00C618F4" w:rsidP="00C618F4">
      <w:pPr>
        <w:rPr>
          <w:b/>
          <w:bCs/>
        </w:rPr>
      </w:pPr>
      <w:r w:rsidRPr="000A72D9">
        <w:rPr>
          <w:b/>
          <w:bCs/>
        </w:rPr>
        <w:lastRenderedPageBreak/>
        <w:t>Revenue from Contracts</w:t>
      </w:r>
    </w:p>
    <w:p w14:paraId="4E612DA9" w14:textId="077D824E" w:rsidR="00C618F4" w:rsidRPr="00F54F1F" w:rsidRDefault="00C618F4" w:rsidP="00C618F4">
      <w:r w:rsidRPr="003B5D45">
        <w:t>IFRS 15 establishes a comprehensive framework for revenue recognition, replacing previous standards and providing consistency across industries</w:t>
      </w:r>
      <w:r w:rsidR="00D57C22" w:rsidRPr="003B5D45">
        <w:t xml:space="preserve"> (</w:t>
      </w:r>
      <w:r w:rsidR="00D57C22" w:rsidRPr="00D57C22">
        <w:rPr>
          <w:rFonts w:ascii="Arial" w:eastAsia="Times New Roman" w:hAnsi="Arial" w:cs="Arial"/>
          <w:color w:val="222222"/>
          <w:kern w:val="0"/>
          <w:lang w:eastAsia="en-GB"/>
          <w14:ligatures w14:val="none"/>
        </w:rPr>
        <w:t>Barone, E., Mason, Mora and Procházka, 2025</w:t>
      </w:r>
      <w:r w:rsidR="00D57C22" w:rsidRPr="003B5D45">
        <w:rPr>
          <w:rFonts w:ascii="Arial" w:eastAsia="Times New Roman" w:hAnsi="Arial" w:cs="Arial"/>
          <w:color w:val="222222"/>
          <w:kern w:val="0"/>
          <w:lang w:eastAsia="en-GB"/>
          <w14:ligatures w14:val="none"/>
        </w:rPr>
        <w:t>)</w:t>
      </w:r>
      <w:r w:rsidRPr="003B5D45">
        <w:t xml:space="preserve">. </w:t>
      </w:r>
      <w:r w:rsidRPr="00F54F1F">
        <w:t>The standard outlines a five-step model for recognizing revenue, which includes identifying contracts, determining performance obligations, calculating the transaction price, allocating the price to performance obligations, and recognizing revenue when obligations are satisfied (</w:t>
      </w:r>
      <w:r w:rsidR="00F54F1F" w:rsidRPr="00F54F1F">
        <w:rPr>
          <w:rFonts w:ascii="Arial" w:eastAsia="Times New Roman" w:hAnsi="Arial" w:cs="Arial"/>
          <w:color w:val="222222"/>
          <w:kern w:val="0"/>
          <w:lang w:eastAsia="en-GB"/>
          <w14:ligatures w14:val="none"/>
        </w:rPr>
        <w:t>Oyedokun,</w:t>
      </w:r>
      <w:r w:rsidR="00F54F1F" w:rsidRPr="00F54F1F">
        <w:rPr>
          <w:rFonts w:ascii="Arial" w:eastAsia="Times New Roman" w:hAnsi="Arial" w:cs="Arial"/>
          <w:color w:val="222222"/>
          <w:kern w:val="0"/>
          <w:lang w:eastAsia="en-GB"/>
          <w14:ligatures w14:val="none"/>
        </w:rPr>
        <w:t xml:space="preserve"> </w:t>
      </w:r>
      <w:r w:rsidR="00F54F1F" w:rsidRPr="00F54F1F">
        <w:rPr>
          <w:rFonts w:ascii="Arial" w:eastAsia="Times New Roman" w:hAnsi="Arial" w:cs="Arial"/>
          <w:color w:val="222222"/>
          <w:kern w:val="0"/>
          <w:lang w:eastAsia="en-GB"/>
          <w14:ligatures w14:val="none"/>
        </w:rPr>
        <w:t>and Emmanuel, 2016</w:t>
      </w:r>
      <w:r w:rsidR="00F54F1F" w:rsidRPr="00F54F1F">
        <w:rPr>
          <w:rFonts w:ascii="Arial" w:eastAsia="Times New Roman" w:hAnsi="Arial" w:cs="Arial"/>
          <w:color w:val="222222"/>
          <w:kern w:val="0"/>
          <w:lang w:eastAsia="en-GB"/>
          <w14:ligatures w14:val="none"/>
        </w:rPr>
        <w:t>)</w:t>
      </w:r>
      <w:r w:rsidR="00F54F1F">
        <w:rPr>
          <w:rFonts w:ascii="Arial" w:eastAsia="Times New Roman" w:hAnsi="Arial" w:cs="Arial"/>
          <w:color w:val="222222"/>
          <w:kern w:val="0"/>
          <w:lang w:eastAsia="en-GB"/>
          <w14:ligatures w14:val="none"/>
        </w:rPr>
        <w:t>.</w:t>
      </w:r>
    </w:p>
    <w:p w14:paraId="5CABC4BA" w14:textId="5849C0CB" w:rsidR="00C618F4" w:rsidRPr="00C618F4" w:rsidRDefault="00C618F4" w:rsidP="00C618F4">
      <w:r w:rsidRPr="0000551A">
        <w:t>A critical aspect of IFRS 15 is the identification of performance obligations within a contract. This ensures revenue is recognized in a manner that reflects the transfer of control over goods or services to customers</w:t>
      </w:r>
      <w:r w:rsidR="00AE3BF6" w:rsidRPr="0000551A">
        <w:t xml:space="preserve"> (</w:t>
      </w:r>
      <w:r w:rsidR="00AE3BF6" w:rsidRPr="00210B49">
        <w:rPr>
          <w:rFonts w:ascii="Arial" w:eastAsia="Times New Roman" w:hAnsi="Arial" w:cs="Arial"/>
          <w:color w:val="222222"/>
          <w:kern w:val="0"/>
          <w:lang w:eastAsia="en-GB"/>
          <w14:ligatures w14:val="none"/>
        </w:rPr>
        <w:t>Van Wyk</w:t>
      </w:r>
      <w:r w:rsidR="00AE3BF6" w:rsidRPr="0000551A">
        <w:rPr>
          <w:rFonts w:ascii="Arial" w:eastAsia="Times New Roman" w:hAnsi="Arial" w:cs="Arial"/>
          <w:color w:val="222222"/>
          <w:kern w:val="0"/>
          <w:lang w:eastAsia="en-GB"/>
          <w14:ligatures w14:val="none"/>
        </w:rPr>
        <w:t xml:space="preserve">, </w:t>
      </w:r>
      <w:r w:rsidR="00AE3BF6" w:rsidRPr="00210B49">
        <w:rPr>
          <w:rFonts w:ascii="Arial" w:eastAsia="Times New Roman" w:hAnsi="Arial" w:cs="Arial"/>
          <w:color w:val="222222"/>
          <w:kern w:val="0"/>
          <w:lang w:eastAsia="en-GB"/>
          <w14:ligatures w14:val="none"/>
        </w:rPr>
        <w:t>2017</w:t>
      </w:r>
      <w:r w:rsidR="00AE3BF6" w:rsidRPr="0000551A">
        <w:rPr>
          <w:rFonts w:ascii="Arial" w:eastAsia="Times New Roman" w:hAnsi="Arial" w:cs="Arial"/>
          <w:color w:val="222222"/>
          <w:kern w:val="0"/>
          <w:lang w:eastAsia="en-GB"/>
          <w14:ligatures w14:val="none"/>
        </w:rPr>
        <w:t>)</w:t>
      </w:r>
      <w:r w:rsidRPr="0000551A">
        <w:t>.</w:t>
      </w:r>
      <w:r w:rsidRPr="00C618F4">
        <w:t xml:space="preserve"> For example, in construction contracts, revenue is often recognized over time as work is performed, rather than at the completion of the contract (Finch, 2012).</w:t>
      </w:r>
    </w:p>
    <w:p w14:paraId="5B54F949" w14:textId="03241B71" w:rsidR="00C618F4" w:rsidRPr="00D66204" w:rsidRDefault="00C618F4" w:rsidP="00C618F4">
      <w:pPr>
        <w:rPr>
          <w:b/>
          <w:bCs/>
        </w:rPr>
      </w:pPr>
      <w:r w:rsidRPr="00777FDE">
        <w:t>Boeing, a leading aerospace company in the United States, applies IFRS 15 for its long-term contracts. Boeing recogni</w:t>
      </w:r>
      <w:r w:rsidR="00F855BD" w:rsidRPr="00777FDE">
        <w:t>s</w:t>
      </w:r>
      <w:r w:rsidRPr="00777FDE">
        <w:t>es revenue over time for its aircraft manufacturing contracts, reflecting the progress of work performed</w:t>
      </w:r>
      <w:r w:rsidRPr="00C618F4">
        <w:t xml:space="preserve"> (</w:t>
      </w:r>
      <w:r w:rsidR="00777FDE" w:rsidRPr="00777FDE">
        <w:rPr>
          <w:rFonts w:ascii="Arial" w:eastAsia="Times New Roman" w:hAnsi="Arial" w:cs="Arial"/>
          <w:color w:val="222222"/>
          <w:kern w:val="0"/>
          <w:lang w:eastAsia="en-GB"/>
          <w14:ligatures w14:val="none"/>
        </w:rPr>
        <w:t>Vasigh and Rowe, 2019</w:t>
      </w:r>
      <w:r w:rsidRPr="00C618F4">
        <w:t xml:space="preserve">). </w:t>
      </w:r>
      <w:r w:rsidR="00962F2F">
        <w:t xml:space="preserve">According to </w:t>
      </w:r>
      <w:r w:rsidR="00962F2F" w:rsidRPr="00962F2F">
        <w:rPr>
          <w:rFonts w:ascii="Arial" w:eastAsia="Times New Roman" w:hAnsi="Arial" w:cs="Arial"/>
          <w:color w:val="222222"/>
          <w:kern w:val="0"/>
          <w:lang w:eastAsia="en-GB"/>
          <w14:ligatures w14:val="none"/>
        </w:rPr>
        <w:t>Taherdoost</w:t>
      </w:r>
      <w:r w:rsidR="00D66204">
        <w:rPr>
          <w:rFonts w:ascii="Arial" w:eastAsia="Times New Roman" w:hAnsi="Arial" w:cs="Arial"/>
          <w:color w:val="222222"/>
          <w:kern w:val="0"/>
          <w:lang w:eastAsia="en-GB"/>
          <w14:ligatures w14:val="none"/>
        </w:rPr>
        <w:t xml:space="preserve"> (</w:t>
      </w:r>
      <w:r w:rsidR="00962F2F" w:rsidRPr="00962F2F">
        <w:rPr>
          <w:rFonts w:ascii="Arial" w:eastAsia="Times New Roman" w:hAnsi="Arial" w:cs="Arial"/>
          <w:color w:val="222222"/>
          <w:kern w:val="0"/>
          <w:lang w:eastAsia="en-GB"/>
          <w14:ligatures w14:val="none"/>
        </w:rPr>
        <w:t>2023</w:t>
      </w:r>
      <w:r w:rsidR="00D66204" w:rsidRPr="00D66204">
        <w:rPr>
          <w:rFonts w:ascii="Arial" w:eastAsia="Times New Roman" w:hAnsi="Arial" w:cs="Arial"/>
          <w:b/>
          <w:bCs/>
          <w:color w:val="222222"/>
          <w:kern w:val="0"/>
          <w:lang w:eastAsia="en-GB"/>
          <w14:ligatures w14:val="none"/>
        </w:rPr>
        <w:t xml:space="preserve">), </w:t>
      </w:r>
      <w:r w:rsidR="00D66204" w:rsidRPr="00823F34">
        <w:rPr>
          <w:rFonts w:ascii="Arial" w:eastAsia="Times New Roman" w:hAnsi="Arial" w:cs="Arial"/>
          <w:color w:val="222222"/>
          <w:kern w:val="0"/>
          <w:lang w:eastAsia="en-GB"/>
          <w14:ligatures w14:val="none"/>
        </w:rPr>
        <w:t>t</w:t>
      </w:r>
      <w:r w:rsidRPr="00823F34">
        <w:t xml:space="preserve">his recognition method enhances transparency, as stakeholders can see the ongoing performance of contracts rather than waiting until project completion, which may take </w:t>
      </w:r>
      <w:r w:rsidR="00A85B6B" w:rsidRPr="00823F34">
        <w:t xml:space="preserve">several </w:t>
      </w:r>
      <w:r w:rsidRPr="00823F34">
        <w:t>years.</w:t>
      </w:r>
    </w:p>
    <w:p w14:paraId="5430D605" w14:textId="52751A1C" w:rsidR="00C618F4" w:rsidRPr="00C618F4" w:rsidRDefault="00C618F4" w:rsidP="00C618F4">
      <w:r w:rsidRPr="00C618F4">
        <w:t>In India, L&amp;T Construction follows IFRS 15 standards when reporting revenue from long-term contracts. By recognizing revenue based on the percentage of completion method, L&amp;T provides stakeholders with a clear view of its financial performance and the ongoing value of its projects (L&amp;T Construction, 2023). This practice enhances reliability in financial reporting, allowing investors to understand the company's revenue streams better.</w:t>
      </w:r>
    </w:p>
    <w:p w14:paraId="1943BE7D" w14:textId="77777777" w:rsidR="00E95001" w:rsidRDefault="00E95001" w:rsidP="00C618F4">
      <w:pPr>
        <w:rPr>
          <w:b/>
          <w:bCs/>
        </w:rPr>
      </w:pPr>
    </w:p>
    <w:p w14:paraId="3E945569" w14:textId="77777777" w:rsidR="00E95001" w:rsidRDefault="00E95001" w:rsidP="00C618F4">
      <w:pPr>
        <w:rPr>
          <w:b/>
          <w:bCs/>
        </w:rPr>
      </w:pPr>
    </w:p>
    <w:p w14:paraId="3FEDD59F" w14:textId="77777777" w:rsidR="00E95001" w:rsidRDefault="00E95001" w:rsidP="00C618F4">
      <w:pPr>
        <w:rPr>
          <w:b/>
          <w:bCs/>
        </w:rPr>
      </w:pPr>
    </w:p>
    <w:p w14:paraId="199E1897" w14:textId="77777777" w:rsidR="00E95001" w:rsidRDefault="00E95001" w:rsidP="00C618F4">
      <w:pPr>
        <w:rPr>
          <w:b/>
          <w:bCs/>
        </w:rPr>
      </w:pPr>
    </w:p>
    <w:p w14:paraId="728AA72F" w14:textId="77777777" w:rsidR="00E95001" w:rsidRDefault="00E95001" w:rsidP="00C618F4">
      <w:pPr>
        <w:rPr>
          <w:b/>
          <w:bCs/>
        </w:rPr>
      </w:pPr>
    </w:p>
    <w:p w14:paraId="5149069B" w14:textId="77777777" w:rsidR="00E95001" w:rsidRDefault="00E95001" w:rsidP="00C618F4">
      <w:pPr>
        <w:rPr>
          <w:b/>
          <w:bCs/>
        </w:rPr>
      </w:pPr>
    </w:p>
    <w:p w14:paraId="0A5F0128" w14:textId="77777777" w:rsidR="00E95001" w:rsidRDefault="00E95001" w:rsidP="00C618F4">
      <w:pPr>
        <w:rPr>
          <w:b/>
          <w:bCs/>
        </w:rPr>
      </w:pPr>
    </w:p>
    <w:p w14:paraId="4144B29E" w14:textId="77777777" w:rsidR="00E95001" w:rsidRDefault="00E95001" w:rsidP="00C618F4">
      <w:pPr>
        <w:rPr>
          <w:b/>
          <w:bCs/>
        </w:rPr>
      </w:pPr>
    </w:p>
    <w:p w14:paraId="2A2BA6E6" w14:textId="77777777" w:rsidR="00E95001" w:rsidRDefault="00E95001" w:rsidP="00C618F4">
      <w:pPr>
        <w:rPr>
          <w:b/>
          <w:bCs/>
        </w:rPr>
      </w:pPr>
    </w:p>
    <w:p w14:paraId="6C0019D2" w14:textId="77777777" w:rsidR="00F853AA" w:rsidRDefault="00F853AA" w:rsidP="00C618F4">
      <w:pPr>
        <w:rPr>
          <w:b/>
          <w:bCs/>
        </w:rPr>
      </w:pPr>
    </w:p>
    <w:p w14:paraId="00A89F87" w14:textId="108F7ECC" w:rsidR="00C618F4" w:rsidRPr="00823F34" w:rsidRDefault="00C618F4" w:rsidP="00C618F4">
      <w:pPr>
        <w:rPr>
          <w:b/>
          <w:bCs/>
        </w:rPr>
      </w:pPr>
      <w:r w:rsidRPr="00823F34">
        <w:rPr>
          <w:b/>
          <w:bCs/>
        </w:rPr>
        <w:lastRenderedPageBreak/>
        <w:t>Comparability</w:t>
      </w:r>
    </w:p>
    <w:p w14:paraId="6A4E9649" w14:textId="77777777" w:rsidR="00584EE8" w:rsidRDefault="00C618F4" w:rsidP="00C618F4">
      <w:r w:rsidRPr="009F3876">
        <w:t>The adoption of IFRS promotes comparability among financial statements across different companies and industries</w:t>
      </w:r>
      <w:r w:rsidR="00F90B7F">
        <w:rPr>
          <w:b/>
          <w:bCs/>
        </w:rPr>
        <w:t xml:space="preserve"> (</w:t>
      </w:r>
      <w:r w:rsidR="00F90B7F" w:rsidRPr="00F90B7F">
        <w:rPr>
          <w:rFonts w:ascii="Arial" w:eastAsia="Times New Roman" w:hAnsi="Arial" w:cs="Arial"/>
          <w:color w:val="222222"/>
          <w:kern w:val="0"/>
          <w:lang w:eastAsia="en-GB"/>
          <w14:ligatures w14:val="none"/>
        </w:rPr>
        <w:t>Akpan, Akinadewo and Osatuyi, 2023</w:t>
      </w:r>
      <w:r w:rsidR="00F90B7F">
        <w:rPr>
          <w:rFonts w:ascii="Arial" w:eastAsia="Times New Roman" w:hAnsi="Arial" w:cs="Arial"/>
          <w:color w:val="222222"/>
          <w:kern w:val="0"/>
          <w:lang w:eastAsia="en-GB"/>
          <w14:ligatures w14:val="none"/>
        </w:rPr>
        <w:t>)</w:t>
      </w:r>
      <w:r w:rsidRPr="00C618F4">
        <w:t xml:space="preserve">. </w:t>
      </w:r>
      <w:r w:rsidRPr="00991CAA">
        <w:t>By establishing standardized reporting practices, stakeholders can make more informed comparisons between organizations</w:t>
      </w:r>
      <w:r w:rsidR="00995801" w:rsidRPr="00991CAA">
        <w:t xml:space="preserve"> (</w:t>
      </w:r>
      <w:r w:rsidR="00995801" w:rsidRPr="001D323F">
        <w:rPr>
          <w:rFonts w:ascii="Arial" w:eastAsia="Times New Roman" w:hAnsi="Arial" w:cs="Arial"/>
          <w:color w:val="222222"/>
          <w:kern w:val="0"/>
          <w:lang w:eastAsia="en-GB"/>
          <w14:ligatures w14:val="none"/>
        </w:rPr>
        <w:t>Soyombo,</w:t>
      </w:r>
      <w:r w:rsidR="00995801">
        <w:rPr>
          <w:rFonts w:ascii="Arial" w:eastAsia="Times New Roman" w:hAnsi="Arial" w:cs="Arial"/>
          <w:color w:val="222222"/>
          <w:kern w:val="0"/>
          <w:lang w:eastAsia="en-GB"/>
          <w14:ligatures w14:val="none"/>
        </w:rPr>
        <w:t xml:space="preserve"> et al, 2024)</w:t>
      </w:r>
      <w:r w:rsidRPr="00C618F4">
        <w:t>. For instance, when multiple companies in the same industry report their inventories using IAS 2 guidelines, investors can easily assess their operational efficiency and inventory management strategies.</w:t>
      </w:r>
    </w:p>
    <w:p w14:paraId="50F30E04" w14:textId="03944603" w:rsidR="00C618F4" w:rsidRPr="00C618F4" w:rsidRDefault="00C618F4" w:rsidP="00C618F4">
      <w:r w:rsidRPr="00C618F4">
        <w:t xml:space="preserve">In the retail sector, companies like Walmart and Tesco report their inventories under IAS 2, enabling investors to compare inventory turnover ratios effectively. This comparability is essential for investors seeking to identify which company manages its inventory more efficiently (Elliott </w:t>
      </w:r>
      <w:r w:rsidR="00102A38">
        <w:t>and</w:t>
      </w:r>
      <w:r w:rsidRPr="00C618F4">
        <w:t xml:space="preserve"> Elliott, 2015).</w:t>
      </w:r>
    </w:p>
    <w:p w14:paraId="63DF09E3" w14:textId="2A38B058" w:rsidR="00C618F4" w:rsidRPr="00823F34" w:rsidRDefault="00C618F4" w:rsidP="00C618F4">
      <w:pPr>
        <w:rPr>
          <w:b/>
          <w:bCs/>
        </w:rPr>
      </w:pPr>
      <w:r w:rsidRPr="00823F34">
        <w:rPr>
          <w:b/>
          <w:bCs/>
        </w:rPr>
        <w:t>Transparency</w:t>
      </w:r>
    </w:p>
    <w:p w14:paraId="5CAF06D1" w14:textId="4AAE780D" w:rsidR="00C618F4" w:rsidRDefault="00C618F4" w:rsidP="00C618F4">
      <w:r w:rsidRPr="00B26F75">
        <w:t xml:space="preserve">IFRS enhances transparency in financial reporting by requiring detailed disclosures regarding inventories and long-term </w:t>
      </w:r>
      <w:r w:rsidRPr="00491B6B">
        <w:t>contracts</w:t>
      </w:r>
      <w:r w:rsidR="00B26F75" w:rsidRPr="00491B6B">
        <w:t xml:space="preserve"> (</w:t>
      </w:r>
      <w:r w:rsidR="00B26F75" w:rsidRPr="00B26F75">
        <w:rPr>
          <w:rFonts w:ascii="Arial" w:eastAsia="Times New Roman" w:hAnsi="Arial" w:cs="Arial"/>
          <w:color w:val="222222"/>
          <w:kern w:val="0"/>
          <w:lang w:eastAsia="en-GB"/>
          <w14:ligatures w14:val="none"/>
        </w:rPr>
        <w:t>Gök, 2024</w:t>
      </w:r>
      <w:r w:rsidR="00B26F75" w:rsidRPr="00491B6B">
        <w:rPr>
          <w:rFonts w:ascii="Arial" w:eastAsia="Times New Roman" w:hAnsi="Arial" w:cs="Arial"/>
          <w:color w:val="222222"/>
          <w:kern w:val="0"/>
          <w:lang w:eastAsia="en-GB"/>
          <w14:ligatures w14:val="none"/>
        </w:rPr>
        <w:t>)</w:t>
      </w:r>
      <w:r w:rsidRPr="00491B6B">
        <w:t>. Companies must provide information about their accounting policies, measurement bases, and the risks associated with their inventories and contracts</w:t>
      </w:r>
      <w:r w:rsidR="00827975" w:rsidRPr="00491B6B">
        <w:t xml:space="preserve"> (</w:t>
      </w:r>
      <w:r w:rsidR="00827975" w:rsidRPr="00A86E0F">
        <w:rPr>
          <w:rFonts w:ascii="Arial" w:eastAsia="Times New Roman" w:hAnsi="Arial" w:cs="Arial"/>
          <w:color w:val="222222"/>
          <w:kern w:val="0"/>
          <w:lang w:eastAsia="en-GB"/>
          <w14:ligatures w14:val="none"/>
        </w:rPr>
        <w:t>Abed</w:t>
      </w:r>
      <w:r w:rsidR="00827975" w:rsidRPr="00491B6B">
        <w:rPr>
          <w:rFonts w:ascii="Arial" w:eastAsia="Times New Roman" w:hAnsi="Arial" w:cs="Arial"/>
          <w:color w:val="222222"/>
          <w:kern w:val="0"/>
          <w:lang w:eastAsia="en-GB"/>
          <w14:ligatures w14:val="none"/>
        </w:rPr>
        <w:t>, et al</w:t>
      </w:r>
      <w:r w:rsidR="00491B6B" w:rsidRPr="00491B6B">
        <w:rPr>
          <w:rFonts w:ascii="Arial" w:eastAsia="Times New Roman" w:hAnsi="Arial" w:cs="Arial"/>
          <w:color w:val="222222"/>
          <w:kern w:val="0"/>
          <w:lang w:eastAsia="en-GB"/>
          <w14:ligatures w14:val="none"/>
        </w:rPr>
        <w:t>, 2022)</w:t>
      </w:r>
      <w:r w:rsidRPr="00491B6B">
        <w:t>. This level of transparency allows stakeholders to better understand</w:t>
      </w:r>
      <w:r w:rsidRPr="00C618F4">
        <w:t xml:space="preserve"> the financial position of organizations and the potential risks involved.</w:t>
      </w:r>
    </w:p>
    <w:p w14:paraId="09FD6DC6" w14:textId="019F2CCA" w:rsidR="00C618F4" w:rsidRPr="00C618F4" w:rsidRDefault="00C618F4" w:rsidP="00C618F4">
      <w:r w:rsidRPr="00C618F4">
        <w:t xml:space="preserve">Under IAS 2, companies must disclose the accounting policies adopted for inventory measurement, the total carrying </w:t>
      </w:r>
      <w:proofErr w:type="gramStart"/>
      <w:r w:rsidRPr="00C618F4">
        <w:t>amount</w:t>
      </w:r>
      <w:proofErr w:type="gramEnd"/>
      <w:r w:rsidRPr="00C618F4">
        <w:t xml:space="preserve"> of inventories, and any write-downs to net realizable value (Young &amp; Cohen, 2013). This requirement ensures that stakeholders have access to relevant information, enhancing their understanding of the company's inventory management practices.</w:t>
      </w:r>
    </w:p>
    <w:p w14:paraId="0808BFB7" w14:textId="5285FA8D" w:rsidR="00C618F4" w:rsidRPr="00335D16" w:rsidRDefault="00C618F4" w:rsidP="00C618F4">
      <w:pPr>
        <w:rPr>
          <w:b/>
          <w:bCs/>
        </w:rPr>
      </w:pPr>
      <w:r w:rsidRPr="00335D16">
        <w:rPr>
          <w:b/>
          <w:bCs/>
        </w:rPr>
        <w:t>Reliability</w:t>
      </w:r>
    </w:p>
    <w:p w14:paraId="336AB53A" w14:textId="266FF2DD" w:rsidR="00C618F4" w:rsidRPr="00C618F4" w:rsidRDefault="00565359" w:rsidP="00C618F4">
      <w:r w:rsidRPr="00565359">
        <w:t xml:space="preserve">According to </w:t>
      </w:r>
      <w:r w:rsidRPr="00E27C16">
        <w:rPr>
          <w:rFonts w:ascii="Arial" w:eastAsia="Times New Roman" w:hAnsi="Arial" w:cs="Arial"/>
          <w:color w:val="222222"/>
          <w:kern w:val="0"/>
          <w:lang w:eastAsia="en-GB"/>
          <w14:ligatures w14:val="none"/>
        </w:rPr>
        <w:t xml:space="preserve">PADOAN </w:t>
      </w:r>
      <w:r w:rsidRPr="00565359">
        <w:rPr>
          <w:rFonts w:ascii="Arial" w:eastAsia="Times New Roman" w:hAnsi="Arial" w:cs="Arial"/>
          <w:color w:val="222222"/>
          <w:kern w:val="0"/>
          <w:lang w:eastAsia="en-GB"/>
          <w14:ligatures w14:val="none"/>
        </w:rPr>
        <w:t>(</w:t>
      </w:r>
      <w:r w:rsidRPr="00E27C16">
        <w:rPr>
          <w:rFonts w:ascii="Arial" w:eastAsia="Times New Roman" w:hAnsi="Arial" w:cs="Arial"/>
          <w:color w:val="222222"/>
          <w:kern w:val="0"/>
          <w:lang w:eastAsia="en-GB"/>
          <w14:ligatures w14:val="none"/>
        </w:rPr>
        <w:t>2023</w:t>
      </w:r>
      <w:r w:rsidRPr="00565359">
        <w:rPr>
          <w:rFonts w:ascii="Arial" w:eastAsia="Times New Roman" w:hAnsi="Arial" w:cs="Arial"/>
          <w:color w:val="222222"/>
          <w:kern w:val="0"/>
          <w:lang w:eastAsia="en-GB"/>
          <w14:ligatures w14:val="none"/>
        </w:rPr>
        <w:t xml:space="preserve">), </w:t>
      </w:r>
      <w:r w:rsidRPr="00565359">
        <w:t>t</w:t>
      </w:r>
      <w:r w:rsidR="00C618F4" w:rsidRPr="00565359">
        <w:t>he implementation of IFRS improves the reliability of financial statements by providing clear guidelines for the recognition and measurement of stocks and long-term contracts.</w:t>
      </w:r>
      <w:r w:rsidR="00C618F4" w:rsidRPr="00C618F4">
        <w:t xml:space="preserve"> By adhering to these standards, companies ensure that their financial statements accurately reflect their economic reality.</w:t>
      </w:r>
    </w:p>
    <w:p w14:paraId="6F154C17" w14:textId="41599582" w:rsidR="00C618F4" w:rsidRPr="00C618F4" w:rsidRDefault="00C618F4" w:rsidP="00C618F4">
      <w:r w:rsidRPr="00C618F4">
        <w:t>For instance</w:t>
      </w:r>
      <w:r w:rsidRPr="008E1720">
        <w:t>, Boeing's use of IFRS 15 allows for reliable revenue recognition on its long-term contracts</w:t>
      </w:r>
      <w:r w:rsidRPr="00C618F4">
        <w:t>, as revenue is recognized based on the percentage of completion. This aligns the reported revenue with the actual progress made on contracts, providing a reliable measure of the company's financial performance (</w:t>
      </w:r>
      <w:r w:rsidR="003E2CDD" w:rsidRPr="003E2CDD">
        <w:rPr>
          <w:rFonts w:ascii="Arial" w:eastAsia="Times New Roman" w:hAnsi="Arial" w:cs="Arial"/>
          <w:color w:val="222222"/>
          <w:kern w:val="0"/>
          <w:lang w:eastAsia="en-GB"/>
          <w14:ligatures w14:val="none"/>
        </w:rPr>
        <w:t>Vogel, 2021</w:t>
      </w:r>
      <w:r w:rsidRPr="00C618F4">
        <w:t>).</w:t>
      </w:r>
    </w:p>
    <w:p w14:paraId="7A91CA44" w14:textId="77777777" w:rsidR="00E95001" w:rsidRDefault="00E95001" w:rsidP="00C618F4">
      <w:pPr>
        <w:rPr>
          <w:b/>
          <w:bCs/>
        </w:rPr>
      </w:pPr>
    </w:p>
    <w:p w14:paraId="3FD696CA" w14:textId="77777777" w:rsidR="00585029" w:rsidRDefault="00585029" w:rsidP="00C618F4">
      <w:pPr>
        <w:rPr>
          <w:b/>
          <w:bCs/>
        </w:rPr>
      </w:pPr>
    </w:p>
    <w:p w14:paraId="286B39A4" w14:textId="49D65DBA" w:rsidR="00C618F4" w:rsidRPr="00762482" w:rsidRDefault="00C618F4" w:rsidP="00C618F4">
      <w:pPr>
        <w:rPr>
          <w:b/>
          <w:bCs/>
        </w:rPr>
      </w:pPr>
      <w:r w:rsidRPr="00762482">
        <w:rPr>
          <w:b/>
          <w:bCs/>
        </w:rPr>
        <w:lastRenderedPageBreak/>
        <w:t>Benefits of Implementing IFRS</w:t>
      </w:r>
    </w:p>
    <w:p w14:paraId="7018BC46" w14:textId="2B514AFC" w:rsidR="00C618F4" w:rsidRPr="00C618F4" w:rsidRDefault="00C618F4" w:rsidP="00C618F4">
      <w:r w:rsidRPr="00C618F4">
        <w:t>1. Enhanced Comparability: IFRS promotes consistency in financial reporting, enabling stakeholders to compare financial statements across different companies and industries more effectively</w:t>
      </w:r>
      <w:r w:rsidR="00E4679F">
        <w:t xml:space="preserve"> (</w:t>
      </w:r>
      <w:r w:rsidR="00E4679F" w:rsidRPr="00E4679F">
        <w:rPr>
          <w:rFonts w:ascii="Arial" w:eastAsia="Times New Roman" w:hAnsi="Arial" w:cs="Arial"/>
          <w:color w:val="222222"/>
          <w:kern w:val="0"/>
          <w:lang w:eastAsia="en-GB"/>
          <w14:ligatures w14:val="none"/>
        </w:rPr>
        <w:t>Mesioye and Bakare, 2024</w:t>
      </w:r>
      <w:r w:rsidR="00E4679F">
        <w:rPr>
          <w:rFonts w:ascii="Arial" w:eastAsia="Times New Roman" w:hAnsi="Arial" w:cs="Arial"/>
          <w:color w:val="222222"/>
          <w:kern w:val="0"/>
          <w:lang w:eastAsia="en-GB"/>
          <w14:ligatures w14:val="none"/>
        </w:rPr>
        <w:t>)</w:t>
      </w:r>
      <w:r w:rsidRPr="00C618F4">
        <w:t>.</w:t>
      </w:r>
    </w:p>
    <w:p w14:paraId="74DA0284" w14:textId="132A2C88" w:rsidR="00C618F4" w:rsidRPr="00C618F4" w:rsidRDefault="00C618F4" w:rsidP="00C618F4">
      <w:r w:rsidRPr="00C618F4">
        <w:t>2. Improved Transparency: The detailed disclosure requirements under IFRS enhance transparency, allowing stakeholders to understand the financial position and performance of organizations better</w:t>
      </w:r>
      <w:r w:rsidR="00881E0C">
        <w:t xml:space="preserve"> (</w:t>
      </w:r>
      <w:r w:rsidR="00881E0C" w:rsidRPr="00BD1B76">
        <w:rPr>
          <w:rFonts w:ascii="Arial" w:eastAsia="Times New Roman" w:hAnsi="Arial" w:cs="Arial"/>
          <w:color w:val="222222"/>
          <w:kern w:val="0"/>
          <w:lang w:eastAsia="en-GB"/>
          <w14:ligatures w14:val="none"/>
        </w:rPr>
        <w:t>Auliyah,</w:t>
      </w:r>
      <w:r w:rsidR="00881E0C">
        <w:rPr>
          <w:rFonts w:ascii="Arial" w:eastAsia="Times New Roman" w:hAnsi="Arial" w:cs="Arial"/>
          <w:color w:val="222222"/>
          <w:kern w:val="0"/>
          <w:lang w:eastAsia="en-GB"/>
          <w14:ligatures w14:val="none"/>
        </w:rPr>
        <w:t xml:space="preserve"> </w:t>
      </w:r>
      <w:r w:rsidR="00881E0C" w:rsidRPr="00BD1B76">
        <w:rPr>
          <w:rFonts w:ascii="Arial" w:eastAsia="Times New Roman" w:hAnsi="Arial" w:cs="Arial"/>
          <w:color w:val="222222"/>
          <w:kern w:val="0"/>
          <w:lang w:eastAsia="en-GB"/>
          <w14:ligatures w14:val="none"/>
        </w:rPr>
        <w:t>and Agit, 2024</w:t>
      </w:r>
      <w:r w:rsidR="00881E0C">
        <w:rPr>
          <w:rFonts w:ascii="Arial" w:eastAsia="Times New Roman" w:hAnsi="Arial" w:cs="Arial"/>
          <w:color w:val="222222"/>
          <w:kern w:val="0"/>
          <w:lang w:eastAsia="en-GB"/>
          <w14:ligatures w14:val="none"/>
        </w:rPr>
        <w:t>)</w:t>
      </w:r>
      <w:r w:rsidRPr="00C618F4">
        <w:t>.</w:t>
      </w:r>
    </w:p>
    <w:p w14:paraId="04B885A0" w14:textId="08914B1D" w:rsidR="00C618F4" w:rsidRPr="00C618F4" w:rsidRDefault="00C618F4" w:rsidP="00C618F4">
      <w:r w:rsidRPr="00C618F4">
        <w:t>3. Increased Reliability: By providing clear guidelines for recognition and measurement, IFRS improves the reliability of financial statements, enabling stakeholders to make informed decisions based on accurate information</w:t>
      </w:r>
      <w:r w:rsidR="00B70244">
        <w:t xml:space="preserve"> (</w:t>
      </w:r>
      <w:r w:rsidR="00B70244" w:rsidRPr="00D92F80">
        <w:rPr>
          <w:rFonts w:ascii="Arial" w:eastAsia="Times New Roman" w:hAnsi="Arial" w:cs="Arial"/>
          <w:color w:val="222222"/>
          <w:kern w:val="0"/>
          <w:lang w:eastAsia="en-GB"/>
          <w14:ligatures w14:val="none"/>
        </w:rPr>
        <w:t xml:space="preserve">De George, </w:t>
      </w:r>
      <w:proofErr w:type="gramStart"/>
      <w:r w:rsidR="00B70244" w:rsidRPr="00D92F80">
        <w:rPr>
          <w:rFonts w:ascii="Arial" w:eastAsia="Times New Roman" w:hAnsi="Arial" w:cs="Arial"/>
          <w:color w:val="222222"/>
          <w:kern w:val="0"/>
          <w:lang w:eastAsia="en-GB"/>
          <w14:ligatures w14:val="none"/>
        </w:rPr>
        <w:t>Li,and</w:t>
      </w:r>
      <w:proofErr w:type="gramEnd"/>
      <w:r w:rsidR="00B70244" w:rsidRPr="00D92F80">
        <w:rPr>
          <w:rFonts w:ascii="Arial" w:eastAsia="Times New Roman" w:hAnsi="Arial" w:cs="Arial"/>
          <w:color w:val="222222"/>
          <w:kern w:val="0"/>
          <w:lang w:eastAsia="en-GB"/>
          <w14:ligatures w14:val="none"/>
        </w:rPr>
        <w:t xml:space="preserve"> Shivakumar, 2016</w:t>
      </w:r>
      <w:r w:rsidR="00B70244">
        <w:rPr>
          <w:rFonts w:ascii="Arial" w:eastAsia="Times New Roman" w:hAnsi="Arial" w:cs="Arial"/>
          <w:color w:val="222222"/>
          <w:kern w:val="0"/>
          <w:lang w:eastAsia="en-GB"/>
          <w14:ligatures w14:val="none"/>
        </w:rPr>
        <w:t>)</w:t>
      </w:r>
      <w:r w:rsidRPr="00C618F4">
        <w:t>.</w:t>
      </w:r>
    </w:p>
    <w:p w14:paraId="14F3B793" w14:textId="247261FA" w:rsidR="00C618F4" w:rsidRPr="00C618F4" w:rsidRDefault="00C618F4" w:rsidP="00C618F4">
      <w:r w:rsidRPr="00C618F4">
        <w:t>4. Facilitated Access to Capital: Adopting IFRS can enhance a company's credibility in the eyes of investors and creditors, facilitating access to capital markets and potentially lowering the cost of capital (Scott, 2014).</w:t>
      </w:r>
    </w:p>
    <w:p w14:paraId="64D642D7" w14:textId="59E755D2" w:rsidR="00C618F4" w:rsidRDefault="00C618F4" w:rsidP="00C618F4">
      <w:pPr>
        <w:rPr>
          <w:b/>
          <w:bCs/>
        </w:rPr>
      </w:pPr>
      <w:r w:rsidRPr="00762482">
        <w:rPr>
          <w:b/>
          <w:bCs/>
        </w:rPr>
        <w:t>Challenges in Applying IFRS</w:t>
      </w:r>
    </w:p>
    <w:p w14:paraId="4EDAF877" w14:textId="3D38ADB8" w:rsidR="0063370D" w:rsidRPr="0063370D" w:rsidRDefault="00B41F90" w:rsidP="00C618F4">
      <w:r>
        <w:t xml:space="preserve">While the benefits of adopting IFRS are clear, businesses often face significant </w:t>
      </w:r>
      <w:r w:rsidR="006B3EF2">
        <w:t>challenges</w:t>
      </w:r>
      <w:r>
        <w:t xml:space="preserve"> associated with transitioning to these standards</w:t>
      </w:r>
      <w:r w:rsidR="006F237D">
        <w:t xml:space="preserve">. </w:t>
      </w:r>
    </w:p>
    <w:p w14:paraId="468830D7" w14:textId="77777777" w:rsidR="00C618F4" w:rsidRDefault="00C618F4" w:rsidP="00C618F4">
      <w:r w:rsidRPr="00C618F4">
        <w:t>1. Complexity of Standards: The complexity and detailed nature of IFRS can pose challenges for businesses, particularly for smaller organizations that may lack the resources and expertise to implement the standards effectively (Melville, 2014).</w:t>
      </w:r>
    </w:p>
    <w:p w14:paraId="3446491F" w14:textId="71C687DC" w:rsidR="00C618F4" w:rsidRPr="00C618F4" w:rsidRDefault="00C618F4" w:rsidP="00C618F4">
      <w:r w:rsidRPr="00C618F4">
        <w:t>2. Cost of Transition: Transitioning to IFRS can involve significant costs, including training staff, updating accounting systems, and re-evaluating existing contracts and inventories (Finch, 2012).</w:t>
      </w:r>
    </w:p>
    <w:p w14:paraId="6D3AE38F" w14:textId="6857085E" w:rsidR="00C618F4" w:rsidRPr="00C618F4" w:rsidRDefault="00C618F4" w:rsidP="00C618F4">
      <w:r w:rsidRPr="00C618F4">
        <w:t>3. Interpretation Variability: Different interpretations of IFRS by companies and auditors can lead to inconsistencies in financial reporting, potentially undermining the comparability and reliability of financial statements (Wood, 2015).</w:t>
      </w:r>
    </w:p>
    <w:p w14:paraId="28A869C9" w14:textId="6DE8EB51" w:rsidR="00C618F4" w:rsidRPr="00C618F4" w:rsidRDefault="00C618F4" w:rsidP="00C618F4">
      <w:r w:rsidRPr="00C618F4">
        <w:t>4. Ongoing Changes to Standards: IFRS standards are subject to ongoing updates and amendments, requiring organizations to stay current with changes and adapt their reporting practices accordingly (Elliott &amp; Elliott, 2015).</w:t>
      </w:r>
    </w:p>
    <w:p w14:paraId="7D4C1C10" w14:textId="77777777" w:rsidR="00E95001" w:rsidRDefault="00E95001" w:rsidP="00C618F4">
      <w:pPr>
        <w:rPr>
          <w:b/>
          <w:bCs/>
        </w:rPr>
      </w:pPr>
    </w:p>
    <w:p w14:paraId="2DB05B34" w14:textId="77777777" w:rsidR="00E95001" w:rsidRDefault="00E95001" w:rsidP="00C618F4">
      <w:pPr>
        <w:rPr>
          <w:b/>
          <w:bCs/>
        </w:rPr>
      </w:pPr>
    </w:p>
    <w:p w14:paraId="79E05C04" w14:textId="77777777" w:rsidR="00E95001" w:rsidRDefault="00E95001" w:rsidP="00C618F4">
      <w:pPr>
        <w:rPr>
          <w:b/>
          <w:bCs/>
        </w:rPr>
      </w:pPr>
    </w:p>
    <w:p w14:paraId="5EBD5D40" w14:textId="77777777" w:rsidR="00585029" w:rsidRDefault="00585029" w:rsidP="00C618F4">
      <w:pPr>
        <w:rPr>
          <w:b/>
          <w:bCs/>
        </w:rPr>
      </w:pPr>
    </w:p>
    <w:p w14:paraId="733F73C1" w14:textId="0EF4C1D9" w:rsidR="00C618F4" w:rsidRPr="004C73AB" w:rsidRDefault="00C618F4" w:rsidP="00C618F4">
      <w:pPr>
        <w:rPr>
          <w:b/>
          <w:bCs/>
        </w:rPr>
      </w:pPr>
      <w:r w:rsidRPr="004C73AB">
        <w:rPr>
          <w:b/>
          <w:bCs/>
        </w:rPr>
        <w:lastRenderedPageBreak/>
        <w:t>Conclusion</w:t>
      </w:r>
    </w:p>
    <w:p w14:paraId="52EF4FA4" w14:textId="45195602" w:rsidR="006D38EF" w:rsidRPr="006D38EF" w:rsidRDefault="006D38EF" w:rsidP="006D38EF">
      <w:r w:rsidRPr="006D38EF">
        <w:t>In conclusion, International Financial Reporting Standards (IFRS) are essential for guiding how companies report their financial information, especially regarding inventories and long-term contracts. Two key standards, IAS 2 and IFRS 15, help ensure that financial statements are comparable, transparent, and reliable. This is crucial because stakeholders—such as investors, creditors, and regulators—need accurate information to make informed decisions about a company's financial health.</w:t>
      </w:r>
    </w:p>
    <w:p w14:paraId="4600EDAB" w14:textId="31D6FE19" w:rsidR="006D38EF" w:rsidRPr="006D38EF" w:rsidRDefault="006D38EF" w:rsidP="006D38EF">
      <w:r w:rsidRPr="006D38EF">
        <w:t>Real-world examples from both developed countries, like the UK, and developing countries, like India, show the positive effects of IFRS on reporting practices. For instance, companies that follow these standards can present clearer inventory valuations and more transparent revenue recognition, leading to greater trust and confidence from investors.</w:t>
      </w:r>
    </w:p>
    <w:p w14:paraId="252E2C0D" w14:textId="68B5DBE0" w:rsidR="006D38EF" w:rsidRPr="006D38EF" w:rsidRDefault="006D38EF" w:rsidP="006D38EF">
      <w:r w:rsidRPr="006D38EF">
        <w:t>However, while the benefits of adopting IFRS are significant, businesses also face challenges during implementation. The standards can be complex, and transitioning to IFRS often involves substantial costs, such as training staff and updating financial systems. Additionally, companies must ensure that they interpret the standards consistently to avoid discrepancies in reporting.</w:t>
      </w:r>
    </w:p>
    <w:p w14:paraId="775CC017" w14:textId="77777777" w:rsidR="006D38EF" w:rsidRPr="006D38EF" w:rsidRDefault="006D38EF" w:rsidP="006D38EF">
      <w:r w:rsidRPr="006D38EF">
        <w:t>Despite these challenges, adhering to IFRS is crucial for maintaining consistent financial reporting across different countries. This consistency ultimately leads to a more transparent and trustworthy financial reporting environment, which benefits everyone involved, from businesses to their stakeholders. By following IFRS, companies contribute to a global financial landscape that supports better decision-making and fosters economic stability.</w:t>
      </w:r>
    </w:p>
    <w:p w14:paraId="000A1635" w14:textId="77777777" w:rsidR="00D0045D" w:rsidRDefault="00D0045D" w:rsidP="00C618F4">
      <w:pPr>
        <w:rPr>
          <w:b/>
          <w:bCs/>
        </w:rPr>
      </w:pPr>
    </w:p>
    <w:p w14:paraId="66FE6809" w14:textId="77777777" w:rsidR="00D0045D" w:rsidRDefault="00D0045D" w:rsidP="00C618F4">
      <w:pPr>
        <w:rPr>
          <w:b/>
          <w:bCs/>
        </w:rPr>
      </w:pPr>
    </w:p>
    <w:p w14:paraId="5597D8B8" w14:textId="77777777" w:rsidR="00D0045D" w:rsidRDefault="00D0045D" w:rsidP="00C618F4">
      <w:pPr>
        <w:rPr>
          <w:b/>
          <w:bCs/>
        </w:rPr>
      </w:pPr>
    </w:p>
    <w:p w14:paraId="71384C1A" w14:textId="77777777" w:rsidR="00D0045D" w:rsidRDefault="00D0045D" w:rsidP="00C618F4">
      <w:pPr>
        <w:rPr>
          <w:b/>
          <w:bCs/>
        </w:rPr>
      </w:pPr>
    </w:p>
    <w:p w14:paraId="1C1AC91B" w14:textId="77777777" w:rsidR="00D0045D" w:rsidRDefault="00D0045D" w:rsidP="00C618F4">
      <w:pPr>
        <w:rPr>
          <w:b/>
          <w:bCs/>
        </w:rPr>
      </w:pPr>
    </w:p>
    <w:p w14:paraId="3C444710" w14:textId="77777777" w:rsidR="00D0045D" w:rsidRDefault="00D0045D" w:rsidP="00C618F4">
      <w:pPr>
        <w:rPr>
          <w:b/>
          <w:bCs/>
        </w:rPr>
      </w:pPr>
    </w:p>
    <w:p w14:paraId="62BAC0BF" w14:textId="77777777" w:rsidR="00D0045D" w:rsidRDefault="00D0045D" w:rsidP="00C618F4">
      <w:pPr>
        <w:rPr>
          <w:b/>
          <w:bCs/>
        </w:rPr>
      </w:pPr>
    </w:p>
    <w:p w14:paraId="4A9EDCA4" w14:textId="77777777" w:rsidR="00D0045D" w:rsidRDefault="00D0045D" w:rsidP="00C618F4">
      <w:pPr>
        <w:rPr>
          <w:b/>
          <w:bCs/>
        </w:rPr>
      </w:pPr>
    </w:p>
    <w:p w14:paraId="0871D667" w14:textId="77777777" w:rsidR="00D0045D" w:rsidRDefault="00D0045D" w:rsidP="00C618F4">
      <w:pPr>
        <w:rPr>
          <w:b/>
          <w:bCs/>
        </w:rPr>
      </w:pPr>
    </w:p>
    <w:p w14:paraId="7E45FD33" w14:textId="77777777" w:rsidR="00585029" w:rsidRDefault="00585029" w:rsidP="00C618F4">
      <w:pPr>
        <w:rPr>
          <w:b/>
          <w:bCs/>
        </w:rPr>
      </w:pPr>
    </w:p>
    <w:p w14:paraId="2C6756C2" w14:textId="2253A74D" w:rsidR="00A64946" w:rsidRPr="00A64946" w:rsidRDefault="00C618F4" w:rsidP="00C618F4">
      <w:pPr>
        <w:rPr>
          <w:b/>
          <w:bCs/>
        </w:rPr>
      </w:pPr>
      <w:r w:rsidRPr="00631269">
        <w:rPr>
          <w:b/>
          <w:bCs/>
        </w:rPr>
        <w:lastRenderedPageBreak/>
        <w:t>References</w:t>
      </w:r>
    </w:p>
    <w:p w14:paraId="7D2B6C1A" w14:textId="77777777" w:rsidR="00502F7C" w:rsidRDefault="00502F7C" w:rsidP="00D125B3">
      <w:r>
        <w:t>Abed, I.A., Hussin, N., Ali, M.A., Haddad, H., Shehadeh, M. and Hasan, E.F., 2022. Creative accounting determinants and financial reporting quality: systematic literature review. Risks, 10(4), p.76.</w:t>
      </w:r>
    </w:p>
    <w:p w14:paraId="05DF1344" w14:textId="77777777" w:rsidR="00502F7C" w:rsidRDefault="00502F7C" w:rsidP="00D125B3">
      <w:r>
        <w:t>Ainsworth, P. and Deines, D., 2019. Introduction to accounting: An integrated approach. John Wiley &amp; Sons.</w:t>
      </w:r>
    </w:p>
    <w:p w14:paraId="59F2C7E1" w14:textId="77777777" w:rsidR="00502F7C" w:rsidRDefault="00502F7C" w:rsidP="00D125B3">
      <w:r>
        <w:t>Akpan, J.U., Akinadewo, I.S. and Osatuyi, Y.A., 2023. International financial reporting standards (IFRS) and small and medium-sized enterprises (SMEs): assessing the impact of IFRS adoption on SMEs. World Journal of Finance and Investment Research, 7(4), pp.34-56.</w:t>
      </w:r>
    </w:p>
    <w:p w14:paraId="51EAFB13" w14:textId="77777777" w:rsidR="00502F7C" w:rsidRDefault="00502F7C" w:rsidP="00D125B3">
      <w:r>
        <w:t>Alam, S., 2016. Financial analysis of retail business organization: a case of Wal-Mart Stores, Inc (Doctoral dissertation, UNIVERSIDAD DE EXTREMADURA).</w:t>
      </w:r>
    </w:p>
    <w:p w14:paraId="3EAED6CD" w14:textId="77777777" w:rsidR="00502F7C" w:rsidRDefault="00502F7C" w:rsidP="00D125B3">
      <w:r>
        <w:t>Andreotti, M., Brondi, C., Micillo, D., Zevenhoven, R., Rieger, J., Jo, A., Hettinger, A.L., Bollen, J., Malfa, E., Trevisan, C. and Peters, K., 2023. Sdgs in the eu steel sector: a critical review of sustainability initiatives and approaches. Sustainability, 15(9), p.7521.</w:t>
      </w:r>
    </w:p>
    <w:p w14:paraId="54735A93" w14:textId="77777777" w:rsidR="00502F7C" w:rsidRDefault="00502F7C" w:rsidP="00D125B3">
      <w:r>
        <w:t>Auliyah, I. and Agit, A., 2024. Reflective Study on Financial Statement Quality Capability to Influence Firm Performance: Literature Review. Advances in Economics &amp; Financial Studies, 2(3), pp.165-178.</w:t>
      </w:r>
    </w:p>
    <w:p w14:paraId="6866AD04" w14:textId="77777777" w:rsidR="00502F7C" w:rsidRDefault="00502F7C" w:rsidP="00D125B3">
      <w:r>
        <w:t>Barone, E., Mason, S., Mora, A. and Procházka, D., 2025. Changing the paradigm for revenue recognition: literature review on intended and unintended effects of IFRS 15 and ASC 606. Accounting in Europe, pp.1-28.</w:t>
      </w:r>
    </w:p>
    <w:p w14:paraId="460856B5" w14:textId="77777777" w:rsidR="00502F7C" w:rsidRDefault="00502F7C" w:rsidP="00C618F4">
      <w:r w:rsidRPr="00C618F4">
        <w:t>Barry, E. &amp; Elliott, J. (2015). Financial Accounting &amp; Reporting. 17th ed. London: Financial Times, Prentice Hall.</w:t>
      </w:r>
    </w:p>
    <w:p w14:paraId="48F338F1" w14:textId="77777777" w:rsidR="00502F7C" w:rsidRDefault="00502F7C" w:rsidP="00D125B3">
      <w:r>
        <w:t>De George, E.T., Li, X. and Shivakumar, L., 2016. A review of the IFRS adoption literature. Review of accounting studies, 21(3), pp.898-1004.</w:t>
      </w:r>
    </w:p>
    <w:p w14:paraId="35DC5190" w14:textId="77777777" w:rsidR="00502F7C" w:rsidRPr="00C618F4" w:rsidRDefault="00502F7C" w:rsidP="00C618F4">
      <w:r>
        <w:t xml:space="preserve">Elliott, B. </w:t>
      </w:r>
      <w:proofErr w:type="gramStart"/>
      <w:r>
        <w:t xml:space="preserve">and </w:t>
      </w:r>
      <w:r w:rsidRPr="00C618F4">
        <w:t xml:space="preserve"> Elliott</w:t>
      </w:r>
      <w:proofErr w:type="gramEnd"/>
      <w:r w:rsidRPr="00C618F4">
        <w:t>, J. (2015). Financial Accounting &amp; Reporting. 17th ed. London: Financial Times, Prentice Hall.</w:t>
      </w:r>
    </w:p>
    <w:p w14:paraId="6031DD3F" w14:textId="77777777" w:rsidR="00502F7C" w:rsidRPr="00C618F4" w:rsidRDefault="00502F7C" w:rsidP="00C618F4">
      <w:r w:rsidRPr="00C618F4">
        <w:t>Finch, C. (2012). A Student’s Guide to International Reporting Standards. Kaplan.</w:t>
      </w:r>
    </w:p>
    <w:p w14:paraId="7401B537" w14:textId="77777777" w:rsidR="00502F7C" w:rsidRDefault="00502F7C" w:rsidP="00D125B3">
      <w:r>
        <w:t>Gök, G., 2024. International Financial Reporting Standards convergence process for small and medium-sized entities. International Journal of Engineering and Management Sciences, 9(2), pp.1-12.</w:t>
      </w:r>
    </w:p>
    <w:p w14:paraId="0091FE70" w14:textId="77777777" w:rsidR="00502F7C" w:rsidRDefault="00502F7C" w:rsidP="00C618F4">
      <w:r w:rsidRPr="00C618F4">
        <w:t xml:space="preserve">L&amp;T Construction. (2023). L&amp;T Annual Report 2022. [Online] Available at: </w:t>
      </w:r>
      <w:hyperlink r:id="rId6" w:history="1">
        <w:r w:rsidRPr="00F2526D">
          <w:rPr>
            <w:rStyle w:val="Hyperlink"/>
          </w:rPr>
          <w:t>https://www.larsentoubro.com</w:t>
        </w:r>
      </w:hyperlink>
    </w:p>
    <w:p w14:paraId="7BDAC11C" w14:textId="77777777" w:rsidR="00502F7C" w:rsidRPr="00C618F4" w:rsidRDefault="00502F7C" w:rsidP="00C618F4">
      <w:r w:rsidRPr="00C618F4">
        <w:lastRenderedPageBreak/>
        <w:t>Melville, A. (2014). International Financial Reporting: A Practical Guide. Financial Times, Prentice Hall.</w:t>
      </w:r>
    </w:p>
    <w:p w14:paraId="122F58BF" w14:textId="77777777" w:rsidR="00502F7C" w:rsidRDefault="00502F7C" w:rsidP="00D125B3">
      <w:r>
        <w:t>Mesioye, O. and Bakare, I.A., 2024. Evaluating financial reporting quality: Metrics, challenges, and impact on decision-making. Int J Res Public Rev, 5(10), pp.1144-1156.</w:t>
      </w:r>
    </w:p>
    <w:p w14:paraId="3D6C42EC" w14:textId="77777777" w:rsidR="00502F7C" w:rsidRDefault="00502F7C" w:rsidP="00D125B3">
      <w:r>
        <w:t>Morshed, A. and Ramadan, A., 2023. Qualitative analysis of IAS 2 capability for handling the financial information generated by cost techniques. International Journal of Financial Studies, 11(2), p.67.</w:t>
      </w:r>
    </w:p>
    <w:p w14:paraId="7D501FAA" w14:textId="77777777" w:rsidR="00502F7C" w:rsidRDefault="00502F7C" w:rsidP="00D125B3">
      <w:r>
        <w:t>Morshed, A. and Ramadan, A., 2023. Qualitative analysis of IAS 2 capability for handling the financial information generated by cost techniques. International Journal of Financial Studies, 11(2), p.67.</w:t>
      </w:r>
    </w:p>
    <w:p w14:paraId="05DBA4FD" w14:textId="77777777" w:rsidR="00502F7C" w:rsidRDefault="00502F7C" w:rsidP="00D125B3">
      <w:r>
        <w:t>Oyedokun, P. and Emmanuel, G., 2016. Revenue recognition paradox: a review of IAS 18 and IFRS 15. Available at SSRN 2912250.</w:t>
      </w:r>
    </w:p>
    <w:p w14:paraId="5655247F" w14:textId="77777777" w:rsidR="00502F7C" w:rsidRDefault="00502F7C" w:rsidP="00D125B3">
      <w:r>
        <w:t>PADOAN, A., 2023. From IFRS 4 to IFRS 17: Evolution, Implementation, and Impact on Generali Group's Consolidated Financial Statements.</w:t>
      </w:r>
    </w:p>
    <w:p w14:paraId="1B660AE2" w14:textId="77777777" w:rsidR="00502F7C" w:rsidRPr="00C618F4" w:rsidRDefault="00502F7C" w:rsidP="00C618F4">
      <w:r w:rsidRPr="00C618F4">
        <w:t>Scott, W. (2014). Financial Accounting Theory. 7th ed. Prentice Hall.</w:t>
      </w:r>
    </w:p>
    <w:p w14:paraId="34BC4569" w14:textId="77777777" w:rsidR="00502F7C" w:rsidRDefault="00502F7C" w:rsidP="00D125B3">
      <w:r>
        <w:t>Soyombo, O.T., Odunaiya, O.G., Okoli, C.E., Usiagu, G.S. and Ekemezie, I.O., 2024. Sustainability reporting in corporations: A comparative review of practices in the USA and Europe. GSC Advanced Research and Reviews, 18(2), pp.204-214.</w:t>
      </w:r>
    </w:p>
    <w:p w14:paraId="35BFA7A9" w14:textId="77777777" w:rsidR="00502F7C" w:rsidRDefault="00502F7C" w:rsidP="00D125B3">
      <w:r>
        <w:t>Taherdoost, H., 2023. Smart contracts in blockchain technology: A critical review. Information, 14(2), p.117.</w:t>
      </w:r>
    </w:p>
    <w:p w14:paraId="148FC20F" w14:textId="77777777" w:rsidR="00502F7C" w:rsidRDefault="00502F7C" w:rsidP="00D125B3">
      <w:r>
        <w:t>Van Wyk, M.H., 2017. The application of IFRS 15 in the construction industry. University of Johannesburg (South Africa).</w:t>
      </w:r>
    </w:p>
    <w:p w14:paraId="6A146DBF" w14:textId="77777777" w:rsidR="00502F7C" w:rsidRDefault="00502F7C" w:rsidP="00D125B3">
      <w:r>
        <w:t>Vasigh, B. and Rowe, Z.C., 2019. Foundations of airline finance: Methodology and practice. Routledge.</w:t>
      </w:r>
    </w:p>
    <w:p w14:paraId="2CC33059" w14:textId="77777777" w:rsidR="00502F7C" w:rsidRDefault="00502F7C" w:rsidP="00D125B3">
      <w:r>
        <w:t>Vogel, H.L., 2021. Wings. Travel Industry Economics: A Guide for Financial Analysis, pp.57-159.</w:t>
      </w:r>
    </w:p>
    <w:p w14:paraId="572298C1" w14:textId="77777777" w:rsidR="00502F7C" w:rsidRDefault="00502F7C" w:rsidP="00C618F4">
      <w:r w:rsidRPr="00C618F4">
        <w:t>Wood, F. (2015). Frank Wood’s Business Accounting 2. 13th ed. London: Pitman Accountancy.</w:t>
      </w:r>
    </w:p>
    <w:p w14:paraId="654AF675" w14:textId="77777777" w:rsidR="00502F7C" w:rsidRPr="00C618F4" w:rsidRDefault="00502F7C" w:rsidP="00C618F4">
      <w:r w:rsidRPr="00C618F4">
        <w:t>Young, D. &amp; Cohen, J. (2013). Corporate Financial Reporting and Analysis. 3rd ed. John Wiley &amp; Sons.</w:t>
      </w:r>
    </w:p>
    <w:p w14:paraId="4DA46760" w14:textId="77777777" w:rsidR="00D125B3" w:rsidRDefault="00D125B3" w:rsidP="00D125B3"/>
    <w:p w14:paraId="371EA744" w14:textId="77777777" w:rsidR="00D125B3" w:rsidRDefault="00D125B3" w:rsidP="00D125B3"/>
    <w:p w14:paraId="2E03A9EE" w14:textId="77777777" w:rsidR="00D125B3" w:rsidRDefault="00D125B3" w:rsidP="00D125B3"/>
    <w:p w14:paraId="5D9ADB36" w14:textId="77777777" w:rsidR="00D125B3" w:rsidRDefault="00D125B3" w:rsidP="00D125B3"/>
    <w:p w14:paraId="18D898F6" w14:textId="77777777" w:rsidR="00D125B3" w:rsidRDefault="00D125B3" w:rsidP="00D125B3"/>
    <w:p w14:paraId="4870CFE3" w14:textId="77777777" w:rsidR="00D125B3" w:rsidRDefault="00D125B3" w:rsidP="00D125B3"/>
    <w:p w14:paraId="2AE40BFC" w14:textId="77777777" w:rsidR="00D125B3" w:rsidRDefault="00D125B3" w:rsidP="00D125B3"/>
    <w:p w14:paraId="09AC9832" w14:textId="77777777" w:rsidR="00D125B3" w:rsidRDefault="00D125B3" w:rsidP="00D125B3"/>
    <w:p w14:paraId="3D575AE1" w14:textId="77777777" w:rsidR="00D125B3" w:rsidRDefault="00D125B3" w:rsidP="00D125B3"/>
    <w:p w14:paraId="5B4643BA" w14:textId="77777777" w:rsidR="00D125B3" w:rsidRDefault="00D125B3" w:rsidP="00D125B3"/>
    <w:p w14:paraId="31A1162E" w14:textId="77777777" w:rsidR="00D125B3" w:rsidRDefault="00D125B3" w:rsidP="00D125B3"/>
    <w:p w14:paraId="0BDCB3DD" w14:textId="77777777" w:rsidR="00D125B3" w:rsidRDefault="00D125B3" w:rsidP="00D125B3"/>
    <w:p w14:paraId="2CECCDE6" w14:textId="77777777" w:rsidR="00D125B3" w:rsidRDefault="00D125B3" w:rsidP="00D125B3"/>
    <w:p w14:paraId="13A3B544" w14:textId="77777777" w:rsidR="00D125B3" w:rsidRDefault="00D125B3" w:rsidP="00D125B3"/>
    <w:p w14:paraId="0A6DBAD6" w14:textId="77777777" w:rsidR="00D125B3" w:rsidRDefault="00D125B3" w:rsidP="00D125B3"/>
    <w:p w14:paraId="2EA56202" w14:textId="77777777" w:rsidR="00D125B3" w:rsidRDefault="00D125B3" w:rsidP="00D125B3"/>
    <w:p w14:paraId="19ADBE65" w14:textId="77777777" w:rsidR="00D125B3" w:rsidRDefault="00D125B3" w:rsidP="00D125B3"/>
    <w:p w14:paraId="396DF019" w14:textId="77777777" w:rsidR="00D125B3" w:rsidRDefault="00D125B3" w:rsidP="00D125B3"/>
    <w:p w14:paraId="49A0CCE4" w14:textId="77777777" w:rsidR="00D125B3" w:rsidRDefault="00D125B3" w:rsidP="00D125B3"/>
    <w:p w14:paraId="38E1308D" w14:textId="77777777" w:rsidR="00D125B3" w:rsidRDefault="00D125B3" w:rsidP="00D125B3"/>
    <w:p w14:paraId="32107661" w14:textId="77777777" w:rsidR="00D125B3" w:rsidRDefault="00D125B3" w:rsidP="00D125B3"/>
    <w:p w14:paraId="3C9A22F5" w14:textId="77777777" w:rsidR="00D125B3" w:rsidRDefault="00D125B3" w:rsidP="00D125B3"/>
    <w:p w14:paraId="003BE1EE" w14:textId="77777777" w:rsidR="00D125B3" w:rsidRDefault="00D125B3" w:rsidP="00D125B3"/>
    <w:p w14:paraId="14572189" w14:textId="77777777" w:rsidR="00D125B3" w:rsidRDefault="00D125B3" w:rsidP="00D125B3"/>
    <w:p w14:paraId="6DAE2F7A" w14:textId="77777777" w:rsidR="00D125B3" w:rsidRDefault="00D125B3" w:rsidP="00D125B3"/>
    <w:p w14:paraId="522DFC61" w14:textId="77777777" w:rsidR="00D125B3" w:rsidRPr="00C618F4" w:rsidRDefault="00D125B3" w:rsidP="00C618F4"/>
    <w:p w14:paraId="0AA5C4DA" w14:textId="77777777" w:rsidR="00C618F4" w:rsidRDefault="00C618F4"/>
    <w:sectPr w:rsidR="00C618F4" w:rsidSect="00CF15E9">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EB926" w14:textId="77777777" w:rsidR="004D7366" w:rsidRDefault="004D7366" w:rsidP="004D7366">
      <w:pPr>
        <w:spacing w:after="0" w:line="240" w:lineRule="auto"/>
      </w:pPr>
      <w:r>
        <w:separator/>
      </w:r>
    </w:p>
  </w:endnote>
  <w:endnote w:type="continuationSeparator" w:id="0">
    <w:p w14:paraId="4AA4097D" w14:textId="77777777" w:rsidR="004D7366" w:rsidRDefault="004D7366" w:rsidP="004D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548305"/>
      <w:docPartObj>
        <w:docPartGallery w:val="Page Numbers (Bottom of Page)"/>
        <w:docPartUnique/>
      </w:docPartObj>
    </w:sdtPr>
    <w:sdtEndPr>
      <w:rPr>
        <w:noProof/>
      </w:rPr>
    </w:sdtEndPr>
    <w:sdtContent>
      <w:p w14:paraId="64AD8543" w14:textId="77777777" w:rsidR="00A15E6A" w:rsidRDefault="00A15E6A">
        <w:pPr>
          <w:pStyle w:val="Footer"/>
          <w:jc w:val="center"/>
        </w:pPr>
      </w:p>
      <w:p w14:paraId="0EC14E9E" w14:textId="5E2FA3D8" w:rsidR="004D7366" w:rsidRDefault="004D73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434246" w14:textId="77777777" w:rsidR="004D7366" w:rsidRDefault="004D7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CFEB3" w14:textId="77777777" w:rsidR="004D7366" w:rsidRDefault="004D7366" w:rsidP="004D7366">
      <w:pPr>
        <w:spacing w:after="0" w:line="240" w:lineRule="auto"/>
      </w:pPr>
      <w:r>
        <w:separator/>
      </w:r>
    </w:p>
  </w:footnote>
  <w:footnote w:type="continuationSeparator" w:id="0">
    <w:p w14:paraId="4CF14640" w14:textId="77777777" w:rsidR="004D7366" w:rsidRDefault="004D7366" w:rsidP="004D73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8F4"/>
    <w:rsid w:val="0000551A"/>
    <w:rsid w:val="00017814"/>
    <w:rsid w:val="00043407"/>
    <w:rsid w:val="00080DAA"/>
    <w:rsid w:val="000A72D9"/>
    <w:rsid w:val="000B3D1D"/>
    <w:rsid w:val="000B7CBB"/>
    <w:rsid w:val="000F1144"/>
    <w:rsid w:val="00102A38"/>
    <w:rsid w:val="00131F06"/>
    <w:rsid w:val="001577BB"/>
    <w:rsid w:val="0017351E"/>
    <w:rsid w:val="001D323F"/>
    <w:rsid w:val="001E6CC7"/>
    <w:rsid w:val="001F3A8D"/>
    <w:rsid w:val="00210B49"/>
    <w:rsid w:val="00212841"/>
    <w:rsid w:val="00215CB9"/>
    <w:rsid w:val="0022357C"/>
    <w:rsid w:val="002511AB"/>
    <w:rsid w:val="002613C2"/>
    <w:rsid w:val="00281B40"/>
    <w:rsid w:val="0028549F"/>
    <w:rsid w:val="002F4875"/>
    <w:rsid w:val="00303706"/>
    <w:rsid w:val="00335D16"/>
    <w:rsid w:val="0036578F"/>
    <w:rsid w:val="003743AA"/>
    <w:rsid w:val="00377ED7"/>
    <w:rsid w:val="003B06B5"/>
    <w:rsid w:val="003B376D"/>
    <w:rsid w:val="003B5D45"/>
    <w:rsid w:val="003D2145"/>
    <w:rsid w:val="003E2CDD"/>
    <w:rsid w:val="003E6FF7"/>
    <w:rsid w:val="00463009"/>
    <w:rsid w:val="00470C69"/>
    <w:rsid w:val="00491B6B"/>
    <w:rsid w:val="004B4317"/>
    <w:rsid w:val="004C73AB"/>
    <w:rsid w:val="004D7366"/>
    <w:rsid w:val="00502F7C"/>
    <w:rsid w:val="00507A8C"/>
    <w:rsid w:val="00535622"/>
    <w:rsid w:val="005549F3"/>
    <w:rsid w:val="00556159"/>
    <w:rsid w:val="00565359"/>
    <w:rsid w:val="00584EE8"/>
    <w:rsid w:val="00585029"/>
    <w:rsid w:val="005B2A02"/>
    <w:rsid w:val="005D4283"/>
    <w:rsid w:val="00631269"/>
    <w:rsid w:val="0063370D"/>
    <w:rsid w:val="00667D7F"/>
    <w:rsid w:val="00694F52"/>
    <w:rsid w:val="006A1B55"/>
    <w:rsid w:val="006A4120"/>
    <w:rsid w:val="006B3EF2"/>
    <w:rsid w:val="006B682A"/>
    <w:rsid w:val="006C7F99"/>
    <w:rsid w:val="006D38EF"/>
    <w:rsid w:val="006F237D"/>
    <w:rsid w:val="00753234"/>
    <w:rsid w:val="00762482"/>
    <w:rsid w:val="007723ED"/>
    <w:rsid w:val="00777FDE"/>
    <w:rsid w:val="00793D3E"/>
    <w:rsid w:val="007B4F51"/>
    <w:rsid w:val="007C5743"/>
    <w:rsid w:val="007F658F"/>
    <w:rsid w:val="007F7863"/>
    <w:rsid w:val="0082184A"/>
    <w:rsid w:val="00823F34"/>
    <w:rsid w:val="00827975"/>
    <w:rsid w:val="008743A4"/>
    <w:rsid w:val="00881E0C"/>
    <w:rsid w:val="00892757"/>
    <w:rsid w:val="008D276A"/>
    <w:rsid w:val="008E1720"/>
    <w:rsid w:val="009408AF"/>
    <w:rsid w:val="00962F2F"/>
    <w:rsid w:val="00991CAA"/>
    <w:rsid w:val="00995801"/>
    <w:rsid w:val="009A07BE"/>
    <w:rsid w:val="009A1FD9"/>
    <w:rsid w:val="009F3876"/>
    <w:rsid w:val="00A00FF2"/>
    <w:rsid w:val="00A0309A"/>
    <w:rsid w:val="00A15E6A"/>
    <w:rsid w:val="00A17EA5"/>
    <w:rsid w:val="00A356D8"/>
    <w:rsid w:val="00A4710D"/>
    <w:rsid w:val="00A52291"/>
    <w:rsid w:val="00A53105"/>
    <w:rsid w:val="00A64946"/>
    <w:rsid w:val="00A85B6B"/>
    <w:rsid w:val="00A86E0F"/>
    <w:rsid w:val="00A87F53"/>
    <w:rsid w:val="00A87FAA"/>
    <w:rsid w:val="00AA3664"/>
    <w:rsid w:val="00AE3BF6"/>
    <w:rsid w:val="00AF4184"/>
    <w:rsid w:val="00AF4572"/>
    <w:rsid w:val="00B26F75"/>
    <w:rsid w:val="00B41F90"/>
    <w:rsid w:val="00B70244"/>
    <w:rsid w:val="00B75809"/>
    <w:rsid w:val="00B90B26"/>
    <w:rsid w:val="00B96211"/>
    <w:rsid w:val="00BD0D73"/>
    <w:rsid w:val="00BD1672"/>
    <w:rsid w:val="00BD1B76"/>
    <w:rsid w:val="00C254A5"/>
    <w:rsid w:val="00C56896"/>
    <w:rsid w:val="00C618F4"/>
    <w:rsid w:val="00C70A48"/>
    <w:rsid w:val="00CA5494"/>
    <w:rsid w:val="00CB4050"/>
    <w:rsid w:val="00CB50C0"/>
    <w:rsid w:val="00CE70D5"/>
    <w:rsid w:val="00CF15E9"/>
    <w:rsid w:val="00D0045D"/>
    <w:rsid w:val="00D07840"/>
    <w:rsid w:val="00D125B3"/>
    <w:rsid w:val="00D57600"/>
    <w:rsid w:val="00D57C22"/>
    <w:rsid w:val="00D66204"/>
    <w:rsid w:val="00D70216"/>
    <w:rsid w:val="00D722CB"/>
    <w:rsid w:val="00D92F80"/>
    <w:rsid w:val="00DA3270"/>
    <w:rsid w:val="00DD2A2A"/>
    <w:rsid w:val="00E274EB"/>
    <w:rsid w:val="00E27C16"/>
    <w:rsid w:val="00E4679F"/>
    <w:rsid w:val="00E63314"/>
    <w:rsid w:val="00E835C1"/>
    <w:rsid w:val="00E95001"/>
    <w:rsid w:val="00ED3F5D"/>
    <w:rsid w:val="00ED515F"/>
    <w:rsid w:val="00EE1F6D"/>
    <w:rsid w:val="00EE4DFC"/>
    <w:rsid w:val="00EE5B16"/>
    <w:rsid w:val="00EE7D13"/>
    <w:rsid w:val="00F00B8B"/>
    <w:rsid w:val="00F10CCE"/>
    <w:rsid w:val="00F30ACF"/>
    <w:rsid w:val="00F425FF"/>
    <w:rsid w:val="00F50A69"/>
    <w:rsid w:val="00F54F1F"/>
    <w:rsid w:val="00F63DAF"/>
    <w:rsid w:val="00F853AA"/>
    <w:rsid w:val="00F855BD"/>
    <w:rsid w:val="00F90B7F"/>
    <w:rsid w:val="00FC0007"/>
    <w:rsid w:val="00FD73DA"/>
    <w:rsid w:val="00FE186E"/>
    <w:rsid w:val="00FF3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07B2B"/>
  <w15:chartTrackingRefBased/>
  <w15:docId w15:val="{A6ABE35F-364A-46D1-9456-6B5F4DAD0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144"/>
  </w:style>
  <w:style w:type="paragraph" w:styleId="Heading1">
    <w:name w:val="heading 1"/>
    <w:basedOn w:val="Normal"/>
    <w:next w:val="Normal"/>
    <w:link w:val="Heading1Char"/>
    <w:uiPriority w:val="9"/>
    <w:qFormat/>
    <w:rsid w:val="00C618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18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18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8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8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8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8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8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8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8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18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18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8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8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8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8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8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8F4"/>
    <w:rPr>
      <w:rFonts w:eastAsiaTheme="majorEastAsia" w:cstheme="majorBidi"/>
      <w:color w:val="272727" w:themeColor="text1" w:themeTint="D8"/>
    </w:rPr>
  </w:style>
  <w:style w:type="paragraph" w:styleId="Title">
    <w:name w:val="Title"/>
    <w:basedOn w:val="Normal"/>
    <w:next w:val="Normal"/>
    <w:link w:val="TitleChar"/>
    <w:uiPriority w:val="10"/>
    <w:qFormat/>
    <w:rsid w:val="00C618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8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8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8F4"/>
    <w:pPr>
      <w:spacing w:before="160"/>
      <w:jc w:val="center"/>
    </w:pPr>
    <w:rPr>
      <w:i/>
      <w:iCs/>
      <w:color w:val="404040" w:themeColor="text1" w:themeTint="BF"/>
    </w:rPr>
  </w:style>
  <w:style w:type="character" w:customStyle="1" w:styleId="QuoteChar">
    <w:name w:val="Quote Char"/>
    <w:basedOn w:val="DefaultParagraphFont"/>
    <w:link w:val="Quote"/>
    <w:uiPriority w:val="29"/>
    <w:rsid w:val="00C618F4"/>
    <w:rPr>
      <w:i/>
      <w:iCs/>
      <w:color w:val="404040" w:themeColor="text1" w:themeTint="BF"/>
    </w:rPr>
  </w:style>
  <w:style w:type="paragraph" w:styleId="ListParagraph">
    <w:name w:val="List Paragraph"/>
    <w:basedOn w:val="Normal"/>
    <w:uiPriority w:val="34"/>
    <w:qFormat/>
    <w:rsid w:val="00C618F4"/>
    <w:pPr>
      <w:ind w:left="720"/>
      <w:contextualSpacing/>
    </w:pPr>
  </w:style>
  <w:style w:type="character" w:styleId="IntenseEmphasis">
    <w:name w:val="Intense Emphasis"/>
    <w:basedOn w:val="DefaultParagraphFont"/>
    <w:uiPriority w:val="21"/>
    <w:qFormat/>
    <w:rsid w:val="00C618F4"/>
    <w:rPr>
      <w:i/>
      <w:iCs/>
      <w:color w:val="0F4761" w:themeColor="accent1" w:themeShade="BF"/>
    </w:rPr>
  </w:style>
  <w:style w:type="paragraph" w:styleId="IntenseQuote">
    <w:name w:val="Intense Quote"/>
    <w:basedOn w:val="Normal"/>
    <w:next w:val="Normal"/>
    <w:link w:val="IntenseQuoteChar"/>
    <w:uiPriority w:val="30"/>
    <w:qFormat/>
    <w:rsid w:val="00C618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8F4"/>
    <w:rPr>
      <w:i/>
      <w:iCs/>
      <w:color w:val="0F4761" w:themeColor="accent1" w:themeShade="BF"/>
    </w:rPr>
  </w:style>
  <w:style w:type="character" w:styleId="IntenseReference">
    <w:name w:val="Intense Reference"/>
    <w:basedOn w:val="DefaultParagraphFont"/>
    <w:uiPriority w:val="32"/>
    <w:qFormat/>
    <w:rsid w:val="00C618F4"/>
    <w:rPr>
      <w:b/>
      <w:bCs/>
      <w:smallCaps/>
      <w:color w:val="0F4761" w:themeColor="accent1" w:themeShade="BF"/>
      <w:spacing w:val="5"/>
    </w:rPr>
  </w:style>
  <w:style w:type="character" w:styleId="Hyperlink">
    <w:name w:val="Hyperlink"/>
    <w:basedOn w:val="DefaultParagraphFont"/>
    <w:uiPriority w:val="99"/>
    <w:unhideWhenUsed/>
    <w:rsid w:val="00F50A69"/>
    <w:rPr>
      <w:color w:val="467886" w:themeColor="hyperlink"/>
      <w:u w:val="single"/>
    </w:rPr>
  </w:style>
  <w:style w:type="character" w:styleId="UnresolvedMention">
    <w:name w:val="Unresolved Mention"/>
    <w:basedOn w:val="DefaultParagraphFont"/>
    <w:uiPriority w:val="99"/>
    <w:semiHidden/>
    <w:unhideWhenUsed/>
    <w:rsid w:val="00F50A69"/>
    <w:rPr>
      <w:color w:val="605E5C"/>
      <w:shd w:val="clear" w:color="auto" w:fill="E1DFDD"/>
    </w:rPr>
  </w:style>
  <w:style w:type="paragraph" w:styleId="Header">
    <w:name w:val="header"/>
    <w:basedOn w:val="Normal"/>
    <w:link w:val="HeaderChar"/>
    <w:uiPriority w:val="99"/>
    <w:unhideWhenUsed/>
    <w:rsid w:val="004D7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366"/>
  </w:style>
  <w:style w:type="paragraph" w:styleId="Footer">
    <w:name w:val="footer"/>
    <w:basedOn w:val="Normal"/>
    <w:link w:val="FooterChar"/>
    <w:uiPriority w:val="99"/>
    <w:unhideWhenUsed/>
    <w:rsid w:val="004D7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82620">
      <w:bodyDiv w:val="1"/>
      <w:marLeft w:val="0"/>
      <w:marRight w:val="0"/>
      <w:marTop w:val="0"/>
      <w:marBottom w:val="0"/>
      <w:divBdr>
        <w:top w:val="none" w:sz="0" w:space="0" w:color="auto"/>
        <w:left w:val="none" w:sz="0" w:space="0" w:color="auto"/>
        <w:bottom w:val="none" w:sz="0" w:space="0" w:color="auto"/>
        <w:right w:val="none" w:sz="0" w:space="0" w:color="auto"/>
      </w:divBdr>
      <w:divsChild>
        <w:div w:id="577254544">
          <w:marLeft w:val="0"/>
          <w:marRight w:val="0"/>
          <w:marTop w:val="0"/>
          <w:marBottom w:val="0"/>
          <w:divBdr>
            <w:top w:val="none" w:sz="0" w:space="0" w:color="auto"/>
            <w:left w:val="none" w:sz="0" w:space="0" w:color="auto"/>
            <w:bottom w:val="none" w:sz="0" w:space="0" w:color="auto"/>
            <w:right w:val="none" w:sz="0" w:space="0" w:color="auto"/>
          </w:divBdr>
        </w:div>
        <w:div w:id="2146773297">
          <w:marLeft w:val="0"/>
          <w:marRight w:val="0"/>
          <w:marTop w:val="0"/>
          <w:marBottom w:val="0"/>
          <w:divBdr>
            <w:top w:val="none" w:sz="0" w:space="0" w:color="auto"/>
            <w:left w:val="none" w:sz="0" w:space="0" w:color="auto"/>
            <w:bottom w:val="none" w:sz="0" w:space="0" w:color="auto"/>
            <w:right w:val="none" w:sz="0" w:space="0" w:color="auto"/>
          </w:divBdr>
        </w:div>
        <w:div w:id="1320622229">
          <w:marLeft w:val="0"/>
          <w:marRight w:val="0"/>
          <w:marTop w:val="0"/>
          <w:marBottom w:val="0"/>
          <w:divBdr>
            <w:top w:val="none" w:sz="0" w:space="0" w:color="auto"/>
            <w:left w:val="none" w:sz="0" w:space="0" w:color="auto"/>
            <w:bottom w:val="none" w:sz="0" w:space="0" w:color="auto"/>
            <w:right w:val="none" w:sz="0" w:space="0" w:color="auto"/>
          </w:divBdr>
        </w:div>
        <w:div w:id="373622832">
          <w:marLeft w:val="0"/>
          <w:marRight w:val="0"/>
          <w:marTop w:val="0"/>
          <w:marBottom w:val="0"/>
          <w:divBdr>
            <w:top w:val="none" w:sz="0" w:space="0" w:color="auto"/>
            <w:left w:val="none" w:sz="0" w:space="0" w:color="auto"/>
            <w:bottom w:val="none" w:sz="0" w:space="0" w:color="auto"/>
            <w:right w:val="none" w:sz="0" w:space="0" w:color="auto"/>
          </w:divBdr>
        </w:div>
        <w:div w:id="631980568">
          <w:marLeft w:val="0"/>
          <w:marRight w:val="0"/>
          <w:marTop w:val="0"/>
          <w:marBottom w:val="0"/>
          <w:divBdr>
            <w:top w:val="none" w:sz="0" w:space="0" w:color="auto"/>
            <w:left w:val="none" w:sz="0" w:space="0" w:color="auto"/>
            <w:bottom w:val="none" w:sz="0" w:space="0" w:color="auto"/>
            <w:right w:val="none" w:sz="0" w:space="0" w:color="auto"/>
          </w:divBdr>
        </w:div>
        <w:div w:id="801848020">
          <w:marLeft w:val="0"/>
          <w:marRight w:val="0"/>
          <w:marTop w:val="0"/>
          <w:marBottom w:val="0"/>
          <w:divBdr>
            <w:top w:val="none" w:sz="0" w:space="0" w:color="auto"/>
            <w:left w:val="none" w:sz="0" w:space="0" w:color="auto"/>
            <w:bottom w:val="none" w:sz="0" w:space="0" w:color="auto"/>
            <w:right w:val="none" w:sz="0" w:space="0" w:color="auto"/>
          </w:divBdr>
        </w:div>
        <w:div w:id="1792165660">
          <w:marLeft w:val="0"/>
          <w:marRight w:val="0"/>
          <w:marTop w:val="0"/>
          <w:marBottom w:val="0"/>
          <w:divBdr>
            <w:top w:val="none" w:sz="0" w:space="0" w:color="auto"/>
            <w:left w:val="none" w:sz="0" w:space="0" w:color="auto"/>
            <w:bottom w:val="none" w:sz="0" w:space="0" w:color="auto"/>
            <w:right w:val="none" w:sz="0" w:space="0" w:color="auto"/>
          </w:divBdr>
        </w:div>
      </w:divsChild>
    </w:div>
    <w:div w:id="254754981">
      <w:bodyDiv w:val="1"/>
      <w:marLeft w:val="0"/>
      <w:marRight w:val="0"/>
      <w:marTop w:val="0"/>
      <w:marBottom w:val="0"/>
      <w:divBdr>
        <w:top w:val="none" w:sz="0" w:space="0" w:color="auto"/>
        <w:left w:val="none" w:sz="0" w:space="0" w:color="auto"/>
        <w:bottom w:val="none" w:sz="0" w:space="0" w:color="auto"/>
        <w:right w:val="none" w:sz="0" w:space="0" w:color="auto"/>
      </w:divBdr>
      <w:divsChild>
        <w:div w:id="2058358022">
          <w:marLeft w:val="0"/>
          <w:marRight w:val="0"/>
          <w:marTop w:val="0"/>
          <w:marBottom w:val="0"/>
          <w:divBdr>
            <w:top w:val="none" w:sz="0" w:space="0" w:color="auto"/>
            <w:left w:val="none" w:sz="0" w:space="0" w:color="auto"/>
            <w:bottom w:val="none" w:sz="0" w:space="0" w:color="auto"/>
            <w:right w:val="none" w:sz="0" w:space="0" w:color="auto"/>
          </w:divBdr>
        </w:div>
      </w:divsChild>
    </w:div>
    <w:div w:id="360861456">
      <w:bodyDiv w:val="1"/>
      <w:marLeft w:val="0"/>
      <w:marRight w:val="0"/>
      <w:marTop w:val="0"/>
      <w:marBottom w:val="0"/>
      <w:divBdr>
        <w:top w:val="none" w:sz="0" w:space="0" w:color="auto"/>
        <w:left w:val="none" w:sz="0" w:space="0" w:color="auto"/>
        <w:bottom w:val="none" w:sz="0" w:space="0" w:color="auto"/>
        <w:right w:val="none" w:sz="0" w:space="0" w:color="auto"/>
      </w:divBdr>
    </w:div>
    <w:div w:id="414789254">
      <w:bodyDiv w:val="1"/>
      <w:marLeft w:val="0"/>
      <w:marRight w:val="0"/>
      <w:marTop w:val="0"/>
      <w:marBottom w:val="0"/>
      <w:divBdr>
        <w:top w:val="none" w:sz="0" w:space="0" w:color="auto"/>
        <w:left w:val="none" w:sz="0" w:space="0" w:color="auto"/>
        <w:bottom w:val="none" w:sz="0" w:space="0" w:color="auto"/>
        <w:right w:val="none" w:sz="0" w:space="0" w:color="auto"/>
      </w:divBdr>
      <w:divsChild>
        <w:div w:id="1967468110">
          <w:marLeft w:val="0"/>
          <w:marRight w:val="0"/>
          <w:marTop w:val="0"/>
          <w:marBottom w:val="0"/>
          <w:divBdr>
            <w:top w:val="none" w:sz="0" w:space="0" w:color="auto"/>
            <w:left w:val="none" w:sz="0" w:space="0" w:color="auto"/>
            <w:bottom w:val="none" w:sz="0" w:space="0" w:color="auto"/>
            <w:right w:val="none" w:sz="0" w:space="0" w:color="auto"/>
          </w:divBdr>
        </w:div>
        <w:div w:id="2030912577">
          <w:marLeft w:val="0"/>
          <w:marRight w:val="0"/>
          <w:marTop w:val="0"/>
          <w:marBottom w:val="0"/>
          <w:divBdr>
            <w:top w:val="none" w:sz="0" w:space="0" w:color="auto"/>
            <w:left w:val="none" w:sz="0" w:space="0" w:color="auto"/>
            <w:bottom w:val="none" w:sz="0" w:space="0" w:color="auto"/>
            <w:right w:val="none" w:sz="0" w:space="0" w:color="auto"/>
          </w:divBdr>
        </w:div>
        <w:div w:id="496119805">
          <w:marLeft w:val="0"/>
          <w:marRight w:val="0"/>
          <w:marTop w:val="0"/>
          <w:marBottom w:val="0"/>
          <w:divBdr>
            <w:top w:val="none" w:sz="0" w:space="0" w:color="auto"/>
            <w:left w:val="none" w:sz="0" w:space="0" w:color="auto"/>
            <w:bottom w:val="none" w:sz="0" w:space="0" w:color="auto"/>
            <w:right w:val="none" w:sz="0" w:space="0" w:color="auto"/>
          </w:divBdr>
        </w:div>
        <w:div w:id="128590664">
          <w:marLeft w:val="0"/>
          <w:marRight w:val="0"/>
          <w:marTop w:val="0"/>
          <w:marBottom w:val="0"/>
          <w:divBdr>
            <w:top w:val="none" w:sz="0" w:space="0" w:color="auto"/>
            <w:left w:val="none" w:sz="0" w:space="0" w:color="auto"/>
            <w:bottom w:val="none" w:sz="0" w:space="0" w:color="auto"/>
            <w:right w:val="none" w:sz="0" w:space="0" w:color="auto"/>
          </w:divBdr>
        </w:div>
        <w:div w:id="511259973">
          <w:marLeft w:val="0"/>
          <w:marRight w:val="0"/>
          <w:marTop w:val="0"/>
          <w:marBottom w:val="0"/>
          <w:divBdr>
            <w:top w:val="none" w:sz="0" w:space="0" w:color="auto"/>
            <w:left w:val="none" w:sz="0" w:space="0" w:color="auto"/>
            <w:bottom w:val="none" w:sz="0" w:space="0" w:color="auto"/>
            <w:right w:val="none" w:sz="0" w:space="0" w:color="auto"/>
          </w:divBdr>
        </w:div>
        <w:div w:id="995231556">
          <w:marLeft w:val="0"/>
          <w:marRight w:val="0"/>
          <w:marTop w:val="0"/>
          <w:marBottom w:val="0"/>
          <w:divBdr>
            <w:top w:val="none" w:sz="0" w:space="0" w:color="auto"/>
            <w:left w:val="none" w:sz="0" w:space="0" w:color="auto"/>
            <w:bottom w:val="none" w:sz="0" w:space="0" w:color="auto"/>
            <w:right w:val="none" w:sz="0" w:space="0" w:color="auto"/>
          </w:divBdr>
        </w:div>
        <w:div w:id="1429078173">
          <w:marLeft w:val="0"/>
          <w:marRight w:val="0"/>
          <w:marTop w:val="0"/>
          <w:marBottom w:val="0"/>
          <w:divBdr>
            <w:top w:val="none" w:sz="0" w:space="0" w:color="auto"/>
            <w:left w:val="none" w:sz="0" w:space="0" w:color="auto"/>
            <w:bottom w:val="none" w:sz="0" w:space="0" w:color="auto"/>
            <w:right w:val="none" w:sz="0" w:space="0" w:color="auto"/>
          </w:divBdr>
        </w:div>
      </w:divsChild>
    </w:div>
    <w:div w:id="470948610">
      <w:bodyDiv w:val="1"/>
      <w:marLeft w:val="0"/>
      <w:marRight w:val="0"/>
      <w:marTop w:val="0"/>
      <w:marBottom w:val="0"/>
      <w:divBdr>
        <w:top w:val="none" w:sz="0" w:space="0" w:color="auto"/>
        <w:left w:val="none" w:sz="0" w:space="0" w:color="auto"/>
        <w:bottom w:val="none" w:sz="0" w:space="0" w:color="auto"/>
        <w:right w:val="none" w:sz="0" w:space="0" w:color="auto"/>
      </w:divBdr>
      <w:divsChild>
        <w:div w:id="705643540">
          <w:marLeft w:val="0"/>
          <w:marRight w:val="0"/>
          <w:marTop w:val="0"/>
          <w:marBottom w:val="0"/>
          <w:divBdr>
            <w:top w:val="none" w:sz="0" w:space="0" w:color="auto"/>
            <w:left w:val="none" w:sz="0" w:space="0" w:color="auto"/>
            <w:bottom w:val="none" w:sz="0" w:space="0" w:color="auto"/>
            <w:right w:val="none" w:sz="0" w:space="0" w:color="auto"/>
          </w:divBdr>
        </w:div>
        <w:div w:id="1591700888">
          <w:marLeft w:val="0"/>
          <w:marRight w:val="0"/>
          <w:marTop w:val="0"/>
          <w:marBottom w:val="0"/>
          <w:divBdr>
            <w:top w:val="none" w:sz="0" w:space="0" w:color="auto"/>
            <w:left w:val="none" w:sz="0" w:space="0" w:color="auto"/>
            <w:bottom w:val="none" w:sz="0" w:space="0" w:color="auto"/>
            <w:right w:val="none" w:sz="0" w:space="0" w:color="auto"/>
          </w:divBdr>
        </w:div>
        <w:div w:id="336616171">
          <w:marLeft w:val="0"/>
          <w:marRight w:val="0"/>
          <w:marTop w:val="0"/>
          <w:marBottom w:val="0"/>
          <w:divBdr>
            <w:top w:val="none" w:sz="0" w:space="0" w:color="auto"/>
            <w:left w:val="none" w:sz="0" w:space="0" w:color="auto"/>
            <w:bottom w:val="none" w:sz="0" w:space="0" w:color="auto"/>
            <w:right w:val="none" w:sz="0" w:space="0" w:color="auto"/>
          </w:divBdr>
        </w:div>
        <w:div w:id="221328741">
          <w:marLeft w:val="0"/>
          <w:marRight w:val="0"/>
          <w:marTop w:val="0"/>
          <w:marBottom w:val="0"/>
          <w:divBdr>
            <w:top w:val="none" w:sz="0" w:space="0" w:color="auto"/>
            <w:left w:val="none" w:sz="0" w:space="0" w:color="auto"/>
            <w:bottom w:val="none" w:sz="0" w:space="0" w:color="auto"/>
            <w:right w:val="none" w:sz="0" w:space="0" w:color="auto"/>
          </w:divBdr>
        </w:div>
        <w:div w:id="2093508213">
          <w:marLeft w:val="0"/>
          <w:marRight w:val="0"/>
          <w:marTop w:val="0"/>
          <w:marBottom w:val="0"/>
          <w:divBdr>
            <w:top w:val="none" w:sz="0" w:space="0" w:color="auto"/>
            <w:left w:val="none" w:sz="0" w:space="0" w:color="auto"/>
            <w:bottom w:val="none" w:sz="0" w:space="0" w:color="auto"/>
            <w:right w:val="none" w:sz="0" w:space="0" w:color="auto"/>
          </w:divBdr>
        </w:div>
        <w:div w:id="995039299">
          <w:marLeft w:val="0"/>
          <w:marRight w:val="0"/>
          <w:marTop w:val="0"/>
          <w:marBottom w:val="0"/>
          <w:divBdr>
            <w:top w:val="none" w:sz="0" w:space="0" w:color="auto"/>
            <w:left w:val="none" w:sz="0" w:space="0" w:color="auto"/>
            <w:bottom w:val="none" w:sz="0" w:space="0" w:color="auto"/>
            <w:right w:val="none" w:sz="0" w:space="0" w:color="auto"/>
          </w:divBdr>
        </w:div>
        <w:div w:id="1119571337">
          <w:marLeft w:val="0"/>
          <w:marRight w:val="0"/>
          <w:marTop w:val="0"/>
          <w:marBottom w:val="0"/>
          <w:divBdr>
            <w:top w:val="none" w:sz="0" w:space="0" w:color="auto"/>
            <w:left w:val="none" w:sz="0" w:space="0" w:color="auto"/>
            <w:bottom w:val="none" w:sz="0" w:space="0" w:color="auto"/>
            <w:right w:val="none" w:sz="0" w:space="0" w:color="auto"/>
          </w:divBdr>
        </w:div>
      </w:divsChild>
    </w:div>
    <w:div w:id="500320879">
      <w:bodyDiv w:val="1"/>
      <w:marLeft w:val="0"/>
      <w:marRight w:val="0"/>
      <w:marTop w:val="0"/>
      <w:marBottom w:val="0"/>
      <w:divBdr>
        <w:top w:val="none" w:sz="0" w:space="0" w:color="auto"/>
        <w:left w:val="none" w:sz="0" w:space="0" w:color="auto"/>
        <w:bottom w:val="none" w:sz="0" w:space="0" w:color="auto"/>
        <w:right w:val="none" w:sz="0" w:space="0" w:color="auto"/>
      </w:divBdr>
      <w:divsChild>
        <w:div w:id="1588928438">
          <w:marLeft w:val="0"/>
          <w:marRight w:val="0"/>
          <w:marTop w:val="0"/>
          <w:marBottom w:val="0"/>
          <w:divBdr>
            <w:top w:val="none" w:sz="0" w:space="0" w:color="auto"/>
            <w:left w:val="none" w:sz="0" w:space="0" w:color="auto"/>
            <w:bottom w:val="none" w:sz="0" w:space="0" w:color="auto"/>
            <w:right w:val="none" w:sz="0" w:space="0" w:color="auto"/>
          </w:divBdr>
        </w:div>
        <w:div w:id="330178768">
          <w:marLeft w:val="0"/>
          <w:marRight w:val="0"/>
          <w:marTop w:val="0"/>
          <w:marBottom w:val="0"/>
          <w:divBdr>
            <w:top w:val="none" w:sz="0" w:space="0" w:color="auto"/>
            <w:left w:val="none" w:sz="0" w:space="0" w:color="auto"/>
            <w:bottom w:val="none" w:sz="0" w:space="0" w:color="auto"/>
            <w:right w:val="none" w:sz="0" w:space="0" w:color="auto"/>
          </w:divBdr>
        </w:div>
        <w:div w:id="1734036742">
          <w:marLeft w:val="0"/>
          <w:marRight w:val="0"/>
          <w:marTop w:val="0"/>
          <w:marBottom w:val="0"/>
          <w:divBdr>
            <w:top w:val="none" w:sz="0" w:space="0" w:color="auto"/>
            <w:left w:val="none" w:sz="0" w:space="0" w:color="auto"/>
            <w:bottom w:val="none" w:sz="0" w:space="0" w:color="auto"/>
            <w:right w:val="none" w:sz="0" w:space="0" w:color="auto"/>
          </w:divBdr>
        </w:div>
        <w:div w:id="101414147">
          <w:marLeft w:val="0"/>
          <w:marRight w:val="0"/>
          <w:marTop w:val="0"/>
          <w:marBottom w:val="0"/>
          <w:divBdr>
            <w:top w:val="none" w:sz="0" w:space="0" w:color="auto"/>
            <w:left w:val="none" w:sz="0" w:space="0" w:color="auto"/>
            <w:bottom w:val="none" w:sz="0" w:space="0" w:color="auto"/>
            <w:right w:val="none" w:sz="0" w:space="0" w:color="auto"/>
          </w:divBdr>
        </w:div>
        <w:div w:id="211966693">
          <w:marLeft w:val="0"/>
          <w:marRight w:val="0"/>
          <w:marTop w:val="0"/>
          <w:marBottom w:val="0"/>
          <w:divBdr>
            <w:top w:val="none" w:sz="0" w:space="0" w:color="auto"/>
            <w:left w:val="none" w:sz="0" w:space="0" w:color="auto"/>
            <w:bottom w:val="none" w:sz="0" w:space="0" w:color="auto"/>
            <w:right w:val="none" w:sz="0" w:space="0" w:color="auto"/>
          </w:divBdr>
        </w:div>
        <w:div w:id="602425108">
          <w:marLeft w:val="0"/>
          <w:marRight w:val="0"/>
          <w:marTop w:val="0"/>
          <w:marBottom w:val="0"/>
          <w:divBdr>
            <w:top w:val="none" w:sz="0" w:space="0" w:color="auto"/>
            <w:left w:val="none" w:sz="0" w:space="0" w:color="auto"/>
            <w:bottom w:val="none" w:sz="0" w:space="0" w:color="auto"/>
            <w:right w:val="none" w:sz="0" w:space="0" w:color="auto"/>
          </w:divBdr>
        </w:div>
        <w:div w:id="1443308330">
          <w:marLeft w:val="0"/>
          <w:marRight w:val="0"/>
          <w:marTop w:val="0"/>
          <w:marBottom w:val="0"/>
          <w:divBdr>
            <w:top w:val="none" w:sz="0" w:space="0" w:color="auto"/>
            <w:left w:val="none" w:sz="0" w:space="0" w:color="auto"/>
            <w:bottom w:val="none" w:sz="0" w:space="0" w:color="auto"/>
            <w:right w:val="none" w:sz="0" w:space="0" w:color="auto"/>
          </w:divBdr>
        </w:div>
      </w:divsChild>
    </w:div>
    <w:div w:id="546263119">
      <w:bodyDiv w:val="1"/>
      <w:marLeft w:val="0"/>
      <w:marRight w:val="0"/>
      <w:marTop w:val="0"/>
      <w:marBottom w:val="0"/>
      <w:divBdr>
        <w:top w:val="none" w:sz="0" w:space="0" w:color="auto"/>
        <w:left w:val="none" w:sz="0" w:space="0" w:color="auto"/>
        <w:bottom w:val="none" w:sz="0" w:space="0" w:color="auto"/>
        <w:right w:val="none" w:sz="0" w:space="0" w:color="auto"/>
      </w:divBdr>
      <w:divsChild>
        <w:div w:id="162480763">
          <w:marLeft w:val="0"/>
          <w:marRight w:val="0"/>
          <w:marTop w:val="0"/>
          <w:marBottom w:val="0"/>
          <w:divBdr>
            <w:top w:val="none" w:sz="0" w:space="0" w:color="auto"/>
            <w:left w:val="none" w:sz="0" w:space="0" w:color="auto"/>
            <w:bottom w:val="none" w:sz="0" w:space="0" w:color="auto"/>
            <w:right w:val="none" w:sz="0" w:space="0" w:color="auto"/>
          </w:divBdr>
        </w:div>
      </w:divsChild>
    </w:div>
    <w:div w:id="668215910">
      <w:bodyDiv w:val="1"/>
      <w:marLeft w:val="0"/>
      <w:marRight w:val="0"/>
      <w:marTop w:val="0"/>
      <w:marBottom w:val="0"/>
      <w:divBdr>
        <w:top w:val="none" w:sz="0" w:space="0" w:color="auto"/>
        <w:left w:val="none" w:sz="0" w:space="0" w:color="auto"/>
        <w:bottom w:val="none" w:sz="0" w:space="0" w:color="auto"/>
        <w:right w:val="none" w:sz="0" w:space="0" w:color="auto"/>
      </w:divBdr>
      <w:divsChild>
        <w:div w:id="679357242">
          <w:marLeft w:val="0"/>
          <w:marRight w:val="0"/>
          <w:marTop w:val="0"/>
          <w:marBottom w:val="0"/>
          <w:divBdr>
            <w:top w:val="none" w:sz="0" w:space="0" w:color="auto"/>
            <w:left w:val="none" w:sz="0" w:space="0" w:color="auto"/>
            <w:bottom w:val="none" w:sz="0" w:space="0" w:color="auto"/>
            <w:right w:val="none" w:sz="0" w:space="0" w:color="auto"/>
          </w:divBdr>
        </w:div>
      </w:divsChild>
    </w:div>
    <w:div w:id="675305008">
      <w:bodyDiv w:val="1"/>
      <w:marLeft w:val="0"/>
      <w:marRight w:val="0"/>
      <w:marTop w:val="0"/>
      <w:marBottom w:val="0"/>
      <w:divBdr>
        <w:top w:val="none" w:sz="0" w:space="0" w:color="auto"/>
        <w:left w:val="none" w:sz="0" w:space="0" w:color="auto"/>
        <w:bottom w:val="none" w:sz="0" w:space="0" w:color="auto"/>
        <w:right w:val="none" w:sz="0" w:space="0" w:color="auto"/>
      </w:divBdr>
    </w:div>
    <w:div w:id="708529103">
      <w:bodyDiv w:val="1"/>
      <w:marLeft w:val="0"/>
      <w:marRight w:val="0"/>
      <w:marTop w:val="0"/>
      <w:marBottom w:val="0"/>
      <w:divBdr>
        <w:top w:val="none" w:sz="0" w:space="0" w:color="auto"/>
        <w:left w:val="none" w:sz="0" w:space="0" w:color="auto"/>
        <w:bottom w:val="none" w:sz="0" w:space="0" w:color="auto"/>
        <w:right w:val="none" w:sz="0" w:space="0" w:color="auto"/>
      </w:divBdr>
      <w:divsChild>
        <w:div w:id="1907497459">
          <w:marLeft w:val="0"/>
          <w:marRight w:val="0"/>
          <w:marTop w:val="0"/>
          <w:marBottom w:val="0"/>
          <w:divBdr>
            <w:top w:val="none" w:sz="0" w:space="0" w:color="auto"/>
            <w:left w:val="none" w:sz="0" w:space="0" w:color="auto"/>
            <w:bottom w:val="none" w:sz="0" w:space="0" w:color="auto"/>
            <w:right w:val="none" w:sz="0" w:space="0" w:color="auto"/>
          </w:divBdr>
        </w:div>
      </w:divsChild>
    </w:div>
    <w:div w:id="826748687">
      <w:bodyDiv w:val="1"/>
      <w:marLeft w:val="0"/>
      <w:marRight w:val="0"/>
      <w:marTop w:val="0"/>
      <w:marBottom w:val="0"/>
      <w:divBdr>
        <w:top w:val="none" w:sz="0" w:space="0" w:color="auto"/>
        <w:left w:val="none" w:sz="0" w:space="0" w:color="auto"/>
        <w:bottom w:val="none" w:sz="0" w:space="0" w:color="auto"/>
        <w:right w:val="none" w:sz="0" w:space="0" w:color="auto"/>
      </w:divBdr>
    </w:div>
    <w:div w:id="852114562">
      <w:bodyDiv w:val="1"/>
      <w:marLeft w:val="0"/>
      <w:marRight w:val="0"/>
      <w:marTop w:val="0"/>
      <w:marBottom w:val="0"/>
      <w:divBdr>
        <w:top w:val="none" w:sz="0" w:space="0" w:color="auto"/>
        <w:left w:val="none" w:sz="0" w:space="0" w:color="auto"/>
        <w:bottom w:val="none" w:sz="0" w:space="0" w:color="auto"/>
        <w:right w:val="none" w:sz="0" w:space="0" w:color="auto"/>
      </w:divBdr>
      <w:divsChild>
        <w:div w:id="1327172507">
          <w:marLeft w:val="0"/>
          <w:marRight w:val="0"/>
          <w:marTop w:val="0"/>
          <w:marBottom w:val="0"/>
          <w:divBdr>
            <w:top w:val="none" w:sz="0" w:space="0" w:color="auto"/>
            <w:left w:val="none" w:sz="0" w:space="0" w:color="auto"/>
            <w:bottom w:val="none" w:sz="0" w:space="0" w:color="auto"/>
            <w:right w:val="none" w:sz="0" w:space="0" w:color="auto"/>
          </w:divBdr>
        </w:div>
        <w:div w:id="1366295381">
          <w:marLeft w:val="0"/>
          <w:marRight w:val="0"/>
          <w:marTop w:val="0"/>
          <w:marBottom w:val="0"/>
          <w:divBdr>
            <w:top w:val="none" w:sz="0" w:space="0" w:color="auto"/>
            <w:left w:val="none" w:sz="0" w:space="0" w:color="auto"/>
            <w:bottom w:val="none" w:sz="0" w:space="0" w:color="auto"/>
            <w:right w:val="none" w:sz="0" w:space="0" w:color="auto"/>
          </w:divBdr>
        </w:div>
        <w:div w:id="1623684346">
          <w:marLeft w:val="0"/>
          <w:marRight w:val="0"/>
          <w:marTop w:val="0"/>
          <w:marBottom w:val="0"/>
          <w:divBdr>
            <w:top w:val="none" w:sz="0" w:space="0" w:color="auto"/>
            <w:left w:val="none" w:sz="0" w:space="0" w:color="auto"/>
            <w:bottom w:val="none" w:sz="0" w:space="0" w:color="auto"/>
            <w:right w:val="none" w:sz="0" w:space="0" w:color="auto"/>
          </w:divBdr>
        </w:div>
        <w:div w:id="975067527">
          <w:marLeft w:val="0"/>
          <w:marRight w:val="0"/>
          <w:marTop w:val="0"/>
          <w:marBottom w:val="0"/>
          <w:divBdr>
            <w:top w:val="none" w:sz="0" w:space="0" w:color="auto"/>
            <w:left w:val="none" w:sz="0" w:space="0" w:color="auto"/>
            <w:bottom w:val="none" w:sz="0" w:space="0" w:color="auto"/>
            <w:right w:val="none" w:sz="0" w:space="0" w:color="auto"/>
          </w:divBdr>
        </w:div>
        <w:div w:id="581643102">
          <w:marLeft w:val="0"/>
          <w:marRight w:val="0"/>
          <w:marTop w:val="0"/>
          <w:marBottom w:val="0"/>
          <w:divBdr>
            <w:top w:val="none" w:sz="0" w:space="0" w:color="auto"/>
            <w:left w:val="none" w:sz="0" w:space="0" w:color="auto"/>
            <w:bottom w:val="none" w:sz="0" w:space="0" w:color="auto"/>
            <w:right w:val="none" w:sz="0" w:space="0" w:color="auto"/>
          </w:divBdr>
        </w:div>
        <w:div w:id="1159617313">
          <w:marLeft w:val="0"/>
          <w:marRight w:val="0"/>
          <w:marTop w:val="0"/>
          <w:marBottom w:val="0"/>
          <w:divBdr>
            <w:top w:val="none" w:sz="0" w:space="0" w:color="auto"/>
            <w:left w:val="none" w:sz="0" w:space="0" w:color="auto"/>
            <w:bottom w:val="none" w:sz="0" w:space="0" w:color="auto"/>
            <w:right w:val="none" w:sz="0" w:space="0" w:color="auto"/>
          </w:divBdr>
        </w:div>
        <w:div w:id="450435866">
          <w:marLeft w:val="0"/>
          <w:marRight w:val="0"/>
          <w:marTop w:val="0"/>
          <w:marBottom w:val="0"/>
          <w:divBdr>
            <w:top w:val="none" w:sz="0" w:space="0" w:color="auto"/>
            <w:left w:val="none" w:sz="0" w:space="0" w:color="auto"/>
            <w:bottom w:val="none" w:sz="0" w:space="0" w:color="auto"/>
            <w:right w:val="none" w:sz="0" w:space="0" w:color="auto"/>
          </w:divBdr>
        </w:div>
      </w:divsChild>
    </w:div>
    <w:div w:id="872887907">
      <w:bodyDiv w:val="1"/>
      <w:marLeft w:val="0"/>
      <w:marRight w:val="0"/>
      <w:marTop w:val="0"/>
      <w:marBottom w:val="0"/>
      <w:divBdr>
        <w:top w:val="none" w:sz="0" w:space="0" w:color="auto"/>
        <w:left w:val="none" w:sz="0" w:space="0" w:color="auto"/>
        <w:bottom w:val="none" w:sz="0" w:space="0" w:color="auto"/>
        <w:right w:val="none" w:sz="0" w:space="0" w:color="auto"/>
      </w:divBdr>
      <w:divsChild>
        <w:div w:id="753936508">
          <w:marLeft w:val="0"/>
          <w:marRight w:val="0"/>
          <w:marTop w:val="0"/>
          <w:marBottom w:val="0"/>
          <w:divBdr>
            <w:top w:val="none" w:sz="0" w:space="0" w:color="auto"/>
            <w:left w:val="none" w:sz="0" w:space="0" w:color="auto"/>
            <w:bottom w:val="none" w:sz="0" w:space="0" w:color="auto"/>
            <w:right w:val="none" w:sz="0" w:space="0" w:color="auto"/>
          </w:divBdr>
        </w:div>
      </w:divsChild>
    </w:div>
    <w:div w:id="874542258">
      <w:bodyDiv w:val="1"/>
      <w:marLeft w:val="0"/>
      <w:marRight w:val="0"/>
      <w:marTop w:val="0"/>
      <w:marBottom w:val="0"/>
      <w:divBdr>
        <w:top w:val="none" w:sz="0" w:space="0" w:color="auto"/>
        <w:left w:val="none" w:sz="0" w:space="0" w:color="auto"/>
        <w:bottom w:val="none" w:sz="0" w:space="0" w:color="auto"/>
        <w:right w:val="none" w:sz="0" w:space="0" w:color="auto"/>
      </w:divBdr>
      <w:divsChild>
        <w:div w:id="1300644669">
          <w:marLeft w:val="0"/>
          <w:marRight w:val="0"/>
          <w:marTop w:val="0"/>
          <w:marBottom w:val="0"/>
          <w:divBdr>
            <w:top w:val="none" w:sz="0" w:space="0" w:color="auto"/>
            <w:left w:val="none" w:sz="0" w:space="0" w:color="auto"/>
            <w:bottom w:val="none" w:sz="0" w:space="0" w:color="auto"/>
            <w:right w:val="none" w:sz="0" w:space="0" w:color="auto"/>
          </w:divBdr>
        </w:div>
      </w:divsChild>
    </w:div>
    <w:div w:id="972101975">
      <w:bodyDiv w:val="1"/>
      <w:marLeft w:val="0"/>
      <w:marRight w:val="0"/>
      <w:marTop w:val="0"/>
      <w:marBottom w:val="0"/>
      <w:divBdr>
        <w:top w:val="none" w:sz="0" w:space="0" w:color="auto"/>
        <w:left w:val="none" w:sz="0" w:space="0" w:color="auto"/>
        <w:bottom w:val="none" w:sz="0" w:space="0" w:color="auto"/>
        <w:right w:val="none" w:sz="0" w:space="0" w:color="auto"/>
      </w:divBdr>
      <w:divsChild>
        <w:div w:id="789864554">
          <w:marLeft w:val="0"/>
          <w:marRight w:val="0"/>
          <w:marTop w:val="0"/>
          <w:marBottom w:val="0"/>
          <w:divBdr>
            <w:top w:val="none" w:sz="0" w:space="0" w:color="auto"/>
            <w:left w:val="none" w:sz="0" w:space="0" w:color="auto"/>
            <w:bottom w:val="none" w:sz="0" w:space="0" w:color="auto"/>
            <w:right w:val="none" w:sz="0" w:space="0" w:color="auto"/>
          </w:divBdr>
        </w:div>
        <w:div w:id="1777094683">
          <w:marLeft w:val="0"/>
          <w:marRight w:val="0"/>
          <w:marTop w:val="0"/>
          <w:marBottom w:val="0"/>
          <w:divBdr>
            <w:top w:val="none" w:sz="0" w:space="0" w:color="auto"/>
            <w:left w:val="none" w:sz="0" w:space="0" w:color="auto"/>
            <w:bottom w:val="none" w:sz="0" w:space="0" w:color="auto"/>
            <w:right w:val="none" w:sz="0" w:space="0" w:color="auto"/>
          </w:divBdr>
        </w:div>
        <w:div w:id="1048259696">
          <w:marLeft w:val="0"/>
          <w:marRight w:val="0"/>
          <w:marTop w:val="0"/>
          <w:marBottom w:val="0"/>
          <w:divBdr>
            <w:top w:val="none" w:sz="0" w:space="0" w:color="auto"/>
            <w:left w:val="none" w:sz="0" w:space="0" w:color="auto"/>
            <w:bottom w:val="none" w:sz="0" w:space="0" w:color="auto"/>
            <w:right w:val="none" w:sz="0" w:space="0" w:color="auto"/>
          </w:divBdr>
        </w:div>
        <w:div w:id="1786147564">
          <w:marLeft w:val="0"/>
          <w:marRight w:val="0"/>
          <w:marTop w:val="0"/>
          <w:marBottom w:val="0"/>
          <w:divBdr>
            <w:top w:val="none" w:sz="0" w:space="0" w:color="auto"/>
            <w:left w:val="none" w:sz="0" w:space="0" w:color="auto"/>
            <w:bottom w:val="none" w:sz="0" w:space="0" w:color="auto"/>
            <w:right w:val="none" w:sz="0" w:space="0" w:color="auto"/>
          </w:divBdr>
        </w:div>
        <w:div w:id="1738285933">
          <w:marLeft w:val="0"/>
          <w:marRight w:val="0"/>
          <w:marTop w:val="0"/>
          <w:marBottom w:val="0"/>
          <w:divBdr>
            <w:top w:val="none" w:sz="0" w:space="0" w:color="auto"/>
            <w:left w:val="none" w:sz="0" w:space="0" w:color="auto"/>
            <w:bottom w:val="none" w:sz="0" w:space="0" w:color="auto"/>
            <w:right w:val="none" w:sz="0" w:space="0" w:color="auto"/>
          </w:divBdr>
        </w:div>
        <w:div w:id="763375928">
          <w:marLeft w:val="0"/>
          <w:marRight w:val="0"/>
          <w:marTop w:val="0"/>
          <w:marBottom w:val="0"/>
          <w:divBdr>
            <w:top w:val="none" w:sz="0" w:space="0" w:color="auto"/>
            <w:left w:val="none" w:sz="0" w:space="0" w:color="auto"/>
            <w:bottom w:val="none" w:sz="0" w:space="0" w:color="auto"/>
            <w:right w:val="none" w:sz="0" w:space="0" w:color="auto"/>
          </w:divBdr>
        </w:div>
        <w:div w:id="1305429702">
          <w:marLeft w:val="0"/>
          <w:marRight w:val="0"/>
          <w:marTop w:val="0"/>
          <w:marBottom w:val="0"/>
          <w:divBdr>
            <w:top w:val="none" w:sz="0" w:space="0" w:color="auto"/>
            <w:left w:val="none" w:sz="0" w:space="0" w:color="auto"/>
            <w:bottom w:val="none" w:sz="0" w:space="0" w:color="auto"/>
            <w:right w:val="none" w:sz="0" w:space="0" w:color="auto"/>
          </w:divBdr>
        </w:div>
      </w:divsChild>
    </w:div>
    <w:div w:id="979575820">
      <w:bodyDiv w:val="1"/>
      <w:marLeft w:val="0"/>
      <w:marRight w:val="0"/>
      <w:marTop w:val="0"/>
      <w:marBottom w:val="0"/>
      <w:divBdr>
        <w:top w:val="none" w:sz="0" w:space="0" w:color="auto"/>
        <w:left w:val="none" w:sz="0" w:space="0" w:color="auto"/>
        <w:bottom w:val="none" w:sz="0" w:space="0" w:color="auto"/>
        <w:right w:val="none" w:sz="0" w:space="0" w:color="auto"/>
      </w:divBdr>
      <w:divsChild>
        <w:div w:id="1530991064">
          <w:marLeft w:val="0"/>
          <w:marRight w:val="0"/>
          <w:marTop w:val="0"/>
          <w:marBottom w:val="0"/>
          <w:divBdr>
            <w:top w:val="none" w:sz="0" w:space="0" w:color="auto"/>
            <w:left w:val="none" w:sz="0" w:space="0" w:color="auto"/>
            <w:bottom w:val="none" w:sz="0" w:space="0" w:color="auto"/>
            <w:right w:val="none" w:sz="0" w:space="0" w:color="auto"/>
          </w:divBdr>
        </w:div>
      </w:divsChild>
    </w:div>
    <w:div w:id="983048839">
      <w:bodyDiv w:val="1"/>
      <w:marLeft w:val="0"/>
      <w:marRight w:val="0"/>
      <w:marTop w:val="0"/>
      <w:marBottom w:val="0"/>
      <w:divBdr>
        <w:top w:val="none" w:sz="0" w:space="0" w:color="auto"/>
        <w:left w:val="none" w:sz="0" w:space="0" w:color="auto"/>
        <w:bottom w:val="none" w:sz="0" w:space="0" w:color="auto"/>
        <w:right w:val="none" w:sz="0" w:space="0" w:color="auto"/>
      </w:divBdr>
      <w:divsChild>
        <w:div w:id="1661695720">
          <w:marLeft w:val="0"/>
          <w:marRight w:val="0"/>
          <w:marTop w:val="0"/>
          <w:marBottom w:val="0"/>
          <w:divBdr>
            <w:top w:val="none" w:sz="0" w:space="0" w:color="auto"/>
            <w:left w:val="none" w:sz="0" w:space="0" w:color="auto"/>
            <w:bottom w:val="none" w:sz="0" w:space="0" w:color="auto"/>
            <w:right w:val="none" w:sz="0" w:space="0" w:color="auto"/>
          </w:divBdr>
        </w:div>
        <w:div w:id="1287353532">
          <w:marLeft w:val="0"/>
          <w:marRight w:val="0"/>
          <w:marTop w:val="0"/>
          <w:marBottom w:val="0"/>
          <w:divBdr>
            <w:top w:val="none" w:sz="0" w:space="0" w:color="auto"/>
            <w:left w:val="none" w:sz="0" w:space="0" w:color="auto"/>
            <w:bottom w:val="none" w:sz="0" w:space="0" w:color="auto"/>
            <w:right w:val="none" w:sz="0" w:space="0" w:color="auto"/>
          </w:divBdr>
        </w:div>
        <w:div w:id="1869248477">
          <w:marLeft w:val="0"/>
          <w:marRight w:val="0"/>
          <w:marTop w:val="0"/>
          <w:marBottom w:val="0"/>
          <w:divBdr>
            <w:top w:val="none" w:sz="0" w:space="0" w:color="auto"/>
            <w:left w:val="none" w:sz="0" w:space="0" w:color="auto"/>
            <w:bottom w:val="none" w:sz="0" w:space="0" w:color="auto"/>
            <w:right w:val="none" w:sz="0" w:space="0" w:color="auto"/>
          </w:divBdr>
        </w:div>
        <w:div w:id="260533394">
          <w:marLeft w:val="0"/>
          <w:marRight w:val="0"/>
          <w:marTop w:val="0"/>
          <w:marBottom w:val="0"/>
          <w:divBdr>
            <w:top w:val="none" w:sz="0" w:space="0" w:color="auto"/>
            <w:left w:val="none" w:sz="0" w:space="0" w:color="auto"/>
            <w:bottom w:val="none" w:sz="0" w:space="0" w:color="auto"/>
            <w:right w:val="none" w:sz="0" w:space="0" w:color="auto"/>
          </w:divBdr>
        </w:div>
        <w:div w:id="1174997127">
          <w:marLeft w:val="0"/>
          <w:marRight w:val="0"/>
          <w:marTop w:val="0"/>
          <w:marBottom w:val="0"/>
          <w:divBdr>
            <w:top w:val="none" w:sz="0" w:space="0" w:color="auto"/>
            <w:left w:val="none" w:sz="0" w:space="0" w:color="auto"/>
            <w:bottom w:val="none" w:sz="0" w:space="0" w:color="auto"/>
            <w:right w:val="none" w:sz="0" w:space="0" w:color="auto"/>
          </w:divBdr>
        </w:div>
        <w:div w:id="537357864">
          <w:marLeft w:val="0"/>
          <w:marRight w:val="0"/>
          <w:marTop w:val="0"/>
          <w:marBottom w:val="0"/>
          <w:divBdr>
            <w:top w:val="none" w:sz="0" w:space="0" w:color="auto"/>
            <w:left w:val="none" w:sz="0" w:space="0" w:color="auto"/>
            <w:bottom w:val="none" w:sz="0" w:space="0" w:color="auto"/>
            <w:right w:val="none" w:sz="0" w:space="0" w:color="auto"/>
          </w:divBdr>
        </w:div>
        <w:div w:id="576013532">
          <w:marLeft w:val="0"/>
          <w:marRight w:val="0"/>
          <w:marTop w:val="0"/>
          <w:marBottom w:val="0"/>
          <w:divBdr>
            <w:top w:val="none" w:sz="0" w:space="0" w:color="auto"/>
            <w:left w:val="none" w:sz="0" w:space="0" w:color="auto"/>
            <w:bottom w:val="none" w:sz="0" w:space="0" w:color="auto"/>
            <w:right w:val="none" w:sz="0" w:space="0" w:color="auto"/>
          </w:divBdr>
        </w:div>
        <w:div w:id="1421488456">
          <w:marLeft w:val="0"/>
          <w:marRight w:val="0"/>
          <w:marTop w:val="0"/>
          <w:marBottom w:val="0"/>
          <w:divBdr>
            <w:top w:val="none" w:sz="0" w:space="0" w:color="auto"/>
            <w:left w:val="none" w:sz="0" w:space="0" w:color="auto"/>
            <w:bottom w:val="none" w:sz="0" w:space="0" w:color="auto"/>
            <w:right w:val="none" w:sz="0" w:space="0" w:color="auto"/>
          </w:divBdr>
        </w:div>
        <w:div w:id="989750528">
          <w:marLeft w:val="0"/>
          <w:marRight w:val="0"/>
          <w:marTop w:val="0"/>
          <w:marBottom w:val="0"/>
          <w:divBdr>
            <w:top w:val="none" w:sz="0" w:space="0" w:color="auto"/>
            <w:left w:val="none" w:sz="0" w:space="0" w:color="auto"/>
            <w:bottom w:val="none" w:sz="0" w:space="0" w:color="auto"/>
            <w:right w:val="none" w:sz="0" w:space="0" w:color="auto"/>
          </w:divBdr>
        </w:div>
        <w:div w:id="1236891468">
          <w:marLeft w:val="0"/>
          <w:marRight w:val="0"/>
          <w:marTop w:val="0"/>
          <w:marBottom w:val="0"/>
          <w:divBdr>
            <w:top w:val="none" w:sz="0" w:space="0" w:color="auto"/>
            <w:left w:val="none" w:sz="0" w:space="0" w:color="auto"/>
            <w:bottom w:val="none" w:sz="0" w:space="0" w:color="auto"/>
            <w:right w:val="none" w:sz="0" w:space="0" w:color="auto"/>
          </w:divBdr>
        </w:div>
        <w:div w:id="1340279418">
          <w:marLeft w:val="0"/>
          <w:marRight w:val="0"/>
          <w:marTop w:val="0"/>
          <w:marBottom w:val="0"/>
          <w:divBdr>
            <w:top w:val="none" w:sz="0" w:space="0" w:color="auto"/>
            <w:left w:val="none" w:sz="0" w:space="0" w:color="auto"/>
            <w:bottom w:val="none" w:sz="0" w:space="0" w:color="auto"/>
            <w:right w:val="none" w:sz="0" w:space="0" w:color="auto"/>
          </w:divBdr>
        </w:div>
        <w:div w:id="1952318944">
          <w:marLeft w:val="0"/>
          <w:marRight w:val="0"/>
          <w:marTop w:val="0"/>
          <w:marBottom w:val="0"/>
          <w:divBdr>
            <w:top w:val="none" w:sz="0" w:space="0" w:color="auto"/>
            <w:left w:val="none" w:sz="0" w:space="0" w:color="auto"/>
            <w:bottom w:val="none" w:sz="0" w:space="0" w:color="auto"/>
            <w:right w:val="none" w:sz="0" w:space="0" w:color="auto"/>
          </w:divBdr>
        </w:div>
        <w:div w:id="1979069873">
          <w:marLeft w:val="0"/>
          <w:marRight w:val="0"/>
          <w:marTop w:val="0"/>
          <w:marBottom w:val="0"/>
          <w:divBdr>
            <w:top w:val="none" w:sz="0" w:space="0" w:color="auto"/>
            <w:left w:val="none" w:sz="0" w:space="0" w:color="auto"/>
            <w:bottom w:val="none" w:sz="0" w:space="0" w:color="auto"/>
            <w:right w:val="none" w:sz="0" w:space="0" w:color="auto"/>
          </w:divBdr>
        </w:div>
        <w:div w:id="1668165097">
          <w:marLeft w:val="0"/>
          <w:marRight w:val="0"/>
          <w:marTop w:val="0"/>
          <w:marBottom w:val="0"/>
          <w:divBdr>
            <w:top w:val="none" w:sz="0" w:space="0" w:color="auto"/>
            <w:left w:val="none" w:sz="0" w:space="0" w:color="auto"/>
            <w:bottom w:val="none" w:sz="0" w:space="0" w:color="auto"/>
            <w:right w:val="none" w:sz="0" w:space="0" w:color="auto"/>
          </w:divBdr>
        </w:div>
        <w:div w:id="1783651522">
          <w:marLeft w:val="0"/>
          <w:marRight w:val="0"/>
          <w:marTop w:val="0"/>
          <w:marBottom w:val="0"/>
          <w:divBdr>
            <w:top w:val="none" w:sz="0" w:space="0" w:color="auto"/>
            <w:left w:val="none" w:sz="0" w:space="0" w:color="auto"/>
            <w:bottom w:val="none" w:sz="0" w:space="0" w:color="auto"/>
            <w:right w:val="none" w:sz="0" w:space="0" w:color="auto"/>
          </w:divBdr>
        </w:div>
        <w:div w:id="270209518">
          <w:marLeft w:val="0"/>
          <w:marRight w:val="0"/>
          <w:marTop w:val="0"/>
          <w:marBottom w:val="0"/>
          <w:divBdr>
            <w:top w:val="none" w:sz="0" w:space="0" w:color="auto"/>
            <w:left w:val="none" w:sz="0" w:space="0" w:color="auto"/>
            <w:bottom w:val="none" w:sz="0" w:space="0" w:color="auto"/>
            <w:right w:val="none" w:sz="0" w:space="0" w:color="auto"/>
          </w:divBdr>
        </w:div>
        <w:div w:id="1596591658">
          <w:marLeft w:val="0"/>
          <w:marRight w:val="0"/>
          <w:marTop w:val="0"/>
          <w:marBottom w:val="0"/>
          <w:divBdr>
            <w:top w:val="none" w:sz="0" w:space="0" w:color="auto"/>
            <w:left w:val="none" w:sz="0" w:space="0" w:color="auto"/>
            <w:bottom w:val="none" w:sz="0" w:space="0" w:color="auto"/>
            <w:right w:val="none" w:sz="0" w:space="0" w:color="auto"/>
          </w:divBdr>
        </w:div>
        <w:div w:id="1802066912">
          <w:marLeft w:val="0"/>
          <w:marRight w:val="0"/>
          <w:marTop w:val="0"/>
          <w:marBottom w:val="0"/>
          <w:divBdr>
            <w:top w:val="none" w:sz="0" w:space="0" w:color="auto"/>
            <w:left w:val="none" w:sz="0" w:space="0" w:color="auto"/>
            <w:bottom w:val="none" w:sz="0" w:space="0" w:color="auto"/>
            <w:right w:val="none" w:sz="0" w:space="0" w:color="auto"/>
          </w:divBdr>
        </w:div>
        <w:div w:id="1044209298">
          <w:marLeft w:val="0"/>
          <w:marRight w:val="0"/>
          <w:marTop w:val="0"/>
          <w:marBottom w:val="0"/>
          <w:divBdr>
            <w:top w:val="none" w:sz="0" w:space="0" w:color="auto"/>
            <w:left w:val="none" w:sz="0" w:space="0" w:color="auto"/>
            <w:bottom w:val="none" w:sz="0" w:space="0" w:color="auto"/>
            <w:right w:val="none" w:sz="0" w:space="0" w:color="auto"/>
          </w:divBdr>
        </w:div>
        <w:div w:id="414474129">
          <w:marLeft w:val="0"/>
          <w:marRight w:val="0"/>
          <w:marTop w:val="0"/>
          <w:marBottom w:val="0"/>
          <w:divBdr>
            <w:top w:val="none" w:sz="0" w:space="0" w:color="auto"/>
            <w:left w:val="none" w:sz="0" w:space="0" w:color="auto"/>
            <w:bottom w:val="none" w:sz="0" w:space="0" w:color="auto"/>
            <w:right w:val="none" w:sz="0" w:space="0" w:color="auto"/>
          </w:divBdr>
        </w:div>
        <w:div w:id="1533035125">
          <w:marLeft w:val="0"/>
          <w:marRight w:val="0"/>
          <w:marTop w:val="0"/>
          <w:marBottom w:val="0"/>
          <w:divBdr>
            <w:top w:val="none" w:sz="0" w:space="0" w:color="auto"/>
            <w:left w:val="none" w:sz="0" w:space="0" w:color="auto"/>
            <w:bottom w:val="none" w:sz="0" w:space="0" w:color="auto"/>
            <w:right w:val="none" w:sz="0" w:space="0" w:color="auto"/>
          </w:divBdr>
        </w:div>
        <w:div w:id="804469176">
          <w:marLeft w:val="0"/>
          <w:marRight w:val="0"/>
          <w:marTop w:val="0"/>
          <w:marBottom w:val="0"/>
          <w:divBdr>
            <w:top w:val="none" w:sz="0" w:space="0" w:color="auto"/>
            <w:left w:val="none" w:sz="0" w:space="0" w:color="auto"/>
            <w:bottom w:val="none" w:sz="0" w:space="0" w:color="auto"/>
            <w:right w:val="none" w:sz="0" w:space="0" w:color="auto"/>
          </w:divBdr>
        </w:div>
        <w:div w:id="1433014247">
          <w:marLeft w:val="0"/>
          <w:marRight w:val="0"/>
          <w:marTop w:val="0"/>
          <w:marBottom w:val="0"/>
          <w:divBdr>
            <w:top w:val="none" w:sz="0" w:space="0" w:color="auto"/>
            <w:left w:val="none" w:sz="0" w:space="0" w:color="auto"/>
            <w:bottom w:val="none" w:sz="0" w:space="0" w:color="auto"/>
            <w:right w:val="none" w:sz="0" w:space="0" w:color="auto"/>
          </w:divBdr>
        </w:div>
        <w:div w:id="610670338">
          <w:marLeft w:val="0"/>
          <w:marRight w:val="0"/>
          <w:marTop w:val="0"/>
          <w:marBottom w:val="0"/>
          <w:divBdr>
            <w:top w:val="none" w:sz="0" w:space="0" w:color="auto"/>
            <w:left w:val="none" w:sz="0" w:space="0" w:color="auto"/>
            <w:bottom w:val="none" w:sz="0" w:space="0" w:color="auto"/>
            <w:right w:val="none" w:sz="0" w:space="0" w:color="auto"/>
          </w:divBdr>
        </w:div>
        <w:div w:id="1089079241">
          <w:marLeft w:val="0"/>
          <w:marRight w:val="0"/>
          <w:marTop w:val="0"/>
          <w:marBottom w:val="0"/>
          <w:divBdr>
            <w:top w:val="none" w:sz="0" w:space="0" w:color="auto"/>
            <w:left w:val="none" w:sz="0" w:space="0" w:color="auto"/>
            <w:bottom w:val="none" w:sz="0" w:space="0" w:color="auto"/>
            <w:right w:val="none" w:sz="0" w:space="0" w:color="auto"/>
          </w:divBdr>
        </w:div>
        <w:div w:id="621543736">
          <w:marLeft w:val="0"/>
          <w:marRight w:val="0"/>
          <w:marTop w:val="0"/>
          <w:marBottom w:val="0"/>
          <w:divBdr>
            <w:top w:val="none" w:sz="0" w:space="0" w:color="auto"/>
            <w:left w:val="none" w:sz="0" w:space="0" w:color="auto"/>
            <w:bottom w:val="none" w:sz="0" w:space="0" w:color="auto"/>
            <w:right w:val="none" w:sz="0" w:space="0" w:color="auto"/>
          </w:divBdr>
        </w:div>
        <w:div w:id="1380476821">
          <w:marLeft w:val="0"/>
          <w:marRight w:val="0"/>
          <w:marTop w:val="0"/>
          <w:marBottom w:val="0"/>
          <w:divBdr>
            <w:top w:val="none" w:sz="0" w:space="0" w:color="auto"/>
            <w:left w:val="none" w:sz="0" w:space="0" w:color="auto"/>
            <w:bottom w:val="none" w:sz="0" w:space="0" w:color="auto"/>
            <w:right w:val="none" w:sz="0" w:space="0" w:color="auto"/>
          </w:divBdr>
        </w:div>
        <w:div w:id="1949464725">
          <w:marLeft w:val="0"/>
          <w:marRight w:val="0"/>
          <w:marTop w:val="0"/>
          <w:marBottom w:val="0"/>
          <w:divBdr>
            <w:top w:val="none" w:sz="0" w:space="0" w:color="auto"/>
            <w:left w:val="none" w:sz="0" w:space="0" w:color="auto"/>
            <w:bottom w:val="none" w:sz="0" w:space="0" w:color="auto"/>
            <w:right w:val="none" w:sz="0" w:space="0" w:color="auto"/>
          </w:divBdr>
        </w:div>
        <w:div w:id="402339565">
          <w:marLeft w:val="0"/>
          <w:marRight w:val="0"/>
          <w:marTop w:val="0"/>
          <w:marBottom w:val="0"/>
          <w:divBdr>
            <w:top w:val="none" w:sz="0" w:space="0" w:color="auto"/>
            <w:left w:val="none" w:sz="0" w:space="0" w:color="auto"/>
            <w:bottom w:val="none" w:sz="0" w:space="0" w:color="auto"/>
            <w:right w:val="none" w:sz="0" w:space="0" w:color="auto"/>
          </w:divBdr>
        </w:div>
        <w:div w:id="865951165">
          <w:marLeft w:val="0"/>
          <w:marRight w:val="0"/>
          <w:marTop w:val="0"/>
          <w:marBottom w:val="0"/>
          <w:divBdr>
            <w:top w:val="none" w:sz="0" w:space="0" w:color="auto"/>
            <w:left w:val="none" w:sz="0" w:space="0" w:color="auto"/>
            <w:bottom w:val="none" w:sz="0" w:space="0" w:color="auto"/>
            <w:right w:val="none" w:sz="0" w:space="0" w:color="auto"/>
          </w:divBdr>
        </w:div>
        <w:div w:id="772167273">
          <w:marLeft w:val="0"/>
          <w:marRight w:val="0"/>
          <w:marTop w:val="0"/>
          <w:marBottom w:val="0"/>
          <w:divBdr>
            <w:top w:val="none" w:sz="0" w:space="0" w:color="auto"/>
            <w:left w:val="none" w:sz="0" w:space="0" w:color="auto"/>
            <w:bottom w:val="none" w:sz="0" w:space="0" w:color="auto"/>
            <w:right w:val="none" w:sz="0" w:space="0" w:color="auto"/>
          </w:divBdr>
        </w:div>
        <w:div w:id="322516301">
          <w:marLeft w:val="0"/>
          <w:marRight w:val="0"/>
          <w:marTop w:val="0"/>
          <w:marBottom w:val="0"/>
          <w:divBdr>
            <w:top w:val="none" w:sz="0" w:space="0" w:color="auto"/>
            <w:left w:val="none" w:sz="0" w:space="0" w:color="auto"/>
            <w:bottom w:val="none" w:sz="0" w:space="0" w:color="auto"/>
            <w:right w:val="none" w:sz="0" w:space="0" w:color="auto"/>
          </w:divBdr>
        </w:div>
        <w:div w:id="1899197213">
          <w:marLeft w:val="0"/>
          <w:marRight w:val="0"/>
          <w:marTop w:val="0"/>
          <w:marBottom w:val="0"/>
          <w:divBdr>
            <w:top w:val="none" w:sz="0" w:space="0" w:color="auto"/>
            <w:left w:val="none" w:sz="0" w:space="0" w:color="auto"/>
            <w:bottom w:val="none" w:sz="0" w:space="0" w:color="auto"/>
            <w:right w:val="none" w:sz="0" w:space="0" w:color="auto"/>
          </w:divBdr>
        </w:div>
        <w:div w:id="1260597926">
          <w:marLeft w:val="0"/>
          <w:marRight w:val="0"/>
          <w:marTop w:val="0"/>
          <w:marBottom w:val="0"/>
          <w:divBdr>
            <w:top w:val="none" w:sz="0" w:space="0" w:color="auto"/>
            <w:left w:val="none" w:sz="0" w:space="0" w:color="auto"/>
            <w:bottom w:val="none" w:sz="0" w:space="0" w:color="auto"/>
            <w:right w:val="none" w:sz="0" w:space="0" w:color="auto"/>
          </w:divBdr>
        </w:div>
        <w:div w:id="405687130">
          <w:marLeft w:val="0"/>
          <w:marRight w:val="0"/>
          <w:marTop w:val="0"/>
          <w:marBottom w:val="0"/>
          <w:divBdr>
            <w:top w:val="none" w:sz="0" w:space="0" w:color="auto"/>
            <w:left w:val="none" w:sz="0" w:space="0" w:color="auto"/>
            <w:bottom w:val="none" w:sz="0" w:space="0" w:color="auto"/>
            <w:right w:val="none" w:sz="0" w:space="0" w:color="auto"/>
          </w:divBdr>
        </w:div>
        <w:div w:id="1383677489">
          <w:marLeft w:val="0"/>
          <w:marRight w:val="0"/>
          <w:marTop w:val="0"/>
          <w:marBottom w:val="0"/>
          <w:divBdr>
            <w:top w:val="none" w:sz="0" w:space="0" w:color="auto"/>
            <w:left w:val="none" w:sz="0" w:space="0" w:color="auto"/>
            <w:bottom w:val="none" w:sz="0" w:space="0" w:color="auto"/>
            <w:right w:val="none" w:sz="0" w:space="0" w:color="auto"/>
          </w:divBdr>
        </w:div>
        <w:div w:id="1701859873">
          <w:marLeft w:val="0"/>
          <w:marRight w:val="0"/>
          <w:marTop w:val="0"/>
          <w:marBottom w:val="0"/>
          <w:divBdr>
            <w:top w:val="none" w:sz="0" w:space="0" w:color="auto"/>
            <w:left w:val="none" w:sz="0" w:space="0" w:color="auto"/>
            <w:bottom w:val="none" w:sz="0" w:space="0" w:color="auto"/>
            <w:right w:val="none" w:sz="0" w:space="0" w:color="auto"/>
          </w:divBdr>
        </w:div>
        <w:div w:id="1410421183">
          <w:marLeft w:val="0"/>
          <w:marRight w:val="0"/>
          <w:marTop w:val="0"/>
          <w:marBottom w:val="0"/>
          <w:divBdr>
            <w:top w:val="none" w:sz="0" w:space="0" w:color="auto"/>
            <w:left w:val="none" w:sz="0" w:space="0" w:color="auto"/>
            <w:bottom w:val="none" w:sz="0" w:space="0" w:color="auto"/>
            <w:right w:val="none" w:sz="0" w:space="0" w:color="auto"/>
          </w:divBdr>
        </w:div>
        <w:div w:id="653484176">
          <w:marLeft w:val="0"/>
          <w:marRight w:val="0"/>
          <w:marTop w:val="0"/>
          <w:marBottom w:val="0"/>
          <w:divBdr>
            <w:top w:val="none" w:sz="0" w:space="0" w:color="auto"/>
            <w:left w:val="none" w:sz="0" w:space="0" w:color="auto"/>
            <w:bottom w:val="none" w:sz="0" w:space="0" w:color="auto"/>
            <w:right w:val="none" w:sz="0" w:space="0" w:color="auto"/>
          </w:divBdr>
        </w:div>
        <w:div w:id="349062503">
          <w:marLeft w:val="0"/>
          <w:marRight w:val="0"/>
          <w:marTop w:val="0"/>
          <w:marBottom w:val="0"/>
          <w:divBdr>
            <w:top w:val="none" w:sz="0" w:space="0" w:color="auto"/>
            <w:left w:val="none" w:sz="0" w:space="0" w:color="auto"/>
            <w:bottom w:val="none" w:sz="0" w:space="0" w:color="auto"/>
            <w:right w:val="none" w:sz="0" w:space="0" w:color="auto"/>
          </w:divBdr>
        </w:div>
        <w:div w:id="517623450">
          <w:marLeft w:val="0"/>
          <w:marRight w:val="0"/>
          <w:marTop w:val="0"/>
          <w:marBottom w:val="0"/>
          <w:divBdr>
            <w:top w:val="none" w:sz="0" w:space="0" w:color="auto"/>
            <w:left w:val="none" w:sz="0" w:space="0" w:color="auto"/>
            <w:bottom w:val="none" w:sz="0" w:space="0" w:color="auto"/>
            <w:right w:val="none" w:sz="0" w:space="0" w:color="auto"/>
          </w:divBdr>
        </w:div>
        <w:div w:id="231939173">
          <w:marLeft w:val="0"/>
          <w:marRight w:val="0"/>
          <w:marTop w:val="0"/>
          <w:marBottom w:val="0"/>
          <w:divBdr>
            <w:top w:val="none" w:sz="0" w:space="0" w:color="auto"/>
            <w:left w:val="none" w:sz="0" w:space="0" w:color="auto"/>
            <w:bottom w:val="none" w:sz="0" w:space="0" w:color="auto"/>
            <w:right w:val="none" w:sz="0" w:space="0" w:color="auto"/>
          </w:divBdr>
        </w:div>
        <w:div w:id="1524786189">
          <w:marLeft w:val="0"/>
          <w:marRight w:val="0"/>
          <w:marTop w:val="0"/>
          <w:marBottom w:val="0"/>
          <w:divBdr>
            <w:top w:val="none" w:sz="0" w:space="0" w:color="auto"/>
            <w:left w:val="none" w:sz="0" w:space="0" w:color="auto"/>
            <w:bottom w:val="none" w:sz="0" w:space="0" w:color="auto"/>
            <w:right w:val="none" w:sz="0" w:space="0" w:color="auto"/>
          </w:divBdr>
        </w:div>
        <w:div w:id="1713767381">
          <w:marLeft w:val="0"/>
          <w:marRight w:val="0"/>
          <w:marTop w:val="0"/>
          <w:marBottom w:val="0"/>
          <w:divBdr>
            <w:top w:val="none" w:sz="0" w:space="0" w:color="auto"/>
            <w:left w:val="none" w:sz="0" w:space="0" w:color="auto"/>
            <w:bottom w:val="none" w:sz="0" w:space="0" w:color="auto"/>
            <w:right w:val="none" w:sz="0" w:space="0" w:color="auto"/>
          </w:divBdr>
        </w:div>
        <w:div w:id="351880371">
          <w:marLeft w:val="0"/>
          <w:marRight w:val="0"/>
          <w:marTop w:val="0"/>
          <w:marBottom w:val="0"/>
          <w:divBdr>
            <w:top w:val="none" w:sz="0" w:space="0" w:color="auto"/>
            <w:left w:val="none" w:sz="0" w:space="0" w:color="auto"/>
            <w:bottom w:val="none" w:sz="0" w:space="0" w:color="auto"/>
            <w:right w:val="none" w:sz="0" w:space="0" w:color="auto"/>
          </w:divBdr>
        </w:div>
        <w:div w:id="774012503">
          <w:marLeft w:val="0"/>
          <w:marRight w:val="0"/>
          <w:marTop w:val="0"/>
          <w:marBottom w:val="0"/>
          <w:divBdr>
            <w:top w:val="none" w:sz="0" w:space="0" w:color="auto"/>
            <w:left w:val="none" w:sz="0" w:space="0" w:color="auto"/>
            <w:bottom w:val="none" w:sz="0" w:space="0" w:color="auto"/>
            <w:right w:val="none" w:sz="0" w:space="0" w:color="auto"/>
          </w:divBdr>
        </w:div>
        <w:div w:id="204563140">
          <w:marLeft w:val="0"/>
          <w:marRight w:val="0"/>
          <w:marTop w:val="0"/>
          <w:marBottom w:val="0"/>
          <w:divBdr>
            <w:top w:val="none" w:sz="0" w:space="0" w:color="auto"/>
            <w:left w:val="none" w:sz="0" w:space="0" w:color="auto"/>
            <w:bottom w:val="none" w:sz="0" w:space="0" w:color="auto"/>
            <w:right w:val="none" w:sz="0" w:space="0" w:color="auto"/>
          </w:divBdr>
        </w:div>
        <w:div w:id="611405427">
          <w:marLeft w:val="0"/>
          <w:marRight w:val="0"/>
          <w:marTop w:val="0"/>
          <w:marBottom w:val="0"/>
          <w:divBdr>
            <w:top w:val="none" w:sz="0" w:space="0" w:color="auto"/>
            <w:left w:val="none" w:sz="0" w:space="0" w:color="auto"/>
            <w:bottom w:val="none" w:sz="0" w:space="0" w:color="auto"/>
            <w:right w:val="none" w:sz="0" w:space="0" w:color="auto"/>
          </w:divBdr>
        </w:div>
        <w:div w:id="776564174">
          <w:marLeft w:val="0"/>
          <w:marRight w:val="0"/>
          <w:marTop w:val="0"/>
          <w:marBottom w:val="0"/>
          <w:divBdr>
            <w:top w:val="none" w:sz="0" w:space="0" w:color="auto"/>
            <w:left w:val="none" w:sz="0" w:space="0" w:color="auto"/>
            <w:bottom w:val="none" w:sz="0" w:space="0" w:color="auto"/>
            <w:right w:val="none" w:sz="0" w:space="0" w:color="auto"/>
          </w:divBdr>
        </w:div>
        <w:div w:id="768239788">
          <w:marLeft w:val="0"/>
          <w:marRight w:val="0"/>
          <w:marTop w:val="0"/>
          <w:marBottom w:val="0"/>
          <w:divBdr>
            <w:top w:val="none" w:sz="0" w:space="0" w:color="auto"/>
            <w:left w:val="none" w:sz="0" w:space="0" w:color="auto"/>
            <w:bottom w:val="none" w:sz="0" w:space="0" w:color="auto"/>
            <w:right w:val="none" w:sz="0" w:space="0" w:color="auto"/>
          </w:divBdr>
        </w:div>
        <w:div w:id="814840048">
          <w:marLeft w:val="0"/>
          <w:marRight w:val="0"/>
          <w:marTop w:val="0"/>
          <w:marBottom w:val="0"/>
          <w:divBdr>
            <w:top w:val="none" w:sz="0" w:space="0" w:color="auto"/>
            <w:left w:val="none" w:sz="0" w:space="0" w:color="auto"/>
            <w:bottom w:val="none" w:sz="0" w:space="0" w:color="auto"/>
            <w:right w:val="none" w:sz="0" w:space="0" w:color="auto"/>
          </w:divBdr>
        </w:div>
        <w:div w:id="1121920188">
          <w:marLeft w:val="0"/>
          <w:marRight w:val="0"/>
          <w:marTop w:val="0"/>
          <w:marBottom w:val="0"/>
          <w:divBdr>
            <w:top w:val="none" w:sz="0" w:space="0" w:color="auto"/>
            <w:left w:val="none" w:sz="0" w:space="0" w:color="auto"/>
            <w:bottom w:val="none" w:sz="0" w:space="0" w:color="auto"/>
            <w:right w:val="none" w:sz="0" w:space="0" w:color="auto"/>
          </w:divBdr>
        </w:div>
        <w:div w:id="1346832157">
          <w:marLeft w:val="0"/>
          <w:marRight w:val="0"/>
          <w:marTop w:val="0"/>
          <w:marBottom w:val="0"/>
          <w:divBdr>
            <w:top w:val="none" w:sz="0" w:space="0" w:color="auto"/>
            <w:left w:val="none" w:sz="0" w:space="0" w:color="auto"/>
            <w:bottom w:val="none" w:sz="0" w:space="0" w:color="auto"/>
            <w:right w:val="none" w:sz="0" w:space="0" w:color="auto"/>
          </w:divBdr>
        </w:div>
        <w:div w:id="1594119932">
          <w:marLeft w:val="0"/>
          <w:marRight w:val="0"/>
          <w:marTop w:val="0"/>
          <w:marBottom w:val="0"/>
          <w:divBdr>
            <w:top w:val="none" w:sz="0" w:space="0" w:color="auto"/>
            <w:left w:val="none" w:sz="0" w:space="0" w:color="auto"/>
            <w:bottom w:val="none" w:sz="0" w:space="0" w:color="auto"/>
            <w:right w:val="none" w:sz="0" w:space="0" w:color="auto"/>
          </w:divBdr>
        </w:div>
        <w:div w:id="522020031">
          <w:marLeft w:val="0"/>
          <w:marRight w:val="0"/>
          <w:marTop w:val="0"/>
          <w:marBottom w:val="0"/>
          <w:divBdr>
            <w:top w:val="none" w:sz="0" w:space="0" w:color="auto"/>
            <w:left w:val="none" w:sz="0" w:space="0" w:color="auto"/>
            <w:bottom w:val="none" w:sz="0" w:space="0" w:color="auto"/>
            <w:right w:val="none" w:sz="0" w:space="0" w:color="auto"/>
          </w:divBdr>
        </w:div>
        <w:div w:id="319503840">
          <w:marLeft w:val="0"/>
          <w:marRight w:val="0"/>
          <w:marTop w:val="0"/>
          <w:marBottom w:val="0"/>
          <w:divBdr>
            <w:top w:val="none" w:sz="0" w:space="0" w:color="auto"/>
            <w:left w:val="none" w:sz="0" w:space="0" w:color="auto"/>
            <w:bottom w:val="none" w:sz="0" w:space="0" w:color="auto"/>
            <w:right w:val="none" w:sz="0" w:space="0" w:color="auto"/>
          </w:divBdr>
        </w:div>
        <w:div w:id="1148287032">
          <w:marLeft w:val="0"/>
          <w:marRight w:val="0"/>
          <w:marTop w:val="0"/>
          <w:marBottom w:val="0"/>
          <w:divBdr>
            <w:top w:val="none" w:sz="0" w:space="0" w:color="auto"/>
            <w:left w:val="none" w:sz="0" w:space="0" w:color="auto"/>
            <w:bottom w:val="none" w:sz="0" w:space="0" w:color="auto"/>
            <w:right w:val="none" w:sz="0" w:space="0" w:color="auto"/>
          </w:divBdr>
        </w:div>
        <w:div w:id="553853204">
          <w:marLeft w:val="0"/>
          <w:marRight w:val="0"/>
          <w:marTop w:val="0"/>
          <w:marBottom w:val="0"/>
          <w:divBdr>
            <w:top w:val="none" w:sz="0" w:space="0" w:color="auto"/>
            <w:left w:val="none" w:sz="0" w:space="0" w:color="auto"/>
            <w:bottom w:val="none" w:sz="0" w:space="0" w:color="auto"/>
            <w:right w:val="none" w:sz="0" w:space="0" w:color="auto"/>
          </w:divBdr>
        </w:div>
        <w:div w:id="134031224">
          <w:marLeft w:val="0"/>
          <w:marRight w:val="0"/>
          <w:marTop w:val="0"/>
          <w:marBottom w:val="0"/>
          <w:divBdr>
            <w:top w:val="none" w:sz="0" w:space="0" w:color="auto"/>
            <w:left w:val="none" w:sz="0" w:space="0" w:color="auto"/>
            <w:bottom w:val="none" w:sz="0" w:space="0" w:color="auto"/>
            <w:right w:val="none" w:sz="0" w:space="0" w:color="auto"/>
          </w:divBdr>
        </w:div>
        <w:div w:id="770469128">
          <w:marLeft w:val="0"/>
          <w:marRight w:val="0"/>
          <w:marTop w:val="0"/>
          <w:marBottom w:val="0"/>
          <w:divBdr>
            <w:top w:val="none" w:sz="0" w:space="0" w:color="auto"/>
            <w:left w:val="none" w:sz="0" w:space="0" w:color="auto"/>
            <w:bottom w:val="none" w:sz="0" w:space="0" w:color="auto"/>
            <w:right w:val="none" w:sz="0" w:space="0" w:color="auto"/>
          </w:divBdr>
        </w:div>
        <w:div w:id="102651660">
          <w:marLeft w:val="0"/>
          <w:marRight w:val="0"/>
          <w:marTop w:val="0"/>
          <w:marBottom w:val="0"/>
          <w:divBdr>
            <w:top w:val="none" w:sz="0" w:space="0" w:color="auto"/>
            <w:left w:val="none" w:sz="0" w:space="0" w:color="auto"/>
            <w:bottom w:val="none" w:sz="0" w:space="0" w:color="auto"/>
            <w:right w:val="none" w:sz="0" w:space="0" w:color="auto"/>
          </w:divBdr>
        </w:div>
        <w:div w:id="229968915">
          <w:marLeft w:val="0"/>
          <w:marRight w:val="0"/>
          <w:marTop w:val="0"/>
          <w:marBottom w:val="0"/>
          <w:divBdr>
            <w:top w:val="none" w:sz="0" w:space="0" w:color="auto"/>
            <w:left w:val="none" w:sz="0" w:space="0" w:color="auto"/>
            <w:bottom w:val="none" w:sz="0" w:space="0" w:color="auto"/>
            <w:right w:val="none" w:sz="0" w:space="0" w:color="auto"/>
          </w:divBdr>
        </w:div>
        <w:div w:id="1384791762">
          <w:marLeft w:val="0"/>
          <w:marRight w:val="0"/>
          <w:marTop w:val="0"/>
          <w:marBottom w:val="0"/>
          <w:divBdr>
            <w:top w:val="none" w:sz="0" w:space="0" w:color="auto"/>
            <w:left w:val="none" w:sz="0" w:space="0" w:color="auto"/>
            <w:bottom w:val="none" w:sz="0" w:space="0" w:color="auto"/>
            <w:right w:val="none" w:sz="0" w:space="0" w:color="auto"/>
          </w:divBdr>
        </w:div>
        <w:div w:id="370884187">
          <w:marLeft w:val="0"/>
          <w:marRight w:val="0"/>
          <w:marTop w:val="0"/>
          <w:marBottom w:val="0"/>
          <w:divBdr>
            <w:top w:val="none" w:sz="0" w:space="0" w:color="auto"/>
            <w:left w:val="none" w:sz="0" w:space="0" w:color="auto"/>
            <w:bottom w:val="none" w:sz="0" w:space="0" w:color="auto"/>
            <w:right w:val="none" w:sz="0" w:space="0" w:color="auto"/>
          </w:divBdr>
        </w:div>
        <w:div w:id="1280918497">
          <w:marLeft w:val="0"/>
          <w:marRight w:val="0"/>
          <w:marTop w:val="0"/>
          <w:marBottom w:val="0"/>
          <w:divBdr>
            <w:top w:val="none" w:sz="0" w:space="0" w:color="auto"/>
            <w:left w:val="none" w:sz="0" w:space="0" w:color="auto"/>
            <w:bottom w:val="none" w:sz="0" w:space="0" w:color="auto"/>
            <w:right w:val="none" w:sz="0" w:space="0" w:color="auto"/>
          </w:divBdr>
        </w:div>
        <w:div w:id="966161022">
          <w:marLeft w:val="0"/>
          <w:marRight w:val="0"/>
          <w:marTop w:val="0"/>
          <w:marBottom w:val="0"/>
          <w:divBdr>
            <w:top w:val="none" w:sz="0" w:space="0" w:color="auto"/>
            <w:left w:val="none" w:sz="0" w:space="0" w:color="auto"/>
            <w:bottom w:val="none" w:sz="0" w:space="0" w:color="auto"/>
            <w:right w:val="none" w:sz="0" w:space="0" w:color="auto"/>
          </w:divBdr>
        </w:div>
        <w:div w:id="1735004690">
          <w:marLeft w:val="0"/>
          <w:marRight w:val="0"/>
          <w:marTop w:val="0"/>
          <w:marBottom w:val="0"/>
          <w:divBdr>
            <w:top w:val="none" w:sz="0" w:space="0" w:color="auto"/>
            <w:left w:val="none" w:sz="0" w:space="0" w:color="auto"/>
            <w:bottom w:val="none" w:sz="0" w:space="0" w:color="auto"/>
            <w:right w:val="none" w:sz="0" w:space="0" w:color="auto"/>
          </w:divBdr>
        </w:div>
        <w:div w:id="1466198719">
          <w:marLeft w:val="0"/>
          <w:marRight w:val="0"/>
          <w:marTop w:val="0"/>
          <w:marBottom w:val="0"/>
          <w:divBdr>
            <w:top w:val="none" w:sz="0" w:space="0" w:color="auto"/>
            <w:left w:val="none" w:sz="0" w:space="0" w:color="auto"/>
            <w:bottom w:val="none" w:sz="0" w:space="0" w:color="auto"/>
            <w:right w:val="none" w:sz="0" w:space="0" w:color="auto"/>
          </w:divBdr>
        </w:div>
        <w:div w:id="1482189102">
          <w:marLeft w:val="0"/>
          <w:marRight w:val="0"/>
          <w:marTop w:val="0"/>
          <w:marBottom w:val="0"/>
          <w:divBdr>
            <w:top w:val="none" w:sz="0" w:space="0" w:color="auto"/>
            <w:left w:val="none" w:sz="0" w:space="0" w:color="auto"/>
            <w:bottom w:val="none" w:sz="0" w:space="0" w:color="auto"/>
            <w:right w:val="none" w:sz="0" w:space="0" w:color="auto"/>
          </w:divBdr>
        </w:div>
        <w:div w:id="1106147250">
          <w:marLeft w:val="0"/>
          <w:marRight w:val="0"/>
          <w:marTop w:val="0"/>
          <w:marBottom w:val="0"/>
          <w:divBdr>
            <w:top w:val="none" w:sz="0" w:space="0" w:color="auto"/>
            <w:left w:val="none" w:sz="0" w:space="0" w:color="auto"/>
            <w:bottom w:val="none" w:sz="0" w:space="0" w:color="auto"/>
            <w:right w:val="none" w:sz="0" w:space="0" w:color="auto"/>
          </w:divBdr>
        </w:div>
        <w:div w:id="546064153">
          <w:marLeft w:val="0"/>
          <w:marRight w:val="0"/>
          <w:marTop w:val="0"/>
          <w:marBottom w:val="0"/>
          <w:divBdr>
            <w:top w:val="none" w:sz="0" w:space="0" w:color="auto"/>
            <w:left w:val="none" w:sz="0" w:space="0" w:color="auto"/>
            <w:bottom w:val="none" w:sz="0" w:space="0" w:color="auto"/>
            <w:right w:val="none" w:sz="0" w:space="0" w:color="auto"/>
          </w:divBdr>
        </w:div>
        <w:div w:id="808550164">
          <w:marLeft w:val="0"/>
          <w:marRight w:val="0"/>
          <w:marTop w:val="0"/>
          <w:marBottom w:val="0"/>
          <w:divBdr>
            <w:top w:val="none" w:sz="0" w:space="0" w:color="auto"/>
            <w:left w:val="none" w:sz="0" w:space="0" w:color="auto"/>
            <w:bottom w:val="none" w:sz="0" w:space="0" w:color="auto"/>
            <w:right w:val="none" w:sz="0" w:space="0" w:color="auto"/>
          </w:divBdr>
        </w:div>
        <w:div w:id="1463187967">
          <w:marLeft w:val="0"/>
          <w:marRight w:val="0"/>
          <w:marTop w:val="0"/>
          <w:marBottom w:val="0"/>
          <w:divBdr>
            <w:top w:val="none" w:sz="0" w:space="0" w:color="auto"/>
            <w:left w:val="none" w:sz="0" w:space="0" w:color="auto"/>
            <w:bottom w:val="none" w:sz="0" w:space="0" w:color="auto"/>
            <w:right w:val="none" w:sz="0" w:space="0" w:color="auto"/>
          </w:divBdr>
        </w:div>
        <w:div w:id="1424373839">
          <w:marLeft w:val="0"/>
          <w:marRight w:val="0"/>
          <w:marTop w:val="0"/>
          <w:marBottom w:val="0"/>
          <w:divBdr>
            <w:top w:val="none" w:sz="0" w:space="0" w:color="auto"/>
            <w:left w:val="none" w:sz="0" w:space="0" w:color="auto"/>
            <w:bottom w:val="none" w:sz="0" w:space="0" w:color="auto"/>
            <w:right w:val="none" w:sz="0" w:space="0" w:color="auto"/>
          </w:divBdr>
        </w:div>
        <w:div w:id="1270233243">
          <w:marLeft w:val="0"/>
          <w:marRight w:val="0"/>
          <w:marTop w:val="0"/>
          <w:marBottom w:val="0"/>
          <w:divBdr>
            <w:top w:val="none" w:sz="0" w:space="0" w:color="auto"/>
            <w:left w:val="none" w:sz="0" w:space="0" w:color="auto"/>
            <w:bottom w:val="none" w:sz="0" w:space="0" w:color="auto"/>
            <w:right w:val="none" w:sz="0" w:space="0" w:color="auto"/>
          </w:divBdr>
        </w:div>
        <w:div w:id="560679448">
          <w:marLeft w:val="0"/>
          <w:marRight w:val="0"/>
          <w:marTop w:val="0"/>
          <w:marBottom w:val="0"/>
          <w:divBdr>
            <w:top w:val="none" w:sz="0" w:space="0" w:color="auto"/>
            <w:left w:val="none" w:sz="0" w:space="0" w:color="auto"/>
            <w:bottom w:val="none" w:sz="0" w:space="0" w:color="auto"/>
            <w:right w:val="none" w:sz="0" w:space="0" w:color="auto"/>
          </w:divBdr>
        </w:div>
        <w:div w:id="688995412">
          <w:marLeft w:val="0"/>
          <w:marRight w:val="0"/>
          <w:marTop w:val="0"/>
          <w:marBottom w:val="0"/>
          <w:divBdr>
            <w:top w:val="none" w:sz="0" w:space="0" w:color="auto"/>
            <w:left w:val="none" w:sz="0" w:space="0" w:color="auto"/>
            <w:bottom w:val="none" w:sz="0" w:space="0" w:color="auto"/>
            <w:right w:val="none" w:sz="0" w:space="0" w:color="auto"/>
          </w:divBdr>
        </w:div>
        <w:div w:id="60104830">
          <w:marLeft w:val="0"/>
          <w:marRight w:val="0"/>
          <w:marTop w:val="0"/>
          <w:marBottom w:val="0"/>
          <w:divBdr>
            <w:top w:val="none" w:sz="0" w:space="0" w:color="auto"/>
            <w:left w:val="none" w:sz="0" w:space="0" w:color="auto"/>
            <w:bottom w:val="none" w:sz="0" w:space="0" w:color="auto"/>
            <w:right w:val="none" w:sz="0" w:space="0" w:color="auto"/>
          </w:divBdr>
        </w:div>
        <w:div w:id="14621639">
          <w:marLeft w:val="0"/>
          <w:marRight w:val="0"/>
          <w:marTop w:val="0"/>
          <w:marBottom w:val="0"/>
          <w:divBdr>
            <w:top w:val="none" w:sz="0" w:space="0" w:color="auto"/>
            <w:left w:val="none" w:sz="0" w:space="0" w:color="auto"/>
            <w:bottom w:val="none" w:sz="0" w:space="0" w:color="auto"/>
            <w:right w:val="none" w:sz="0" w:space="0" w:color="auto"/>
          </w:divBdr>
        </w:div>
        <w:div w:id="679964472">
          <w:marLeft w:val="0"/>
          <w:marRight w:val="0"/>
          <w:marTop w:val="0"/>
          <w:marBottom w:val="0"/>
          <w:divBdr>
            <w:top w:val="none" w:sz="0" w:space="0" w:color="auto"/>
            <w:left w:val="none" w:sz="0" w:space="0" w:color="auto"/>
            <w:bottom w:val="none" w:sz="0" w:space="0" w:color="auto"/>
            <w:right w:val="none" w:sz="0" w:space="0" w:color="auto"/>
          </w:divBdr>
        </w:div>
        <w:div w:id="1534537568">
          <w:marLeft w:val="0"/>
          <w:marRight w:val="0"/>
          <w:marTop w:val="0"/>
          <w:marBottom w:val="0"/>
          <w:divBdr>
            <w:top w:val="none" w:sz="0" w:space="0" w:color="auto"/>
            <w:left w:val="none" w:sz="0" w:space="0" w:color="auto"/>
            <w:bottom w:val="none" w:sz="0" w:space="0" w:color="auto"/>
            <w:right w:val="none" w:sz="0" w:space="0" w:color="auto"/>
          </w:divBdr>
        </w:div>
        <w:div w:id="203911351">
          <w:marLeft w:val="0"/>
          <w:marRight w:val="0"/>
          <w:marTop w:val="0"/>
          <w:marBottom w:val="0"/>
          <w:divBdr>
            <w:top w:val="none" w:sz="0" w:space="0" w:color="auto"/>
            <w:left w:val="none" w:sz="0" w:space="0" w:color="auto"/>
            <w:bottom w:val="none" w:sz="0" w:space="0" w:color="auto"/>
            <w:right w:val="none" w:sz="0" w:space="0" w:color="auto"/>
          </w:divBdr>
        </w:div>
        <w:div w:id="1187209047">
          <w:marLeft w:val="0"/>
          <w:marRight w:val="0"/>
          <w:marTop w:val="0"/>
          <w:marBottom w:val="0"/>
          <w:divBdr>
            <w:top w:val="none" w:sz="0" w:space="0" w:color="auto"/>
            <w:left w:val="none" w:sz="0" w:space="0" w:color="auto"/>
            <w:bottom w:val="none" w:sz="0" w:space="0" w:color="auto"/>
            <w:right w:val="none" w:sz="0" w:space="0" w:color="auto"/>
          </w:divBdr>
        </w:div>
        <w:div w:id="991645140">
          <w:marLeft w:val="0"/>
          <w:marRight w:val="0"/>
          <w:marTop w:val="0"/>
          <w:marBottom w:val="0"/>
          <w:divBdr>
            <w:top w:val="none" w:sz="0" w:space="0" w:color="auto"/>
            <w:left w:val="none" w:sz="0" w:space="0" w:color="auto"/>
            <w:bottom w:val="none" w:sz="0" w:space="0" w:color="auto"/>
            <w:right w:val="none" w:sz="0" w:space="0" w:color="auto"/>
          </w:divBdr>
        </w:div>
        <w:div w:id="1487241129">
          <w:marLeft w:val="0"/>
          <w:marRight w:val="0"/>
          <w:marTop w:val="0"/>
          <w:marBottom w:val="0"/>
          <w:divBdr>
            <w:top w:val="none" w:sz="0" w:space="0" w:color="auto"/>
            <w:left w:val="none" w:sz="0" w:space="0" w:color="auto"/>
            <w:bottom w:val="none" w:sz="0" w:space="0" w:color="auto"/>
            <w:right w:val="none" w:sz="0" w:space="0" w:color="auto"/>
          </w:divBdr>
        </w:div>
        <w:div w:id="367149461">
          <w:marLeft w:val="0"/>
          <w:marRight w:val="0"/>
          <w:marTop w:val="0"/>
          <w:marBottom w:val="0"/>
          <w:divBdr>
            <w:top w:val="none" w:sz="0" w:space="0" w:color="auto"/>
            <w:left w:val="none" w:sz="0" w:space="0" w:color="auto"/>
            <w:bottom w:val="none" w:sz="0" w:space="0" w:color="auto"/>
            <w:right w:val="none" w:sz="0" w:space="0" w:color="auto"/>
          </w:divBdr>
        </w:div>
        <w:div w:id="354774615">
          <w:marLeft w:val="0"/>
          <w:marRight w:val="0"/>
          <w:marTop w:val="0"/>
          <w:marBottom w:val="0"/>
          <w:divBdr>
            <w:top w:val="none" w:sz="0" w:space="0" w:color="auto"/>
            <w:left w:val="none" w:sz="0" w:space="0" w:color="auto"/>
            <w:bottom w:val="none" w:sz="0" w:space="0" w:color="auto"/>
            <w:right w:val="none" w:sz="0" w:space="0" w:color="auto"/>
          </w:divBdr>
        </w:div>
        <w:div w:id="660083585">
          <w:marLeft w:val="0"/>
          <w:marRight w:val="0"/>
          <w:marTop w:val="0"/>
          <w:marBottom w:val="0"/>
          <w:divBdr>
            <w:top w:val="none" w:sz="0" w:space="0" w:color="auto"/>
            <w:left w:val="none" w:sz="0" w:space="0" w:color="auto"/>
            <w:bottom w:val="none" w:sz="0" w:space="0" w:color="auto"/>
            <w:right w:val="none" w:sz="0" w:space="0" w:color="auto"/>
          </w:divBdr>
        </w:div>
        <w:div w:id="1219125482">
          <w:marLeft w:val="0"/>
          <w:marRight w:val="0"/>
          <w:marTop w:val="0"/>
          <w:marBottom w:val="0"/>
          <w:divBdr>
            <w:top w:val="none" w:sz="0" w:space="0" w:color="auto"/>
            <w:left w:val="none" w:sz="0" w:space="0" w:color="auto"/>
            <w:bottom w:val="none" w:sz="0" w:space="0" w:color="auto"/>
            <w:right w:val="none" w:sz="0" w:space="0" w:color="auto"/>
          </w:divBdr>
        </w:div>
        <w:div w:id="552617802">
          <w:marLeft w:val="0"/>
          <w:marRight w:val="0"/>
          <w:marTop w:val="0"/>
          <w:marBottom w:val="0"/>
          <w:divBdr>
            <w:top w:val="none" w:sz="0" w:space="0" w:color="auto"/>
            <w:left w:val="none" w:sz="0" w:space="0" w:color="auto"/>
            <w:bottom w:val="none" w:sz="0" w:space="0" w:color="auto"/>
            <w:right w:val="none" w:sz="0" w:space="0" w:color="auto"/>
          </w:divBdr>
        </w:div>
        <w:div w:id="10255865">
          <w:marLeft w:val="0"/>
          <w:marRight w:val="0"/>
          <w:marTop w:val="0"/>
          <w:marBottom w:val="0"/>
          <w:divBdr>
            <w:top w:val="none" w:sz="0" w:space="0" w:color="auto"/>
            <w:left w:val="none" w:sz="0" w:space="0" w:color="auto"/>
            <w:bottom w:val="none" w:sz="0" w:space="0" w:color="auto"/>
            <w:right w:val="none" w:sz="0" w:space="0" w:color="auto"/>
          </w:divBdr>
        </w:div>
        <w:div w:id="2045208519">
          <w:marLeft w:val="0"/>
          <w:marRight w:val="0"/>
          <w:marTop w:val="0"/>
          <w:marBottom w:val="0"/>
          <w:divBdr>
            <w:top w:val="none" w:sz="0" w:space="0" w:color="auto"/>
            <w:left w:val="none" w:sz="0" w:space="0" w:color="auto"/>
            <w:bottom w:val="none" w:sz="0" w:space="0" w:color="auto"/>
            <w:right w:val="none" w:sz="0" w:space="0" w:color="auto"/>
          </w:divBdr>
        </w:div>
        <w:div w:id="1790315202">
          <w:marLeft w:val="0"/>
          <w:marRight w:val="0"/>
          <w:marTop w:val="0"/>
          <w:marBottom w:val="0"/>
          <w:divBdr>
            <w:top w:val="none" w:sz="0" w:space="0" w:color="auto"/>
            <w:left w:val="none" w:sz="0" w:space="0" w:color="auto"/>
            <w:bottom w:val="none" w:sz="0" w:space="0" w:color="auto"/>
            <w:right w:val="none" w:sz="0" w:space="0" w:color="auto"/>
          </w:divBdr>
        </w:div>
        <w:div w:id="1303119122">
          <w:marLeft w:val="0"/>
          <w:marRight w:val="0"/>
          <w:marTop w:val="0"/>
          <w:marBottom w:val="0"/>
          <w:divBdr>
            <w:top w:val="none" w:sz="0" w:space="0" w:color="auto"/>
            <w:left w:val="none" w:sz="0" w:space="0" w:color="auto"/>
            <w:bottom w:val="none" w:sz="0" w:space="0" w:color="auto"/>
            <w:right w:val="none" w:sz="0" w:space="0" w:color="auto"/>
          </w:divBdr>
        </w:div>
        <w:div w:id="2047362834">
          <w:marLeft w:val="0"/>
          <w:marRight w:val="0"/>
          <w:marTop w:val="0"/>
          <w:marBottom w:val="0"/>
          <w:divBdr>
            <w:top w:val="none" w:sz="0" w:space="0" w:color="auto"/>
            <w:left w:val="none" w:sz="0" w:space="0" w:color="auto"/>
            <w:bottom w:val="none" w:sz="0" w:space="0" w:color="auto"/>
            <w:right w:val="none" w:sz="0" w:space="0" w:color="auto"/>
          </w:divBdr>
        </w:div>
        <w:div w:id="215166392">
          <w:marLeft w:val="0"/>
          <w:marRight w:val="0"/>
          <w:marTop w:val="0"/>
          <w:marBottom w:val="0"/>
          <w:divBdr>
            <w:top w:val="none" w:sz="0" w:space="0" w:color="auto"/>
            <w:left w:val="none" w:sz="0" w:space="0" w:color="auto"/>
            <w:bottom w:val="none" w:sz="0" w:space="0" w:color="auto"/>
            <w:right w:val="none" w:sz="0" w:space="0" w:color="auto"/>
          </w:divBdr>
        </w:div>
        <w:div w:id="263880136">
          <w:marLeft w:val="0"/>
          <w:marRight w:val="0"/>
          <w:marTop w:val="0"/>
          <w:marBottom w:val="0"/>
          <w:divBdr>
            <w:top w:val="none" w:sz="0" w:space="0" w:color="auto"/>
            <w:left w:val="none" w:sz="0" w:space="0" w:color="auto"/>
            <w:bottom w:val="none" w:sz="0" w:space="0" w:color="auto"/>
            <w:right w:val="none" w:sz="0" w:space="0" w:color="auto"/>
          </w:divBdr>
        </w:div>
        <w:div w:id="47994693">
          <w:marLeft w:val="0"/>
          <w:marRight w:val="0"/>
          <w:marTop w:val="0"/>
          <w:marBottom w:val="0"/>
          <w:divBdr>
            <w:top w:val="none" w:sz="0" w:space="0" w:color="auto"/>
            <w:left w:val="none" w:sz="0" w:space="0" w:color="auto"/>
            <w:bottom w:val="none" w:sz="0" w:space="0" w:color="auto"/>
            <w:right w:val="none" w:sz="0" w:space="0" w:color="auto"/>
          </w:divBdr>
        </w:div>
        <w:div w:id="353459358">
          <w:marLeft w:val="0"/>
          <w:marRight w:val="0"/>
          <w:marTop w:val="0"/>
          <w:marBottom w:val="0"/>
          <w:divBdr>
            <w:top w:val="none" w:sz="0" w:space="0" w:color="auto"/>
            <w:left w:val="none" w:sz="0" w:space="0" w:color="auto"/>
            <w:bottom w:val="none" w:sz="0" w:space="0" w:color="auto"/>
            <w:right w:val="none" w:sz="0" w:space="0" w:color="auto"/>
          </w:divBdr>
        </w:div>
        <w:div w:id="886263456">
          <w:marLeft w:val="0"/>
          <w:marRight w:val="0"/>
          <w:marTop w:val="0"/>
          <w:marBottom w:val="0"/>
          <w:divBdr>
            <w:top w:val="none" w:sz="0" w:space="0" w:color="auto"/>
            <w:left w:val="none" w:sz="0" w:space="0" w:color="auto"/>
            <w:bottom w:val="none" w:sz="0" w:space="0" w:color="auto"/>
            <w:right w:val="none" w:sz="0" w:space="0" w:color="auto"/>
          </w:divBdr>
        </w:div>
        <w:div w:id="1937245179">
          <w:marLeft w:val="0"/>
          <w:marRight w:val="0"/>
          <w:marTop w:val="0"/>
          <w:marBottom w:val="0"/>
          <w:divBdr>
            <w:top w:val="none" w:sz="0" w:space="0" w:color="auto"/>
            <w:left w:val="none" w:sz="0" w:space="0" w:color="auto"/>
            <w:bottom w:val="none" w:sz="0" w:space="0" w:color="auto"/>
            <w:right w:val="none" w:sz="0" w:space="0" w:color="auto"/>
          </w:divBdr>
        </w:div>
        <w:div w:id="1232809606">
          <w:marLeft w:val="0"/>
          <w:marRight w:val="0"/>
          <w:marTop w:val="0"/>
          <w:marBottom w:val="0"/>
          <w:divBdr>
            <w:top w:val="none" w:sz="0" w:space="0" w:color="auto"/>
            <w:left w:val="none" w:sz="0" w:space="0" w:color="auto"/>
            <w:bottom w:val="none" w:sz="0" w:space="0" w:color="auto"/>
            <w:right w:val="none" w:sz="0" w:space="0" w:color="auto"/>
          </w:divBdr>
        </w:div>
        <w:div w:id="1432429794">
          <w:marLeft w:val="0"/>
          <w:marRight w:val="0"/>
          <w:marTop w:val="0"/>
          <w:marBottom w:val="0"/>
          <w:divBdr>
            <w:top w:val="none" w:sz="0" w:space="0" w:color="auto"/>
            <w:left w:val="none" w:sz="0" w:space="0" w:color="auto"/>
            <w:bottom w:val="none" w:sz="0" w:space="0" w:color="auto"/>
            <w:right w:val="none" w:sz="0" w:space="0" w:color="auto"/>
          </w:divBdr>
        </w:div>
        <w:div w:id="193538533">
          <w:marLeft w:val="0"/>
          <w:marRight w:val="0"/>
          <w:marTop w:val="0"/>
          <w:marBottom w:val="0"/>
          <w:divBdr>
            <w:top w:val="none" w:sz="0" w:space="0" w:color="auto"/>
            <w:left w:val="none" w:sz="0" w:space="0" w:color="auto"/>
            <w:bottom w:val="none" w:sz="0" w:space="0" w:color="auto"/>
            <w:right w:val="none" w:sz="0" w:space="0" w:color="auto"/>
          </w:divBdr>
        </w:div>
        <w:div w:id="1563523070">
          <w:marLeft w:val="0"/>
          <w:marRight w:val="0"/>
          <w:marTop w:val="0"/>
          <w:marBottom w:val="0"/>
          <w:divBdr>
            <w:top w:val="none" w:sz="0" w:space="0" w:color="auto"/>
            <w:left w:val="none" w:sz="0" w:space="0" w:color="auto"/>
            <w:bottom w:val="none" w:sz="0" w:space="0" w:color="auto"/>
            <w:right w:val="none" w:sz="0" w:space="0" w:color="auto"/>
          </w:divBdr>
        </w:div>
        <w:div w:id="1933780284">
          <w:marLeft w:val="0"/>
          <w:marRight w:val="0"/>
          <w:marTop w:val="0"/>
          <w:marBottom w:val="0"/>
          <w:divBdr>
            <w:top w:val="none" w:sz="0" w:space="0" w:color="auto"/>
            <w:left w:val="none" w:sz="0" w:space="0" w:color="auto"/>
            <w:bottom w:val="none" w:sz="0" w:space="0" w:color="auto"/>
            <w:right w:val="none" w:sz="0" w:space="0" w:color="auto"/>
          </w:divBdr>
        </w:div>
        <w:div w:id="2029017059">
          <w:marLeft w:val="0"/>
          <w:marRight w:val="0"/>
          <w:marTop w:val="0"/>
          <w:marBottom w:val="0"/>
          <w:divBdr>
            <w:top w:val="none" w:sz="0" w:space="0" w:color="auto"/>
            <w:left w:val="none" w:sz="0" w:space="0" w:color="auto"/>
            <w:bottom w:val="none" w:sz="0" w:space="0" w:color="auto"/>
            <w:right w:val="none" w:sz="0" w:space="0" w:color="auto"/>
          </w:divBdr>
        </w:div>
        <w:div w:id="1234504295">
          <w:marLeft w:val="0"/>
          <w:marRight w:val="0"/>
          <w:marTop w:val="0"/>
          <w:marBottom w:val="0"/>
          <w:divBdr>
            <w:top w:val="none" w:sz="0" w:space="0" w:color="auto"/>
            <w:left w:val="none" w:sz="0" w:space="0" w:color="auto"/>
            <w:bottom w:val="none" w:sz="0" w:space="0" w:color="auto"/>
            <w:right w:val="none" w:sz="0" w:space="0" w:color="auto"/>
          </w:divBdr>
        </w:div>
        <w:div w:id="713309566">
          <w:marLeft w:val="0"/>
          <w:marRight w:val="0"/>
          <w:marTop w:val="0"/>
          <w:marBottom w:val="0"/>
          <w:divBdr>
            <w:top w:val="none" w:sz="0" w:space="0" w:color="auto"/>
            <w:left w:val="none" w:sz="0" w:space="0" w:color="auto"/>
            <w:bottom w:val="none" w:sz="0" w:space="0" w:color="auto"/>
            <w:right w:val="none" w:sz="0" w:space="0" w:color="auto"/>
          </w:divBdr>
        </w:div>
        <w:div w:id="479346847">
          <w:marLeft w:val="0"/>
          <w:marRight w:val="0"/>
          <w:marTop w:val="0"/>
          <w:marBottom w:val="0"/>
          <w:divBdr>
            <w:top w:val="none" w:sz="0" w:space="0" w:color="auto"/>
            <w:left w:val="none" w:sz="0" w:space="0" w:color="auto"/>
            <w:bottom w:val="none" w:sz="0" w:space="0" w:color="auto"/>
            <w:right w:val="none" w:sz="0" w:space="0" w:color="auto"/>
          </w:divBdr>
        </w:div>
        <w:div w:id="1037663017">
          <w:marLeft w:val="0"/>
          <w:marRight w:val="0"/>
          <w:marTop w:val="0"/>
          <w:marBottom w:val="0"/>
          <w:divBdr>
            <w:top w:val="none" w:sz="0" w:space="0" w:color="auto"/>
            <w:left w:val="none" w:sz="0" w:space="0" w:color="auto"/>
            <w:bottom w:val="none" w:sz="0" w:space="0" w:color="auto"/>
            <w:right w:val="none" w:sz="0" w:space="0" w:color="auto"/>
          </w:divBdr>
        </w:div>
        <w:div w:id="193229309">
          <w:marLeft w:val="0"/>
          <w:marRight w:val="0"/>
          <w:marTop w:val="0"/>
          <w:marBottom w:val="0"/>
          <w:divBdr>
            <w:top w:val="none" w:sz="0" w:space="0" w:color="auto"/>
            <w:left w:val="none" w:sz="0" w:space="0" w:color="auto"/>
            <w:bottom w:val="none" w:sz="0" w:space="0" w:color="auto"/>
            <w:right w:val="none" w:sz="0" w:space="0" w:color="auto"/>
          </w:divBdr>
        </w:div>
        <w:div w:id="600070427">
          <w:marLeft w:val="0"/>
          <w:marRight w:val="0"/>
          <w:marTop w:val="0"/>
          <w:marBottom w:val="0"/>
          <w:divBdr>
            <w:top w:val="none" w:sz="0" w:space="0" w:color="auto"/>
            <w:left w:val="none" w:sz="0" w:space="0" w:color="auto"/>
            <w:bottom w:val="none" w:sz="0" w:space="0" w:color="auto"/>
            <w:right w:val="none" w:sz="0" w:space="0" w:color="auto"/>
          </w:divBdr>
        </w:div>
        <w:div w:id="161437166">
          <w:marLeft w:val="0"/>
          <w:marRight w:val="0"/>
          <w:marTop w:val="0"/>
          <w:marBottom w:val="0"/>
          <w:divBdr>
            <w:top w:val="none" w:sz="0" w:space="0" w:color="auto"/>
            <w:left w:val="none" w:sz="0" w:space="0" w:color="auto"/>
            <w:bottom w:val="none" w:sz="0" w:space="0" w:color="auto"/>
            <w:right w:val="none" w:sz="0" w:space="0" w:color="auto"/>
          </w:divBdr>
        </w:div>
        <w:div w:id="981619518">
          <w:marLeft w:val="0"/>
          <w:marRight w:val="0"/>
          <w:marTop w:val="0"/>
          <w:marBottom w:val="0"/>
          <w:divBdr>
            <w:top w:val="none" w:sz="0" w:space="0" w:color="auto"/>
            <w:left w:val="none" w:sz="0" w:space="0" w:color="auto"/>
            <w:bottom w:val="none" w:sz="0" w:space="0" w:color="auto"/>
            <w:right w:val="none" w:sz="0" w:space="0" w:color="auto"/>
          </w:divBdr>
        </w:div>
        <w:div w:id="329875084">
          <w:marLeft w:val="0"/>
          <w:marRight w:val="0"/>
          <w:marTop w:val="0"/>
          <w:marBottom w:val="0"/>
          <w:divBdr>
            <w:top w:val="none" w:sz="0" w:space="0" w:color="auto"/>
            <w:left w:val="none" w:sz="0" w:space="0" w:color="auto"/>
            <w:bottom w:val="none" w:sz="0" w:space="0" w:color="auto"/>
            <w:right w:val="none" w:sz="0" w:space="0" w:color="auto"/>
          </w:divBdr>
        </w:div>
        <w:div w:id="1820657230">
          <w:marLeft w:val="0"/>
          <w:marRight w:val="0"/>
          <w:marTop w:val="0"/>
          <w:marBottom w:val="0"/>
          <w:divBdr>
            <w:top w:val="none" w:sz="0" w:space="0" w:color="auto"/>
            <w:left w:val="none" w:sz="0" w:space="0" w:color="auto"/>
            <w:bottom w:val="none" w:sz="0" w:space="0" w:color="auto"/>
            <w:right w:val="none" w:sz="0" w:space="0" w:color="auto"/>
          </w:divBdr>
        </w:div>
        <w:div w:id="1479305923">
          <w:marLeft w:val="0"/>
          <w:marRight w:val="0"/>
          <w:marTop w:val="0"/>
          <w:marBottom w:val="0"/>
          <w:divBdr>
            <w:top w:val="none" w:sz="0" w:space="0" w:color="auto"/>
            <w:left w:val="none" w:sz="0" w:space="0" w:color="auto"/>
            <w:bottom w:val="none" w:sz="0" w:space="0" w:color="auto"/>
            <w:right w:val="none" w:sz="0" w:space="0" w:color="auto"/>
          </w:divBdr>
        </w:div>
        <w:div w:id="1366255068">
          <w:marLeft w:val="0"/>
          <w:marRight w:val="0"/>
          <w:marTop w:val="0"/>
          <w:marBottom w:val="0"/>
          <w:divBdr>
            <w:top w:val="none" w:sz="0" w:space="0" w:color="auto"/>
            <w:left w:val="none" w:sz="0" w:space="0" w:color="auto"/>
            <w:bottom w:val="none" w:sz="0" w:space="0" w:color="auto"/>
            <w:right w:val="none" w:sz="0" w:space="0" w:color="auto"/>
          </w:divBdr>
        </w:div>
        <w:div w:id="1170758737">
          <w:marLeft w:val="0"/>
          <w:marRight w:val="0"/>
          <w:marTop w:val="0"/>
          <w:marBottom w:val="0"/>
          <w:divBdr>
            <w:top w:val="none" w:sz="0" w:space="0" w:color="auto"/>
            <w:left w:val="none" w:sz="0" w:space="0" w:color="auto"/>
            <w:bottom w:val="none" w:sz="0" w:space="0" w:color="auto"/>
            <w:right w:val="none" w:sz="0" w:space="0" w:color="auto"/>
          </w:divBdr>
        </w:div>
        <w:div w:id="1018385142">
          <w:marLeft w:val="0"/>
          <w:marRight w:val="0"/>
          <w:marTop w:val="0"/>
          <w:marBottom w:val="0"/>
          <w:divBdr>
            <w:top w:val="none" w:sz="0" w:space="0" w:color="auto"/>
            <w:left w:val="none" w:sz="0" w:space="0" w:color="auto"/>
            <w:bottom w:val="none" w:sz="0" w:space="0" w:color="auto"/>
            <w:right w:val="none" w:sz="0" w:space="0" w:color="auto"/>
          </w:divBdr>
        </w:div>
        <w:div w:id="1098330460">
          <w:marLeft w:val="0"/>
          <w:marRight w:val="0"/>
          <w:marTop w:val="0"/>
          <w:marBottom w:val="0"/>
          <w:divBdr>
            <w:top w:val="none" w:sz="0" w:space="0" w:color="auto"/>
            <w:left w:val="none" w:sz="0" w:space="0" w:color="auto"/>
            <w:bottom w:val="none" w:sz="0" w:space="0" w:color="auto"/>
            <w:right w:val="none" w:sz="0" w:space="0" w:color="auto"/>
          </w:divBdr>
        </w:div>
        <w:div w:id="915282975">
          <w:marLeft w:val="0"/>
          <w:marRight w:val="0"/>
          <w:marTop w:val="0"/>
          <w:marBottom w:val="0"/>
          <w:divBdr>
            <w:top w:val="none" w:sz="0" w:space="0" w:color="auto"/>
            <w:left w:val="none" w:sz="0" w:space="0" w:color="auto"/>
            <w:bottom w:val="none" w:sz="0" w:space="0" w:color="auto"/>
            <w:right w:val="none" w:sz="0" w:space="0" w:color="auto"/>
          </w:divBdr>
        </w:div>
        <w:div w:id="1563834283">
          <w:marLeft w:val="0"/>
          <w:marRight w:val="0"/>
          <w:marTop w:val="0"/>
          <w:marBottom w:val="0"/>
          <w:divBdr>
            <w:top w:val="none" w:sz="0" w:space="0" w:color="auto"/>
            <w:left w:val="none" w:sz="0" w:space="0" w:color="auto"/>
            <w:bottom w:val="none" w:sz="0" w:space="0" w:color="auto"/>
            <w:right w:val="none" w:sz="0" w:space="0" w:color="auto"/>
          </w:divBdr>
        </w:div>
        <w:div w:id="980428285">
          <w:marLeft w:val="0"/>
          <w:marRight w:val="0"/>
          <w:marTop w:val="0"/>
          <w:marBottom w:val="0"/>
          <w:divBdr>
            <w:top w:val="none" w:sz="0" w:space="0" w:color="auto"/>
            <w:left w:val="none" w:sz="0" w:space="0" w:color="auto"/>
            <w:bottom w:val="none" w:sz="0" w:space="0" w:color="auto"/>
            <w:right w:val="none" w:sz="0" w:space="0" w:color="auto"/>
          </w:divBdr>
        </w:div>
        <w:div w:id="1918008125">
          <w:marLeft w:val="0"/>
          <w:marRight w:val="0"/>
          <w:marTop w:val="0"/>
          <w:marBottom w:val="0"/>
          <w:divBdr>
            <w:top w:val="none" w:sz="0" w:space="0" w:color="auto"/>
            <w:left w:val="none" w:sz="0" w:space="0" w:color="auto"/>
            <w:bottom w:val="none" w:sz="0" w:space="0" w:color="auto"/>
            <w:right w:val="none" w:sz="0" w:space="0" w:color="auto"/>
          </w:divBdr>
        </w:div>
        <w:div w:id="2005351797">
          <w:marLeft w:val="0"/>
          <w:marRight w:val="0"/>
          <w:marTop w:val="0"/>
          <w:marBottom w:val="0"/>
          <w:divBdr>
            <w:top w:val="none" w:sz="0" w:space="0" w:color="auto"/>
            <w:left w:val="none" w:sz="0" w:space="0" w:color="auto"/>
            <w:bottom w:val="none" w:sz="0" w:space="0" w:color="auto"/>
            <w:right w:val="none" w:sz="0" w:space="0" w:color="auto"/>
          </w:divBdr>
        </w:div>
        <w:div w:id="1038745832">
          <w:marLeft w:val="0"/>
          <w:marRight w:val="0"/>
          <w:marTop w:val="0"/>
          <w:marBottom w:val="0"/>
          <w:divBdr>
            <w:top w:val="none" w:sz="0" w:space="0" w:color="auto"/>
            <w:left w:val="none" w:sz="0" w:space="0" w:color="auto"/>
            <w:bottom w:val="none" w:sz="0" w:space="0" w:color="auto"/>
            <w:right w:val="none" w:sz="0" w:space="0" w:color="auto"/>
          </w:divBdr>
        </w:div>
        <w:div w:id="1065641842">
          <w:marLeft w:val="0"/>
          <w:marRight w:val="0"/>
          <w:marTop w:val="0"/>
          <w:marBottom w:val="0"/>
          <w:divBdr>
            <w:top w:val="none" w:sz="0" w:space="0" w:color="auto"/>
            <w:left w:val="none" w:sz="0" w:space="0" w:color="auto"/>
            <w:bottom w:val="none" w:sz="0" w:space="0" w:color="auto"/>
            <w:right w:val="none" w:sz="0" w:space="0" w:color="auto"/>
          </w:divBdr>
        </w:div>
        <w:div w:id="840512714">
          <w:marLeft w:val="0"/>
          <w:marRight w:val="0"/>
          <w:marTop w:val="0"/>
          <w:marBottom w:val="0"/>
          <w:divBdr>
            <w:top w:val="none" w:sz="0" w:space="0" w:color="auto"/>
            <w:left w:val="none" w:sz="0" w:space="0" w:color="auto"/>
            <w:bottom w:val="none" w:sz="0" w:space="0" w:color="auto"/>
            <w:right w:val="none" w:sz="0" w:space="0" w:color="auto"/>
          </w:divBdr>
        </w:div>
        <w:div w:id="1072118627">
          <w:marLeft w:val="0"/>
          <w:marRight w:val="0"/>
          <w:marTop w:val="0"/>
          <w:marBottom w:val="0"/>
          <w:divBdr>
            <w:top w:val="none" w:sz="0" w:space="0" w:color="auto"/>
            <w:left w:val="none" w:sz="0" w:space="0" w:color="auto"/>
            <w:bottom w:val="none" w:sz="0" w:space="0" w:color="auto"/>
            <w:right w:val="none" w:sz="0" w:space="0" w:color="auto"/>
          </w:divBdr>
        </w:div>
        <w:div w:id="1597249460">
          <w:marLeft w:val="0"/>
          <w:marRight w:val="0"/>
          <w:marTop w:val="0"/>
          <w:marBottom w:val="0"/>
          <w:divBdr>
            <w:top w:val="none" w:sz="0" w:space="0" w:color="auto"/>
            <w:left w:val="none" w:sz="0" w:space="0" w:color="auto"/>
            <w:bottom w:val="none" w:sz="0" w:space="0" w:color="auto"/>
            <w:right w:val="none" w:sz="0" w:space="0" w:color="auto"/>
          </w:divBdr>
        </w:div>
        <w:div w:id="1799492648">
          <w:marLeft w:val="0"/>
          <w:marRight w:val="0"/>
          <w:marTop w:val="0"/>
          <w:marBottom w:val="0"/>
          <w:divBdr>
            <w:top w:val="none" w:sz="0" w:space="0" w:color="auto"/>
            <w:left w:val="none" w:sz="0" w:space="0" w:color="auto"/>
            <w:bottom w:val="none" w:sz="0" w:space="0" w:color="auto"/>
            <w:right w:val="none" w:sz="0" w:space="0" w:color="auto"/>
          </w:divBdr>
        </w:div>
      </w:divsChild>
    </w:div>
    <w:div w:id="1073089468">
      <w:bodyDiv w:val="1"/>
      <w:marLeft w:val="0"/>
      <w:marRight w:val="0"/>
      <w:marTop w:val="0"/>
      <w:marBottom w:val="0"/>
      <w:divBdr>
        <w:top w:val="none" w:sz="0" w:space="0" w:color="auto"/>
        <w:left w:val="none" w:sz="0" w:space="0" w:color="auto"/>
        <w:bottom w:val="none" w:sz="0" w:space="0" w:color="auto"/>
        <w:right w:val="none" w:sz="0" w:space="0" w:color="auto"/>
      </w:divBdr>
      <w:divsChild>
        <w:div w:id="519776704">
          <w:marLeft w:val="0"/>
          <w:marRight w:val="0"/>
          <w:marTop w:val="0"/>
          <w:marBottom w:val="0"/>
          <w:divBdr>
            <w:top w:val="none" w:sz="0" w:space="0" w:color="auto"/>
            <w:left w:val="none" w:sz="0" w:space="0" w:color="auto"/>
            <w:bottom w:val="none" w:sz="0" w:space="0" w:color="auto"/>
            <w:right w:val="none" w:sz="0" w:space="0" w:color="auto"/>
          </w:divBdr>
        </w:div>
      </w:divsChild>
    </w:div>
    <w:div w:id="1077630055">
      <w:bodyDiv w:val="1"/>
      <w:marLeft w:val="0"/>
      <w:marRight w:val="0"/>
      <w:marTop w:val="0"/>
      <w:marBottom w:val="0"/>
      <w:divBdr>
        <w:top w:val="none" w:sz="0" w:space="0" w:color="auto"/>
        <w:left w:val="none" w:sz="0" w:space="0" w:color="auto"/>
        <w:bottom w:val="none" w:sz="0" w:space="0" w:color="auto"/>
        <w:right w:val="none" w:sz="0" w:space="0" w:color="auto"/>
      </w:divBdr>
      <w:divsChild>
        <w:div w:id="903638130">
          <w:marLeft w:val="0"/>
          <w:marRight w:val="0"/>
          <w:marTop w:val="0"/>
          <w:marBottom w:val="0"/>
          <w:divBdr>
            <w:top w:val="none" w:sz="0" w:space="0" w:color="auto"/>
            <w:left w:val="none" w:sz="0" w:space="0" w:color="auto"/>
            <w:bottom w:val="none" w:sz="0" w:space="0" w:color="auto"/>
            <w:right w:val="none" w:sz="0" w:space="0" w:color="auto"/>
          </w:divBdr>
        </w:div>
      </w:divsChild>
    </w:div>
    <w:div w:id="1374230164">
      <w:bodyDiv w:val="1"/>
      <w:marLeft w:val="0"/>
      <w:marRight w:val="0"/>
      <w:marTop w:val="0"/>
      <w:marBottom w:val="0"/>
      <w:divBdr>
        <w:top w:val="none" w:sz="0" w:space="0" w:color="auto"/>
        <w:left w:val="none" w:sz="0" w:space="0" w:color="auto"/>
        <w:bottom w:val="none" w:sz="0" w:space="0" w:color="auto"/>
        <w:right w:val="none" w:sz="0" w:space="0" w:color="auto"/>
      </w:divBdr>
      <w:divsChild>
        <w:div w:id="975336912">
          <w:marLeft w:val="0"/>
          <w:marRight w:val="0"/>
          <w:marTop w:val="0"/>
          <w:marBottom w:val="0"/>
          <w:divBdr>
            <w:top w:val="none" w:sz="0" w:space="0" w:color="auto"/>
            <w:left w:val="none" w:sz="0" w:space="0" w:color="auto"/>
            <w:bottom w:val="none" w:sz="0" w:space="0" w:color="auto"/>
            <w:right w:val="none" w:sz="0" w:space="0" w:color="auto"/>
          </w:divBdr>
        </w:div>
      </w:divsChild>
    </w:div>
    <w:div w:id="1421296207">
      <w:bodyDiv w:val="1"/>
      <w:marLeft w:val="0"/>
      <w:marRight w:val="0"/>
      <w:marTop w:val="0"/>
      <w:marBottom w:val="0"/>
      <w:divBdr>
        <w:top w:val="none" w:sz="0" w:space="0" w:color="auto"/>
        <w:left w:val="none" w:sz="0" w:space="0" w:color="auto"/>
        <w:bottom w:val="none" w:sz="0" w:space="0" w:color="auto"/>
        <w:right w:val="none" w:sz="0" w:space="0" w:color="auto"/>
      </w:divBdr>
      <w:divsChild>
        <w:div w:id="1664044211">
          <w:marLeft w:val="0"/>
          <w:marRight w:val="0"/>
          <w:marTop w:val="0"/>
          <w:marBottom w:val="0"/>
          <w:divBdr>
            <w:top w:val="none" w:sz="0" w:space="0" w:color="auto"/>
            <w:left w:val="none" w:sz="0" w:space="0" w:color="auto"/>
            <w:bottom w:val="none" w:sz="0" w:space="0" w:color="auto"/>
            <w:right w:val="none" w:sz="0" w:space="0" w:color="auto"/>
          </w:divBdr>
        </w:div>
      </w:divsChild>
    </w:div>
    <w:div w:id="1797093178">
      <w:bodyDiv w:val="1"/>
      <w:marLeft w:val="0"/>
      <w:marRight w:val="0"/>
      <w:marTop w:val="0"/>
      <w:marBottom w:val="0"/>
      <w:divBdr>
        <w:top w:val="none" w:sz="0" w:space="0" w:color="auto"/>
        <w:left w:val="none" w:sz="0" w:space="0" w:color="auto"/>
        <w:bottom w:val="none" w:sz="0" w:space="0" w:color="auto"/>
        <w:right w:val="none" w:sz="0" w:space="0" w:color="auto"/>
      </w:divBdr>
      <w:divsChild>
        <w:div w:id="1743913105">
          <w:marLeft w:val="0"/>
          <w:marRight w:val="0"/>
          <w:marTop w:val="0"/>
          <w:marBottom w:val="0"/>
          <w:divBdr>
            <w:top w:val="none" w:sz="0" w:space="0" w:color="auto"/>
            <w:left w:val="none" w:sz="0" w:space="0" w:color="auto"/>
            <w:bottom w:val="none" w:sz="0" w:space="0" w:color="auto"/>
            <w:right w:val="none" w:sz="0" w:space="0" w:color="auto"/>
          </w:divBdr>
        </w:div>
      </w:divsChild>
    </w:div>
    <w:div w:id="1797987994">
      <w:bodyDiv w:val="1"/>
      <w:marLeft w:val="0"/>
      <w:marRight w:val="0"/>
      <w:marTop w:val="0"/>
      <w:marBottom w:val="0"/>
      <w:divBdr>
        <w:top w:val="none" w:sz="0" w:space="0" w:color="auto"/>
        <w:left w:val="none" w:sz="0" w:space="0" w:color="auto"/>
        <w:bottom w:val="none" w:sz="0" w:space="0" w:color="auto"/>
        <w:right w:val="none" w:sz="0" w:space="0" w:color="auto"/>
      </w:divBdr>
      <w:divsChild>
        <w:div w:id="1795175287">
          <w:marLeft w:val="0"/>
          <w:marRight w:val="0"/>
          <w:marTop w:val="0"/>
          <w:marBottom w:val="0"/>
          <w:divBdr>
            <w:top w:val="none" w:sz="0" w:space="0" w:color="auto"/>
            <w:left w:val="none" w:sz="0" w:space="0" w:color="auto"/>
            <w:bottom w:val="none" w:sz="0" w:space="0" w:color="auto"/>
            <w:right w:val="none" w:sz="0" w:space="0" w:color="auto"/>
          </w:divBdr>
        </w:div>
      </w:divsChild>
    </w:div>
    <w:div w:id="1828864727">
      <w:bodyDiv w:val="1"/>
      <w:marLeft w:val="0"/>
      <w:marRight w:val="0"/>
      <w:marTop w:val="0"/>
      <w:marBottom w:val="0"/>
      <w:divBdr>
        <w:top w:val="none" w:sz="0" w:space="0" w:color="auto"/>
        <w:left w:val="none" w:sz="0" w:space="0" w:color="auto"/>
        <w:bottom w:val="none" w:sz="0" w:space="0" w:color="auto"/>
        <w:right w:val="none" w:sz="0" w:space="0" w:color="auto"/>
      </w:divBdr>
      <w:divsChild>
        <w:div w:id="57871842">
          <w:marLeft w:val="0"/>
          <w:marRight w:val="0"/>
          <w:marTop w:val="0"/>
          <w:marBottom w:val="0"/>
          <w:divBdr>
            <w:top w:val="none" w:sz="0" w:space="0" w:color="auto"/>
            <w:left w:val="none" w:sz="0" w:space="0" w:color="auto"/>
            <w:bottom w:val="none" w:sz="0" w:space="0" w:color="auto"/>
            <w:right w:val="none" w:sz="0" w:space="0" w:color="auto"/>
          </w:divBdr>
        </w:div>
      </w:divsChild>
    </w:div>
    <w:div w:id="1936934906">
      <w:bodyDiv w:val="1"/>
      <w:marLeft w:val="0"/>
      <w:marRight w:val="0"/>
      <w:marTop w:val="0"/>
      <w:marBottom w:val="0"/>
      <w:divBdr>
        <w:top w:val="none" w:sz="0" w:space="0" w:color="auto"/>
        <w:left w:val="none" w:sz="0" w:space="0" w:color="auto"/>
        <w:bottom w:val="none" w:sz="0" w:space="0" w:color="auto"/>
        <w:right w:val="none" w:sz="0" w:space="0" w:color="auto"/>
      </w:divBdr>
      <w:divsChild>
        <w:div w:id="1201474632">
          <w:marLeft w:val="0"/>
          <w:marRight w:val="0"/>
          <w:marTop w:val="0"/>
          <w:marBottom w:val="0"/>
          <w:divBdr>
            <w:top w:val="none" w:sz="0" w:space="0" w:color="auto"/>
            <w:left w:val="none" w:sz="0" w:space="0" w:color="auto"/>
            <w:bottom w:val="none" w:sz="0" w:space="0" w:color="auto"/>
            <w:right w:val="none" w:sz="0" w:space="0" w:color="auto"/>
          </w:divBdr>
        </w:div>
        <w:div w:id="855919839">
          <w:marLeft w:val="0"/>
          <w:marRight w:val="0"/>
          <w:marTop w:val="0"/>
          <w:marBottom w:val="0"/>
          <w:divBdr>
            <w:top w:val="none" w:sz="0" w:space="0" w:color="auto"/>
            <w:left w:val="none" w:sz="0" w:space="0" w:color="auto"/>
            <w:bottom w:val="none" w:sz="0" w:space="0" w:color="auto"/>
            <w:right w:val="none" w:sz="0" w:space="0" w:color="auto"/>
          </w:divBdr>
        </w:div>
        <w:div w:id="569848446">
          <w:marLeft w:val="0"/>
          <w:marRight w:val="0"/>
          <w:marTop w:val="0"/>
          <w:marBottom w:val="0"/>
          <w:divBdr>
            <w:top w:val="none" w:sz="0" w:space="0" w:color="auto"/>
            <w:left w:val="none" w:sz="0" w:space="0" w:color="auto"/>
            <w:bottom w:val="none" w:sz="0" w:space="0" w:color="auto"/>
            <w:right w:val="none" w:sz="0" w:space="0" w:color="auto"/>
          </w:divBdr>
        </w:div>
        <w:div w:id="725956239">
          <w:marLeft w:val="0"/>
          <w:marRight w:val="0"/>
          <w:marTop w:val="0"/>
          <w:marBottom w:val="0"/>
          <w:divBdr>
            <w:top w:val="none" w:sz="0" w:space="0" w:color="auto"/>
            <w:left w:val="none" w:sz="0" w:space="0" w:color="auto"/>
            <w:bottom w:val="none" w:sz="0" w:space="0" w:color="auto"/>
            <w:right w:val="none" w:sz="0" w:space="0" w:color="auto"/>
          </w:divBdr>
        </w:div>
        <w:div w:id="571081941">
          <w:marLeft w:val="0"/>
          <w:marRight w:val="0"/>
          <w:marTop w:val="0"/>
          <w:marBottom w:val="0"/>
          <w:divBdr>
            <w:top w:val="none" w:sz="0" w:space="0" w:color="auto"/>
            <w:left w:val="none" w:sz="0" w:space="0" w:color="auto"/>
            <w:bottom w:val="none" w:sz="0" w:space="0" w:color="auto"/>
            <w:right w:val="none" w:sz="0" w:space="0" w:color="auto"/>
          </w:divBdr>
        </w:div>
        <w:div w:id="1909419991">
          <w:marLeft w:val="0"/>
          <w:marRight w:val="0"/>
          <w:marTop w:val="0"/>
          <w:marBottom w:val="0"/>
          <w:divBdr>
            <w:top w:val="none" w:sz="0" w:space="0" w:color="auto"/>
            <w:left w:val="none" w:sz="0" w:space="0" w:color="auto"/>
            <w:bottom w:val="none" w:sz="0" w:space="0" w:color="auto"/>
            <w:right w:val="none" w:sz="0" w:space="0" w:color="auto"/>
          </w:divBdr>
        </w:div>
        <w:div w:id="970601033">
          <w:marLeft w:val="0"/>
          <w:marRight w:val="0"/>
          <w:marTop w:val="0"/>
          <w:marBottom w:val="0"/>
          <w:divBdr>
            <w:top w:val="none" w:sz="0" w:space="0" w:color="auto"/>
            <w:left w:val="none" w:sz="0" w:space="0" w:color="auto"/>
            <w:bottom w:val="none" w:sz="0" w:space="0" w:color="auto"/>
            <w:right w:val="none" w:sz="0" w:space="0" w:color="auto"/>
          </w:divBdr>
        </w:div>
        <w:div w:id="846291780">
          <w:marLeft w:val="0"/>
          <w:marRight w:val="0"/>
          <w:marTop w:val="0"/>
          <w:marBottom w:val="0"/>
          <w:divBdr>
            <w:top w:val="none" w:sz="0" w:space="0" w:color="auto"/>
            <w:left w:val="none" w:sz="0" w:space="0" w:color="auto"/>
            <w:bottom w:val="none" w:sz="0" w:space="0" w:color="auto"/>
            <w:right w:val="none" w:sz="0" w:space="0" w:color="auto"/>
          </w:divBdr>
        </w:div>
        <w:div w:id="1369717090">
          <w:marLeft w:val="0"/>
          <w:marRight w:val="0"/>
          <w:marTop w:val="0"/>
          <w:marBottom w:val="0"/>
          <w:divBdr>
            <w:top w:val="none" w:sz="0" w:space="0" w:color="auto"/>
            <w:left w:val="none" w:sz="0" w:space="0" w:color="auto"/>
            <w:bottom w:val="none" w:sz="0" w:space="0" w:color="auto"/>
            <w:right w:val="none" w:sz="0" w:space="0" w:color="auto"/>
          </w:divBdr>
        </w:div>
        <w:div w:id="1904176462">
          <w:marLeft w:val="0"/>
          <w:marRight w:val="0"/>
          <w:marTop w:val="0"/>
          <w:marBottom w:val="0"/>
          <w:divBdr>
            <w:top w:val="none" w:sz="0" w:space="0" w:color="auto"/>
            <w:left w:val="none" w:sz="0" w:space="0" w:color="auto"/>
            <w:bottom w:val="none" w:sz="0" w:space="0" w:color="auto"/>
            <w:right w:val="none" w:sz="0" w:space="0" w:color="auto"/>
          </w:divBdr>
        </w:div>
        <w:div w:id="16274601">
          <w:marLeft w:val="0"/>
          <w:marRight w:val="0"/>
          <w:marTop w:val="0"/>
          <w:marBottom w:val="0"/>
          <w:divBdr>
            <w:top w:val="none" w:sz="0" w:space="0" w:color="auto"/>
            <w:left w:val="none" w:sz="0" w:space="0" w:color="auto"/>
            <w:bottom w:val="none" w:sz="0" w:space="0" w:color="auto"/>
            <w:right w:val="none" w:sz="0" w:space="0" w:color="auto"/>
          </w:divBdr>
        </w:div>
        <w:div w:id="2117824334">
          <w:marLeft w:val="0"/>
          <w:marRight w:val="0"/>
          <w:marTop w:val="0"/>
          <w:marBottom w:val="0"/>
          <w:divBdr>
            <w:top w:val="none" w:sz="0" w:space="0" w:color="auto"/>
            <w:left w:val="none" w:sz="0" w:space="0" w:color="auto"/>
            <w:bottom w:val="none" w:sz="0" w:space="0" w:color="auto"/>
            <w:right w:val="none" w:sz="0" w:space="0" w:color="auto"/>
          </w:divBdr>
        </w:div>
        <w:div w:id="824050886">
          <w:marLeft w:val="0"/>
          <w:marRight w:val="0"/>
          <w:marTop w:val="0"/>
          <w:marBottom w:val="0"/>
          <w:divBdr>
            <w:top w:val="none" w:sz="0" w:space="0" w:color="auto"/>
            <w:left w:val="none" w:sz="0" w:space="0" w:color="auto"/>
            <w:bottom w:val="none" w:sz="0" w:space="0" w:color="auto"/>
            <w:right w:val="none" w:sz="0" w:space="0" w:color="auto"/>
          </w:divBdr>
        </w:div>
        <w:div w:id="747389777">
          <w:marLeft w:val="0"/>
          <w:marRight w:val="0"/>
          <w:marTop w:val="0"/>
          <w:marBottom w:val="0"/>
          <w:divBdr>
            <w:top w:val="none" w:sz="0" w:space="0" w:color="auto"/>
            <w:left w:val="none" w:sz="0" w:space="0" w:color="auto"/>
            <w:bottom w:val="none" w:sz="0" w:space="0" w:color="auto"/>
            <w:right w:val="none" w:sz="0" w:space="0" w:color="auto"/>
          </w:divBdr>
        </w:div>
        <w:div w:id="82148317">
          <w:marLeft w:val="0"/>
          <w:marRight w:val="0"/>
          <w:marTop w:val="0"/>
          <w:marBottom w:val="0"/>
          <w:divBdr>
            <w:top w:val="none" w:sz="0" w:space="0" w:color="auto"/>
            <w:left w:val="none" w:sz="0" w:space="0" w:color="auto"/>
            <w:bottom w:val="none" w:sz="0" w:space="0" w:color="auto"/>
            <w:right w:val="none" w:sz="0" w:space="0" w:color="auto"/>
          </w:divBdr>
        </w:div>
        <w:div w:id="2133476772">
          <w:marLeft w:val="0"/>
          <w:marRight w:val="0"/>
          <w:marTop w:val="0"/>
          <w:marBottom w:val="0"/>
          <w:divBdr>
            <w:top w:val="none" w:sz="0" w:space="0" w:color="auto"/>
            <w:left w:val="none" w:sz="0" w:space="0" w:color="auto"/>
            <w:bottom w:val="none" w:sz="0" w:space="0" w:color="auto"/>
            <w:right w:val="none" w:sz="0" w:space="0" w:color="auto"/>
          </w:divBdr>
        </w:div>
        <w:div w:id="1265306764">
          <w:marLeft w:val="0"/>
          <w:marRight w:val="0"/>
          <w:marTop w:val="0"/>
          <w:marBottom w:val="0"/>
          <w:divBdr>
            <w:top w:val="none" w:sz="0" w:space="0" w:color="auto"/>
            <w:left w:val="none" w:sz="0" w:space="0" w:color="auto"/>
            <w:bottom w:val="none" w:sz="0" w:space="0" w:color="auto"/>
            <w:right w:val="none" w:sz="0" w:space="0" w:color="auto"/>
          </w:divBdr>
        </w:div>
        <w:div w:id="1387410848">
          <w:marLeft w:val="0"/>
          <w:marRight w:val="0"/>
          <w:marTop w:val="0"/>
          <w:marBottom w:val="0"/>
          <w:divBdr>
            <w:top w:val="none" w:sz="0" w:space="0" w:color="auto"/>
            <w:left w:val="none" w:sz="0" w:space="0" w:color="auto"/>
            <w:bottom w:val="none" w:sz="0" w:space="0" w:color="auto"/>
            <w:right w:val="none" w:sz="0" w:space="0" w:color="auto"/>
          </w:divBdr>
        </w:div>
        <w:div w:id="1237129220">
          <w:marLeft w:val="0"/>
          <w:marRight w:val="0"/>
          <w:marTop w:val="0"/>
          <w:marBottom w:val="0"/>
          <w:divBdr>
            <w:top w:val="none" w:sz="0" w:space="0" w:color="auto"/>
            <w:left w:val="none" w:sz="0" w:space="0" w:color="auto"/>
            <w:bottom w:val="none" w:sz="0" w:space="0" w:color="auto"/>
            <w:right w:val="none" w:sz="0" w:space="0" w:color="auto"/>
          </w:divBdr>
        </w:div>
        <w:div w:id="1500921629">
          <w:marLeft w:val="0"/>
          <w:marRight w:val="0"/>
          <w:marTop w:val="0"/>
          <w:marBottom w:val="0"/>
          <w:divBdr>
            <w:top w:val="none" w:sz="0" w:space="0" w:color="auto"/>
            <w:left w:val="none" w:sz="0" w:space="0" w:color="auto"/>
            <w:bottom w:val="none" w:sz="0" w:space="0" w:color="auto"/>
            <w:right w:val="none" w:sz="0" w:space="0" w:color="auto"/>
          </w:divBdr>
        </w:div>
        <w:div w:id="1543709687">
          <w:marLeft w:val="0"/>
          <w:marRight w:val="0"/>
          <w:marTop w:val="0"/>
          <w:marBottom w:val="0"/>
          <w:divBdr>
            <w:top w:val="none" w:sz="0" w:space="0" w:color="auto"/>
            <w:left w:val="none" w:sz="0" w:space="0" w:color="auto"/>
            <w:bottom w:val="none" w:sz="0" w:space="0" w:color="auto"/>
            <w:right w:val="none" w:sz="0" w:space="0" w:color="auto"/>
          </w:divBdr>
        </w:div>
        <w:div w:id="1325663895">
          <w:marLeft w:val="0"/>
          <w:marRight w:val="0"/>
          <w:marTop w:val="0"/>
          <w:marBottom w:val="0"/>
          <w:divBdr>
            <w:top w:val="none" w:sz="0" w:space="0" w:color="auto"/>
            <w:left w:val="none" w:sz="0" w:space="0" w:color="auto"/>
            <w:bottom w:val="none" w:sz="0" w:space="0" w:color="auto"/>
            <w:right w:val="none" w:sz="0" w:space="0" w:color="auto"/>
          </w:divBdr>
        </w:div>
        <w:div w:id="1704788355">
          <w:marLeft w:val="0"/>
          <w:marRight w:val="0"/>
          <w:marTop w:val="0"/>
          <w:marBottom w:val="0"/>
          <w:divBdr>
            <w:top w:val="none" w:sz="0" w:space="0" w:color="auto"/>
            <w:left w:val="none" w:sz="0" w:space="0" w:color="auto"/>
            <w:bottom w:val="none" w:sz="0" w:space="0" w:color="auto"/>
            <w:right w:val="none" w:sz="0" w:space="0" w:color="auto"/>
          </w:divBdr>
        </w:div>
        <w:div w:id="39524350">
          <w:marLeft w:val="0"/>
          <w:marRight w:val="0"/>
          <w:marTop w:val="0"/>
          <w:marBottom w:val="0"/>
          <w:divBdr>
            <w:top w:val="none" w:sz="0" w:space="0" w:color="auto"/>
            <w:left w:val="none" w:sz="0" w:space="0" w:color="auto"/>
            <w:bottom w:val="none" w:sz="0" w:space="0" w:color="auto"/>
            <w:right w:val="none" w:sz="0" w:space="0" w:color="auto"/>
          </w:divBdr>
        </w:div>
        <w:div w:id="1987466470">
          <w:marLeft w:val="0"/>
          <w:marRight w:val="0"/>
          <w:marTop w:val="0"/>
          <w:marBottom w:val="0"/>
          <w:divBdr>
            <w:top w:val="none" w:sz="0" w:space="0" w:color="auto"/>
            <w:left w:val="none" w:sz="0" w:space="0" w:color="auto"/>
            <w:bottom w:val="none" w:sz="0" w:space="0" w:color="auto"/>
            <w:right w:val="none" w:sz="0" w:space="0" w:color="auto"/>
          </w:divBdr>
        </w:div>
        <w:div w:id="751633144">
          <w:marLeft w:val="0"/>
          <w:marRight w:val="0"/>
          <w:marTop w:val="0"/>
          <w:marBottom w:val="0"/>
          <w:divBdr>
            <w:top w:val="none" w:sz="0" w:space="0" w:color="auto"/>
            <w:left w:val="none" w:sz="0" w:space="0" w:color="auto"/>
            <w:bottom w:val="none" w:sz="0" w:space="0" w:color="auto"/>
            <w:right w:val="none" w:sz="0" w:space="0" w:color="auto"/>
          </w:divBdr>
        </w:div>
        <w:div w:id="1774589397">
          <w:marLeft w:val="0"/>
          <w:marRight w:val="0"/>
          <w:marTop w:val="0"/>
          <w:marBottom w:val="0"/>
          <w:divBdr>
            <w:top w:val="none" w:sz="0" w:space="0" w:color="auto"/>
            <w:left w:val="none" w:sz="0" w:space="0" w:color="auto"/>
            <w:bottom w:val="none" w:sz="0" w:space="0" w:color="auto"/>
            <w:right w:val="none" w:sz="0" w:space="0" w:color="auto"/>
          </w:divBdr>
        </w:div>
        <w:div w:id="436485680">
          <w:marLeft w:val="0"/>
          <w:marRight w:val="0"/>
          <w:marTop w:val="0"/>
          <w:marBottom w:val="0"/>
          <w:divBdr>
            <w:top w:val="none" w:sz="0" w:space="0" w:color="auto"/>
            <w:left w:val="none" w:sz="0" w:space="0" w:color="auto"/>
            <w:bottom w:val="none" w:sz="0" w:space="0" w:color="auto"/>
            <w:right w:val="none" w:sz="0" w:space="0" w:color="auto"/>
          </w:divBdr>
        </w:div>
        <w:div w:id="1377586612">
          <w:marLeft w:val="0"/>
          <w:marRight w:val="0"/>
          <w:marTop w:val="0"/>
          <w:marBottom w:val="0"/>
          <w:divBdr>
            <w:top w:val="none" w:sz="0" w:space="0" w:color="auto"/>
            <w:left w:val="none" w:sz="0" w:space="0" w:color="auto"/>
            <w:bottom w:val="none" w:sz="0" w:space="0" w:color="auto"/>
            <w:right w:val="none" w:sz="0" w:space="0" w:color="auto"/>
          </w:divBdr>
        </w:div>
        <w:div w:id="37752626">
          <w:marLeft w:val="0"/>
          <w:marRight w:val="0"/>
          <w:marTop w:val="0"/>
          <w:marBottom w:val="0"/>
          <w:divBdr>
            <w:top w:val="none" w:sz="0" w:space="0" w:color="auto"/>
            <w:left w:val="none" w:sz="0" w:space="0" w:color="auto"/>
            <w:bottom w:val="none" w:sz="0" w:space="0" w:color="auto"/>
            <w:right w:val="none" w:sz="0" w:space="0" w:color="auto"/>
          </w:divBdr>
        </w:div>
        <w:div w:id="137037578">
          <w:marLeft w:val="0"/>
          <w:marRight w:val="0"/>
          <w:marTop w:val="0"/>
          <w:marBottom w:val="0"/>
          <w:divBdr>
            <w:top w:val="none" w:sz="0" w:space="0" w:color="auto"/>
            <w:left w:val="none" w:sz="0" w:space="0" w:color="auto"/>
            <w:bottom w:val="none" w:sz="0" w:space="0" w:color="auto"/>
            <w:right w:val="none" w:sz="0" w:space="0" w:color="auto"/>
          </w:divBdr>
        </w:div>
        <w:div w:id="395712154">
          <w:marLeft w:val="0"/>
          <w:marRight w:val="0"/>
          <w:marTop w:val="0"/>
          <w:marBottom w:val="0"/>
          <w:divBdr>
            <w:top w:val="none" w:sz="0" w:space="0" w:color="auto"/>
            <w:left w:val="none" w:sz="0" w:space="0" w:color="auto"/>
            <w:bottom w:val="none" w:sz="0" w:space="0" w:color="auto"/>
            <w:right w:val="none" w:sz="0" w:space="0" w:color="auto"/>
          </w:divBdr>
        </w:div>
        <w:div w:id="444472519">
          <w:marLeft w:val="0"/>
          <w:marRight w:val="0"/>
          <w:marTop w:val="0"/>
          <w:marBottom w:val="0"/>
          <w:divBdr>
            <w:top w:val="none" w:sz="0" w:space="0" w:color="auto"/>
            <w:left w:val="none" w:sz="0" w:space="0" w:color="auto"/>
            <w:bottom w:val="none" w:sz="0" w:space="0" w:color="auto"/>
            <w:right w:val="none" w:sz="0" w:space="0" w:color="auto"/>
          </w:divBdr>
        </w:div>
        <w:div w:id="319188607">
          <w:marLeft w:val="0"/>
          <w:marRight w:val="0"/>
          <w:marTop w:val="0"/>
          <w:marBottom w:val="0"/>
          <w:divBdr>
            <w:top w:val="none" w:sz="0" w:space="0" w:color="auto"/>
            <w:left w:val="none" w:sz="0" w:space="0" w:color="auto"/>
            <w:bottom w:val="none" w:sz="0" w:space="0" w:color="auto"/>
            <w:right w:val="none" w:sz="0" w:space="0" w:color="auto"/>
          </w:divBdr>
        </w:div>
        <w:div w:id="417022367">
          <w:marLeft w:val="0"/>
          <w:marRight w:val="0"/>
          <w:marTop w:val="0"/>
          <w:marBottom w:val="0"/>
          <w:divBdr>
            <w:top w:val="none" w:sz="0" w:space="0" w:color="auto"/>
            <w:left w:val="none" w:sz="0" w:space="0" w:color="auto"/>
            <w:bottom w:val="none" w:sz="0" w:space="0" w:color="auto"/>
            <w:right w:val="none" w:sz="0" w:space="0" w:color="auto"/>
          </w:divBdr>
        </w:div>
        <w:div w:id="48574882">
          <w:marLeft w:val="0"/>
          <w:marRight w:val="0"/>
          <w:marTop w:val="0"/>
          <w:marBottom w:val="0"/>
          <w:divBdr>
            <w:top w:val="none" w:sz="0" w:space="0" w:color="auto"/>
            <w:left w:val="none" w:sz="0" w:space="0" w:color="auto"/>
            <w:bottom w:val="none" w:sz="0" w:space="0" w:color="auto"/>
            <w:right w:val="none" w:sz="0" w:space="0" w:color="auto"/>
          </w:divBdr>
        </w:div>
        <w:div w:id="415399117">
          <w:marLeft w:val="0"/>
          <w:marRight w:val="0"/>
          <w:marTop w:val="0"/>
          <w:marBottom w:val="0"/>
          <w:divBdr>
            <w:top w:val="none" w:sz="0" w:space="0" w:color="auto"/>
            <w:left w:val="none" w:sz="0" w:space="0" w:color="auto"/>
            <w:bottom w:val="none" w:sz="0" w:space="0" w:color="auto"/>
            <w:right w:val="none" w:sz="0" w:space="0" w:color="auto"/>
          </w:divBdr>
        </w:div>
        <w:div w:id="65230836">
          <w:marLeft w:val="0"/>
          <w:marRight w:val="0"/>
          <w:marTop w:val="0"/>
          <w:marBottom w:val="0"/>
          <w:divBdr>
            <w:top w:val="none" w:sz="0" w:space="0" w:color="auto"/>
            <w:left w:val="none" w:sz="0" w:space="0" w:color="auto"/>
            <w:bottom w:val="none" w:sz="0" w:space="0" w:color="auto"/>
            <w:right w:val="none" w:sz="0" w:space="0" w:color="auto"/>
          </w:divBdr>
        </w:div>
        <w:div w:id="1390811090">
          <w:marLeft w:val="0"/>
          <w:marRight w:val="0"/>
          <w:marTop w:val="0"/>
          <w:marBottom w:val="0"/>
          <w:divBdr>
            <w:top w:val="none" w:sz="0" w:space="0" w:color="auto"/>
            <w:left w:val="none" w:sz="0" w:space="0" w:color="auto"/>
            <w:bottom w:val="none" w:sz="0" w:space="0" w:color="auto"/>
            <w:right w:val="none" w:sz="0" w:space="0" w:color="auto"/>
          </w:divBdr>
        </w:div>
        <w:div w:id="1747145427">
          <w:marLeft w:val="0"/>
          <w:marRight w:val="0"/>
          <w:marTop w:val="0"/>
          <w:marBottom w:val="0"/>
          <w:divBdr>
            <w:top w:val="none" w:sz="0" w:space="0" w:color="auto"/>
            <w:left w:val="none" w:sz="0" w:space="0" w:color="auto"/>
            <w:bottom w:val="none" w:sz="0" w:space="0" w:color="auto"/>
            <w:right w:val="none" w:sz="0" w:space="0" w:color="auto"/>
          </w:divBdr>
        </w:div>
        <w:div w:id="1991523376">
          <w:marLeft w:val="0"/>
          <w:marRight w:val="0"/>
          <w:marTop w:val="0"/>
          <w:marBottom w:val="0"/>
          <w:divBdr>
            <w:top w:val="none" w:sz="0" w:space="0" w:color="auto"/>
            <w:left w:val="none" w:sz="0" w:space="0" w:color="auto"/>
            <w:bottom w:val="none" w:sz="0" w:space="0" w:color="auto"/>
            <w:right w:val="none" w:sz="0" w:space="0" w:color="auto"/>
          </w:divBdr>
        </w:div>
        <w:div w:id="109904248">
          <w:marLeft w:val="0"/>
          <w:marRight w:val="0"/>
          <w:marTop w:val="0"/>
          <w:marBottom w:val="0"/>
          <w:divBdr>
            <w:top w:val="none" w:sz="0" w:space="0" w:color="auto"/>
            <w:left w:val="none" w:sz="0" w:space="0" w:color="auto"/>
            <w:bottom w:val="none" w:sz="0" w:space="0" w:color="auto"/>
            <w:right w:val="none" w:sz="0" w:space="0" w:color="auto"/>
          </w:divBdr>
        </w:div>
        <w:div w:id="1354385393">
          <w:marLeft w:val="0"/>
          <w:marRight w:val="0"/>
          <w:marTop w:val="0"/>
          <w:marBottom w:val="0"/>
          <w:divBdr>
            <w:top w:val="none" w:sz="0" w:space="0" w:color="auto"/>
            <w:left w:val="none" w:sz="0" w:space="0" w:color="auto"/>
            <w:bottom w:val="none" w:sz="0" w:space="0" w:color="auto"/>
            <w:right w:val="none" w:sz="0" w:space="0" w:color="auto"/>
          </w:divBdr>
        </w:div>
        <w:div w:id="77286343">
          <w:marLeft w:val="0"/>
          <w:marRight w:val="0"/>
          <w:marTop w:val="0"/>
          <w:marBottom w:val="0"/>
          <w:divBdr>
            <w:top w:val="none" w:sz="0" w:space="0" w:color="auto"/>
            <w:left w:val="none" w:sz="0" w:space="0" w:color="auto"/>
            <w:bottom w:val="none" w:sz="0" w:space="0" w:color="auto"/>
            <w:right w:val="none" w:sz="0" w:space="0" w:color="auto"/>
          </w:divBdr>
        </w:div>
        <w:div w:id="775052829">
          <w:marLeft w:val="0"/>
          <w:marRight w:val="0"/>
          <w:marTop w:val="0"/>
          <w:marBottom w:val="0"/>
          <w:divBdr>
            <w:top w:val="none" w:sz="0" w:space="0" w:color="auto"/>
            <w:left w:val="none" w:sz="0" w:space="0" w:color="auto"/>
            <w:bottom w:val="none" w:sz="0" w:space="0" w:color="auto"/>
            <w:right w:val="none" w:sz="0" w:space="0" w:color="auto"/>
          </w:divBdr>
        </w:div>
        <w:div w:id="877006428">
          <w:marLeft w:val="0"/>
          <w:marRight w:val="0"/>
          <w:marTop w:val="0"/>
          <w:marBottom w:val="0"/>
          <w:divBdr>
            <w:top w:val="none" w:sz="0" w:space="0" w:color="auto"/>
            <w:left w:val="none" w:sz="0" w:space="0" w:color="auto"/>
            <w:bottom w:val="none" w:sz="0" w:space="0" w:color="auto"/>
            <w:right w:val="none" w:sz="0" w:space="0" w:color="auto"/>
          </w:divBdr>
        </w:div>
        <w:div w:id="1690139063">
          <w:marLeft w:val="0"/>
          <w:marRight w:val="0"/>
          <w:marTop w:val="0"/>
          <w:marBottom w:val="0"/>
          <w:divBdr>
            <w:top w:val="none" w:sz="0" w:space="0" w:color="auto"/>
            <w:left w:val="none" w:sz="0" w:space="0" w:color="auto"/>
            <w:bottom w:val="none" w:sz="0" w:space="0" w:color="auto"/>
            <w:right w:val="none" w:sz="0" w:space="0" w:color="auto"/>
          </w:divBdr>
        </w:div>
        <w:div w:id="524907310">
          <w:marLeft w:val="0"/>
          <w:marRight w:val="0"/>
          <w:marTop w:val="0"/>
          <w:marBottom w:val="0"/>
          <w:divBdr>
            <w:top w:val="none" w:sz="0" w:space="0" w:color="auto"/>
            <w:left w:val="none" w:sz="0" w:space="0" w:color="auto"/>
            <w:bottom w:val="none" w:sz="0" w:space="0" w:color="auto"/>
            <w:right w:val="none" w:sz="0" w:space="0" w:color="auto"/>
          </w:divBdr>
        </w:div>
        <w:div w:id="1129931956">
          <w:marLeft w:val="0"/>
          <w:marRight w:val="0"/>
          <w:marTop w:val="0"/>
          <w:marBottom w:val="0"/>
          <w:divBdr>
            <w:top w:val="none" w:sz="0" w:space="0" w:color="auto"/>
            <w:left w:val="none" w:sz="0" w:space="0" w:color="auto"/>
            <w:bottom w:val="none" w:sz="0" w:space="0" w:color="auto"/>
            <w:right w:val="none" w:sz="0" w:space="0" w:color="auto"/>
          </w:divBdr>
        </w:div>
        <w:div w:id="2063752259">
          <w:marLeft w:val="0"/>
          <w:marRight w:val="0"/>
          <w:marTop w:val="0"/>
          <w:marBottom w:val="0"/>
          <w:divBdr>
            <w:top w:val="none" w:sz="0" w:space="0" w:color="auto"/>
            <w:left w:val="none" w:sz="0" w:space="0" w:color="auto"/>
            <w:bottom w:val="none" w:sz="0" w:space="0" w:color="auto"/>
            <w:right w:val="none" w:sz="0" w:space="0" w:color="auto"/>
          </w:divBdr>
        </w:div>
        <w:div w:id="263390446">
          <w:marLeft w:val="0"/>
          <w:marRight w:val="0"/>
          <w:marTop w:val="0"/>
          <w:marBottom w:val="0"/>
          <w:divBdr>
            <w:top w:val="none" w:sz="0" w:space="0" w:color="auto"/>
            <w:left w:val="none" w:sz="0" w:space="0" w:color="auto"/>
            <w:bottom w:val="none" w:sz="0" w:space="0" w:color="auto"/>
            <w:right w:val="none" w:sz="0" w:space="0" w:color="auto"/>
          </w:divBdr>
        </w:div>
        <w:div w:id="389497165">
          <w:marLeft w:val="0"/>
          <w:marRight w:val="0"/>
          <w:marTop w:val="0"/>
          <w:marBottom w:val="0"/>
          <w:divBdr>
            <w:top w:val="none" w:sz="0" w:space="0" w:color="auto"/>
            <w:left w:val="none" w:sz="0" w:space="0" w:color="auto"/>
            <w:bottom w:val="none" w:sz="0" w:space="0" w:color="auto"/>
            <w:right w:val="none" w:sz="0" w:space="0" w:color="auto"/>
          </w:divBdr>
        </w:div>
        <w:div w:id="949821113">
          <w:marLeft w:val="0"/>
          <w:marRight w:val="0"/>
          <w:marTop w:val="0"/>
          <w:marBottom w:val="0"/>
          <w:divBdr>
            <w:top w:val="none" w:sz="0" w:space="0" w:color="auto"/>
            <w:left w:val="none" w:sz="0" w:space="0" w:color="auto"/>
            <w:bottom w:val="none" w:sz="0" w:space="0" w:color="auto"/>
            <w:right w:val="none" w:sz="0" w:space="0" w:color="auto"/>
          </w:divBdr>
        </w:div>
        <w:div w:id="1065687075">
          <w:marLeft w:val="0"/>
          <w:marRight w:val="0"/>
          <w:marTop w:val="0"/>
          <w:marBottom w:val="0"/>
          <w:divBdr>
            <w:top w:val="none" w:sz="0" w:space="0" w:color="auto"/>
            <w:left w:val="none" w:sz="0" w:space="0" w:color="auto"/>
            <w:bottom w:val="none" w:sz="0" w:space="0" w:color="auto"/>
            <w:right w:val="none" w:sz="0" w:space="0" w:color="auto"/>
          </w:divBdr>
        </w:div>
        <w:div w:id="122970172">
          <w:marLeft w:val="0"/>
          <w:marRight w:val="0"/>
          <w:marTop w:val="0"/>
          <w:marBottom w:val="0"/>
          <w:divBdr>
            <w:top w:val="none" w:sz="0" w:space="0" w:color="auto"/>
            <w:left w:val="none" w:sz="0" w:space="0" w:color="auto"/>
            <w:bottom w:val="none" w:sz="0" w:space="0" w:color="auto"/>
            <w:right w:val="none" w:sz="0" w:space="0" w:color="auto"/>
          </w:divBdr>
        </w:div>
        <w:div w:id="277418949">
          <w:marLeft w:val="0"/>
          <w:marRight w:val="0"/>
          <w:marTop w:val="0"/>
          <w:marBottom w:val="0"/>
          <w:divBdr>
            <w:top w:val="none" w:sz="0" w:space="0" w:color="auto"/>
            <w:left w:val="none" w:sz="0" w:space="0" w:color="auto"/>
            <w:bottom w:val="none" w:sz="0" w:space="0" w:color="auto"/>
            <w:right w:val="none" w:sz="0" w:space="0" w:color="auto"/>
          </w:divBdr>
        </w:div>
        <w:div w:id="1757093129">
          <w:marLeft w:val="0"/>
          <w:marRight w:val="0"/>
          <w:marTop w:val="0"/>
          <w:marBottom w:val="0"/>
          <w:divBdr>
            <w:top w:val="none" w:sz="0" w:space="0" w:color="auto"/>
            <w:left w:val="none" w:sz="0" w:space="0" w:color="auto"/>
            <w:bottom w:val="none" w:sz="0" w:space="0" w:color="auto"/>
            <w:right w:val="none" w:sz="0" w:space="0" w:color="auto"/>
          </w:divBdr>
        </w:div>
        <w:div w:id="2080594376">
          <w:marLeft w:val="0"/>
          <w:marRight w:val="0"/>
          <w:marTop w:val="0"/>
          <w:marBottom w:val="0"/>
          <w:divBdr>
            <w:top w:val="none" w:sz="0" w:space="0" w:color="auto"/>
            <w:left w:val="none" w:sz="0" w:space="0" w:color="auto"/>
            <w:bottom w:val="none" w:sz="0" w:space="0" w:color="auto"/>
            <w:right w:val="none" w:sz="0" w:space="0" w:color="auto"/>
          </w:divBdr>
        </w:div>
        <w:div w:id="1729647690">
          <w:marLeft w:val="0"/>
          <w:marRight w:val="0"/>
          <w:marTop w:val="0"/>
          <w:marBottom w:val="0"/>
          <w:divBdr>
            <w:top w:val="none" w:sz="0" w:space="0" w:color="auto"/>
            <w:left w:val="none" w:sz="0" w:space="0" w:color="auto"/>
            <w:bottom w:val="none" w:sz="0" w:space="0" w:color="auto"/>
            <w:right w:val="none" w:sz="0" w:space="0" w:color="auto"/>
          </w:divBdr>
        </w:div>
        <w:div w:id="1253006023">
          <w:marLeft w:val="0"/>
          <w:marRight w:val="0"/>
          <w:marTop w:val="0"/>
          <w:marBottom w:val="0"/>
          <w:divBdr>
            <w:top w:val="none" w:sz="0" w:space="0" w:color="auto"/>
            <w:left w:val="none" w:sz="0" w:space="0" w:color="auto"/>
            <w:bottom w:val="none" w:sz="0" w:space="0" w:color="auto"/>
            <w:right w:val="none" w:sz="0" w:space="0" w:color="auto"/>
          </w:divBdr>
        </w:div>
        <w:div w:id="364451137">
          <w:marLeft w:val="0"/>
          <w:marRight w:val="0"/>
          <w:marTop w:val="0"/>
          <w:marBottom w:val="0"/>
          <w:divBdr>
            <w:top w:val="none" w:sz="0" w:space="0" w:color="auto"/>
            <w:left w:val="none" w:sz="0" w:space="0" w:color="auto"/>
            <w:bottom w:val="none" w:sz="0" w:space="0" w:color="auto"/>
            <w:right w:val="none" w:sz="0" w:space="0" w:color="auto"/>
          </w:divBdr>
        </w:div>
        <w:div w:id="1590574922">
          <w:marLeft w:val="0"/>
          <w:marRight w:val="0"/>
          <w:marTop w:val="0"/>
          <w:marBottom w:val="0"/>
          <w:divBdr>
            <w:top w:val="none" w:sz="0" w:space="0" w:color="auto"/>
            <w:left w:val="none" w:sz="0" w:space="0" w:color="auto"/>
            <w:bottom w:val="none" w:sz="0" w:space="0" w:color="auto"/>
            <w:right w:val="none" w:sz="0" w:space="0" w:color="auto"/>
          </w:divBdr>
        </w:div>
        <w:div w:id="282854732">
          <w:marLeft w:val="0"/>
          <w:marRight w:val="0"/>
          <w:marTop w:val="0"/>
          <w:marBottom w:val="0"/>
          <w:divBdr>
            <w:top w:val="none" w:sz="0" w:space="0" w:color="auto"/>
            <w:left w:val="none" w:sz="0" w:space="0" w:color="auto"/>
            <w:bottom w:val="none" w:sz="0" w:space="0" w:color="auto"/>
            <w:right w:val="none" w:sz="0" w:space="0" w:color="auto"/>
          </w:divBdr>
        </w:div>
        <w:div w:id="1195996421">
          <w:marLeft w:val="0"/>
          <w:marRight w:val="0"/>
          <w:marTop w:val="0"/>
          <w:marBottom w:val="0"/>
          <w:divBdr>
            <w:top w:val="none" w:sz="0" w:space="0" w:color="auto"/>
            <w:left w:val="none" w:sz="0" w:space="0" w:color="auto"/>
            <w:bottom w:val="none" w:sz="0" w:space="0" w:color="auto"/>
            <w:right w:val="none" w:sz="0" w:space="0" w:color="auto"/>
          </w:divBdr>
        </w:div>
        <w:div w:id="1558514284">
          <w:marLeft w:val="0"/>
          <w:marRight w:val="0"/>
          <w:marTop w:val="0"/>
          <w:marBottom w:val="0"/>
          <w:divBdr>
            <w:top w:val="none" w:sz="0" w:space="0" w:color="auto"/>
            <w:left w:val="none" w:sz="0" w:space="0" w:color="auto"/>
            <w:bottom w:val="none" w:sz="0" w:space="0" w:color="auto"/>
            <w:right w:val="none" w:sz="0" w:space="0" w:color="auto"/>
          </w:divBdr>
        </w:div>
        <w:div w:id="1442646927">
          <w:marLeft w:val="0"/>
          <w:marRight w:val="0"/>
          <w:marTop w:val="0"/>
          <w:marBottom w:val="0"/>
          <w:divBdr>
            <w:top w:val="none" w:sz="0" w:space="0" w:color="auto"/>
            <w:left w:val="none" w:sz="0" w:space="0" w:color="auto"/>
            <w:bottom w:val="none" w:sz="0" w:space="0" w:color="auto"/>
            <w:right w:val="none" w:sz="0" w:space="0" w:color="auto"/>
          </w:divBdr>
        </w:div>
        <w:div w:id="151987132">
          <w:marLeft w:val="0"/>
          <w:marRight w:val="0"/>
          <w:marTop w:val="0"/>
          <w:marBottom w:val="0"/>
          <w:divBdr>
            <w:top w:val="none" w:sz="0" w:space="0" w:color="auto"/>
            <w:left w:val="none" w:sz="0" w:space="0" w:color="auto"/>
            <w:bottom w:val="none" w:sz="0" w:space="0" w:color="auto"/>
            <w:right w:val="none" w:sz="0" w:space="0" w:color="auto"/>
          </w:divBdr>
        </w:div>
        <w:div w:id="1831826703">
          <w:marLeft w:val="0"/>
          <w:marRight w:val="0"/>
          <w:marTop w:val="0"/>
          <w:marBottom w:val="0"/>
          <w:divBdr>
            <w:top w:val="none" w:sz="0" w:space="0" w:color="auto"/>
            <w:left w:val="none" w:sz="0" w:space="0" w:color="auto"/>
            <w:bottom w:val="none" w:sz="0" w:space="0" w:color="auto"/>
            <w:right w:val="none" w:sz="0" w:space="0" w:color="auto"/>
          </w:divBdr>
        </w:div>
        <w:div w:id="2072263784">
          <w:marLeft w:val="0"/>
          <w:marRight w:val="0"/>
          <w:marTop w:val="0"/>
          <w:marBottom w:val="0"/>
          <w:divBdr>
            <w:top w:val="none" w:sz="0" w:space="0" w:color="auto"/>
            <w:left w:val="none" w:sz="0" w:space="0" w:color="auto"/>
            <w:bottom w:val="none" w:sz="0" w:space="0" w:color="auto"/>
            <w:right w:val="none" w:sz="0" w:space="0" w:color="auto"/>
          </w:divBdr>
        </w:div>
        <w:div w:id="1899854452">
          <w:marLeft w:val="0"/>
          <w:marRight w:val="0"/>
          <w:marTop w:val="0"/>
          <w:marBottom w:val="0"/>
          <w:divBdr>
            <w:top w:val="none" w:sz="0" w:space="0" w:color="auto"/>
            <w:left w:val="none" w:sz="0" w:space="0" w:color="auto"/>
            <w:bottom w:val="none" w:sz="0" w:space="0" w:color="auto"/>
            <w:right w:val="none" w:sz="0" w:space="0" w:color="auto"/>
          </w:divBdr>
        </w:div>
        <w:div w:id="1673797740">
          <w:marLeft w:val="0"/>
          <w:marRight w:val="0"/>
          <w:marTop w:val="0"/>
          <w:marBottom w:val="0"/>
          <w:divBdr>
            <w:top w:val="none" w:sz="0" w:space="0" w:color="auto"/>
            <w:left w:val="none" w:sz="0" w:space="0" w:color="auto"/>
            <w:bottom w:val="none" w:sz="0" w:space="0" w:color="auto"/>
            <w:right w:val="none" w:sz="0" w:space="0" w:color="auto"/>
          </w:divBdr>
        </w:div>
        <w:div w:id="1573155956">
          <w:marLeft w:val="0"/>
          <w:marRight w:val="0"/>
          <w:marTop w:val="0"/>
          <w:marBottom w:val="0"/>
          <w:divBdr>
            <w:top w:val="none" w:sz="0" w:space="0" w:color="auto"/>
            <w:left w:val="none" w:sz="0" w:space="0" w:color="auto"/>
            <w:bottom w:val="none" w:sz="0" w:space="0" w:color="auto"/>
            <w:right w:val="none" w:sz="0" w:space="0" w:color="auto"/>
          </w:divBdr>
        </w:div>
        <w:div w:id="775245915">
          <w:marLeft w:val="0"/>
          <w:marRight w:val="0"/>
          <w:marTop w:val="0"/>
          <w:marBottom w:val="0"/>
          <w:divBdr>
            <w:top w:val="none" w:sz="0" w:space="0" w:color="auto"/>
            <w:left w:val="none" w:sz="0" w:space="0" w:color="auto"/>
            <w:bottom w:val="none" w:sz="0" w:space="0" w:color="auto"/>
            <w:right w:val="none" w:sz="0" w:space="0" w:color="auto"/>
          </w:divBdr>
        </w:div>
        <w:div w:id="1206992018">
          <w:marLeft w:val="0"/>
          <w:marRight w:val="0"/>
          <w:marTop w:val="0"/>
          <w:marBottom w:val="0"/>
          <w:divBdr>
            <w:top w:val="none" w:sz="0" w:space="0" w:color="auto"/>
            <w:left w:val="none" w:sz="0" w:space="0" w:color="auto"/>
            <w:bottom w:val="none" w:sz="0" w:space="0" w:color="auto"/>
            <w:right w:val="none" w:sz="0" w:space="0" w:color="auto"/>
          </w:divBdr>
        </w:div>
        <w:div w:id="1223179631">
          <w:marLeft w:val="0"/>
          <w:marRight w:val="0"/>
          <w:marTop w:val="0"/>
          <w:marBottom w:val="0"/>
          <w:divBdr>
            <w:top w:val="none" w:sz="0" w:space="0" w:color="auto"/>
            <w:left w:val="none" w:sz="0" w:space="0" w:color="auto"/>
            <w:bottom w:val="none" w:sz="0" w:space="0" w:color="auto"/>
            <w:right w:val="none" w:sz="0" w:space="0" w:color="auto"/>
          </w:divBdr>
        </w:div>
        <w:div w:id="1602181990">
          <w:marLeft w:val="0"/>
          <w:marRight w:val="0"/>
          <w:marTop w:val="0"/>
          <w:marBottom w:val="0"/>
          <w:divBdr>
            <w:top w:val="none" w:sz="0" w:space="0" w:color="auto"/>
            <w:left w:val="none" w:sz="0" w:space="0" w:color="auto"/>
            <w:bottom w:val="none" w:sz="0" w:space="0" w:color="auto"/>
            <w:right w:val="none" w:sz="0" w:space="0" w:color="auto"/>
          </w:divBdr>
        </w:div>
        <w:div w:id="1816296142">
          <w:marLeft w:val="0"/>
          <w:marRight w:val="0"/>
          <w:marTop w:val="0"/>
          <w:marBottom w:val="0"/>
          <w:divBdr>
            <w:top w:val="none" w:sz="0" w:space="0" w:color="auto"/>
            <w:left w:val="none" w:sz="0" w:space="0" w:color="auto"/>
            <w:bottom w:val="none" w:sz="0" w:space="0" w:color="auto"/>
            <w:right w:val="none" w:sz="0" w:space="0" w:color="auto"/>
          </w:divBdr>
        </w:div>
        <w:div w:id="1458640107">
          <w:marLeft w:val="0"/>
          <w:marRight w:val="0"/>
          <w:marTop w:val="0"/>
          <w:marBottom w:val="0"/>
          <w:divBdr>
            <w:top w:val="none" w:sz="0" w:space="0" w:color="auto"/>
            <w:left w:val="none" w:sz="0" w:space="0" w:color="auto"/>
            <w:bottom w:val="none" w:sz="0" w:space="0" w:color="auto"/>
            <w:right w:val="none" w:sz="0" w:space="0" w:color="auto"/>
          </w:divBdr>
        </w:div>
        <w:div w:id="1997492706">
          <w:marLeft w:val="0"/>
          <w:marRight w:val="0"/>
          <w:marTop w:val="0"/>
          <w:marBottom w:val="0"/>
          <w:divBdr>
            <w:top w:val="none" w:sz="0" w:space="0" w:color="auto"/>
            <w:left w:val="none" w:sz="0" w:space="0" w:color="auto"/>
            <w:bottom w:val="none" w:sz="0" w:space="0" w:color="auto"/>
            <w:right w:val="none" w:sz="0" w:space="0" w:color="auto"/>
          </w:divBdr>
        </w:div>
        <w:div w:id="2059737338">
          <w:marLeft w:val="0"/>
          <w:marRight w:val="0"/>
          <w:marTop w:val="0"/>
          <w:marBottom w:val="0"/>
          <w:divBdr>
            <w:top w:val="none" w:sz="0" w:space="0" w:color="auto"/>
            <w:left w:val="none" w:sz="0" w:space="0" w:color="auto"/>
            <w:bottom w:val="none" w:sz="0" w:space="0" w:color="auto"/>
            <w:right w:val="none" w:sz="0" w:space="0" w:color="auto"/>
          </w:divBdr>
        </w:div>
        <w:div w:id="810564716">
          <w:marLeft w:val="0"/>
          <w:marRight w:val="0"/>
          <w:marTop w:val="0"/>
          <w:marBottom w:val="0"/>
          <w:divBdr>
            <w:top w:val="none" w:sz="0" w:space="0" w:color="auto"/>
            <w:left w:val="none" w:sz="0" w:space="0" w:color="auto"/>
            <w:bottom w:val="none" w:sz="0" w:space="0" w:color="auto"/>
            <w:right w:val="none" w:sz="0" w:space="0" w:color="auto"/>
          </w:divBdr>
        </w:div>
        <w:div w:id="661393086">
          <w:marLeft w:val="0"/>
          <w:marRight w:val="0"/>
          <w:marTop w:val="0"/>
          <w:marBottom w:val="0"/>
          <w:divBdr>
            <w:top w:val="none" w:sz="0" w:space="0" w:color="auto"/>
            <w:left w:val="none" w:sz="0" w:space="0" w:color="auto"/>
            <w:bottom w:val="none" w:sz="0" w:space="0" w:color="auto"/>
            <w:right w:val="none" w:sz="0" w:space="0" w:color="auto"/>
          </w:divBdr>
        </w:div>
        <w:div w:id="239994086">
          <w:marLeft w:val="0"/>
          <w:marRight w:val="0"/>
          <w:marTop w:val="0"/>
          <w:marBottom w:val="0"/>
          <w:divBdr>
            <w:top w:val="none" w:sz="0" w:space="0" w:color="auto"/>
            <w:left w:val="none" w:sz="0" w:space="0" w:color="auto"/>
            <w:bottom w:val="none" w:sz="0" w:space="0" w:color="auto"/>
            <w:right w:val="none" w:sz="0" w:space="0" w:color="auto"/>
          </w:divBdr>
        </w:div>
        <w:div w:id="2011058058">
          <w:marLeft w:val="0"/>
          <w:marRight w:val="0"/>
          <w:marTop w:val="0"/>
          <w:marBottom w:val="0"/>
          <w:divBdr>
            <w:top w:val="none" w:sz="0" w:space="0" w:color="auto"/>
            <w:left w:val="none" w:sz="0" w:space="0" w:color="auto"/>
            <w:bottom w:val="none" w:sz="0" w:space="0" w:color="auto"/>
            <w:right w:val="none" w:sz="0" w:space="0" w:color="auto"/>
          </w:divBdr>
        </w:div>
        <w:div w:id="1868372063">
          <w:marLeft w:val="0"/>
          <w:marRight w:val="0"/>
          <w:marTop w:val="0"/>
          <w:marBottom w:val="0"/>
          <w:divBdr>
            <w:top w:val="none" w:sz="0" w:space="0" w:color="auto"/>
            <w:left w:val="none" w:sz="0" w:space="0" w:color="auto"/>
            <w:bottom w:val="none" w:sz="0" w:space="0" w:color="auto"/>
            <w:right w:val="none" w:sz="0" w:space="0" w:color="auto"/>
          </w:divBdr>
        </w:div>
        <w:div w:id="65422683">
          <w:marLeft w:val="0"/>
          <w:marRight w:val="0"/>
          <w:marTop w:val="0"/>
          <w:marBottom w:val="0"/>
          <w:divBdr>
            <w:top w:val="none" w:sz="0" w:space="0" w:color="auto"/>
            <w:left w:val="none" w:sz="0" w:space="0" w:color="auto"/>
            <w:bottom w:val="none" w:sz="0" w:space="0" w:color="auto"/>
            <w:right w:val="none" w:sz="0" w:space="0" w:color="auto"/>
          </w:divBdr>
        </w:div>
        <w:div w:id="1125388372">
          <w:marLeft w:val="0"/>
          <w:marRight w:val="0"/>
          <w:marTop w:val="0"/>
          <w:marBottom w:val="0"/>
          <w:divBdr>
            <w:top w:val="none" w:sz="0" w:space="0" w:color="auto"/>
            <w:left w:val="none" w:sz="0" w:space="0" w:color="auto"/>
            <w:bottom w:val="none" w:sz="0" w:space="0" w:color="auto"/>
            <w:right w:val="none" w:sz="0" w:space="0" w:color="auto"/>
          </w:divBdr>
        </w:div>
        <w:div w:id="1873303833">
          <w:marLeft w:val="0"/>
          <w:marRight w:val="0"/>
          <w:marTop w:val="0"/>
          <w:marBottom w:val="0"/>
          <w:divBdr>
            <w:top w:val="none" w:sz="0" w:space="0" w:color="auto"/>
            <w:left w:val="none" w:sz="0" w:space="0" w:color="auto"/>
            <w:bottom w:val="none" w:sz="0" w:space="0" w:color="auto"/>
            <w:right w:val="none" w:sz="0" w:space="0" w:color="auto"/>
          </w:divBdr>
        </w:div>
        <w:div w:id="1119690627">
          <w:marLeft w:val="0"/>
          <w:marRight w:val="0"/>
          <w:marTop w:val="0"/>
          <w:marBottom w:val="0"/>
          <w:divBdr>
            <w:top w:val="none" w:sz="0" w:space="0" w:color="auto"/>
            <w:left w:val="none" w:sz="0" w:space="0" w:color="auto"/>
            <w:bottom w:val="none" w:sz="0" w:space="0" w:color="auto"/>
            <w:right w:val="none" w:sz="0" w:space="0" w:color="auto"/>
          </w:divBdr>
        </w:div>
        <w:div w:id="2033217266">
          <w:marLeft w:val="0"/>
          <w:marRight w:val="0"/>
          <w:marTop w:val="0"/>
          <w:marBottom w:val="0"/>
          <w:divBdr>
            <w:top w:val="none" w:sz="0" w:space="0" w:color="auto"/>
            <w:left w:val="none" w:sz="0" w:space="0" w:color="auto"/>
            <w:bottom w:val="none" w:sz="0" w:space="0" w:color="auto"/>
            <w:right w:val="none" w:sz="0" w:space="0" w:color="auto"/>
          </w:divBdr>
        </w:div>
        <w:div w:id="1529677599">
          <w:marLeft w:val="0"/>
          <w:marRight w:val="0"/>
          <w:marTop w:val="0"/>
          <w:marBottom w:val="0"/>
          <w:divBdr>
            <w:top w:val="none" w:sz="0" w:space="0" w:color="auto"/>
            <w:left w:val="none" w:sz="0" w:space="0" w:color="auto"/>
            <w:bottom w:val="none" w:sz="0" w:space="0" w:color="auto"/>
            <w:right w:val="none" w:sz="0" w:space="0" w:color="auto"/>
          </w:divBdr>
        </w:div>
        <w:div w:id="1198085482">
          <w:marLeft w:val="0"/>
          <w:marRight w:val="0"/>
          <w:marTop w:val="0"/>
          <w:marBottom w:val="0"/>
          <w:divBdr>
            <w:top w:val="none" w:sz="0" w:space="0" w:color="auto"/>
            <w:left w:val="none" w:sz="0" w:space="0" w:color="auto"/>
            <w:bottom w:val="none" w:sz="0" w:space="0" w:color="auto"/>
            <w:right w:val="none" w:sz="0" w:space="0" w:color="auto"/>
          </w:divBdr>
        </w:div>
        <w:div w:id="1395157950">
          <w:marLeft w:val="0"/>
          <w:marRight w:val="0"/>
          <w:marTop w:val="0"/>
          <w:marBottom w:val="0"/>
          <w:divBdr>
            <w:top w:val="none" w:sz="0" w:space="0" w:color="auto"/>
            <w:left w:val="none" w:sz="0" w:space="0" w:color="auto"/>
            <w:bottom w:val="none" w:sz="0" w:space="0" w:color="auto"/>
            <w:right w:val="none" w:sz="0" w:space="0" w:color="auto"/>
          </w:divBdr>
        </w:div>
        <w:div w:id="250552829">
          <w:marLeft w:val="0"/>
          <w:marRight w:val="0"/>
          <w:marTop w:val="0"/>
          <w:marBottom w:val="0"/>
          <w:divBdr>
            <w:top w:val="none" w:sz="0" w:space="0" w:color="auto"/>
            <w:left w:val="none" w:sz="0" w:space="0" w:color="auto"/>
            <w:bottom w:val="none" w:sz="0" w:space="0" w:color="auto"/>
            <w:right w:val="none" w:sz="0" w:space="0" w:color="auto"/>
          </w:divBdr>
        </w:div>
        <w:div w:id="29694209">
          <w:marLeft w:val="0"/>
          <w:marRight w:val="0"/>
          <w:marTop w:val="0"/>
          <w:marBottom w:val="0"/>
          <w:divBdr>
            <w:top w:val="none" w:sz="0" w:space="0" w:color="auto"/>
            <w:left w:val="none" w:sz="0" w:space="0" w:color="auto"/>
            <w:bottom w:val="none" w:sz="0" w:space="0" w:color="auto"/>
            <w:right w:val="none" w:sz="0" w:space="0" w:color="auto"/>
          </w:divBdr>
        </w:div>
        <w:div w:id="1500920974">
          <w:marLeft w:val="0"/>
          <w:marRight w:val="0"/>
          <w:marTop w:val="0"/>
          <w:marBottom w:val="0"/>
          <w:divBdr>
            <w:top w:val="none" w:sz="0" w:space="0" w:color="auto"/>
            <w:left w:val="none" w:sz="0" w:space="0" w:color="auto"/>
            <w:bottom w:val="none" w:sz="0" w:space="0" w:color="auto"/>
            <w:right w:val="none" w:sz="0" w:space="0" w:color="auto"/>
          </w:divBdr>
        </w:div>
        <w:div w:id="761804438">
          <w:marLeft w:val="0"/>
          <w:marRight w:val="0"/>
          <w:marTop w:val="0"/>
          <w:marBottom w:val="0"/>
          <w:divBdr>
            <w:top w:val="none" w:sz="0" w:space="0" w:color="auto"/>
            <w:left w:val="none" w:sz="0" w:space="0" w:color="auto"/>
            <w:bottom w:val="none" w:sz="0" w:space="0" w:color="auto"/>
            <w:right w:val="none" w:sz="0" w:space="0" w:color="auto"/>
          </w:divBdr>
        </w:div>
        <w:div w:id="889077027">
          <w:marLeft w:val="0"/>
          <w:marRight w:val="0"/>
          <w:marTop w:val="0"/>
          <w:marBottom w:val="0"/>
          <w:divBdr>
            <w:top w:val="none" w:sz="0" w:space="0" w:color="auto"/>
            <w:left w:val="none" w:sz="0" w:space="0" w:color="auto"/>
            <w:bottom w:val="none" w:sz="0" w:space="0" w:color="auto"/>
            <w:right w:val="none" w:sz="0" w:space="0" w:color="auto"/>
          </w:divBdr>
        </w:div>
        <w:div w:id="2005551122">
          <w:marLeft w:val="0"/>
          <w:marRight w:val="0"/>
          <w:marTop w:val="0"/>
          <w:marBottom w:val="0"/>
          <w:divBdr>
            <w:top w:val="none" w:sz="0" w:space="0" w:color="auto"/>
            <w:left w:val="none" w:sz="0" w:space="0" w:color="auto"/>
            <w:bottom w:val="none" w:sz="0" w:space="0" w:color="auto"/>
            <w:right w:val="none" w:sz="0" w:space="0" w:color="auto"/>
          </w:divBdr>
        </w:div>
        <w:div w:id="30694971">
          <w:marLeft w:val="0"/>
          <w:marRight w:val="0"/>
          <w:marTop w:val="0"/>
          <w:marBottom w:val="0"/>
          <w:divBdr>
            <w:top w:val="none" w:sz="0" w:space="0" w:color="auto"/>
            <w:left w:val="none" w:sz="0" w:space="0" w:color="auto"/>
            <w:bottom w:val="none" w:sz="0" w:space="0" w:color="auto"/>
            <w:right w:val="none" w:sz="0" w:space="0" w:color="auto"/>
          </w:divBdr>
        </w:div>
        <w:div w:id="782380201">
          <w:marLeft w:val="0"/>
          <w:marRight w:val="0"/>
          <w:marTop w:val="0"/>
          <w:marBottom w:val="0"/>
          <w:divBdr>
            <w:top w:val="none" w:sz="0" w:space="0" w:color="auto"/>
            <w:left w:val="none" w:sz="0" w:space="0" w:color="auto"/>
            <w:bottom w:val="none" w:sz="0" w:space="0" w:color="auto"/>
            <w:right w:val="none" w:sz="0" w:space="0" w:color="auto"/>
          </w:divBdr>
        </w:div>
        <w:div w:id="1866480950">
          <w:marLeft w:val="0"/>
          <w:marRight w:val="0"/>
          <w:marTop w:val="0"/>
          <w:marBottom w:val="0"/>
          <w:divBdr>
            <w:top w:val="none" w:sz="0" w:space="0" w:color="auto"/>
            <w:left w:val="none" w:sz="0" w:space="0" w:color="auto"/>
            <w:bottom w:val="none" w:sz="0" w:space="0" w:color="auto"/>
            <w:right w:val="none" w:sz="0" w:space="0" w:color="auto"/>
          </w:divBdr>
        </w:div>
        <w:div w:id="1375816146">
          <w:marLeft w:val="0"/>
          <w:marRight w:val="0"/>
          <w:marTop w:val="0"/>
          <w:marBottom w:val="0"/>
          <w:divBdr>
            <w:top w:val="none" w:sz="0" w:space="0" w:color="auto"/>
            <w:left w:val="none" w:sz="0" w:space="0" w:color="auto"/>
            <w:bottom w:val="none" w:sz="0" w:space="0" w:color="auto"/>
            <w:right w:val="none" w:sz="0" w:space="0" w:color="auto"/>
          </w:divBdr>
        </w:div>
        <w:div w:id="516193027">
          <w:marLeft w:val="0"/>
          <w:marRight w:val="0"/>
          <w:marTop w:val="0"/>
          <w:marBottom w:val="0"/>
          <w:divBdr>
            <w:top w:val="none" w:sz="0" w:space="0" w:color="auto"/>
            <w:left w:val="none" w:sz="0" w:space="0" w:color="auto"/>
            <w:bottom w:val="none" w:sz="0" w:space="0" w:color="auto"/>
            <w:right w:val="none" w:sz="0" w:space="0" w:color="auto"/>
          </w:divBdr>
        </w:div>
        <w:div w:id="1120147309">
          <w:marLeft w:val="0"/>
          <w:marRight w:val="0"/>
          <w:marTop w:val="0"/>
          <w:marBottom w:val="0"/>
          <w:divBdr>
            <w:top w:val="none" w:sz="0" w:space="0" w:color="auto"/>
            <w:left w:val="none" w:sz="0" w:space="0" w:color="auto"/>
            <w:bottom w:val="none" w:sz="0" w:space="0" w:color="auto"/>
            <w:right w:val="none" w:sz="0" w:space="0" w:color="auto"/>
          </w:divBdr>
        </w:div>
        <w:div w:id="849223088">
          <w:marLeft w:val="0"/>
          <w:marRight w:val="0"/>
          <w:marTop w:val="0"/>
          <w:marBottom w:val="0"/>
          <w:divBdr>
            <w:top w:val="none" w:sz="0" w:space="0" w:color="auto"/>
            <w:left w:val="none" w:sz="0" w:space="0" w:color="auto"/>
            <w:bottom w:val="none" w:sz="0" w:space="0" w:color="auto"/>
            <w:right w:val="none" w:sz="0" w:space="0" w:color="auto"/>
          </w:divBdr>
        </w:div>
        <w:div w:id="2034526502">
          <w:marLeft w:val="0"/>
          <w:marRight w:val="0"/>
          <w:marTop w:val="0"/>
          <w:marBottom w:val="0"/>
          <w:divBdr>
            <w:top w:val="none" w:sz="0" w:space="0" w:color="auto"/>
            <w:left w:val="none" w:sz="0" w:space="0" w:color="auto"/>
            <w:bottom w:val="none" w:sz="0" w:space="0" w:color="auto"/>
            <w:right w:val="none" w:sz="0" w:space="0" w:color="auto"/>
          </w:divBdr>
        </w:div>
        <w:div w:id="2088765946">
          <w:marLeft w:val="0"/>
          <w:marRight w:val="0"/>
          <w:marTop w:val="0"/>
          <w:marBottom w:val="0"/>
          <w:divBdr>
            <w:top w:val="none" w:sz="0" w:space="0" w:color="auto"/>
            <w:left w:val="none" w:sz="0" w:space="0" w:color="auto"/>
            <w:bottom w:val="none" w:sz="0" w:space="0" w:color="auto"/>
            <w:right w:val="none" w:sz="0" w:space="0" w:color="auto"/>
          </w:divBdr>
        </w:div>
        <w:div w:id="921337229">
          <w:marLeft w:val="0"/>
          <w:marRight w:val="0"/>
          <w:marTop w:val="0"/>
          <w:marBottom w:val="0"/>
          <w:divBdr>
            <w:top w:val="none" w:sz="0" w:space="0" w:color="auto"/>
            <w:left w:val="none" w:sz="0" w:space="0" w:color="auto"/>
            <w:bottom w:val="none" w:sz="0" w:space="0" w:color="auto"/>
            <w:right w:val="none" w:sz="0" w:space="0" w:color="auto"/>
          </w:divBdr>
        </w:div>
        <w:div w:id="1052537997">
          <w:marLeft w:val="0"/>
          <w:marRight w:val="0"/>
          <w:marTop w:val="0"/>
          <w:marBottom w:val="0"/>
          <w:divBdr>
            <w:top w:val="none" w:sz="0" w:space="0" w:color="auto"/>
            <w:left w:val="none" w:sz="0" w:space="0" w:color="auto"/>
            <w:bottom w:val="none" w:sz="0" w:space="0" w:color="auto"/>
            <w:right w:val="none" w:sz="0" w:space="0" w:color="auto"/>
          </w:divBdr>
        </w:div>
        <w:div w:id="1976719758">
          <w:marLeft w:val="0"/>
          <w:marRight w:val="0"/>
          <w:marTop w:val="0"/>
          <w:marBottom w:val="0"/>
          <w:divBdr>
            <w:top w:val="none" w:sz="0" w:space="0" w:color="auto"/>
            <w:left w:val="none" w:sz="0" w:space="0" w:color="auto"/>
            <w:bottom w:val="none" w:sz="0" w:space="0" w:color="auto"/>
            <w:right w:val="none" w:sz="0" w:space="0" w:color="auto"/>
          </w:divBdr>
        </w:div>
        <w:div w:id="794180237">
          <w:marLeft w:val="0"/>
          <w:marRight w:val="0"/>
          <w:marTop w:val="0"/>
          <w:marBottom w:val="0"/>
          <w:divBdr>
            <w:top w:val="none" w:sz="0" w:space="0" w:color="auto"/>
            <w:left w:val="none" w:sz="0" w:space="0" w:color="auto"/>
            <w:bottom w:val="none" w:sz="0" w:space="0" w:color="auto"/>
            <w:right w:val="none" w:sz="0" w:space="0" w:color="auto"/>
          </w:divBdr>
        </w:div>
        <w:div w:id="1311054453">
          <w:marLeft w:val="0"/>
          <w:marRight w:val="0"/>
          <w:marTop w:val="0"/>
          <w:marBottom w:val="0"/>
          <w:divBdr>
            <w:top w:val="none" w:sz="0" w:space="0" w:color="auto"/>
            <w:left w:val="none" w:sz="0" w:space="0" w:color="auto"/>
            <w:bottom w:val="none" w:sz="0" w:space="0" w:color="auto"/>
            <w:right w:val="none" w:sz="0" w:space="0" w:color="auto"/>
          </w:divBdr>
        </w:div>
        <w:div w:id="22246208">
          <w:marLeft w:val="0"/>
          <w:marRight w:val="0"/>
          <w:marTop w:val="0"/>
          <w:marBottom w:val="0"/>
          <w:divBdr>
            <w:top w:val="none" w:sz="0" w:space="0" w:color="auto"/>
            <w:left w:val="none" w:sz="0" w:space="0" w:color="auto"/>
            <w:bottom w:val="none" w:sz="0" w:space="0" w:color="auto"/>
            <w:right w:val="none" w:sz="0" w:space="0" w:color="auto"/>
          </w:divBdr>
        </w:div>
        <w:div w:id="2064399994">
          <w:marLeft w:val="0"/>
          <w:marRight w:val="0"/>
          <w:marTop w:val="0"/>
          <w:marBottom w:val="0"/>
          <w:divBdr>
            <w:top w:val="none" w:sz="0" w:space="0" w:color="auto"/>
            <w:left w:val="none" w:sz="0" w:space="0" w:color="auto"/>
            <w:bottom w:val="none" w:sz="0" w:space="0" w:color="auto"/>
            <w:right w:val="none" w:sz="0" w:space="0" w:color="auto"/>
          </w:divBdr>
        </w:div>
        <w:div w:id="1822959567">
          <w:marLeft w:val="0"/>
          <w:marRight w:val="0"/>
          <w:marTop w:val="0"/>
          <w:marBottom w:val="0"/>
          <w:divBdr>
            <w:top w:val="none" w:sz="0" w:space="0" w:color="auto"/>
            <w:left w:val="none" w:sz="0" w:space="0" w:color="auto"/>
            <w:bottom w:val="none" w:sz="0" w:space="0" w:color="auto"/>
            <w:right w:val="none" w:sz="0" w:space="0" w:color="auto"/>
          </w:divBdr>
        </w:div>
        <w:div w:id="1226064176">
          <w:marLeft w:val="0"/>
          <w:marRight w:val="0"/>
          <w:marTop w:val="0"/>
          <w:marBottom w:val="0"/>
          <w:divBdr>
            <w:top w:val="none" w:sz="0" w:space="0" w:color="auto"/>
            <w:left w:val="none" w:sz="0" w:space="0" w:color="auto"/>
            <w:bottom w:val="none" w:sz="0" w:space="0" w:color="auto"/>
            <w:right w:val="none" w:sz="0" w:space="0" w:color="auto"/>
          </w:divBdr>
        </w:div>
        <w:div w:id="1603956351">
          <w:marLeft w:val="0"/>
          <w:marRight w:val="0"/>
          <w:marTop w:val="0"/>
          <w:marBottom w:val="0"/>
          <w:divBdr>
            <w:top w:val="none" w:sz="0" w:space="0" w:color="auto"/>
            <w:left w:val="none" w:sz="0" w:space="0" w:color="auto"/>
            <w:bottom w:val="none" w:sz="0" w:space="0" w:color="auto"/>
            <w:right w:val="none" w:sz="0" w:space="0" w:color="auto"/>
          </w:divBdr>
        </w:div>
        <w:div w:id="509488100">
          <w:marLeft w:val="0"/>
          <w:marRight w:val="0"/>
          <w:marTop w:val="0"/>
          <w:marBottom w:val="0"/>
          <w:divBdr>
            <w:top w:val="none" w:sz="0" w:space="0" w:color="auto"/>
            <w:left w:val="none" w:sz="0" w:space="0" w:color="auto"/>
            <w:bottom w:val="none" w:sz="0" w:space="0" w:color="auto"/>
            <w:right w:val="none" w:sz="0" w:space="0" w:color="auto"/>
          </w:divBdr>
        </w:div>
        <w:div w:id="1378698311">
          <w:marLeft w:val="0"/>
          <w:marRight w:val="0"/>
          <w:marTop w:val="0"/>
          <w:marBottom w:val="0"/>
          <w:divBdr>
            <w:top w:val="none" w:sz="0" w:space="0" w:color="auto"/>
            <w:left w:val="none" w:sz="0" w:space="0" w:color="auto"/>
            <w:bottom w:val="none" w:sz="0" w:space="0" w:color="auto"/>
            <w:right w:val="none" w:sz="0" w:space="0" w:color="auto"/>
          </w:divBdr>
        </w:div>
        <w:div w:id="1813592858">
          <w:marLeft w:val="0"/>
          <w:marRight w:val="0"/>
          <w:marTop w:val="0"/>
          <w:marBottom w:val="0"/>
          <w:divBdr>
            <w:top w:val="none" w:sz="0" w:space="0" w:color="auto"/>
            <w:left w:val="none" w:sz="0" w:space="0" w:color="auto"/>
            <w:bottom w:val="none" w:sz="0" w:space="0" w:color="auto"/>
            <w:right w:val="none" w:sz="0" w:space="0" w:color="auto"/>
          </w:divBdr>
        </w:div>
        <w:div w:id="1946839157">
          <w:marLeft w:val="0"/>
          <w:marRight w:val="0"/>
          <w:marTop w:val="0"/>
          <w:marBottom w:val="0"/>
          <w:divBdr>
            <w:top w:val="none" w:sz="0" w:space="0" w:color="auto"/>
            <w:left w:val="none" w:sz="0" w:space="0" w:color="auto"/>
            <w:bottom w:val="none" w:sz="0" w:space="0" w:color="auto"/>
            <w:right w:val="none" w:sz="0" w:space="0" w:color="auto"/>
          </w:divBdr>
        </w:div>
        <w:div w:id="2062365795">
          <w:marLeft w:val="0"/>
          <w:marRight w:val="0"/>
          <w:marTop w:val="0"/>
          <w:marBottom w:val="0"/>
          <w:divBdr>
            <w:top w:val="none" w:sz="0" w:space="0" w:color="auto"/>
            <w:left w:val="none" w:sz="0" w:space="0" w:color="auto"/>
            <w:bottom w:val="none" w:sz="0" w:space="0" w:color="auto"/>
            <w:right w:val="none" w:sz="0" w:space="0" w:color="auto"/>
          </w:divBdr>
        </w:div>
        <w:div w:id="1616869280">
          <w:marLeft w:val="0"/>
          <w:marRight w:val="0"/>
          <w:marTop w:val="0"/>
          <w:marBottom w:val="0"/>
          <w:divBdr>
            <w:top w:val="none" w:sz="0" w:space="0" w:color="auto"/>
            <w:left w:val="none" w:sz="0" w:space="0" w:color="auto"/>
            <w:bottom w:val="none" w:sz="0" w:space="0" w:color="auto"/>
            <w:right w:val="none" w:sz="0" w:space="0" w:color="auto"/>
          </w:divBdr>
        </w:div>
        <w:div w:id="1513839763">
          <w:marLeft w:val="0"/>
          <w:marRight w:val="0"/>
          <w:marTop w:val="0"/>
          <w:marBottom w:val="0"/>
          <w:divBdr>
            <w:top w:val="none" w:sz="0" w:space="0" w:color="auto"/>
            <w:left w:val="none" w:sz="0" w:space="0" w:color="auto"/>
            <w:bottom w:val="none" w:sz="0" w:space="0" w:color="auto"/>
            <w:right w:val="none" w:sz="0" w:space="0" w:color="auto"/>
          </w:divBdr>
        </w:div>
        <w:div w:id="324600231">
          <w:marLeft w:val="0"/>
          <w:marRight w:val="0"/>
          <w:marTop w:val="0"/>
          <w:marBottom w:val="0"/>
          <w:divBdr>
            <w:top w:val="none" w:sz="0" w:space="0" w:color="auto"/>
            <w:left w:val="none" w:sz="0" w:space="0" w:color="auto"/>
            <w:bottom w:val="none" w:sz="0" w:space="0" w:color="auto"/>
            <w:right w:val="none" w:sz="0" w:space="0" w:color="auto"/>
          </w:divBdr>
        </w:div>
        <w:div w:id="2099520596">
          <w:marLeft w:val="0"/>
          <w:marRight w:val="0"/>
          <w:marTop w:val="0"/>
          <w:marBottom w:val="0"/>
          <w:divBdr>
            <w:top w:val="none" w:sz="0" w:space="0" w:color="auto"/>
            <w:left w:val="none" w:sz="0" w:space="0" w:color="auto"/>
            <w:bottom w:val="none" w:sz="0" w:space="0" w:color="auto"/>
            <w:right w:val="none" w:sz="0" w:space="0" w:color="auto"/>
          </w:divBdr>
        </w:div>
        <w:div w:id="1087655079">
          <w:marLeft w:val="0"/>
          <w:marRight w:val="0"/>
          <w:marTop w:val="0"/>
          <w:marBottom w:val="0"/>
          <w:divBdr>
            <w:top w:val="none" w:sz="0" w:space="0" w:color="auto"/>
            <w:left w:val="none" w:sz="0" w:space="0" w:color="auto"/>
            <w:bottom w:val="none" w:sz="0" w:space="0" w:color="auto"/>
            <w:right w:val="none" w:sz="0" w:space="0" w:color="auto"/>
          </w:divBdr>
        </w:div>
        <w:div w:id="1189373518">
          <w:marLeft w:val="0"/>
          <w:marRight w:val="0"/>
          <w:marTop w:val="0"/>
          <w:marBottom w:val="0"/>
          <w:divBdr>
            <w:top w:val="none" w:sz="0" w:space="0" w:color="auto"/>
            <w:left w:val="none" w:sz="0" w:space="0" w:color="auto"/>
            <w:bottom w:val="none" w:sz="0" w:space="0" w:color="auto"/>
            <w:right w:val="none" w:sz="0" w:space="0" w:color="auto"/>
          </w:divBdr>
        </w:div>
        <w:div w:id="1793787717">
          <w:marLeft w:val="0"/>
          <w:marRight w:val="0"/>
          <w:marTop w:val="0"/>
          <w:marBottom w:val="0"/>
          <w:divBdr>
            <w:top w:val="none" w:sz="0" w:space="0" w:color="auto"/>
            <w:left w:val="none" w:sz="0" w:space="0" w:color="auto"/>
            <w:bottom w:val="none" w:sz="0" w:space="0" w:color="auto"/>
            <w:right w:val="none" w:sz="0" w:space="0" w:color="auto"/>
          </w:divBdr>
        </w:div>
        <w:div w:id="1814787959">
          <w:marLeft w:val="0"/>
          <w:marRight w:val="0"/>
          <w:marTop w:val="0"/>
          <w:marBottom w:val="0"/>
          <w:divBdr>
            <w:top w:val="none" w:sz="0" w:space="0" w:color="auto"/>
            <w:left w:val="none" w:sz="0" w:space="0" w:color="auto"/>
            <w:bottom w:val="none" w:sz="0" w:space="0" w:color="auto"/>
            <w:right w:val="none" w:sz="0" w:space="0" w:color="auto"/>
          </w:divBdr>
        </w:div>
        <w:div w:id="1113020496">
          <w:marLeft w:val="0"/>
          <w:marRight w:val="0"/>
          <w:marTop w:val="0"/>
          <w:marBottom w:val="0"/>
          <w:divBdr>
            <w:top w:val="none" w:sz="0" w:space="0" w:color="auto"/>
            <w:left w:val="none" w:sz="0" w:space="0" w:color="auto"/>
            <w:bottom w:val="none" w:sz="0" w:space="0" w:color="auto"/>
            <w:right w:val="none" w:sz="0" w:space="0" w:color="auto"/>
          </w:divBdr>
        </w:div>
        <w:div w:id="250242942">
          <w:marLeft w:val="0"/>
          <w:marRight w:val="0"/>
          <w:marTop w:val="0"/>
          <w:marBottom w:val="0"/>
          <w:divBdr>
            <w:top w:val="none" w:sz="0" w:space="0" w:color="auto"/>
            <w:left w:val="none" w:sz="0" w:space="0" w:color="auto"/>
            <w:bottom w:val="none" w:sz="0" w:space="0" w:color="auto"/>
            <w:right w:val="none" w:sz="0" w:space="0" w:color="auto"/>
          </w:divBdr>
        </w:div>
      </w:divsChild>
    </w:div>
    <w:div w:id="2085952732">
      <w:bodyDiv w:val="1"/>
      <w:marLeft w:val="0"/>
      <w:marRight w:val="0"/>
      <w:marTop w:val="0"/>
      <w:marBottom w:val="0"/>
      <w:divBdr>
        <w:top w:val="none" w:sz="0" w:space="0" w:color="auto"/>
        <w:left w:val="none" w:sz="0" w:space="0" w:color="auto"/>
        <w:bottom w:val="none" w:sz="0" w:space="0" w:color="auto"/>
        <w:right w:val="none" w:sz="0" w:space="0" w:color="auto"/>
      </w:divBdr>
      <w:divsChild>
        <w:div w:id="1675181314">
          <w:marLeft w:val="0"/>
          <w:marRight w:val="0"/>
          <w:marTop w:val="0"/>
          <w:marBottom w:val="0"/>
          <w:divBdr>
            <w:top w:val="none" w:sz="0" w:space="0" w:color="auto"/>
            <w:left w:val="none" w:sz="0" w:space="0" w:color="auto"/>
            <w:bottom w:val="none" w:sz="0" w:space="0" w:color="auto"/>
            <w:right w:val="none" w:sz="0" w:space="0" w:color="auto"/>
          </w:divBdr>
        </w:div>
      </w:divsChild>
    </w:div>
    <w:div w:id="2105879545">
      <w:bodyDiv w:val="1"/>
      <w:marLeft w:val="0"/>
      <w:marRight w:val="0"/>
      <w:marTop w:val="0"/>
      <w:marBottom w:val="0"/>
      <w:divBdr>
        <w:top w:val="none" w:sz="0" w:space="0" w:color="auto"/>
        <w:left w:val="none" w:sz="0" w:space="0" w:color="auto"/>
        <w:bottom w:val="none" w:sz="0" w:space="0" w:color="auto"/>
        <w:right w:val="none" w:sz="0" w:space="0" w:color="auto"/>
      </w:divBdr>
      <w:divsChild>
        <w:div w:id="1534267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rsentoubr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a60d57e-af5b-4752-ac57-3e4f28ca11dc}" enabled="1" method="Standard" siteId="{36da45f1-dd2c-4d1f-af13-5abe46b99921}" contentBits="0" removed="0"/>
</clbl:labelList>
</file>

<file path=docProps/app.xml><?xml version="1.0" encoding="utf-8"?>
<Properties xmlns="http://schemas.openxmlformats.org/officeDocument/2006/extended-properties" xmlns:vt="http://schemas.openxmlformats.org/officeDocument/2006/docPropsVTypes">
  <Template>Normal.dotm</Template>
  <TotalTime>3845</TotalTime>
  <Pages>12</Pages>
  <Words>2694</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Jeng, Buhari</dc:creator>
  <cp:keywords/>
  <dc:description/>
  <cp:lastModifiedBy>Jeng, Buhari</cp:lastModifiedBy>
  <cp:revision>161</cp:revision>
  <dcterms:created xsi:type="dcterms:W3CDTF">2025-11-23T10:56:00Z</dcterms:created>
  <dcterms:modified xsi:type="dcterms:W3CDTF">2025-12-12T10:19:00Z</dcterms:modified>
</cp:coreProperties>
</file>