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1BCA52" w14:textId="77777777" w:rsidR="000F35DB" w:rsidRDefault="000F35DB" w:rsidP="000F35DB">
      <w:pPr>
        <w:jc w:val="center"/>
        <w:rPr>
          <w:rFonts w:ascii="Arial" w:hAnsi="Arial" w:cs="Arial"/>
          <w:sz w:val="40"/>
          <w:szCs w:val="40"/>
        </w:rPr>
      </w:pPr>
      <w:r>
        <w:rPr>
          <w:rFonts w:ascii="Arial" w:hAnsi="Arial" w:cs="Arial"/>
          <w:sz w:val="40"/>
          <w:szCs w:val="40"/>
        </w:rPr>
        <w:t>Title: Report</w:t>
      </w:r>
    </w:p>
    <w:p w14:paraId="37EB1443" w14:textId="77777777" w:rsidR="000F35DB" w:rsidRPr="00AE12A5" w:rsidRDefault="000F35DB" w:rsidP="000F35DB">
      <w:pPr>
        <w:jc w:val="center"/>
        <w:rPr>
          <w:rFonts w:ascii="Arial" w:hAnsi="Arial" w:cs="Arial"/>
          <w:sz w:val="40"/>
          <w:szCs w:val="40"/>
        </w:rPr>
      </w:pPr>
      <w:r w:rsidRPr="00AE12A5">
        <w:rPr>
          <w:rFonts w:ascii="Arial" w:hAnsi="Arial" w:cs="Arial"/>
          <w:sz w:val="40"/>
          <w:szCs w:val="40"/>
        </w:rPr>
        <w:t>Module title: Sustainable Hospitality &amp; Tourism Management</w:t>
      </w:r>
    </w:p>
    <w:p w14:paraId="50752AF3" w14:textId="77777777" w:rsidR="000F35DB" w:rsidRDefault="000F35DB" w:rsidP="000F35DB">
      <w:pPr>
        <w:jc w:val="center"/>
        <w:rPr>
          <w:rFonts w:ascii="Arial" w:hAnsi="Arial" w:cs="Arial"/>
          <w:sz w:val="40"/>
          <w:szCs w:val="40"/>
        </w:rPr>
      </w:pPr>
      <w:r w:rsidRPr="00AE12A5">
        <w:rPr>
          <w:rFonts w:ascii="Arial" w:hAnsi="Arial" w:cs="Arial"/>
          <w:sz w:val="40"/>
          <w:szCs w:val="40"/>
        </w:rPr>
        <w:t>BMIH5006</w:t>
      </w:r>
    </w:p>
    <w:p w14:paraId="7B387C1F" w14:textId="1BE2EB0F" w:rsidR="000F35DB" w:rsidRPr="00AE12A5" w:rsidRDefault="000F35DB" w:rsidP="000F35DB">
      <w:pPr>
        <w:jc w:val="center"/>
        <w:rPr>
          <w:rFonts w:ascii="Arial" w:hAnsi="Arial" w:cs="Arial"/>
          <w:sz w:val="40"/>
          <w:szCs w:val="40"/>
        </w:rPr>
      </w:pPr>
      <w:r w:rsidRPr="00AE12A5">
        <w:rPr>
          <w:rFonts w:ascii="Arial" w:hAnsi="Arial" w:cs="Arial"/>
          <w:sz w:val="40"/>
          <w:szCs w:val="40"/>
        </w:rPr>
        <w:t xml:space="preserve">Student: </w:t>
      </w:r>
      <w:r>
        <w:rPr>
          <w:rFonts w:ascii="Arial" w:hAnsi="Arial" w:cs="Arial"/>
          <w:sz w:val="40"/>
          <w:szCs w:val="40"/>
        </w:rPr>
        <w:t>Anamaria Cristina Salanchi</w:t>
      </w:r>
    </w:p>
    <w:p w14:paraId="40FEB1EA" w14:textId="6A7E53E5" w:rsidR="000F35DB" w:rsidRPr="00AE12A5" w:rsidRDefault="000F35DB" w:rsidP="000F35DB">
      <w:pPr>
        <w:jc w:val="center"/>
        <w:rPr>
          <w:rFonts w:ascii="Arial" w:hAnsi="Arial" w:cs="Arial"/>
          <w:sz w:val="40"/>
          <w:szCs w:val="40"/>
        </w:rPr>
      </w:pPr>
      <w:r w:rsidRPr="00AE12A5">
        <w:rPr>
          <w:rFonts w:ascii="Arial" w:hAnsi="Arial" w:cs="Arial"/>
          <w:sz w:val="40"/>
          <w:szCs w:val="40"/>
        </w:rPr>
        <w:t>Student ID: 220642</w:t>
      </w:r>
      <w:r>
        <w:rPr>
          <w:rFonts w:ascii="Arial" w:hAnsi="Arial" w:cs="Arial"/>
          <w:sz w:val="40"/>
          <w:szCs w:val="40"/>
        </w:rPr>
        <w:t>1</w:t>
      </w:r>
    </w:p>
    <w:p w14:paraId="39FD9999" w14:textId="77777777" w:rsidR="000F35DB" w:rsidRDefault="000F35DB" w:rsidP="000F35DB">
      <w:pPr>
        <w:jc w:val="center"/>
        <w:rPr>
          <w:rFonts w:ascii="Arial" w:hAnsi="Arial" w:cs="Arial"/>
          <w:sz w:val="40"/>
          <w:szCs w:val="40"/>
        </w:rPr>
      </w:pPr>
      <w:r w:rsidRPr="00AE12A5">
        <w:rPr>
          <w:rFonts w:ascii="Arial" w:hAnsi="Arial" w:cs="Arial"/>
          <w:sz w:val="40"/>
          <w:szCs w:val="40"/>
        </w:rPr>
        <w:t>Lecturer name: Julia Ault</w:t>
      </w:r>
    </w:p>
    <w:p w14:paraId="5D36314C" w14:textId="33ABF937" w:rsidR="00686DEB" w:rsidRDefault="000F35DB" w:rsidP="000F35DB">
      <w:pPr>
        <w:jc w:val="center"/>
        <w:rPr>
          <w:rFonts w:ascii="Arial" w:hAnsi="Arial" w:cs="Arial"/>
          <w:sz w:val="40"/>
          <w:szCs w:val="40"/>
        </w:rPr>
      </w:pPr>
      <w:r>
        <w:rPr>
          <w:rFonts w:ascii="Arial" w:hAnsi="Arial" w:cs="Arial"/>
          <w:sz w:val="40"/>
          <w:szCs w:val="40"/>
        </w:rPr>
        <w:t>Word count:</w:t>
      </w:r>
      <w:r w:rsidR="00571879">
        <w:rPr>
          <w:rFonts w:ascii="Arial" w:hAnsi="Arial" w:cs="Arial"/>
          <w:sz w:val="40"/>
          <w:szCs w:val="40"/>
        </w:rPr>
        <w:t xml:space="preserve"> 2116</w:t>
      </w:r>
    </w:p>
    <w:p w14:paraId="3F133DD4" w14:textId="77777777" w:rsidR="000F35DB" w:rsidRDefault="000F35DB" w:rsidP="000F35DB">
      <w:pPr>
        <w:jc w:val="center"/>
        <w:rPr>
          <w:rFonts w:ascii="Arial" w:hAnsi="Arial" w:cs="Arial"/>
          <w:sz w:val="40"/>
          <w:szCs w:val="40"/>
        </w:rPr>
      </w:pPr>
    </w:p>
    <w:p w14:paraId="55711FF2" w14:textId="77777777" w:rsidR="000F35DB" w:rsidRDefault="000F35DB" w:rsidP="000F35DB">
      <w:pPr>
        <w:jc w:val="center"/>
        <w:rPr>
          <w:rFonts w:ascii="Arial" w:hAnsi="Arial" w:cs="Arial"/>
          <w:sz w:val="40"/>
          <w:szCs w:val="40"/>
        </w:rPr>
      </w:pPr>
    </w:p>
    <w:p w14:paraId="05114F1A" w14:textId="77777777" w:rsidR="000F35DB" w:rsidRDefault="000F35DB" w:rsidP="000F35DB">
      <w:pPr>
        <w:jc w:val="center"/>
        <w:rPr>
          <w:rFonts w:ascii="Arial" w:hAnsi="Arial" w:cs="Arial"/>
          <w:sz w:val="40"/>
          <w:szCs w:val="40"/>
        </w:rPr>
      </w:pPr>
    </w:p>
    <w:p w14:paraId="1AE7E071" w14:textId="77777777" w:rsidR="000F35DB" w:rsidRDefault="000F35DB" w:rsidP="000F35DB">
      <w:pPr>
        <w:jc w:val="center"/>
      </w:pPr>
    </w:p>
    <w:p w14:paraId="4D98ED1C" w14:textId="77777777" w:rsidR="000F35DB" w:rsidRDefault="000F35DB" w:rsidP="000F35DB">
      <w:pPr>
        <w:jc w:val="center"/>
      </w:pPr>
    </w:p>
    <w:p w14:paraId="1D73C863" w14:textId="77777777" w:rsidR="000F35DB" w:rsidRDefault="000F35DB" w:rsidP="000F35DB">
      <w:pPr>
        <w:jc w:val="center"/>
      </w:pPr>
    </w:p>
    <w:p w14:paraId="5FAAEF33" w14:textId="77777777" w:rsidR="000F35DB" w:rsidRDefault="000F35DB" w:rsidP="000F35DB">
      <w:pPr>
        <w:jc w:val="center"/>
      </w:pPr>
    </w:p>
    <w:p w14:paraId="20982A67" w14:textId="77777777" w:rsidR="000F35DB" w:rsidRDefault="000F35DB" w:rsidP="000F35DB">
      <w:pPr>
        <w:jc w:val="center"/>
      </w:pPr>
    </w:p>
    <w:p w14:paraId="6A4404F1" w14:textId="77777777" w:rsidR="000F35DB" w:rsidRDefault="000F35DB" w:rsidP="000F35DB">
      <w:pPr>
        <w:jc w:val="center"/>
      </w:pPr>
    </w:p>
    <w:p w14:paraId="65ED0A57" w14:textId="77777777" w:rsidR="000F35DB" w:rsidRDefault="000F35DB" w:rsidP="000F35DB">
      <w:pPr>
        <w:jc w:val="center"/>
      </w:pPr>
    </w:p>
    <w:p w14:paraId="49DB6AE5" w14:textId="77777777" w:rsidR="000F35DB" w:rsidRDefault="000F35DB" w:rsidP="000F35DB">
      <w:pPr>
        <w:jc w:val="center"/>
      </w:pPr>
    </w:p>
    <w:p w14:paraId="0C48DB83" w14:textId="77777777" w:rsidR="000F35DB" w:rsidRDefault="000F35DB" w:rsidP="000F35DB">
      <w:pPr>
        <w:jc w:val="center"/>
      </w:pPr>
    </w:p>
    <w:p w14:paraId="17DBEB81" w14:textId="77777777" w:rsidR="000F35DB" w:rsidRDefault="000F35DB" w:rsidP="000F35DB">
      <w:pPr>
        <w:jc w:val="center"/>
      </w:pPr>
    </w:p>
    <w:p w14:paraId="27394232" w14:textId="77777777" w:rsidR="000F35DB" w:rsidRDefault="000F35DB" w:rsidP="000F35DB">
      <w:pPr>
        <w:jc w:val="center"/>
      </w:pPr>
    </w:p>
    <w:p w14:paraId="464C80BE" w14:textId="77777777" w:rsidR="000F35DB" w:rsidRDefault="000F35DB" w:rsidP="000F35DB">
      <w:pPr>
        <w:jc w:val="center"/>
      </w:pPr>
    </w:p>
    <w:p w14:paraId="653157DD" w14:textId="77777777" w:rsidR="000F35DB" w:rsidRDefault="000F35DB" w:rsidP="000F35DB">
      <w:pPr>
        <w:jc w:val="center"/>
      </w:pPr>
    </w:p>
    <w:p w14:paraId="6B3A4B50" w14:textId="77777777" w:rsidR="000F35DB" w:rsidRPr="00A52ECD" w:rsidRDefault="000F35DB" w:rsidP="00A52ECD">
      <w:pPr>
        <w:pStyle w:val="Heading1"/>
        <w:jc w:val="center"/>
        <w:rPr>
          <w:rFonts w:ascii="Arial" w:eastAsia="Calibri" w:hAnsi="Arial" w:cs="Arial"/>
          <w:b/>
          <w:bCs/>
          <w:color w:val="auto"/>
          <w:sz w:val="28"/>
          <w:szCs w:val="28"/>
          <w:shd w:val="clear" w:color="auto" w:fill="FFFFFF"/>
        </w:rPr>
      </w:pPr>
      <w:r w:rsidRPr="00A52ECD">
        <w:rPr>
          <w:rFonts w:ascii="Arial" w:eastAsia="Calibri" w:hAnsi="Arial" w:cs="Arial"/>
          <w:b/>
          <w:bCs/>
          <w:color w:val="auto"/>
          <w:sz w:val="28"/>
          <w:szCs w:val="28"/>
          <w:shd w:val="clear" w:color="auto" w:fill="FFFFFF"/>
        </w:rPr>
        <w:lastRenderedPageBreak/>
        <w:t>Executive Summary</w:t>
      </w:r>
    </w:p>
    <w:p w14:paraId="36681A9F"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The hotel and hospitality sector are becoming more aware of the need for sustainability in response to environmental issues and the growing demand for eco-friendly practices. This report examines the effects of the Green Key Certificate, an internationally recognised eco-certification that establishes strict standards for environmental management, efficient use of resources, and social accountability. The report explores the theoretical underpinnings of sustainability in tourism, emphasising frameworks such as the Triple Bottom Line and Corporate Social Responsibility, and explores sustainable practices in many hospitality establishments, including rural retreats, coastal luxury resorts, and urban boutique hotels. It highlights the need to conserve energy and water, manage waste effectively, and engage with the local community. The report also addresses sustainable mobility alternatives, the Green Key accreditation procedure, and its unique criteria. The advantages of Green Key Certification include an improved brand image, distinguishing oneself in the market, and reduced expenses. In contrast, the drawbacks include the upfront costs and the need for ongoing staff training. The analysis focuses on upcoming trends and advancements, such as environmentally friendly construction technologies and circular economy principles. Additionally, it explores the possibilities of advanced data analytics and artificial intelligence to improve sustainability efforts. The report highlights the significant impact of Green Key Certification in fostering environmental stewardship, social responsibility, and economic resilience in the hotel and hospitality industry.</w:t>
      </w:r>
    </w:p>
    <w:p w14:paraId="52D22897"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636C1919"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450BB1AB"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6CABC1F0"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143C05B5"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5DB3AB6C"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50C430B0"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118CC3B4"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603C9C37"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1041E34B"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4AB96AA5"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463D10D6"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lang w:val="en-US"/>
        </w:rPr>
      </w:pPr>
      <w:r w:rsidRPr="000F35DB">
        <w:rPr>
          <w:rFonts w:ascii="Arial" w:eastAsia="Calibri" w:hAnsi="Arial" w:cs="Arial"/>
          <w:b/>
          <w:bCs/>
          <w:color w:val="0E0E0E"/>
          <w:kern w:val="0"/>
          <w:lang w:val="en-US"/>
        </w:rPr>
        <w:lastRenderedPageBreak/>
        <w:t>Table of Contents</w:t>
      </w:r>
    </w:p>
    <w:p w14:paraId="2FBBB3DD" w14:textId="77777777" w:rsidR="000F35DB" w:rsidRPr="000F35DB" w:rsidRDefault="000F35DB" w:rsidP="000F35DB">
      <w:pPr>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lang w:val="en-US"/>
        </w:rPr>
      </w:pPr>
      <w:r w:rsidRPr="000F35DB">
        <w:rPr>
          <w:rFonts w:ascii="Arial" w:eastAsia="Calibri" w:hAnsi="Arial" w:cs="Arial"/>
          <w:color w:val="0E0E0E"/>
          <w:kern w:val="0"/>
          <w:lang w:val="en-US"/>
        </w:rPr>
        <w:t>Executive Summary</w:t>
      </w:r>
    </w:p>
    <w:p w14:paraId="4EF0021F" w14:textId="77777777" w:rsidR="000F35DB" w:rsidRPr="000F35DB" w:rsidRDefault="000F35DB" w:rsidP="000F35DB">
      <w:pPr>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lang w:val="en-US"/>
        </w:rPr>
      </w:pPr>
      <w:r w:rsidRPr="000F35DB">
        <w:rPr>
          <w:rFonts w:ascii="Arial" w:eastAsia="Calibri" w:hAnsi="Arial" w:cs="Arial"/>
          <w:color w:val="0E0E0E"/>
          <w:kern w:val="0"/>
          <w:lang w:val="en-US"/>
        </w:rPr>
        <w:t>Introduction</w:t>
      </w:r>
    </w:p>
    <w:p w14:paraId="688E3B1F" w14:textId="77777777" w:rsidR="000F35DB" w:rsidRPr="000F35DB" w:rsidRDefault="000F35DB" w:rsidP="000F35DB">
      <w:pPr>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lang w:val="en-US"/>
        </w:rPr>
      </w:pPr>
      <w:r w:rsidRPr="000F35DB">
        <w:rPr>
          <w:rFonts w:ascii="Arial" w:eastAsia="Calibri" w:hAnsi="Arial" w:cs="Arial"/>
          <w:color w:val="0E0E0E"/>
          <w:kern w:val="0"/>
          <w:lang w:val="en-US"/>
        </w:rPr>
        <w:t>Theoretical Foundations of Sustainability in Tourism and Hospitality</w:t>
      </w:r>
    </w:p>
    <w:p w14:paraId="337F08A0" w14:textId="77777777" w:rsidR="000F35DB" w:rsidRPr="000F35DB" w:rsidRDefault="000F35DB" w:rsidP="000F35DB">
      <w:pPr>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lang w:val="en-US"/>
        </w:rPr>
      </w:pPr>
      <w:r w:rsidRPr="000F35DB">
        <w:rPr>
          <w:rFonts w:ascii="Arial" w:eastAsia="Calibri" w:hAnsi="Arial" w:cs="Arial"/>
          <w:color w:val="0E0E0E"/>
          <w:kern w:val="0"/>
          <w:lang w:val="en-US"/>
        </w:rPr>
        <w:t>Eco-Certification Schemes</w:t>
      </w:r>
    </w:p>
    <w:p w14:paraId="2B7ABF56" w14:textId="77777777" w:rsidR="000F35DB" w:rsidRPr="000F35DB" w:rsidRDefault="000F35DB" w:rsidP="000F35DB">
      <w:pPr>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lang w:val="en-US"/>
        </w:rPr>
      </w:pPr>
      <w:r w:rsidRPr="000F35DB">
        <w:rPr>
          <w:rFonts w:ascii="Arial" w:eastAsia="Calibri" w:hAnsi="Arial" w:cs="Arial"/>
          <w:color w:val="0E0E0E"/>
          <w:kern w:val="0"/>
          <w:lang w:val="en-US"/>
        </w:rPr>
        <w:t>Sustainable Practices Across Diverse Hospitality Settings</w:t>
      </w:r>
    </w:p>
    <w:p w14:paraId="1F0B1E96" w14:textId="77777777" w:rsidR="000F35DB" w:rsidRPr="000F35DB" w:rsidRDefault="000F35DB" w:rsidP="000F35DB">
      <w:pPr>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lang w:val="en-US"/>
        </w:rPr>
      </w:pPr>
      <w:r w:rsidRPr="000F35DB">
        <w:rPr>
          <w:rFonts w:ascii="Arial" w:eastAsia="Calibri" w:hAnsi="Arial" w:cs="Arial"/>
          <w:color w:val="0E0E0E"/>
          <w:kern w:val="0"/>
          <w:lang w:val="en-US"/>
        </w:rPr>
        <w:t>Sustainable Transportation Solutions for Tourism Mobility</w:t>
      </w:r>
    </w:p>
    <w:p w14:paraId="08A119E4" w14:textId="77777777" w:rsidR="000F35DB" w:rsidRPr="000F35DB" w:rsidRDefault="000F35DB" w:rsidP="000F35DB">
      <w:pPr>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lang w:val="en-US"/>
        </w:rPr>
      </w:pPr>
      <w:r w:rsidRPr="000F35DB">
        <w:rPr>
          <w:rFonts w:ascii="Arial" w:eastAsia="Calibri" w:hAnsi="Arial" w:cs="Arial"/>
          <w:color w:val="0E0E0E"/>
          <w:kern w:val="0"/>
          <w:lang w:val="en-US"/>
        </w:rPr>
        <w:t>Navigating Sustainable Accreditation and Certification</w:t>
      </w:r>
    </w:p>
    <w:p w14:paraId="276AF88D" w14:textId="77777777" w:rsidR="000F35DB" w:rsidRPr="000F35DB" w:rsidRDefault="000F35DB" w:rsidP="000F35DB">
      <w:pPr>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lang w:val="en-US"/>
        </w:rPr>
      </w:pPr>
      <w:r w:rsidRPr="000F35DB">
        <w:rPr>
          <w:rFonts w:ascii="Arial" w:eastAsia="Calibri" w:hAnsi="Arial" w:cs="Arial"/>
          <w:color w:val="0E0E0E"/>
          <w:kern w:val="0"/>
          <w:lang w:val="en-US"/>
        </w:rPr>
        <w:t>Dynamics of Change: Benefits, Challenges, and Adaptation Strategies</w:t>
      </w:r>
    </w:p>
    <w:p w14:paraId="4DCDFFF4" w14:textId="77777777" w:rsidR="000F35DB" w:rsidRPr="000F35DB" w:rsidRDefault="000F35DB" w:rsidP="000F35DB">
      <w:pPr>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lang w:val="en-US"/>
        </w:rPr>
      </w:pPr>
      <w:r w:rsidRPr="000F35DB">
        <w:rPr>
          <w:rFonts w:ascii="Arial" w:eastAsia="Calibri" w:hAnsi="Arial" w:cs="Arial"/>
          <w:color w:val="0E0E0E"/>
          <w:kern w:val="0"/>
          <w:lang w:val="en-US"/>
        </w:rPr>
        <w:t>Future Horizons: Trends, Innovations, and Disruptive Forces</w:t>
      </w:r>
    </w:p>
    <w:p w14:paraId="72E11F76" w14:textId="77777777" w:rsidR="000F35DB" w:rsidRPr="000F35DB" w:rsidRDefault="000F35DB" w:rsidP="000F35DB">
      <w:pPr>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lang w:val="en-US"/>
        </w:rPr>
      </w:pPr>
      <w:r w:rsidRPr="000F35DB">
        <w:rPr>
          <w:rFonts w:ascii="Arial" w:eastAsia="Calibri" w:hAnsi="Arial" w:cs="Arial"/>
          <w:color w:val="0E0E0E"/>
          <w:kern w:val="0"/>
          <w:lang w:val="en-US"/>
        </w:rPr>
        <w:t>Conclusion</w:t>
      </w:r>
    </w:p>
    <w:p w14:paraId="4180DA51"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0744375C"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5F0C8768"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7EB38974"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48AD1DD4"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345E1D11"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198DE0DB"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72F7F691"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2DBAFDAE"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79A2D05A"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76200C38"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4681C68A"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7BAA8242"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57540DEB"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4EA6D899"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71D03275"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5B2C9A47"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592785A9"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5C3F8580"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0BF168ED"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47531561"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5967F670"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04661C7B"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5C5F3C7A" w14:textId="77777777" w:rsidR="000F35DB" w:rsidRPr="00A52ECD" w:rsidRDefault="000F35DB" w:rsidP="00A52ECD">
      <w:pPr>
        <w:pStyle w:val="Heading1"/>
        <w:rPr>
          <w:rFonts w:ascii="Arial" w:eastAsia="Calibri" w:hAnsi="Arial" w:cs="Arial"/>
          <w:b/>
          <w:bCs/>
          <w:color w:val="auto"/>
          <w:sz w:val="28"/>
          <w:szCs w:val="28"/>
        </w:rPr>
      </w:pPr>
      <w:r w:rsidRPr="00A52ECD">
        <w:rPr>
          <w:rFonts w:ascii="Arial" w:eastAsia="Calibri" w:hAnsi="Arial" w:cs="Arial"/>
          <w:b/>
          <w:bCs/>
          <w:color w:val="auto"/>
          <w:sz w:val="28"/>
          <w:szCs w:val="28"/>
        </w:rPr>
        <w:lastRenderedPageBreak/>
        <w:t>Introduction</w:t>
      </w:r>
    </w:p>
    <w:p w14:paraId="4C9FEB16"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The hotel and hospitality business now recognises the urgent need for sustainability due to the growing consciousness of environmental concerns and the rising demand for environmentally friendly operations. The industry's substantial influence on natural resources and capacity to drive good environmental change highlights the imperative for sustainable operations. The Green Key Certificate is a well-known eco-certification programme encouraging sustainable hotel practices. This globally recognised accreditation establishes stringent criteria for environmental management, resource efficiency, and social responsibility. As a result, it assists hotels in minimising their impact on the environment and improving their attractiveness to the market.</w:t>
      </w:r>
    </w:p>
    <w:p w14:paraId="2E0A91DF"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This report examines sustainability in the hotel and hospitality industry, focusing on the Green Key Certificate. It will cover sustainability theory, hospitality practices, and transportation solutions. It will also examine sustainable accreditation and certification, Green Key certification's pros and cons, and industry trends and innovations. The paper will conclude that Green Key certification may alter hospitality by promoting environmental stewardship, social responsibility, and economic resilience.</w:t>
      </w:r>
    </w:p>
    <w:p w14:paraId="668ADA8C"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77EF1216" w14:textId="77777777" w:rsidR="000F35DB" w:rsidRPr="00A52ECD" w:rsidRDefault="000F35DB" w:rsidP="00A52ECD">
      <w:pPr>
        <w:pStyle w:val="Heading2"/>
        <w:rPr>
          <w:rFonts w:ascii="Arial" w:eastAsia="Calibri" w:hAnsi="Arial" w:cs="Arial"/>
          <w:b/>
          <w:bCs/>
          <w:color w:val="auto"/>
          <w:sz w:val="26"/>
          <w:szCs w:val="26"/>
        </w:rPr>
      </w:pPr>
      <w:r w:rsidRPr="00A52ECD">
        <w:rPr>
          <w:rFonts w:ascii="Arial" w:eastAsia="Calibri" w:hAnsi="Arial" w:cs="Arial"/>
          <w:b/>
          <w:bCs/>
          <w:color w:val="auto"/>
          <w:sz w:val="26"/>
          <w:szCs w:val="26"/>
        </w:rPr>
        <w:t>Theoretical Foundations of Sustainability in Tourism and Hospitality</w:t>
      </w:r>
    </w:p>
    <w:p w14:paraId="2995BF0B"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lang w:val="en-US"/>
        </w:rPr>
      </w:pPr>
      <w:r w:rsidRPr="000F35DB">
        <w:rPr>
          <w:rFonts w:ascii="Arial" w:eastAsia="Calibri" w:hAnsi="Arial" w:cs="Arial"/>
        </w:rPr>
        <w:t xml:space="preserve">Sustainability in tourism and hospitality involves implementing strategies and ideas to reduce harmful environmental effects while promoting socio-economic advantages for local communities and stakeholders. Moore et al. (2017) define sustainability as the ability to last over time, be flexible, and consistently give advantages to persons and systems. </w:t>
      </w:r>
    </w:p>
    <w:p w14:paraId="70CED5F2"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The concept of sustainability in the hotel and hospitality industry is underpinned by theoretical frameworks such as the Triple Bottom Line (TBL) and Corporate Social Responsibility (CSR). The TBL framework, for instance, places a premium on incorporating environmental, social, and economic performance as the fundamental components of sustainability (Santos et al., 2020). This concept ensures that tourism operations do not compromise the environment while benefiting local communities and economies, fostering a sense of responsibility towards our environment and the communities we operate in.</w:t>
      </w:r>
    </w:p>
    <w:p w14:paraId="49F293A8"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 xml:space="preserve">Tourism CSR entails businesses accepting responsibility for their social and environmental impacts. Han (2021) found that ecologically sustainable customer </w:t>
      </w:r>
      <w:r w:rsidRPr="000F35DB">
        <w:rPr>
          <w:rFonts w:ascii="Arial" w:eastAsia="Calibri" w:hAnsi="Arial" w:cs="Arial"/>
          <w:color w:val="0E0E0E"/>
          <w:kern w:val="0"/>
        </w:rPr>
        <w:lastRenderedPageBreak/>
        <w:t>behaviour promotes CSR in tourism, forcing enterprises to go green to fulfil consumer expectations. This behaviour benefits corporate reputation and sustainability goals.</w:t>
      </w:r>
    </w:p>
    <w:p w14:paraId="7A177FDA"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 xml:space="preserve">Eco-certification schemes, such as the Green Key Certificate, have a substantial impact on promoting sustainable practices within the travel and hospitality industry. Ernawati and </w:t>
      </w:r>
      <w:proofErr w:type="spellStart"/>
      <w:r w:rsidRPr="000F35DB">
        <w:rPr>
          <w:rFonts w:ascii="Arial" w:eastAsia="Calibri" w:hAnsi="Arial" w:cs="Arial"/>
          <w:color w:val="0E0E0E"/>
          <w:kern w:val="0"/>
        </w:rPr>
        <w:t>Rudiyanto</w:t>
      </w:r>
      <w:proofErr w:type="spellEnd"/>
      <w:r w:rsidRPr="000F35DB">
        <w:rPr>
          <w:rFonts w:ascii="Arial" w:eastAsia="Calibri" w:hAnsi="Arial" w:cs="Arial"/>
          <w:color w:val="0E0E0E"/>
          <w:kern w:val="0"/>
        </w:rPr>
        <w:t xml:space="preserve"> (2023) propose that these plans offer a structured approach for hotels to adopt eco-friendly measures, decreasing their environmental impact and promoting sustainable tourism. The Green Key Certificate establishes rigorous water and energy saving standards, waste management, and community engagement that hotels must fulfil to achieve accreditation.</w:t>
      </w:r>
    </w:p>
    <w:p w14:paraId="7290B6A5"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Sustainable tourism practices preserve natural and cultural resources, ensuring destinations' long-term survival and competitiveness, according to a systematic review by Molina-Collado et al. (2022). The circular economy promotes resource efficiency and waste reduction through creative business practices, as Jones &amp; Wynn, 2019 stated.</w:t>
      </w:r>
    </w:p>
    <w:p w14:paraId="34BBB9E0"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Implementing sustainable methods presents inherent difficulties. Significant obstacles include the initial investment expenses, ongoing staff training, and the requirement for continual monitoring and improvement (Vlasceanu et al., 2020). Nevertheless, the enduring advantages, such as financial savings resulting from effective resource utilisation and improved brand image, frequently surpass these difficulties.</w:t>
      </w:r>
    </w:p>
    <w:p w14:paraId="20D68970"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616356F7" w14:textId="77777777" w:rsidR="000F35DB" w:rsidRPr="00A52ECD" w:rsidRDefault="000F35DB" w:rsidP="00A52ECD">
      <w:pPr>
        <w:pStyle w:val="Heading2"/>
        <w:rPr>
          <w:rFonts w:ascii="Arial" w:eastAsia="Calibri" w:hAnsi="Arial" w:cs="Arial"/>
          <w:b/>
          <w:bCs/>
          <w:color w:val="auto"/>
          <w:sz w:val="26"/>
          <w:szCs w:val="26"/>
        </w:rPr>
      </w:pPr>
      <w:r w:rsidRPr="00A52ECD">
        <w:rPr>
          <w:rFonts w:ascii="Arial" w:eastAsia="Calibri" w:hAnsi="Arial" w:cs="Arial"/>
          <w:b/>
          <w:bCs/>
          <w:color w:val="auto"/>
          <w:sz w:val="26"/>
          <w:szCs w:val="26"/>
        </w:rPr>
        <w:t>Sustainable Practices Across Diverse Hospitality Settings</w:t>
      </w:r>
    </w:p>
    <w:p w14:paraId="3B0C344C" w14:textId="77777777" w:rsidR="000F35DB" w:rsidRPr="00A52ECD" w:rsidRDefault="000F35DB" w:rsidP="00A52ECD">
      <w:pPr>
        <w:pStyle w:val="Heading3"/>
        <w:rPr>
          <w:rFonts w:ascii="Arial" w:eastAsia="Calibri" w:hAnsi="Arial" w:cs="Arial"/>
          <w:color w:val="auto"/>
          <w:sz w:val="24"/>
          <w:szCs w:val="24"/>
        </w:rPr>
      </w:pPr>
      <w:r w:rsidRPr="00A52ECD">
        <w:rPr>
          <w:rFonts w:ascii="Arial" w:eastAsia="Calibri" w:hAnsi="Arial" w:cs="Arial"/>
          <w:color w:val="auto"/>
          <w:sz w:val="24"/>
          <w:szCs w:val="24"/>
        </w:rPr>
        <w:t>Rural Retreats and Eco-Resorts</w:t>
      </w:r>
    </w:p>
    <w:p w14:paraId="5E3F1708"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 xml:space="preserve">Rural retreats and eco-resorts frequently implement sustainable practices to comply with eco-certification schemes such as the Green Key Certificate. This accreditation emphasises multiple facets of environmental stewardship, such as energy and water preservation, waste administration, and community involvement. </w:t>
      </w:r>
      <w:proofErr w:type="spellStart"/>
      <w:r w:rsidRPr="000F35DB">
        <w:rPr>
          <w:rFonts w:ascii="Arial" w:eastAsia="Calibri" w:hAnsi="Arial" w:cs="Arial"/>
          <w:color w:val="0E0E0E"/>
          <w:kern w:val="0"/>
        </w:rPr>
        <w:t>Madanaguli</w:t>
      </w:r>
      <w:proofErr w:type="spellEnd"/>
      <w:r w:rsidRPr="000F35DB">
        <w:rPr>
          <w:rFonts w:ascii="Arial" w:eastAsia="Calibri" w:hAnsi="Arial" w:cs="Arial"/>
          <w:color w:val="0E0E0E"/>
          <w:kern w:val="0"/>
        </w:rPr>
        <w:t xml:space="preserve"> et al. (2023) found that rural tourism organisations increasingly embrace sustainable practices because of heightened awareness and the imperative to protect natural environments.</w:t>
      </w:r>
    </w:p>
    <w:p w14:paraId="35637C6D"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 xml:space="preserve">A notable example is the implementation of renewable energy sources, such as solar panels and wind turbines, significantly reducing carbon footprints. These technologies power eco-resorts, meeting Green Key's energy efficiency standards. Common water conservation solutions include rainwater collection and low-flow fixtures. These efforts </w:t>
      </w:r>
      <w:r w:rsidRPr="000F35DB">
        <w:rPr>
          <w:rFonts w:ascii="Arial" w:eastAsia="Calibri" w:hAnsi="Arial" w:cs="Arial"/>
          <w:color w:val="0E0E0E"/>
          <w:kern w:val="0"/>
        </w:rPr>
        <w:lastRenderedPageBreak/>
        <w:t>meet certification standards and reduce resource dependency for long-term sustainability.</w:t>
      </w:r>
    </w:p>
    <w:p w14:paraId="44A9385D"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2AE42EAA"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Case studies show Green Key-certified rural resorts' environmental successes. Scandinavian resorts have reduced energy and water use and enhanced garbage recycling. These resorts frequently collaborate with local communities to preserve biodiversity and advocate for sustainable tourist practices. DeFries et al. (2017) argue that community engagements are vital in promoting a sustainable tourism culture.</w:t>
      </w:r>
    </w:p>
    <w:p w14:paraId="0EDEF24C"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1A020C7A" w14:textId="77777777" w:rsidR="000F35DB" w:rsidRPr="00815458" w:rsidRDefault="000F35DB" w:rsidP="00A52ECD">
      <w:pPr>
        <w:pStyle w:val="Heading3"/>
        <w:rPr>
          <w:rFonts w:ascii="Arial" w:eastAsia="Calibri" w:hAnsi="Arial" w:cs="Arial"/>
          <w:color w:val="auto"/>
          <w:sz w:val="24"/>
          <w:szCs w:val="24"/>
        </w:rPr>
      </w:pPr>
      <w:r w:rsidRPr="00815458">
        <w:rPr>
          <w:rFonts w:ascii="Arial" w:eastAsia="Calibri" w:hAnsi="Arial" w:cs="Arial"/>
          <w:color w:val="auto"/>
          <w:sz w:val="24"/>
          <w:szCs w:val="24"/>
        </w:rPr>
        <w:t>Coastal Luxury Resorts and Marine Conservation</w:t>
      </w:r>
    </w:p>
    <w:p w14:paraId="5BA56701"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 xml:space="preserve">Due to their proximity to vulnerable marine habitats, coastal luxury resorts have </w:t>
      </w:r>
      <w:proofErr w:type="gramStart"/>
      <w:r w:rsidRPr="000F35DB">
        <w:rPr>
          <w:rFonts w:ascii="Arial" w:eastAsia="Calibri" w:hAnsi="Arial" w:cs="Arial"/>
          <w:color w:val="0E0E0E"/>
          <w:kern w:val="0"/>
        </w:rPr>
        <w:t>particular sustainability</w:t>
      </w:r>
      <w:proofErr w:type="gramEnd"/>
      <w:r w:rsidRPr="000F35DB">
        <w:rPr>
          <w:rFonts w:ascii="Arial" w:eastAsia="Calibri" w:hAnsi="Arial" w:cs="Arial"/>
          <w:color w:val="0E0E0E"/>
          <w:kern w:val="0"/>
        </w:rPr>
        <w:t xml:space="preserve"> concerns. These resorts must meet strict Green Key criteria to safeguard coastal and aquatic habitats. Leskinen et al. (2020) state that to promote sustainability in these environments, effective waste management systems must be established to minimise marine pollution, and laws must be enacted to ensure sustainable seafood sources.</w:t>
      </w:r>
    </w:p>
    <w:p w14:paraId="736D8486"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MPAs (marine protected areas) and reef restoration are standard maritime conservation measures. Resorts may work with local environmental groups to safeguard naval biodiversity. These projects promote coastal areas' ecological value and resorts' appeal to ecotourism.</w:t>
      </w:r>
    </w:p>
    <w:p w14:paraId="4B820FDA"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 xml:space="preserve">Coastal Green Key accreditation is arduous because modern waste treatment and energy-efficient systems are expensive. Staff must be trained regularly to meet environmental standards. Although there are difficulties, the chances of improving brand reputation and guest happiness by actively practising environmental stewardship are substantial. Bux and </w:t>
      </w:r>
      <w:proofErr w:type="spellStart"/>
      <w:r w:rsidRPr="000F35DB">
        <w:rPr>
          <w:rFonts w:ascii="Arial" w:eastAsia="Calibri" w:hAnsi="Arial" w:cs="Arial"/>
          <w:color w:val="0E0E0E"/>
          <w:kern w:val="0"/>
        </w:rPr>
        <w:t>Amicarelli</w:t>
      </w:r>
      <w:proofErr w:type="spellEnd"/>
      <w:r w:rsidRPr="000F35DB">
        <w:rPr>
          <w:rFonts w:ascii="Arial" w:eastAsia="Calibri" w:hAnsi="Arial" w:cs="Arial"/>
          <w:color w:val="0E0E0E"/>
          <w:kern w:val="0"/>
        </w:rPr>
        <w:t xml:space="preserve"> (2022) suggest that resorts might obtain a competitive edge in the market by effectively conveying their environmental initiatives.</w:t>
      </w:r>
    </w:p>
    <w:p w14:paraId="57A6EBBF"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39AED827" w14:textId="77777777" w:rsidR="000F35DB" w:rsidRPr="00A52ECD" w:rsidRDefault="000F35DB" w:rsidP="00A52ECD">
      <w:pPr>
        <w:pStyle w:val="Heading3"/>
        <w:rPr>
          <w:rFonts w:ascii="Arial" w:eastAsia="Calibri" w:hAnsi="Arial" w:cs="Arial"/>
          <w:color w:val="auto"/>
          <w:sz w:val="24"/>
          <w:szCs w:val="24"/>
        </w:rPr>
      </w:pPr>
      <w:r w:rsidRPr="00A52ECD">
        <w:rPr>
          <w:rFonts w:ascii="Arial" w:eastAsia="Calibri" w:hAnsi="Arial" w:cs="Arial"/>
          <w:color w:val="auto"/>
          <w:sz w:val="24"/>
          <w:szCs w:val="24"/>
        </w:rPr>
        <w:t>Urban Boutique Hotels and Community Engagement</w:t>
      </w:r>
    </w:p>
    <w:p w14:paraId="03A71AE0"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Sustainable urban boutique hotels use Green Key criteria and emphasise community interaction and social responsibility. Sharma et al. (2020) state that these hotels frequently adopt eco-friendly construction methods, such as energy-efficient lighting and HVAC systems, to reduce their ecological footprint.</w:t>
      </w:r>
    </w:p>
    <w:p w14:paraId="3CBEBA86"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lastRenderedPageBreak/>
        <w:t>Community engagement is critical to these hotels' sustainability. Urban hotels often work with local organisations to promote affordable housing, urban gardening, and cultural heritage. These efforts assist the local community and improve the hotel's reputation and visitor experience.</w:t>
      </w:r>
    </w:p>
    <w:p w14:paraId="7C067487" w14:textId="77777777" w:rsidR="000F35DB" w:rsidRPr="000F35DB" w:rsidRDefault="000F35DB" w:rsidP="000F35DB">
      <w:pPr>
        <w:spacing w:after="0" w:line="360" w:lineRule="auto"/>
        <w:jc w:val="both"/>
        <w:rPr>
          <w:rFonts w:ascii="Arial" w:eastAsia="Calibri" w:hAnsi="Arial" w:cs="Arial"/>
          <w:color w:val="0E0E0E"/>
          <w:kern w:val="0"/>
        </w:rPr>
      </w:pPr>
      <w:r w:rsidRPr="000F35DB">
        <w:rPr>
          <w:rFonts w:ascii="Arial" w:eastAsia="Calibri" w:hAnsi="Arial" w:cs="Arial"/>
          <w:color w:val="0E0E0E"/>
          <w:kern w:val="0"/>
        </w:rPr>
        <w:t>Successful urban hotels that have obtained Green Key certification in key European cities have implemented comprehensive recycling initiatives, providing guests with opportunities to minimise their environmental impact. These initiatives include linen reuse programmes and electric vehicle charging stations. Khalil et al. (2022) found that these approaches substantially impact the hotels' overall sustainability performance.</w:t>
      </w:r>
    </w:p>
    <w:p w14:paraId="1EB154AF" w14:textId="77777777" w:rsidR="000F35DB" w:rsidRPr="000F35DB" w:rsidRDefault="000F35DB" w:rsidP="000F35DB">
      <w:pPr>
        <w:spacing w:after="0" w:line="360" w:lineRule="auto"/>
        <w:jc w:val="both"/>
        <w:rPr>
          <w:rFonts w:ascii="Arial" w:eastAsia="Calibri" w:hAnsi="Arial" w:cs="Arial"/>
          <w:color w:val="0E0E0E"/>
          <w:kern w:val="0"/>
        </w:rPr>
      </w:pPr>
    </w:p>
    <w:p w14:paraId="140A77F2" w14:textId="77777777" w:rsidR="000F35DB" w:rsidRPr="00A52ECD" w:rsidRDefault="000F35DB" w:rsidP="00A52ECD">
      <w:pPr>
        <w:pStyle w:val="Heading2"/>
        <w:rPr>
          <w:rFonts w:ascii="Arial" w:eastAsia="Calibri" w:hAnsi="Arial" w:cs="Arial"/>
          <w:b/>
          <w:bCs/>
          <w:color w:val="auto"/>
          <w:sz w:val="26"/>
          <w:szCs w:val="26"/>
        </w:rPr>
      </w:pPr>
      <w:r w:rsidRPr="00A52ECD">
        <w:rPr>
          <w:rFonts w:ascii="Arial" w:eastAsia="Calibri" w:hAnsi="Arial" w:cs="Arial"/>
          <w:b/>
          <w:bCs/>
          <w:color w:val="auto"/>
          <w:sz w:val="26"/>
          <w:szCs w:val="26"/>
        </w:rPr>
        <w:t>Sustainable Transportation Solutions for Tourism Mobility</w:t>
      </w:r>
    </w:p>
    <w:p w14:paraId="70A8457E"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Tourism must use sustainable transportation to lessen its environmental impact. Green Key supports EV charging stations and bicycle rental businesses.</w:t>
      </w:r>
      <w:r w:rsidRPr="000F35DB">
        <w:rPr>
          <w:rFonts w:ascii="Arial" w:eastAsia="Calibri" w:hAnsi="Arial" w:cs="Arial"/>
        </w:rPr>
        <w:t xml:space="preserve"> </w:t>
      </w:r>
      <w:r w:rsidRPr="000F35DB">
        <w:rPr>
          <w:rFonts w:ascii="Arial" w:eastAsia="Calibri" w:hAnsi="Arial" w:cs="Arial"/>
          <w:color w:val="0E0E0E"/>
          <w:kern w:val="0"/>
        </w:rPr>
        <w:t>Lopez-Arboleda et al. (2019) found that incorporating electric vehicles into tourism can significantly decrease greenhouse gas emissions and enhance urban air quality. Moreover, endorsing bicycle rentals enhances environmentally conscious transportation and motivates tourists to embrace sustainable travel.</w:t>
      </w:r>
    </w:p>
    <w:p w14:paraId="027EF707"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However, implementing sustainable transportation solutions is difficult. Startup costs for EV charging infrastructure and bicycle fleets are vital issues. Moreover, the level of visitor acquaintance and their willingness to use these sustainable alternatives can pose obstacles. Zhao et al. (2020) argue that public awareness and supportive policies are crucial in overcoming obstacles and advancing sustainable transportation solutions.</w:t>
      </w:r>
    </w:p>
    <w:p w14:paraId="5BD76B95"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 xml:space="preserve">Green Key promotes eco-friendly mobility and carbon reduction. These guidelines advocate powering EV charging stations with renewable energy and managing bicycle rental garbage efficiently. Hanif and </w:t>
      </w:r>
      <w:proofErr w:type="spellStart"/>
      <w:r w:rsidRPr="000F35DB">
        <w:rPr>
          <w:rFonts w:ascii="Arial" w:eastAsia="Calibri" w:hAnsi="Arial" w:cs="Arial"/>
          <w:color w:val="0E0E0E"/>
          <w:kern w:val="0"/>
        </w:rPr>
        <w:t>Nurmandi</w:t>
      </w:r>
      <w:proofErr w:type="spellEnd"/>
      <w:r w:rsidRPr="000F35DB">
        <w:rPr>
          <w:rFonts w:ascii="Arial" w:eastAsia="Calibri" w:hAnsi="Arial" w:cs="Arial"/>
          <w:color w:val="0E0E0E"/>
          <w:kern w:val="0"/>
        </w:rPr>
        <w:t xml:space="preserve"> (2022) state that by integrating transport regulations with these criteria, sustainability in tourism mobility can be significantly improved.</w:t>
      </w:r>
    </w:p>
    <w:p w14:paraId="72471B21"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 xml:space="preserve">Several hotels accredited with the Green Key have effectively adopted inventive transportation options. Hotels in Norway have implemented extensive environmentally friendly urban mobility strategies, incorporating data-driven methods to efficiently handle transit demand and supply (Anthony Jnr., 2023).). These hotels have installed </w:t>
      </w:r>
      <w:r w:rsidRPr="000F35DB">
        <w:rPr>
          <w:rFonts w:ascii="Arial" w:eastAsia="Calibri" w:hAnsi="Arial" w:cs="Arial"/>
          <w:color w:val="0E0E0E"/>
          <w:kern w:val="0"/>
        </w:rPr>
        <w:lastRenderedPageBreak/>
        <w:t>EV charging stations powered by renewable energy and provided extensive bicycle rental services to their guests.</w:t>
      </w:r>
    </w:p>
    <w:p w14:paraId="2CE8B654"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Italy has presented another case study that showcases the use of environmentally friendly cars to transport goods over short distances in metropolitan areas focused on tourism. According to Patella et al., 2020, the implementation of this programme has resulted in a decrease in traffic congestion and a reduction in greenhouse gas emissions, demonstrating the capacity of sustainable transport in urban tourism.</w:t>
      </w:r>
    </w:p>
    <w:p w14:paraId="76A7795F" w14:textId="77777777" w:rsidR="000F35DB" w:rsidRPr="000F35DB" w:rsidRDefault="000F35DB" w:rsidP="000F35DB">
      <w:pPr>
        <w:spacing w:after="0" w:line="360" w:lineRule="auto"/>
        <w:jc w:val="both"/>
        <w:rPr>
          <w:rFonts w:ascii="Arial" w:eastAsia="Calibri" w:hAnsi="Arial" w:cs="Arial"/>
          <w:color w:val="0E0E0E"/>
          <w:kern w:val="0"/>
        </w:rPr>
      </w:pPr>
    </w:p>
    <w:p w14:paraId="11E82EF2" w14:textId="77777777" w:rsidR="000F35DB" w:rsidRPr="00A52ECD" w:rsidRDefault="000F35DB" w:rsidP="00A52ECD">
      <w:pPr>
        <w:pStyle w:val="Heading2"/>
        <w:rPr>
          <w:rFonts w:ascii="Arial" w:eastAsia="Calibri" w:hAnsi="Arial" w:cs="Arial"/>
          <w:b/>
          <w:bCs/>
          <w:color w:val="auto"/>
          <w:sz w:val="26"/>
          <w:szCs w:val="26"/>
        </w:rPr>
      </w:pPr>
      <w:r w:rsidRPr="00A52ECD">
        <w:rPr>
          <w:rFonts w:ascii="Arial" w:eastAsia="Calibri" w:hAnsi="Arial" w:cs="Arial"/>
          <w:b/>
          <w:bCs/>
          <w:color w:val="auto"/>
          <w:sz w:val="26"/>
          <w:szCs w:val="26"/>
        </w:rPr>
        <w:t>Navigating Sustainable Accreditation and Certification</w:t>
      </w:r>
    </w:p>
    <w:p w14:paraId="135DB017"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 xml:space="preserve">The Green Key accreditation procedure is a thorough method of guaranteeing sustainability in the hotel industry. The eligibility requirements for Green Key certification encompass adherence to rigorous environmental management protocols, including the efficient utilisation of water and energy, effective waste management, and promoting local biodiversity, as Anthony Jnr., 2023 suggested.  Hanif &amp; </w:t>
      </w:r>
      <w:proofErr w:type="spellStart"/>
      <w:r w:rsidRPr="000F35DB">
        <w:rPr>
          <w:rFonts w:ascii="Arial" w:eastAsia="Calibri" w:hAnsi="Arial" w:cs="Arial"/>
          <w:color w:val="0E0E0E"/>
          <w:kern w:val="0"/>
        </w:rPr>
        <w:t>Nurmandi</w:t>
      </w:r>
      <w:proofErr w:type="spellEnd"/>
      <w:r w:rsidRPr="000F35DB">
        <w:rPr>
          <w:rFonts w:ascii="Arial" w:eastAsia="Calibri" w:hAnsi="Arial" w:cs="Arial"/>
          <w:color w:val="0E0E0E"/>
          <w:kern w:val="0"/>
        </w:rPr>
        <w:t>, 2022 advised that assessment procedures encompass thorough on-site inspections and ongoing performance monitoring to validate compliance with these requirements. Performance standards cover cleaning, energy management, and other hotel operations, ensuring a holistic sustainability approach.</w:t>
      </w:r>
    </w:p>
    <w:p w14:paraId="0C392259"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Green Key, unlike LEED and BREEAM, focuses on the hospitality industry. LEED and BREEAM evaluate the overall environmental effects of buildings. In contrast, Green Key concentrates specifically on the operational aspects of hotels, including guest behaviour and service delivery, as Doan et al., 2017 advised. According to Blackman and Rivera (2011), the specificity of Green Key’s criteria makes it more effective in promoting sustainable practices within hotels than other certification schemes' more generalised standards.</w:t>
      </w:r>
    </w:p>
    <w:p w14:paraId="06E76875"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 xml:space="preserve">Industry experts and Green Key assessors emphasise the advantages of certification. Leskinen et al., 2020 advised that hotels that have obtained certification frequently experience improved brand recognition heightened guest loyalty, and cost savings resulting from enhanced resource efficiency. Nevertheless, obstacles must be overcome, such as the upfront capital needed for implementing sustainable improvements and continuous staff education to uphold certification criteria, as </w:t>
      </w:r>
      <w:proofErr w:type="spellStart"/>
      <w:r w:rsidRPr="000F35DB">
        <w:rPr>
          <w:rFonts w:ascii="Arial" w:eastAsia="Calibri" w:hAnsi="Arial" w:cs="Arial"/>
          <w:color w:val="0E0E0E"/>
          <w:kern w:val="0"/>
        </w:rPr>
        <w:t>Cherrafi</w:t>
      </w:r>
      <w:proofErr w:type="spellEnd"/>
      <w:r w:rsidRPr="000F35DB">
        <w:rPr>
          <w:rFonts w:ascii="Arial" w:eastAsia="Calibri" w:hAnsi="Arial" w:cs="Arial"/>
          <w:color w:val="0E0E0E"/>
          <w:kern w:val="0"/>
        </w:rPr>
        <w:t xml:space="preserve"> et al., 2021 suggested. Hotels can boost market competitiveness and sustainability by incorporating Green Key ideas into their business plans.</w:t>
      </w:r>
    </w:p>
    <w:p w14:paraId="769F05DA"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4DB0629F" w14:textId="77777777" w:rsidR="000F35DB" w:rsidRPr="00815458" w:rsidRDefault="000F35DB" w:rsidP="00A52ECD">
      <w:pPr>
        <w:pStyle w:val="Heading2"/>
        <w:rPr>
          <w:rFonts w:ascii="Arial" w:eastAsia="Calibri" w:hAnsi="Arial" w:cs="Arial"/>
          <w:b/>
          <w:bCs/>
          <w:color w:val="auto"/>
          <w:sz w:val="26"/>
          <w:szCs w:val="26"/>
        </w:rPr>
      </w:pPr>
      <w:r w:rsidRPr="00815458">
        <w:rPr>
          <w:rFonts w:ascii="Arial" w:eastAsia="Calibri" w:hAnsi="Arial" w:cs="Arial"/>
          <w:b/>
          <w:bCs/>
          <w:color w:val="auto"/>
          <w:sz w:val="26"/>
          <w:szCs w:val="26"/>
        </w:rPr>
        <w:t>Dynamics of Change: Benefits, Challenges, and Adaptation Strategies</w:t>
      </w:r>
    </w:p>
    <w:p w14:paraId="02C4534B" w14:textId="77777777" w:rsidR="000F35DB" w:rsidRPr="00A52ECD" w:rsidRDefault="000F35DB" w:rsidP="00A52ECD">
      <w:pPr>
        <w:pStyle w:val="Heading3"/>
        <w:rPr>
          <w:rFonts w:ascii="Arial" w:eastAsia="Calibri" w:hAnsi="Arial" w:cs="Arial"/>
          <w:color w:val="auto"/>
          <w:sz w:val="24"/>
          <w:szCs w:val="24"/>
        </w:rPr>
      </w:pPr>
      <w:r w:rsidRPr="00A52ECD">
        <w:rPr>
          <w:rFonts w:ascii="Arial" w:eastAsia="Calibri" w:hAnsi="Arial" w:cs="Arial"/>
          <w:color w:val="auto"/>
          <w:sz w:val="24"/>
          <w:szCs w:val="24"/>
        </w:rPr>
        <w:t>Benefits of Green Key Certification</w:t>
      </w:r>
    </w:p>
    <w:p w14:paraId="40BC1C71"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Green Key Certification offers numerous benefits, including enhanced brand reputation, market differentiation, and increased guest loyalty. Leskinen et al. (2020) found that certified facilities have excellent occupancy rates and customer satisfaction. This is because environmentally conscious travellers prefer environmentally responsible hotels. Additionally, Green Key Certification can save significant costs through improved energy efficiency and resource management. Zhang and He (2021) conducted a study emphasising sustainable practices' cost-saving and profit-enhancing benefits, including energy-efficient lighting and water-saving fixtures. Moreover, Green Key Certification promotes beneficial environmental effects and provides chances for community involvement. Amiri et al. (2019) observed that certified hotels frequently engage in local conservation initiatives and advocate for sustainable tourism practices. This improves their community ties and strengthens their commitment to environmental stewardship.</w:t>
      </w:r>
    </w:p>
    <w:p w14:paraId="0B9BFDBD"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7A61E83D" w14:textId="77777777" w:rsidR="000F35DB" w:rsidRPr="00A52ECD" w:rsidRDefault="000F35DB" w:rsidP="00A52ECD">
      <w:pPr>
        <w:pStyle w:val="Heading3"/>
        <w:rPr>
          <w:rFonts w:ascii="Arial" w:eastAsia="Calibri" w:hAnsi="Arial" w:cs="Arial"/>
          <w:color w:val="auto"/>
          <w:sz w:val="24"/>
          <w:szCs w:val="24"/>
        </w:rPr>
      </w:pPr>
      <w:r w:rsidRPr="00A52ECD">
        <w:rPr>
          <w:rFonts w:ascii="Arial" w:eastAsia="Calibri" w:hAnsi="Arial" w:cs="Arial"/>
          <w:color w:val="auto"/>
          <w:sz w:val="24"/>
          <w:szCs w:val="24"/>
        </w:rPr>
        <w:t>Challenges and Adaptive Responses</w:t>
      </w:r>
    </w:p>
    <w:p w14:paraId="19176F4A"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 xml:space="preserve">Despite these benefits, achieving and maintaining Green Key Certification presents several challenges. Initial investment costs for sustainable infrastructure and technology can be significant. </w:t>
      </w:r>
      <w:proofErr w:type="spellStart"/>
      <w:r w:rsidRPr="000F35DB">
        <w:rPr>
          <w:rFonts w:ascii="Arial" w:eastAsia="Calibri" w:hAnsi="Arial" w:cs="Arial"/>
          <w:color w:val="0E0E0E"/>
          <w:kern w:val="0"/>
        </w:rPr>
        <w:t>Cherrafi</w:t>
      </w:r>
      <w:proofErr w:type="spellEnd"/>
      <w:r w:rsidRPr="000F35DB">
        <w:rPr>
          <w:rFonts w:ascii="Arial" w:eastAsia="Calibri" w:hAnsi="Arial" w:cs="Arial"/>
          <w:color w:val="0E0E0E"/>
          <w:kern w:val="0"/>
        </w:rPr>
        <w:t xml:space="preserve"> et al. (2021) highlight that retrofitting old buildings or incorporating new environmentally friendly technologies necessitates substantial financial resources, which could discourage certain firms. Continuous staff training is essential to ensure compliance with evolving sustainability standards and stakeholder expectations.</w:t>
      </w:r>
      <w:r w:rsidRPr="000F35DB">
        <w:rPr>
          <w:rFonts w:ascii="Arial" w:eastAsia="Calibri" w:hAnsi="Arial" w:cs="Arial"/>
        </w:rPr>
        <w:t xml:space="preserve"> </w:t>
      </w:r>
      <w:r w:rsidRPr="000F35DB">
        <w:rPr>
          <w:rFonts w:ascii="Arial" w:eastAsia="Calibri" w:hAnsi="Arial" w:cs="Arial"/>
          <w:color w:val="0E0E0E"/>
          <w:kern w:val="0"/>
        </w:rPr>
        <w:t xml:space="preserve">Khan and Pasha (2022) argue that it is imperative to implement frequent training programmes and workshops to ensure that staff members are well-informed about the most effective methods and any regulatory modifications. Incorporating Green Key ideas into corporate strategy and business models is essential for long-term success. According to </w:t>
      </w:r>
      <w:proofErr w:type="spellStart"/>
      <w:r w:rsidRPr="000F35DB">
        <w:rPr>
          <w:rFonts w:ascii="Arial" w:eastAsia="Calibri" w:hAnsi="Arial" w:cs="Arial"/>
          <w:color w:val="0E0E0E"/>
          <w:kern w:val="0"/>
        </w:rPr>
        <w:t>Gliedt</w:t>
      </w:r>
      <w:proofErr w:type="spellEnd"/>
      <w:r w:rsidRPr="000F35DB">
        <w:rPr>
          <w:rFonts w:ascii="Arial" w:eastAsia="Calibri" w:hAnsi="Arial" w:cs="Arial"/>
          <w:color w:val="0E0E0E"/>
          <w:kern w:val="0"/>
        </w:rPr>
        <w:t xml:space="preserve"> et al. (2018), integrating sustainability activities with corporate objectives can improve organisational performance and resilience.</w:t>
      </w:r>
    </w:p>
    <w:p w14:paraId="33151890" w14:textId="77777777" w:rsidR="000F35DB" w:rsidRPr="000F35DB" w:rsidRDefault="000F35DB" w:rsidP="000F35DB">
      <w:pPr>
        <w:spacing w:after="0" w:line="360" w:lineRule="auto"/>
        <w:jc w:val="both"/>
        <w:rPr>
          <w:rFonts w:ascii="Arial" w:eastAsia="Calibri" w:hAnsi="Arial" w:cs="Arial"/>
          <w:color w:val="0E0E0E"/>
          <w:kern w:val="0"/>
        </w:rPr>
      </w:pPr>
    </w:p>
    <w:p w14:paraId="40641CCC" w14:textId="77777777" w:rsidR="00A52ECD" w:rsidRDefault="00A52ECD"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4B5C2C5F" w14:textId="37A7EE0C" w:rsidR="000F35DB" w:rsidRPr="00A52ECD" w:rsidRDefault="000F35DB" w:rsidP="00A52ECD">
      <w:pPr>
        <w:pStyle w:val="Heading2"/>
        <w:rPr>
          <w:rFonts w:ascii="Arial" w:eastAsia="Calibri" w:hAnsi="Arial" w:cs="Arial"/>
          <w:b/>
          <w:bCs/>
          <w:color w:val="auto"/>
          <w:sz w:val="26"/>
          <w:szCs w:val="26"/>
        </w:rPr>
      </w:pPr>
      <w:r w:rsidRPr="00A52ECD">
        <w:rPr>
          <w:rFonts w:ascii="Arial" w:eastAsia="Calibri" w:hAnsi="Arial" w:cs="Arial"/>
          <w:b/>
          <w:bCs/>
          <w:color w:val="auto"/>
          <w:sz w:val="26"/>
          <w:szCs w:val="26"/>
        </w:rPr>
        <w:lastRenderedPageBreak/>
        <w:t>Future Horizons: Trends, Innovations, and Disruptive Forces</w:t>
      </w:r>
    </w:p>
    <w:p w14:paraId="2A1F0D1C"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The Green Key program increasingly endorses emerging trends and innovations in sustainable hospitality.</w:t>
      </w:r>
      <w:r w:rsidRPr="000F35DB">
        <w:rPr>
          <w:rFonts w:ascii="Arial" w:eastAsia="Calibri" w:hAnsi="Arial" w:cs="Arial"/>
        </w:rPr>
        <w:t xml:space="preserve"> </w:t>
      </w:r>
      <w:r w:rsidRPr="000F35DB">
        <w:rPr>
          <w:rFonts w:ascii="Arial" w:eastAsia="Calibri" w:hAnsi="Arial" w:cs="Arial"/>
          <w:color w:val="0E0E0E"/>
          <w:kern w:val="0"/>
        </w:rPr>
        <w:t xml:space="preserve">These include adopting green building technologies, such as energy-efficient designs and renewable energy systems, and circular economy principles to reduce waste and enhance resource efficiency (Bux &amp; </w:t>
      </w:r>
      <w:proofErr w:type="spellStart"/>
      <w:r w:rsidRPr="000F35DB">
        <w:rPr>
          <w:rFonts w:ascii="Arial" w:eastAsia="Calibri" w:hAnsi="Arial" w:cs="Arial"/>
          <w:color w:val="0E0E0E"/>
          <w:kern w:val="0"/>
        </w:rPr>
        <w:t>Amicarelli</w:t>
      </w:r>
      <w:proofErr w:type="spellEnd"/>
      <w:r w:rsidRPr="000F35DB">
        <w:rPr>
          <w:rFonts w:ascii="Arial" w:eastAsia="Calibri" w:hAnsi="Arial" w:cs="Arial"/>
          <w:color w:val="0E0E0E"/>
          <w:kern w:val="0"/>
        </w:rPr>
        <w:t>, 2022). Integrating these technologies aligns with sustainability goals, improves operational efficiency, and reduces costs.</w:t>
      </w:r>
    </w:p>
    <w:p w14:paraId="0446A16D"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Climate change, legal reforms, and technological advances are transforming eco-certification programmes. Environmental advancements are changing the hospitality industry, forcing businesses to adapt swiftly to stay competitive, according to Sharma et al. (2020). Environmental advancements are changing the hospitality industry, forcing businesses to adapt promptly to remain competitive, according to Sharma et al. (2020).</w:t>
      </w:r>
    </w:p>
    <w:p w14:paraId="24AB7332" w14:textId="77777777" w:rsid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The potential for Green Key to evolve in response to these disruptive forces is substantial.</w:t>
      </w:r>
      <w:r w:rsidRPr="000F35DB">
        <w:rPr>
          <w:rFonts w:ascii="Arial" w:eastAsia="Calibri" w:hAnsi="Arial" w:cs="Arial"/>
        </w:rPr>
        <w:t xml:space="preserve"> </w:t>
      </w:r>
      <w:r w:rsidRPr="000F35DB">
        <w:rPr>
          <w:rFonts w:ascii="Arial" w:eastAsia="Calibri" w:hAnsi="Arial" w:cs="Arial"/>
          <w:color w:val="0E0E0E"/>
          <w:kern w:val="0"/>
        </w:rPr>
        <w:t>According to Oduro et al. (2021), the ongoing advancement of environmentally friendly technologies and business models is essential for adjusting to evolving market dynamics and regulatory frameworks. Advanced data analytics and AI can improve sustainability projects by revealing energy and waste use patterns.</w:t>
      </w:r>
    </w:p>
    <w:p w14:paraId="575DE223" w14:textId="77777777" w:rsidR="009E0E0B" w:rsidRDefault="009E0E0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2AEB942F" w14:textId="49B22B84" w:rsidR="009E0E0B" w:rsidRPr="009E0E0B" w:rsidRDefault="009E0E0B" w:rsidP="009E0E0B">
      <w:pPr>
        <w:pStyle w:val="Heading1"/>
        <w:rPr>
          <w:rFonts w:ascii="Arial" w:eastAsia="Calibri" w:hAnsi="Arial" w:cs="Arial"/>
          <w:b/>
          <w:bCs/>
          <w:color w:val="auto"/>
          <w:sz w:val="28"/>
          <w:szCs w:val="28"/>
        </w:rPr>
      </w:pPr>
      <w:r w:rsidRPr="009E0E0B">
        <w:rPr>
          <w:rFonts w:ascii="Arial" w:eastAsia="Calibri" w:hAnsi="Arial" w:cs="Arial"/>
          <w:b/>
          <w:bCs/>
          <w:color w:val="auto"/>
          <w:sz w:val="28"/>
          <w:szCs w:val="28"/>
        </w:rPr>
        <w:t>Conclusion</w:t>
      </w:r>
    </w:p>
    <w:p w14:paraId="606EF92A"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The report has emphasised the crucial significance of Green Key accreditation in promoting sustainability within the hotel and hospitality sector. Green Key-certified hotels gain advantages such as improved brand reputation, distinction in the market, reduced costs, and more guest loyalty. The certification's rigorous standards for environmental management, resource efficiency, and community engagement highlight its all-encompassing approach to sustainability.</w:t>
      </w:r>
    </w:p>
    <w:p w14:paraId="1C599C59"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Green Key can transform environmentalism, social responsibility, and economic resilience. Sustainable hotel methods lessen their environmental impact and benefit local communities and the planet. Sustainable and competitive business strategies that use Green Key concepts can make certified hotels eco-conscious market leaders.</w:t>
      </w:r>
    </w:p>
    <w:p w14:paraId="40F4692E" w14:textId="1BCE3EF2" w:rsid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 xml:space="preserve">Hotels must adopt Green Key values and work together to create a more sustainable and inclusive future as environmental and social issues grow. To promote sustainability, hoteliers must invest in sustainable technologies, train staff, and engage </w:t>
      </w:r>
      <w:r w:rsidRPr="000F35DB">
        <w:rPr>
          <w:rFonts w:ascii="Arial" w:eastAsia="Calibri" w:hAnsi="Arial" w:cs="Arial"/>
          <w:color w:val="0E0E0E"/>
          <w:kern w:val="0"/>
        </w:rPr>
        <w:lastRenderedPageBreak/>
        <w:t>with stakeholders. By doing so, the hotel and hospitality industry can significantly contribute to global sustainability goals and set a responsible tourism baseline.</w:t>
      </w:r>
    </w:p>
    <w:p w14:paraId="79BCB332"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705C2433"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1CD2D0EC"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14FAF136"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1674A2B5"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00E9559F"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03700554" w14:textId="384E8136"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776BAFA8"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74D7ECC5"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00F458CA"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24547D29"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6B657459"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1E8C9082"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6EBB782C"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39F31A1D"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5E19E592"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7CC7A623"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5B93A4E0"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25ADA64C"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29F1A53A"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102243D6"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128FC68C"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66C79198"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7D810F1F"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0F6821D8"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44A23B29"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72AF6013"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6F75B44F"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56D4B26C"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478F43BC"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03A718AC" w14:textId="77777777" w:rsidR="00815458" w:rsidRPr="000F35DB"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7B73D16A"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2535C931" w14:textId="77777777" w:rsidR="000F35DB" w:rsidRPr="00571879" w:rsidRDefault="000F35DB" w:rsidP="00571879">
      <w:pPr>
        <w:pStyle w:val="Heading1"/>
        <w:rPr>
          <w:rFonts w:ascii="Arial" w:eastAsia="Calibri" w:hAnsi="Arial" w:cs="Arial"/>
          <w:b/>
          <w:bCs/>
          <w:color w:val="auto"/>
          <w:sz w:val="28"/>
          <w:szCs w:val="28"/>
        </w:rPr>
      </w:pPr>
      <w:r w:rsidRPr="00571879">
        <w:rPr>
          <w:rFonts w:ascii="Arial" w:eastAsia="Calibri" w:hAnsi="Arial" w:cs="Arial"/>
          <w:b/>
          <w:bCs/>
          <w:color w:val="auto"/>
          <w:sz w:val="28"/>
          <w:szCs w:val="28"/>
        </w:rPr>
        <w:lastRenderedPageBreak/>
        <w:t>Reference List</w:t>
      </w:r>
    </w:p>
    <w:p w14:paraId="1B74360B"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proofErr w:type="spellStart"/>
      <w:r w:rsidRPr="000F35DB">
        <w:rPr>
          <w:rFonts w:ascii="Arial" w:eastAsia="Calibri" w:hAnsi="Arial" w:cs="Arial"/>
          <w:color w:val="0E0E0E"/>
          <w:kern w:val="0"/>
        </w:rPr>
        <w:t>Amui</w:t>
      </w:r>
      <w:proofErr w:type="spellEnd"/>
      <w:r w:rsidRPr="000F35DB">
        <w:rPr>
          <w:rFonts w:ascii="Arial" w:eastAsia="Calibri" w:hAnsi="Arial" w:cs="Arial"/>
          <w:color w:val="0E0E0E"/>
          <w:kern w:val="0"/>
        </w:rPr>
        <w:t xml:space="preserve">, L., Jabbour, C., de Sousa Jabbour, A. B., &amp; Kannan, D. (2017). Sustainability as a dynamic organisational capability: a systematic review and a future agenda toward a sustainable transition. </w:t>
      </w:r>
      <w:r w:rsidRPr="000F35DB">
        <w:rPr>
          <w:rFonts w:ascii="Arial" w:eastAsia="Calibri" w:hAnsi="Arial" w:cs="Arial"/>
          <w:i/>
          <w:iCs/>
          <w:color w:val="0E0E0E"/>
          <w:kern w:val="0"/>
        </w:rPr>
        <w:t>Journal of Cleaner Production</w:t>
      </w:r>
      <w:r w:rsidRPr="000F35DB">
        <w:rPr>
          <w:rFonts w:ascii="Arial" w:eastAsia="Calibri" w:hAnsi="Arial" w:cs="Arial"/>
          <w:color w:val="0E0E0E"/>
          <w:kern w:val="0"/>
        </w:rPr>
        <w:t xml:space="preserve">, 142, 308-322. </w:t>
      </w:r>
      <w:hyperlink r:id="rId5" w:history="1">
        <w:r w:rsidRPr="000F35DB">
          <w:rPr>
            <w:rFonts w:ascii="Arial" w:eastAsia="Calibri" w:hAnsi="Arial" w:cs="Arial"/>
            <w:color w:val="467886" w:themeColor="hyperlink"/>
            <w:kern w:val="0"/>
            <w:u w:val="single"/>
          </w:rPr>
          <w:t>https://doi.org/10.1016/J.JCLEPRO.2016.07.103</w:t>
        </w:r>
      </w:hyperlink>
      <w:r w:rsidRPr="000F35DB">
        <w:rPr>
          <w:rFonts w:ascii="Arial" w:eastAsia="Calibri" w:hAnsi="Arial" w:cs="Arial"/>
          <w:color w:val="0E0E0E"/>
          <w:kern w:val="0"/>
        </w:rPr>
        <w:t xml:space="preserve"> </w:t>
      </w:r>
    </w:p>
    <w:p w14:paraId="544A0449"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Blackman, A., &amp; Rivera, J. (2011). Producer</w:t>
      </w:r>
      <w:r w:rsidRPr="000F35DB">
        <w:rPr>
          <w:rFonts w:ascii="Cambria Math" w:eastAsia="Calibri" w:hAnsi="Cambria Math" w:cs="Cambria Math"/>
          <w:color w:val="0E0E0E"/>
          <w:kern w:val="0"/>
        </w:rPr>
        <w:t>‐</w:t>
      </w:r>
      <w:r w:rsidRPr="000F35DB">
        <w:rPr>
          <w:rFonts w:ascii="Arial" w:eastAsia="Calibri" w:hAnsi="Arial" w:cs="Arial"/>
          <w:color w:val="0E0E0E"/>
          <w:kern w:val="0"/>
        </w:rPr>
        <w:t xml:space="preserve">Level Benefits of Sustainability Certification. </w:t>
      </w:r>
      <w:r w:rsidRPr="000F35DB">
        <w:rPr>
          <w:rFonts w:ascii="Arial" w:eastAsia="Calibri" w:hAnsi="Arial" w:cs="Arial"/>
          <w:i/>
          <w:iCs/>
          <w:color w:val="0E0E0E"/>
          <w:kern w:val="0"/>
        </w:rPr>
        <w:t>Conservation Biology</w:t>
      </w:r>
      <w:r w:rsidRPr="000F35DB">
        <w:rPr>
          <w:rFonts w:ascii="Arial" w:eastAsia="Calibri" w:hAnsi="Arial" w:cs="Arial"/>
          <w:color w:val="0E0E0E"/>
          <w:kern w:val="0"/>
        </w:rPr>
        <w:t xml:space="preserve">, 25. </w:t>
      </w:r>
      <w:hyperlink r:id="rId6" w:history="1">
        <w:r w:rsidRPr="000F35DB">
          <w:rPr>
            <w:rFonts w:ascii="Arial" w:eastAsia="Calibri" w:hAnsi="Arial" w:cs="Arial"/>
            <w:color w:val="467886" w:themeColor="hyperlink"/>
            <w:kern w:val="0"/>
            <w:u w:val="single"/>
          </w:rPr>
          <w:t>https://doi.org/10.1111/j.1523-1739.2011.01774.x</w:t>
        </w:r>
      </w:hyperlink>
      <w:r w:rsidRPr="000F35DB">
        <w:rPr>
          <w:rFonts w:ascii="Arial" w:eastAsia="Calibri" w:hAnsi="Arial" w:cs="Arial"/>
          <w:color w:val="0E0E0E"/>
          <w:kern w:val="0"/>
        </w:rPr>
        <w:t xml:space="preserve"> </w:t>
      </w:r>
    </w:p>
    <w:p w14:paraId="36933884"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proofErr w:type="spellStart"/>
      <w:r w:rsidRPr="000F35DB">
        <w:rPr>
          <w:rFonts w:ascii="Arial" w:eastAsia="Calibri" w:hAnsi="Arial" w:cs="Arial"/>
          <w:color w:val="0E0E0E"/>
          <w:kern w:val="0"/>
        </w:rPr>
        <w:t>Cherrafi</w:t>
      </w:r>
      <w:proofErr w:type="spellEnd"/>
      <w:r w:rsidRPr="000F35DB">
        <w:rPr>
          <w:rFonts w:ascii="Arial" w:eastAsia="Calibri" w:hAnsi="Arial" w:cs="Arial"/>
          <w:color w:val="0E0E0E"/>
          <w:kern w:val="0"/>
        </w:rPr>
        <w:t>, A., Garza</w:t>
      </w:r>
      <w:r w:rsidRPr="000F35DB">
        <w:rPr>
          <w:rFonts w:ascii="Cambria Math" w:eastAsia="Calibri" w:hAnsi="Cambria Math" w:cs="Cambria Math"/>
          <w:color w:val="0E0E0E"/>
          <w:kern w:val="0"/>
        </w:rPr>
        <w:t>‐</w:t>
      </w:r>
      <w:r w:rsidRPr="000F35DB">
        <w:rPr>
          <w:rFonts w:ascii="Arial" w:eastAsia="Calibri" w:hAnsi="Arial" w:cs="Arial"/>
          <w:color w:val="0E0E0E"/>
          <w:kern w:val="0"/>
        </w:rPr>
        <w:t xml:space="preserve">Reyes, J., Belhadi, A., Kamble, S. S., &amp; Elbaz, J. (2021). A readiness self-assessment model for implementing green lean initiatives. </w:t>
      </w:r>
      <w:r w:rsidRPr="000F35DB">
        <w:rPr>
          <w:rFonts w:ascii="Arial" w:eastAsia="Calibri" w:hAnsi="Arial" w:cs="Arial"/>
          <w:i/>
          <w:iCs/>
          <w:color w:val="0E0E0E"/>
          <w:kern w:val="0"/>
        </w:rPr>
        <w:t>Journal of Cleaner Production</w:t>
      </w:r>
      <w:r w:rsidRPr="000F35DB">
        <w:rPr>
          <w:rFonts w:ascii="Arial" w:eastAsia="Calibri" w:hAnsi="Arial" w:cs="Arial"/>
          <w:color w:val="0E0E0E"/>
          <w:kern w:val="0"/>
        </w:rPr>
        <w:t xml:space="preserve">, 309, 127401. </w:t>
      </w:r>
      <w:hyperlink r:id="rId7" w:history="1">
        <w:r w:rsidRPr="000F35DB">
          <w:rPr>
            <w:rFonts w:ascii="Arial" w:eastAsia="Calibri" w:hAnsi="Arial" w:cs="Arial"/>
            <w:color w:val="467886" w:themeColor="hyperlink"/>
            <w:kern w:val="0"/>
            <w:u w:val="single"/>
          </w:rPr>
          <w:t>https://doi.org/10.1016/J.JCLEPRO.2021.127401</w:t>
        </w:r>
      </w:hyperlink>
      <w:r w:rsidRPr="000F35DB">
        <w:rPr>
          <w:rFonts w:ascii="Arial" w:eastAsia="Calibri" w:hAnsi="Arial" w:cs="Arial"/>
          <w:color w:val="0E0E0E"/>
          <w:kern w:val="0"/>
        </w:rPr>
        <w:t xml:space="preserve"> </w:t>
      </w:r>
    </w:p>
    <w:p w14:paraId="48EBEB2E"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DeFries, R., Fanzo, J., Mondal, P., Remans, R., &amp; Wood, S. (2017). Is voluntary certification of tropical agricultural commodities achieving sustainability goals for small-scale producers? A review of the evidence. </w:t>
      </w:r>
      <w:r w:rsidRPr="000F35DB">
        <w:rPr>
          <w:rFonts w:ascii="Arial" w:eastAsia="Calibri" w:hAnsi="Arial" w:cs="Arial"/>
          <w:i/>
          <w:iCs/>
          <w:color w:val="0E0E0E"/>
          <w:kern w:val="0"/>
        </w:rPr>
        <w:t>Environmental Research Letters</w:t>
      </w:r>
      <w:r w:rsidRPr="000F35DB">
        <w:rPr>
          <w:rFonts w:ascii="Arial" w:eastAsia="Calibri" w:hAnsi="Arial" w:cs="Arial"/>
          <w:color w:val="0E0E0E"/>
          <w:kern w:val="0"/>
        </w:rPr>
        <w:t xml:space="preserve">, 12. </w:t>
      </w:r>
      <w:hyperlink r:id="rId8" w:history="1">
        <w:r w:rsidRPr="000F35DB">
          <w:rPr>
            <w:rFonts w:ascii="Arial" w:eastAsia="Calibri" w:hAnsi="Arial" w:cs="Arial"/>
            <w:color w:val="467886" w:themeColor="hyperlink"/>
            <w:kern w:val="0"/>
            <w:u w:val="single"/>
          </w:rPr>
          <w:t>https://doi.org/10.1088/1748-9326/aa625e</w:t>
        </w:r>
      </w:hyperlink>
      <w:r w:rsidRPr="000F35DB">
        <w:rPr>
          <w:rFonts w:ascii="Arial" w:eastAsia="Calibri" w:hAnsi="Arial" w:cs="Arial"/>
          <w:color w:val="0E0E0E"/>
          <w:kern w:val="0"/>
        </w:rPr>
        <w:t xml:space="preserve"> </w:t>
      </w:r>
    </w:p>
    <w:p w14:paraId="1DAA2BA4"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Doan, D. T., </w:t>
      </w:r>
      <w:proofErr w:type="spellStart"/>
      <w:r w:rsidRPr="000F35DB">
        <w:rPr>
          <w:rFonts w:ascii="Arial" w:eastAsia="Calibri" w:hAnsi="Arial" w:cs="Arial"/>
          <w:color w:val="0E0E0E"/>
          <w:kern w:val="0"/>
        </w:rPr>
        <w:t>Ghaffarianhoseini</w:t>
      </w:r>
      <w:proofErr w:type="spellEnd"/>
      <w:r w:rsidRPr="000F35DB">
        <w:rPr>
          <w:rFonts w:ascii="Arial" w:eastAsia="Calibri" w:hAnsi="Arial" w:cs="Arial"/>
          <w:color w:val="0E0E0E"/>
          <w:kern w:val="0"/>
        </w:rPr>
        <w:t xml:space="preserve">, A., Naismith, N., Zhang, T., </w:t>
      </w:r>
      <w:proofErr w:type="spellStart"/>
      <w:r w:rsidRPr="000F35DB">
        <w:rPr>
          <w:rFonts w:ascii="Arial" w:eastAsia="Calibri" w:hAnsi="Arial" w:cs="Arial"/>
          <w:color w:val="0E0E0E"/>
          <w:kern w:val="0"/>
        </w:rPr>
        <w:t>Ghaffarianhoseini</w:t>
      </w:r>
      <w:proofErr w:type="spellEnd"/>
      <w:r w:rsidRPr="000F35DB">
        <w:rPr>
          <w:rFonts w:ascii="Arial" w:eastAsia="Calibri" w:hAnsi="Arial" w:cs="Arial"/>
          <w:color w:val="0E0E0E"/>
          <w:kern w:val="0"/>
        </w:rPr>
        <w:t xml:space="preserve">, A., &amp; Tookey, J. (2017). A critical comparison of green building rating systems. </w:t>
      </w:r>
      <w:r w:rsidRPr="000F35DB">
        <w:rPr>
          <w:rFonts w:ascii="Arial" w:eastAsia="Calibri" w:hAnsi="Arial" w:cs="Arial"/>
          <w:i/>
          <w:iCs/>
          <w:color w:val="0E0E0E"/>
          <w:kern w:val="0"/>
        </w:rPr>
        <w:t>Building and Environment</w:t>
      </w:r>
      <w:r w:rsidRPr="000F35DB">
        <w:rPr>
          <w:rFonts w:ascii="Arial" w:eastAsia="Calibri" w:hAnsi="Arial" w:cs="Arial"/>
          <w:color w:val="0E0E0E"/>
          <w:kern w:val="0"/>
        </w:rPr>
        <w:t xml:space="preserve">, 123, 243-260. </w:t>
      </w:r>
      <w:hyperlink r:id="rId9" w:history="1">
        <w:r w:rsidRPr="000F35DB">
          <w:rPr>
            <w:rFonts w:ascii="Arial" w:eastAsia="Calibri" w:hAnsi="Arial" w:cs="Arial"/>
            <w:color w:val="467886" w:themeColor="hyperlink"/>
            <w:kern w:val="0"/>
            <w:u w:val="single"/>
          </w:rPr>
          <w:t>https://doi.org/10.1016/J.BUILDENV.2017.07.007</w:t>
        </w:r>
      </w:hyperlink>
      <w:r w:rsidRPr="000F35DB">
        <w:rPr>
          <w:rFonts w:ascii="Arial" w:eastAsia="Calibri" w:hAnsi="Arial" w:cs="Arial"/>
          <w:color w:val="0E0E0E"/>
          <w:kern w:val="0"/>
        </w:rPr>
        <w:t xml:space="preserve"> </w:t>
      </w:r>
    </w:p>
    <w:p w14:paraId="2458E395"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proofErr w:type="spellStart"/>
      <w:r w:rsidRPr="000F35DB">
        <w:rPr>
          <w:rFonts w:ascii="Arial" w:eastAsia="Calibri" w:hAnsi="Arial" w:cs="Arial"/>
          <w:color w:val="0E0E0E"/>
          <w:kern w:val="0"/>
        </w:rPr>
        <w:t>Gliedt</w:t>
      </w:r>
      <w:proofErr w:type="spellEnd"/>
      <w:r w:rsidRPr="000F35DB">
        <w:rPr>
          <w:rFonts w:ascii="Arial" w:eastAsia="Calibri" w:hAnsi="Arial" w:cs="Arial"/>
          <w:color w:val="0E0E0E"/>
          <w:kern w:val="0"/>
        </w:rPr>
        <w:t xml:space="preserve">, T., </w:t>
      </w:r>
      <w:proofErr w:type="spellStart"/>
      <w:r w:rsidRPr="000F35DB">
        <w:rPr>
          <w:rFonts w:ascii="Arial" w:eastAsia="Calibri" w:hAnsi="Arial" w:cs="Arial"/>
          <w:color w:val="0E0E0E"/>
          <w:kern w:val="0"/>
        </w:rPr>
        <w:t>Hoicka</w:t>
      </w:r>
      <w:proofErr w:type="spellEnd"/>
      <w:r w:rsidRPr="000F35DB">
        <w:rPr>
          <w:rFonts w:ascii="Arial" w:eastAsia="Calibri" w:hAnsi="Arial" w:cs="Arial"/>
          <w:color w:val="0E0E0E"/>
          <w:kern w:val="0"/>
        </w:rPr>
        <w:t xml:space="preserve">, C., &amp; Jackson, N. (2018). Innovation intermediaries accelerating environmental sustainability transitions. </w:t>
      </w:r>
      <w:r w:rsidRPr="000F35DB">
        <w:rPr>
          <w:rFonts w:ascii="Arial" w:eastAsia="Calibri" w:hAnsi="Arial" w:cs="Arial"/>
          <w:i/>
          <w:iCs/>
          <w:color w:val="0E0E0E"/>
          <w:kern w:val="0"/>
        </w:rPr>
        <w:t>Journal of Cleaner Production</w:t>
      </w:r>
      <w:r w:rsidRPr="000F35DB">
        <w:rPr>
          <w:rFonts w:ascii="Arial" w:eastAsia="Calibri" w:hAnsi="Arial" w:cs="Arial"/>
          <w:color w:val="0E0E0E"/>
          <w:kern w:val="0"/>
        </w:rPr>
        <w:t xml:space="preserve">, 174, 1247-1261. </w:t>
      </w:r>
      <w:hyperlink r:id="rId10" w:history="1">
        <w:r w:rsidRPr="000F35DB">
          <w:rPr>
            <w:rFonts w:ascii="Arial" w:eastAsia="Calibri" w:hAnsi="Arial" w:cs="Arial"/>
            <w:color w:val="467886" w:themeColor="hyperlink"/>
            <w:kern w:val="0"/>
            <w:u w:val="single"/>
          </w:rPr>
          <w:t>https://doi.org/10.1016/J.JCLEPRO.2017.11.054</w:t>
        </w:r>
      </w:hyperlink>
      <w:r w:rsidRPr="000F35DB">
        <w:rPr>
          <w:rFonts w:ascii="Arial" w:eastAsia="Calibri" w:hAnsi="Arial" w:cs="Arial"/>
          <w:color w:val="0E0E0E"/>
          <w:kern w:val="0"/>
        </w:rPr>
        <w:t xml:space="preserve"> </w:t>
      </w:r>
    </w:p>
    <w:p w14:paraId="011F9D08"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Hanif, N. A., &amp; </w:t>
      </w:r>
      <w:proofErr w:type="spellStart"/>
      <w:r w:rsidRPr="000F35DB">
        <w:rPr>
          <w:rFonts w:ascii="Arial" w:eastAsia="Calibri" w:hAnsi="Arial" w:cs="Arial"/>
          <w:color w:val="0E0E0E"/>
          <w:kern w:val="0"/>
        </w:rPr>
        <w:t>Nurmandi</w:t>
      </w:r>
      <w:proofErr w:type="spellEnd"/>
      <w:r w:rsidRPr="000F35DB">
        <w:rPr>
          <w:rFonts w:ascii="Arial" w:eastAsia="Calibri" w:hAnsi="Arial" w:cs="Arial"/>
          <w:color w:val="0E0E0E"/>
          <w:kern w:val="0"/>
        </w:rPr>
        <w:t xml:space="preserve">, A. (2022). Sustainable Transport Development Strategy in Developed and Developing Countries. </w:t>
      </w:r>
      <w:r w:rsidRPr="000F35DB">
        <w:rPr>
          <w:rFonts w:ascii="Arial" w:eastAsia="Calibri" w:hAnsi="Arial" w:cs="Arial"/>
          <w:i/>
          <w:iCs/>
          <w:color w:val="0E0E0E"/>
          <w:kern w:val="0"/>
        </w:rPr>
        <w:t>Human Interaction and Emerging Technologies (IHIET 2022)</w:t>
      </w:r>
      <w:r w:rsidRPr="000F35DB">
        <w:rPr>
          <w:rFonts w:ascii="Arial" w:eastAsia="Calibri" w:hAnsi="Arial" w:cs="Arial"/>
          <w:color w:val="0E0E0E"/>
          <w:kern w:val="0"/>
        </w:rPr>
        <w:t xml:space="preserve">. </w:t>
      </w:r>
      <w:hyperlink r:id="rId11" w:history="1">
        <w:r w:rsidRPr="000F35DB">
          <w:rPr>
            <w:rFonts w:ascii="Arial" w:eastAsia="Calibri" w:hAnsi="Arial" w:cs="Arial"/>
            <w:color w:val="467886" w:themeColor="hyperlink"/>
            <w:kern w:val="0"/>
            <w:u w:val="single"/>
          </w:rPr>
          <w:t>https://doi.org/10.54941/ahfe1002729</w:t>
        </w:r>
      </w:hyperlink>
      <w:r w:rsidRPr="000F35DB">
        <w:rPr>
          <w:rFonts w:ascii="Arial" w:eastAsia="Calibri" w:hAnsi="Arial" w:cs="Arial"/>
          <w:color w:val="0E0E0E"/>
          <w:kern w:val="0"/>
        </w:rPr>
        <w:t xml:space="preserve"> </w:t>
      </w:r>
    </w:p>
    <w:p w14:paraId="34D7DD7A"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Jones, P., &amp; Wynn, M. (2019). The circular economy, natural capital and resilience in tourism and hospitality. </w:t>
      </w:r>
      <w:r w:rsidRPr="000F35DB">
        <w:rPr>
          <w:rFonts w:ascii="Arial" w:eastAsia="Calibri" w:hAnsi="Arial" w:cs="Arial"/>
          <w:i/>
          <w:iCs/>
          <w:color w:val="0E0E0E"/>
          <w:kern w:val="0"/>
        </w:rPr>
        <w:t>International Journal of Contemporary Hospitality Management</w:t>
      </w:r>
      <w:r w:rsidRPr="000F35DB">
        <w:rPr>
          <w:rFonts w:ascii="Arial" w:eastAsia="Calibri" w:hAnsi="Arial" w:cs="Arial"/>
          <w:color w:val="0E0E0E"/>
          <w:kern w:val="0"/>
        </w:rPr>
        <w:t xml:space="preserve">.  </w:t>
      </w:r>
      <w:hyperlink r:id="rId12" w:history="1">
        <w:r w:rsidRPr="000F35DB">
          <w:rPr>
            <w:rFonts w:ascii="Arial" w:eastAsia="Calibri" w:hAnsi="Arial" w:cs="Arial"/>
            <w:color w:val="467886" w:themeColor="hyperlink"/>
            <w:kern w:val="0"/>
            <w:u w:val="single"/>
          </w:rPr>
          <w:t>https://doi.org/10.1108/IJCHM-05-2018-0370</w:t>
        </w:r>
      </w:hyperlink>
      <w:r w:rsidRPr="000F35DB">
        <w:rPr>
          <w:rFonts w:ascii="Arial" w:eastAsia="Calibri" w:hAnsi="Arial" w:cs="Arial"/>
          <w:color w:val="0E0E0E"/>
          <w:kern w:val="0"/>
        </w:rPr>
        <w:t xml:space="preserve"> </w:t>
      </w:r>
    </w:p>
    <w:p w14:paraId="5858532F"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Khalil, N., Abdullah, S. N. C., Haron, S. N., &amp; Hamid, M. Y. (2022). A review of green practices and initiatives from stakeholder’s perspectives towards sustainable hotel operations and performance impact. </w:t>
      </w:r>
      <w:r w:rsidRPr="000F35DB">
        <w:rPr>
          <w:rFonts w:ascii="Arial" w:eastAsia="Calibri" w:hAnsi="Arial" w:cs="Arial"/>
          <w:i/>
          <w:iCs/>
          <w:color w:val="0E0E0E"/>
          <w:kern w:val="0"/>
        </w:rPr>
        <w:t>Journal of Facilities Management</w:t>
      </w:r>
      <w:r w:rsidRPr="000F35DB">
        <w:rPr>
          <w:rFonts w:ascii="Arial" w:eastAsia="Calibri" w:hAnsi="Arial" w:cs="Arial"/>
          <w:color w:val="0E0E0E"/>
          <w:kern w:val="0"/>
        </w:rPr>
        <w:t xml:space="preserve">. </w:t>
      </w:r>
      <w:hyperlink r:id="rId13" w:history="1">
        <w:r w:rsidRPr="000F35DB">
          <w:rPr>
            <w:rFonts w:ascii="Arial" w:eastAsia="Calibri" w:hAnsi="Arial" w:cs="Arial"/>
            <w:color w:val="467886" w:themeColor="hyperlink"/>
            <w:kern w:val="0"/>
            <w:u w:val="single"/>
          </w:rPr>
          <w:t>https://doi.org/10.1108/jfm-03-2022-0025</w:t>
        </w:r>
      </w:hyperlink>
      <w:r w:rsidRPr="000F35DB">
        <w:rPr>
          <w:rFonts w:ascii="Arial" w:eastAsia="Calibri" w:hAnsi="Arial" w:cs="Arial"/>
          <w:color w:val="0E0E0E"/>
          <w:kern w:val="0"/>
        </w:rPr>
        <w:t xml:space="preserve"> </w:t>
      </w:r>
    </w:p>
    <w:p w14:paraId="4F7C0A74"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lastRenderedPageBreak/>
        <w:t xml:space="preserve">Khan, S., &amp; Pasha, U. (2022). Green Supply Chain Management: Opportunities, Challenges and Changing Strategies: A Literature Review. </w:t>
      </w:r>
      <w:proofErr w:type="spellStart"/>
      <w:r w:rsidRPr="000F35DB">
        <w:rPr>
          <w:rFonts w:ascii="Arial" w:eastAsia="Calibri" w:hAnsi="Arial" w:cs="Arial"/>
          <w:i/>
          <w:iCs/>
          <w:color w:val="0E0E0E"/>
          <w:kern w:val="0"/>
        </w:rPr>
        <w:t>iRASD</w:t>
      </w:r>
      <w:proofErr w:type="spellEnd"/>
      <w:r w:rsidRPr="000F35DB">
        <w:rPr>
          <w:rFonts w:ascii="Arial" w:eastAsia="Calibri" w:hAnsi="Arial" w:cs="Arial"/>
          <w:i/>
          <w:iCs/>
          <w:color w:val="0E0E0E"/>
          <w:kern w:val="0"/>
        </w:rPr>
        <w:t xml:space="preserve"> Journal of Management</w:t>
      </w:r>
      <w:r w:rsidRPr="000F35DB">
        <w:rPr>
          <w:rFonts w:ascii="Arial" w:eastAsia="Calibri" w:hAnsi="Arial" w:cs="Arial"/>
          <w:color w:val="0E0E0E"/>
          <w:kern w:val="0"/>
        </w:rPr>
        <w:t xml:space="preserve">. </w:t>
      </w:r>
      <w:hyperlink r:id="rId14" w:history="1">
        <w:r w:rsidRPr="000F35DB">
          <w:rPr>
            <w:rFonts w:ascii="Arial" w:eastAsia="Calibri" w:hAnsi="Arial" w:cs="Arial"/>
            <w:color w:val="467886" w:themeColor="hyperlink"/>
            <w:kern w:val="0"/>
            <w:u w:val="single"/>
          </w:rPr>
          <w:t>https://doi.org/10.52131/jom.2022.0402.0074</w:t>
        </w:r>
      </w:hyperlink>
      <w:r w:rsidRPr="000F35DB">
        <w:rPr>
          <w:rFonts w:ascii="Arial" w:eastAsia="Calibri" w:hAnsi="Arial" w:cs="Arial"/>
          <w:color w:val="0E0E0E"/>
          <w:kern w:val="0"/>
        </w:rPr>
        <w:t xml:space="preserve"> </w:t>
      </w:r>
    </w:p>
    <w:p w14:paraId="64A9D42A"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proofErr w:type="spellStart"/>
      <w:r w:rsidRPr="000F35DB">
        <w:rPr>
          <w:rFonts w:ascii="Arial" w:eastAsia="Calibri" w:hAnsi="Arial" w:cs="Arial"/>
          <w:color w:val="0E0E0E"/>
          <w:kern w:val="0"/>
        </w:rPr>
        <w:t>Klewitz</w:t>
      </w:r>
      <w:proofErr w:type="spellEnd"/>
      <w:r w:rsidRPr="000F35DB">
        <w:rPr>
          <w:rFonts w:ascii="Arial" w:eastAsia="Calibri" w:hAnsi="Arial" w:cs="Arial"/>
          <w:color w:val="0E0E0E"/>
          <w:kern w:val="0"/>
        </w:rPr>
        <w:t xml:space="preserve">, J., &amp; Hansen, E. (2014). Sustainability-Oriented Innovation of SMEs: A Systematic Review. </w:t>
      </w:r>
      <w:r w:rsidRPr="000F35DB">
        <w:rPr>
          <w:rFonts w:ascii="Arial" w:eastAsia="Calibri" w:hAnsi="Arial" w:cs="Arial"/>
          <w:i/>
          <w:iCs/>
          <w:color w:val="0E0E0E"/>
          <w:kern w:val="0"/>
        </w:rPr>
        <w:t>Journal of Cleaner Production</w:t>
      </w:r>
      <w:r w:rsidRPr="000F35DB">
        <w:rPr>
          <w:rFonts w:ascii="Arial" w:eastAsia="Calibri" w:hAnsi="Arial" w:cs="Arial"/>
          <w:color w:val="0E0E0E"/>
          <w:kern w:val="0"/>
        </w:rPr>
        <w:t xml:space="preserve">, 65, 57-75. </w:t>
      </w:r>
      <w:hyperlink r:id="rId15" w:history="1">
        <w:r w:rsidRPr="000F35DB">
          <w:rPr>
            <w:rFonts w:ascii="Arial" w:eastAsia="Calibri" w:hAnsi="Arial" w:cs="Arial"/>
            <w:color w:val="467886" w:themeColor="hyperlink"/>
            <w:kern w:val="0"/>
            <w:u w:val="single"/>
          </w:rPr>
          <w:t>https://doi.org/10.1016/J.JCLEPRO.2013.07.017</w:t>
        </w:r>
      </w:hyperlink>
      <w:r w:rsidRPr="000F35DB">
        <w:rPr>
          <w:rFonts w:ascii="Arial" w:eastAsia="Calibri" w:hAnsi="Arial" w:cs="Arial"/>
          <w:color w:val="0E0E0E"/>
          <w:kern w:val="0"/>
        </w:rPr>
        <w:t xml:space="preserve"> </w:t>
      </w:r>
    </w:p>
    <w:p w14:paraId="623D28CC"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Leskinen, N., </w:t>
      </w:r>
      <w:proofErr w:type="spellStart"/>
      <w:r w:rsidRPr="000F35DB">
        <w:rPr>
          <w:rFonts w:ascii="Arial" w:eastAsia="Calibri" w:hAnsi="Arial" w:cs="Arial"/>
          <w:color w:val="0E0E0E"/>
          <w:kern w:val="0"/>
        </w:rPr>
        <w:t>Vimpari</w:t>
      </w:r>
      <w:proofErr w:type="spellEnd"/>
      <w:r w:rsidRPr="000F35DB">
        <w:rPr>
          <w:rFonts w:ascii="Arial" w:eastAsia="Calibri" w:hAnsi="Arial" w:cs="Arial"/>
          <w:color w:val="0E0E0E"/>
          <w:kern w:val="0"/>
        </w:rPr>
        <w:t xml:space="preserve">, J., &amp; Junnila, S. (2020). A Review of the Impact of Green Building Certification on the Cash Flows and Values of Commercial Properties. </w:t>
      </w:r>
      <w:r w:rsidRPr="000F35DB">
        <w:rPr>
          <w:rFonts w:ascii="Arial" w:eastAsia="Calibri" w:hAnsi="Arial" w:cs="Arial"/>
          <w:i/>
          <w:iCs/>
          <w:color w:val="0E0E0E"/>
          <w:kern w:val="0"/>
        </w:rPr>
        <w:t>Sustainability</w:t>
      </w:r>
      <w:r w:rsidRPr="000F35DB">
        <w:rPr>
          <w:rFonts w:ascii="Arial" w:eastAsia="Calibri" w:hAnsi="Arial" w:cs="Arial"/>
          <w:color w:val="0E0E0E"/>
          <w:kern w:val="0"/>
        </w:rPr>
        <w:t xml:space="preserve">. </w:t>
      </w:r>
      <w:hyperlink r:id="rId16" w:history="1">
        <w:r w:rsidRPr="000F35DB">
          <w:rPr>
            <w:rFonts w:ascii="Arial" w:eastAsia="Calibri" w:hAnsi="Arial" w:cs="Arial"/>
            <w:color w:val="467886" w:themeColor="hyperlink"/>
            <w:kern w:val="0"/>
            <w:u w:val="single"/>
          </w:rPr>
          <w:t>https://doi.org/10.3390/su12072729</w:t>
        </w:r>
      </w:hyperlink>
      <w:r w:rsidRPr="000F35DB">
        <w:rPr>
          <w:rFonts w:ascii="Arial" w:eastAsia="Calibri" w:hAnsi="Arial" w:cs="Arial"/>
          <w:color w:val="0E0E0E"/>
          <w:kern w:val="0"/>
        </w:rPr>
        <w:t xml:space="preserve"> </w:t>
      </w:r>
    </w:p>
    <w:p w14:paraId="5F52F645"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Lopez-Arboleda, E., Sarmiento, A., &amp; Cárdenas, L. (2019). Systematic Review of Integrated Sustainable Transportation Models for Electric Passenger Vehicle Diffusion. </w:t>
      </w:r>
      <w:r w:rsidRPr="000F35DB">
        <w:rPr>
          <w:rFonts w:ascii="Arial" w:eastAsia="Calibri" w:hAnsi="Arial" w:cs="Arial"/>
          <w:i/>
          <w:iCs/>
          <w:color w:val="0E0E0E"/>
          <w:kern w:val="0"/>
        </w:rPr>
        <w:t>Sustainability</w:t>
      </w:r>
      <w:r w:rsidRPr="000F35DB">
        <w:rPr>
          <w:rFonts w:ascii="Arial" w:eastAsia="Calibri" w:hAnsi="Arial" w:cs="Arial"/>
          <w:color w:val="0E0E0E"/>
          <w:kern w:val="0"/>
        </w:rPr>
        <w:t xml:space="preserve">. </w:t>
      </w:r>
      <w:hyperlink r:id="rId17" w:history="1">
        <w:r w:rsidRPr="000F35DB">
          <w:rPr>
            <w:rFonts w:ascii="Arial" w:eastAsia="Calibri" w:hAnsi="Arial" w:cs="Arial"/>
            <w:color w:val="467886" w:themeColor="hyperlink"/>
            <w:kern w:val="0"/>
            <w:u w:val="single"/>
          </w:rPr>
          <w:t>https://doi.org/10.3390/SU11092513</w:t>
        </w:r>
      </w:hyperlink>
      <w:r w:rsidRPr="000F35DB">
        <w:rPr>
          <w:rFonts w:ascii="Arial" w:eastAsia="Calibri" w:hAnsi="Arial" w:cs="Arial"/>
          <w:color w:val="0E0E0E"/>
          <w:kern w:val="0"/>
        </w:rPr>
        <w:t xml:space="preserve"> </w:t>
      </w:r>
    </w:p>
    <w:p w14:paraId="0CBE9EF2" w14:textId="77777777" w:rsidR="000F35DB" w:rsidRPr="000F35DB" w:rsidRDefault="000F35DB" w:rsidP="000F35DB">
      <w:pPr>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Loureiro, S., &amp; Nascimento, J. (2021). Shaping a View on the Influence of Technologies on Sustainable Tourism. </w:t>
      </w:r>
      <w:r w:rsidRPr="000F35DB">
        <w:rPr>
          <w:rFonts w:ascii="Arial" w:eastAsia="Calibri" w:hAnsi="Arial" w:cs="Arial"/>
          <w:i/>
          <w:iCs/>
          <w:color w:val="0E0E0E"/>
          <w:kern w:val="0"/>
        </w:rPr>
        <w:t>Sustainability</w:t>
      </w:r>
      <w:r w:rsidRPr="000F35DB">
        <w:rPr>
          <w:rFonts w:ascii="Arial" w:eastAsia="Calibri" w:hAnsi="Arial" w:cs="Arial"/>
          <w:color w:val="0E0E0E"/>
          <w:kern w:val="0"/>
        </w:rPr>
        <w:t xml:space="preserve">. </w:t>
      </w:r>
      <w:hyperlink r:id="rId18" w:history="1">
        <w:r w:rsidRPr="000F35DB">
          <w:rPr>
            <w:rFonts w:ascii="Arial" w:eastAsia="Calibri" w:hAnsi="Arial" w:cs="Arial"/>
            <w:color w:val="467886" w:themeColor="hyperlink"/>
            <w:kern w:val="0"/>
            <w:u w:val="single"/>
          </w:rPr>
          <w:t>https://doi.org/10.3390/su132212691</w:t>
        </w:r>
      </w:hyperlink>
      <w:r w:rsidRPr="000F35DB">
        <w:rPr>
          <w:rFonts w:ascii="Arial" w:eastAsia="Calibri" w:hAnsi="Arial" w:cs="Arial"/>
          <w:color w:val="0E0E0E"/>
          <w:kern w:val="0"/>
        </w:rPr>
        <w:t xml:space="preserve"> </w:t>
      </w:r>
    </w:p>
    <w:p w14:paraId="07E45048"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proofErr w:type="spellStart"/>
      <w:r w:rsidRPr="000F35DB">
        <w:rPr>
          <w:rFonts w:ascii="Arial" w:eastAsia="Calibri" w:hAnsi="Arial" w:cs="Arial"/>
          <w:color w:val="0E0E0E"/>
          <w:kern w:val="0"/>
        </w:rPr>
        <w:t>Madanaguli</w:t>
      </w:r>
      <w:proofErr w:type="spellEnd"/>
      <w:r w:rsidRPr="000F35DB">
        <w:rPr>
          <w:rFonts w:ascii="Arial" w:eastAsia="Calibri" w:hAnsi="Arial" w:cs="Arial"/>
          <w:color w:val="0E0E0E"/>
          <w:kern w:val="0"/>
        </w:rPr>
        <w:t xml:space="preserve">, A., Dhir, A., Joseph, R. P., </w:t>
      </w:r>
      <w:proofErr w:type="spellStart"/>
      <w:r w:rsidRPr="000F35DB">
        <w:rPr>
          <w:rFonts w:ascii="Arial" w:eastAsia="Calibri" w:hAnsi="Arial" w:cs="Arial"/>
          <w:color w:val="0E0E0E"/>
          <w:kern w:val="0"/>
        </w:rPr>
        <w:t>Albishri</w:t>
      </w:r>
      <w:proofErr w:type="spellEnd"/>
      <w:r w:rsidRPr="000F35DB">
        <w:rPr>
          <w:rFonts w:ascii="Arial" w:eastAsia="Calibri" w:hAnsi="Arial" w:cs="Arial"/>
          <w:color w:val="0E0E0E"/>
          <w:kern w:val="0"/>
        </w:rPr>
        <w:t xml:space="preserve">, N., &amp; Srivastava, S. (2023). Environmental sustainability practices and strategies in the rural tourism and hospitality sector: a systematic literature review and suggestions for future research. </w:t>
      </w:r>
      <w:r w:rsidRPr="000F35DB">
        <w:rPr>
          <w:rFonts w:ascii="Arial" w:eastAsia="Calibri" w:hAnsi="Arial" w:cs="Arial"/>
          <w:i/>
          <w:iCs/>
          <w:color w:val="0E0E0E"/>
          <w:kern w:val="0"/>
        </w:rPr>
        <w:t>Scandinavian Journal of Hospitality and Tourism</w:t>
      </w:r>
      <w:r w:rsidRPr="000F35DB">
        <w:rPr>
          <w:rFonts w:ascii="Arial" w:eastAsia="Calibri" w:hAnsi="Arial" w:cs="Arial"/>
          <w:color w:val="0E0E0E"/>
          <w:kern w:val="0"/>
        </w:rPr>
        <w:t xml:space="preserve">, 23, 1-28. </w:t>
      </w:r>
      <w:hyperlink r:id="rId19" w:history="1">
        <w:r w:rsidRPr="000F35DB">
          <w:rPr>
            <w:rFonts w:ascii="Arial" w:eastAsia="Calibri" w:hAnsi="Arial" w:cs="Arial"/>
            <w:color w:val="467886" w:themeColor="hyperlink"/>
            <w:kern w:val="0"/>
            <w:u w:val="single"/>
          </w:rPr>
          <w:t>https://doi.org/10.1080/15022250.2023.2174179</w:t>
        </w:r>
      </w:hyperlink>
      <w:r w:rsidRPr="000F35DB">
        <w:rPr>
          <w:rFonts w:ascii="Arial" w:eastAsia="Calibri" w:hAnsi="Arial" w:cs="Arial"/>
          <w:color w:val="0E0E0E"/>
          <w:kern w:val="0"/>
        </w:rPr>
        <w:t xml:space="preserve"> </w:t>
      </w:r>
    </w:p>
    <w:p w14:paraId="5CE88DA1"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Molina-Collado, A., Santos-</w:t>
      </w:r>
      <w:proofErr w:type="spellStart"/>
      <w:r w:rsidRPr="000F35DB">
        <w:rPr>
          <w:rFonts w:ascii="Arial" w:eastAsia="Calibri" w:hAnsi="Arial" w:cs="Arial"/>
          <w:color w:val="0E0E0E"/>
          <w:kern w:val="0"/>
        </w:rPr>
        <w:t>Vijande</w:t>
      </w:r>
      <w:proofErr w:type="spellEnd"/>
      <w:r w:rsidRPr="000F35DB">
        <w:rPr>
          <w:rFonts w:ascii="Arial" w:eastAsia="Calibri" w:hAnsi="Arial" w:cs="Arial"/>
          <w:color w:val="0E0E0E"/>
          <w:kern w:val="0"/>
        </w:rPr>
        <w:t xml:space="preserve">, M. L., Gómez-Rico, M., &amp; Madera, J. M. (2022). Sustainability in hospitality and tourism: a review of key research topics from 1994 to 2020. </w:t>
      </w:r>
      <w:r w:rsidRPr="000F35DB">
        <w:rPr>
          <w:rFonts w:ascii="Arial" w:eastAsia="Calibri" w:hAnsi="Arial" w:cs="Arial"/>
          <w:i/>
          <w:iCs/>
          <w:color w:val="0E0E0E"/>
          <w:kern w:val="0"/>
        </w:rPr>
        <w:t xml:space="preserve">International Journal of Contemporary Hospitality Management. </w:t>
      </w:r>
      <w:r w:rsidRPr="000F35DB">
        <w:rPr>
          <w:rFonts w:ascii="Arial" w:eastAsia="Calibri" w:hAnsi="Arial" w:cs="Arial"/>
          <w:color w:val="0E0E0E"/>
          <w:kern w:val="0"/>
        </w:rPr>
        <w:t>.</w:t>
      </w:r>
      <w:hyperlink r:id="rId20" w:history="1">
        <w:r w:rsidRPr="000F35DB">
          <w:rPr>
            <w:rFonts w:ascii="Arial" w:eastAsia="Calibri" w:hAnsi="Arial" w:cs="Arial"/>
            <w:color w:val="467886" w:themeColor="hyperlink"/>
            <w:kern w:val="0"/>
            <w:u w:val="single"/>
          </w:rPr>
          <w:t>https://doi.org/10.1108/ijchm-10-2021-1305</w:t>
        </w:r>
      </w:hyperlink>
      <w:r w:rsidRPr="000F35DB">
        <w:rPr>
          <w:rFonts w:ascii="Arial" w:eastAsia="Calibri" w:hAnsi="Arial" w:cs="Arial"/>
          <w:color w:val="0E0E0E"/>
          <w:kern w:val="0"/>
        </w:rPr>
        <w:t xml:space="preserve"> </w:t>
      </w:r>
    </w:p>
    <w:p w14:paraId="608E5186"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Moore, J. E., Mascarenhas, A., Bain, J., &amp; Straus, S. (2017). Developing a comprehensive definition of sustainability. </w:t>
      </w:r>
      <w:r w:rsidRPr="000F35DB">
        <w:rPr>
          <w:rFonts w:ascii="Arial" w:eastAsia="Calibri" w:hAnsi="Arial" w:cs="Arial"/>
          <w:i/>
          <w:iCs/>
          <w:color w:val="0E0E0E"/>
          <w:kern w:val="0"/>
        </w:rPr>
        <w:t>Implementation Science</w:t>
      </w:r>
      <w:r w:rsidRPr="000F35DB">
        <w:rPr>
          <w:rFonts w:ascii="Arial" w:eastAsia="Calibri" w:hAnsi="Arial" w:cs="Arial"/>
          <w:color w:val="0E0E0E"/>
          <w:kern w:val="0"/>
        </w:rPr>
        <w:t>, 12.</w:t>
      </w:r>
      <w:hyperlink r:id="rId21" w:history="1">
        <w:r w:rsidRPr="000F35DB">
          <w:rPr>
            <w:rFonts w:ascii="Arial" w:eastAsia="Calibri" w:hAnsi="Arial" w:cs="Arial"/>
            <w:color w:val="467886" w:themeColor="hyperlink"/>
            <w:kern w:val="0"/>
            <w:u w:val="single"/>
          </w:rPr>
          <w:t>https://doi.org/10.1186/s13012-017-0637-1</w:t>
        </w:r>
      </w:hyperlink>
      <w:r w:rsidRPr="000F35DB">
        <w:rPr>
          <w:rFonts w:ascii="Arial" w:eastAsia="Calibri" w:hAnsi="Arial" w:cs="Arial"/>
          <w:color w:val="0E0E0E"/>
          <w:kern w:val="0"/>
        </w:rPr>
        <w:t xml:space="preserve"> </w:t>
      </w:r>
    </w:p>
    <w:p w14:paraId="4EDA5B12"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Oduro, S., Maccario, G., &amp; De Nisco, A. (2021). Green innovation: a multidomain systematic review. </w:t>
      </w:r>
      <w:r w:rsidRPr="000F35DB">
        <w:rPr>
          <w:rFonts w:ascii="Arial" w:eastAsia="Calibri" w:hAnsi="Arial" w:cs="Arial"/>
          <w:i/>
          <w:iCs/>
          <w:color w:val="0E0E0E"/>
          <w:kern w:val="0"/>
        </w:rPr>
        <w:t>European Journal of Innovation Management</w:t>
      </w:r>
      <w:r w:rsidRPr="000F35DB">
        <w:rPr>
          <w:rFonts w:ascii="Arial" w:eastAsia="Calibri" w:hAnsi="Arial" w:cs="Arial"/>
          <w:color w:val="0E0E0E"/>
          <w:kern w:val="0"/>
        </w:rPr>
        <w:t xml:space="preserve">. </w:t>
      </w:r>
      <w:hyperlink r:id="rId22" w:history="1">
        <w:r w:rsidRPr="000F35DB">
          <w:rPr>
            <w:rFonts w:ascii="Arial" w:eastAsia="Calibri" w:hAnsi="Arial" w:cs="Arial"/>
            <w:color w:val="467886" w:themeColor="hyperlink"/>
            <w:kern w:val="0"/>
            <w:u w:val="single"/>
          </w:rPr>
          <w:t>https://doi.org/10.1108/EJIM-10-2020-0425</w:t>
        </w:r>
      </w:hyperlink>
      <w:r w:rsidRPr="000F35DB">
        <w:rPr>
          <w:rFonts w:ascii="Arial" w:eastAsia="Calibri" w:hAnsi="Arial" w:cs="Arial"/>
          <w:color w:val="0E0E0E"/>
          <w:kern w:val="0"/>
        </w:rPr>
        <w:t xml:space="preserve"> </w:t>
      </w:r>
    </w:p>
    <w:p w14:paraId="29E48FC4"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Patella, S. M., </w:t>
      </w:r>
      <w:proofErr w:type="spellStart"/>
      <w:r w:rsidRPr="000F35DB">
        <w:rPr>
          <w:rFonts w:ascii="Arial" w:eastAsia="Calibri" w:hAnsi="Arial" w:cs="Arial"/>
          <w:color w:val="0E0E0E"/>
          <w:kern w:val="0"/>
        </w:rPr>
        <w:t>Grazieschi</w:t>
      </w:r>
      <w:proofErr w:type="spellEnd"/>
      <w:r w:rsidRPr="000F35DB">
        <w:rPr>
          <w:rFonts w:ascii="Arial" w:eastAsia="Calibri" w:hAnsi="Arial" w:cs="Arial"/>
          <w:color w:val="0E0E0E"/>
          <w:kern w:val="0"/>
        </w:rPr>
        <w:t xml:space="preserve">, G., Gatta, V., Marcucci, E., &amp; Carrese, S. (2020). The Adoption of Green Vehicles in Last Mile Logistics: A Systematic Review. </w:t>
      </w:r>
      <w:r w:rsidRPr="000F35DB">
        <w:rPr>
          <w:rFonts w:ascii="Arial" w:eastAsia="Calibri" w:hAnsi="Arial" w:cs="Arial"/>
          <w:i/>
          <w:iCs/>
          <w:color w:val="0E0E0E"/>
          <w:kern w:val="0"/>
        </w:rPr>
        <w:t>Sustainability</w:t>
      </w:r>
      <w:r w:rsidRPr="000F35DB">
        <w:rPr>
          <w:rFonts w:ascii="Arial" w:eastAsia="Calibri" w:hAnsi="Arial" w:cs="Arial"/>
          <w:color w:val="0E0E0E"/>
          <w:kern w:val="0"/>
        </w:rPr>
        <w:t xml:space="preserve">. </w:t>
      </w:r>
      <w:hyperlink r:id="rId23" w:history="1">
        <w:r w:rsidRPr="000F35DB">
          <w:rPr>
            <w:rFonts w:ascii="Arial" w:eastAsia="Calibri" w:hAnsi="Arial" w:cs="Arial"/>
            <w:color w:val="467886" w:themeColor="hyperlink"/>
            <w:kern w:val="0"/>
            <w:u w:val="single"/>
          </w:rPr>
          <w:t>https://doi.org/10.3390/su13010006</w:t>
        </w:r>
      </w:hyperlink>
      <w:r w:rsidRPr="000F35DB">
        <w:rPr>
          <w:rFonts w:ascii="Arial" w:eastAsia="Calibri" w:hAnsi="Arial" w:cs="Arial"/>
          <w:color w:val="0E0E0E"/>
          <w:kern w:val="0"/>
        </w:rPr>
        <w:t xml:space="preserve"> </w:t>
      </w:r>
    </w:p>
    <w:p w14:paraId="406C1DF5"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lastRenderedPageBreak/>
        <w:t xml:space="preserve">Santos, L. L., Cardoso, L., Araújo-Vila, N., &amp; </w:t>
      </w:r>
      <w:proofErr w:type="spellStart"/>
      <w:r w:rsidRPr="000F35DB">
        <w:rPr>
          <w:rFonts w:ascii="Arial" w:eastAsia="Calibri" w:hAnsi="Arial" w:cs="Arial"/>
          <w:color w:val="0E0E0E"/>
          <w:kern w:val="0"/>
        </w:rPr>
        <w:t>Fraiz</w:t>
      </w:r>
      <w:proofErr w:type="spellEnd"/>
      <w:r w:rsidRPr="000F35DB">
        <w:rPr>
          <w:rFonts w:ascii="Arial" w:eastAsia="Calibri" w:hAnsi="Arial" w:cs="Arial"/>
          <w:color w:val="0E0E0E"/>
          <w:kern w:val="0"/>
        </w:rPr>
        <w:t xml:space="preserve">-Brea, J. A. (2020). Sustainability Perceptions in Tourism and Hospitality: A Mixed-Method Bibliometric Approach. </w:t>
      </w:r>
      <w:r w:rsidRPr="000F35DB">
        <w:rPr>
          <w:rFonts w:ascii="Arial" w:eastAsia="Calibri" w:hAnsi="Arial" w:cs="Arial"/>
          <w:i/>
          <w:iCs/>
          <w:color w:val="0E0E0E"/>
          <w:kern w:val="0"/>
        </w:rPr>
        <w:t>Sustainability</w:t>
      </w:r>
      <w:r w:rsidRPr="000F35DB">
        <w:rPr>
          <w:rFonts w:ascii="Arial" w:eastAsia="Calibri" w:hAnsi="Arial" w:cs="Arial"/>
          <w:color w:val="0E0E0E"/>
          <w:kern w:val="0"/>
        </w:rPr>
        <w:t xml:space="preserve">. </w:t>
      </w:r>
      <w:hyperlink r:id="rId24" w:history="1">
        <w:r w:rsidRPr="000F35DB">
          <w:rPr>
            <w:rFonts w:ascii="Arial" w:eastAsia="Calibri" w:hAnsi="Arial" w:cs="Arial"/>
            <w:color w:val="467886" w:themeColor="hyperlink"/>
            <w:kern w:val="0"/>
            <w:u w:val="single"/>
          </w:rPr>
          <w:t>https://doi.org/10.3390/su12218852</w:t>
        </w:r>
      </w:hyperlink>
      <w:r w:rsidRPr="000F35DB">
        <w:rPr>
          <w:rFonts w:ascii="Arial" w:eastAsia="Calibri" w:hAnsi="Arial" w:cs="Arial"/>
          <w:color w:val="0E0E0E"/>
          <w:kern w:val="0"/>
        </w:rPr>
        <w:t xml:space="preserve"> </w:t>
      </w:r>
    </w:p>
    <w:p w14:paraId="0EC60BFC"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Sharma, T., Chen, J. S., &amp; Liu, W. Y. (2020). Eco-innovation in hospitality research (1998-2018): a systematic review. </w:t>
      </w:r>
      <w:r w:rsidRPr="000F35DB">
        <w:rPr>
          <w:rFonts w:ascii="Arial" w:eastAsia="Calibri" w:hAnsi="Arial" w:cs="Arial"/>
          <w:i/>
          <w:iCs/>
          <w:color w:val="0E0E0E"/>
          <w:kern w:val="0"/>
        </w:rPr>
        <w:t>International Journal of Contemporary Hospitality Management</w:t>
      </w:r>
      <w:r w:rsidRPr="000F35DB">
        <w:rPr>
          <w:rFonts w:ascii="Arial" w:eastAsia="Calibri" w:hAnsi="Arial" w:cs="Arial"/>
          <w:color w:val="0E0E0E"/>
          <w:kern w:val="0"/>
        </w:rPr>
        <w:t xml:space="preserve">, 32, 913-933. </w:t>
      </w:r>
      <w:hyperlink r:id="rId25" w:history="1">
        <w:r w:rsidRPr="000F35DB">
          <w:rPr>
            <w:rFonts w:ascii="Arial" w:eastAsia="Calibri" w:hAnsi="Arial" w:cs="Arial"/>
            <w:color w:val="467886" w:themeColor="hyperlink"/>
            <w:kern w:val="0"/>
            <w:u w:val="single"/>
          </w:rPr>
          <w:t>https://doi.org/10.1108/ijchm-01-2019-0002</w:t>
        </w:r>
      </w:hyperlink>
      <w:r w:rsidRPr="000F35DB">
        <w:rPr>
          <w:rFonts w:ascii="Arial" w:eastAsia="Calibri" w:hAnsi="Arial" w:cs="Arial"/>
          <w:color w:val="0E0E0E"/>
          <w:kern w:val="0"/>
        </w:rPr>
        <w:t xml:space="preserve"> </w:t>
      </w:r>
    </w:p>
    <w:p w14:paraId="5EC67D10" w14:textId="77777777" w:rsidR="000F35DB" w:rsidRPr="000F35DB" w:rsidRDefault="000F35DB" w:rsidP="000F35DB">
      <w:pPr>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Zhang, G., &amp; He, B. (2021). Towards green roof implementation: Drivers, motivations, </w:t>
      </w:r>
      <w:proofErr w:type="gramStart"/>
      <w:r w:rsidRPr="000F35DB">
        <w:rPr>
          <w:rFonts w:ascii="Arial" w:eastAsia="Calibri" w:hAnsi="Arial" w:cs="Arial"/>
          <w:color w:val="0E0E0E"/>
          <w:kern w:val="0"/>
        </w:rPr>
        <w:t>barriers</w:t>
      </w:r>
      <w:proofErr w:type="gramEnd"/>
      <w:r w:rsidRPr="000F35DB">
        <w:rPr>
          <w:rFonts w:ascii="Arial" w:eastAsia="Calibri" w:hAnsi="Arial" w:cs="Arial"/>
          <w:color w:val="0E0E0E"/>
          <w:kern w:val="0"/>
        </w:rPr>
        <w:t xml:space="preserve"> and recommendations. </w:t>
      </w:r>
      <w:r w:rsidRPr="000F35DB">
        <w:rPr>
          <w:rFonts w:ascii="Arial" w:eastAsia="Calibri" w:hAnsi="Arial" w:cs="Arial"/>
          <w:i/>
          <w:iCs/>
          <w:color w:val="0E0E0E"/>
          <w:kern w:val="0"/>
        </w:rPr>
        <w:t>Urban Forestry &amp; Urban Greening</w:t>
      </w:r>
      <w:r w:rsidRPr="000F35DB">
        <w:rPr>
          <w:rFonts w:ascii="Arial" w:eastAsia="Calibri" w:hAnsi="Arial" w:cs="Arial"/>
          <w:color w:val="0E0E0E"/>
          <w:kern w:val="0"/>
        </w:rPr>
        <w:t xml:space="preserve">, 58, 126992. </w:t>
      </w:r>
      <w:hyperlink r:id="rId26" w:history="1">
        <w:r w:rsidRPr="000F35DB">
          <w:rPr>
            <w:rFonts w:ascii="Arial" w:eastAsia="Calibri" w:hAnsi="Arial" w:cs="Arial"/>
            <w:color w:val="467886" w:themeColor="hyperlink"/>
            <w:kern w:val="0"/>
            <w:u w:val="single"/>
          </w:rPr>
          <w:t>https://doi.org/10.1016/J.UFUG.2021.126992</w:t>
        </w:r>
      </w:hyperlink>
      <w:r w:rsidRPr="000F35DB">
        <w:rPr>
          <w:rFonts w:ascii="Arial" w:eastAsia="Calibri" w:hAnsi="Arial" w:cs="Arial"/>
          <w:color w:val="0E0E0E"/>
          <w:kern w:val="0"/>
        </w:rPr>
        <w:t xml:space="preserve"> </w:t>
      </w:r>
    </w:p>
    <w:p w14:paraId="7FB8C9B1" w14:textId="77777777" w:rsidR="000F35DB" w:rsidRPr="000F35DB" w:rsidRDefault="000F35DB" w:rsidP="000F35DB">
      <w:pPr>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Zhao, X., Ke, Y., Zuo, J., Xiong, W., &amp; Wu, P. (2020). Evaluation of sustainable transport research in 2000–2019. </w:t>
      </w:r>
      <w:r w:rsidRPr="000F35DB">
        <w:rPr>
          <w:rFonts w:ascii="Arial" w:eastAsia="Calibri" w:hAnsi="Arial" w:cs="Arial"/>
          <w:i/>
          <w:iCs/>
          <w:color w:val="0E0E0E"/>
          <w:kern w:val="0"/>
        </w:rPr>
        <w:t>Journal of Cleaner Production</w:t>
      </w:r>
      <w:r w:rsidRPr="000F35DB">
        <w:rPr>
          <w:rFonts w:ascii="Arial" w:eastAsia="Calibri" w:hAnsi="Arial" w:cs="Arial"/>
          <w:color w:val="0E0E0E"/>
          <w:kern w:val="0"/>
        </w:rPr>
        <w:t xml:space="preserve">, 256, 120404. </w:t>
      </w:r>
      <w:hyperlink r:id="rId27" w:history="1">
        <w:r w:rsidRPr="000F35DB">
          <w:rPr>
            <w:rFonts w:ascii="Arial" w:eastAsia="Calibri" w:hAnsi="Arial" w:cs="Arial"/>
            <w:color w:val="467886" w:themeColor="hyperlink"/>
            <w:kern w:val="0"/>
            <w:u w:val="single"/>
          </w:rPr>
          <w:t>https://doi.org/10.1016/j.jclepro.2020.120404</w:t>
        </w:r>
      </w:hyperlink>
      <w:r w:rsidRPr="000F35DB">
        <w:rPr>
          <w:rFonts w:ascii="Arial" w:eastAsia="Calibri" w:hAnsi="Arial" w:cs="Arial"/>
          <w:color w:val="0E0E0E"/>
          <w:kern w:val="0"/>
        </w:rPr>
        <w:t xml:space="preserve"> </w:t>
      </w:r>
    </w:p>
    <w:p w14:paraId="6F1E874E" w14:textId="77777777" w:rsidR="000F35DB" w:rsidRPr="000F35DB" w:rsidRDefault="000F35DB" w:rsidP="000F35DB">
      <w:pPr>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Amiri, A., </w:t>
      </w:r>
      <w:proofErr w:type="spellStart"/>
      <w:r w:rsidRPr="000F35DB">
        <w:rPr>
          <w:rFonts w:ascii="Arial" w:eastAsia="Calibri" w:hAnsi="Arial" w:cs="Arial"/>
          <w:color w:val="0E0E0E"/>
          <w:kern w:val="0"/>
        </w:rPr>
        <w:t>Ottelin</w:t>
      </w:r>
      <w:proofErr w:type="spellEnd"/>
      <w:r w:rsidRPr="000F35DB">
        <w:rPr>
          <w:rFonts w:ascii="Arial" w:eastAsia="Calibri" w:hAnsi="Arial" w:cs="Arial"/>
          <w:color w:val="0E0E0E"/>
          <w:kern w:val="0"/>
        </w:rPr>
        <w:t xml:space="preserve">, J., &amp; Sorvari, J. (2019). Are LEED-Certified Buildings Energy-Efficient in Practice? </w:t>
      </w:r>
      <w:r w:rsidRPr="000F35DB">
        <w:rPr>
          <w:rFonts w:ascii="Arial" w:eastAsia="Calibri" w:hAnsi="Arial" w:cs="Arial"/>
          <w:i/>
          <w:iCs/>
          <w:color w:val="0E0E0E"/>
          <w:kern w:val="0"/>
        </w:rPr>
        <w:t>Sustainability</w:t>
      </w:r>
      <w:r w:rsidRPr="000F35DB">
        <w:rPr>
          <w:rFonts w:ascii="Arial" w:eastAsia="Calibri" w:hAnsi="Arial" w:cs="Arial"/>
          <w:color w:val="0E0E0E"/>
          <w:kern w:val="0"/>
        </w:rPr>
        <w:t xml:space="preserve">. </w:t>
      </w:r>
      <w:hyperlink r:id="rId28" w:history="1">
        <w:r w:rsidRPr="000F35DB">
          <w:rPr>
            <w:rFonts w:ascii="Arial" w:eastAsia="Calibri" w:hAnsi="Arial" w:cs="Arial"/>
            <w:color w:val="467886" w:themeColor="hyperlink"/>
            <w:kern w:val="0"/>
            <w:u w:val="single"/>
          </w:rPr>
          <w:t>https://doi.org/10.3390/SU11061672</w:t>
        </w:r>
      </w:hyperlink>
      <w:r w:rsidRPr="000F35DB">
        <w:rPr>
          <w:rFonts w:ascii="Arial" w:eastAsia="Calibri" w:hAnsi="Arial" w:cs="Arial"/>
          <w:color w:val="0E0E0E"/>
          <w:kern w:val="0"/>
        </w:rPr>
        <w:t xml:space="preserve"> </w:t>
      </w:r>
    </w:p>
    <w:p w14:paraId="0139ACDB"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Anthony Jnr., B. (2023). Developing green urban mobility policies for sustainable public transportation in local communities: a Norwegian perspective. </w:t>
      </w:r>
      <w:r w:rsidRPr="000F35DB">
        <w:rPr>
          <w:rFonts w:ascii="Arial" w:eastAsia="Calibri" w:hAnsi="Arial" w:cs="Arial"/>
          <w:i/>
          <w:iCs/>
          <w:color w:val="0E0E0E"/>
          <w:kern w:val="0"/>
        </w:rPr>
        <w:t>Journal of Place Management and Development</w:t>
      </w:r>
      <w:r w:rsidRPr="000F35DB">
        <w:rPr>
          <w:rFonts w:ascii="Arial" w:eastAsia="Calibri" w:hAnsi="Arial" w:cs="Arial"/>
          <w:color w:val="0E0E0E"/>
          <w:kern w:val="0"/>
        </w:rPr>
        <w:t xml:space="preserve">. </w:t>
      </w:r>
      <w:hyperlink r:id="rId29" w:history="1">
        <w:r w:rsidRPr="000F35DB">
          <w:rPr>
            <w:rFonts w:ascii="Arial" w:eastAsia="Calibri" w:hAnsi="Arial" w:cs="Arial"/>
            <w:color w:val="467886" w:themeColor="hyperlink"/>
            <w:kern w:val="0"/>
            <w:u w:val="single"/>
          </w:rPr>
          <w:t>https://doi.org/10.1108/jpmd-05-2023-0051</w:t>
        </w:r>
      </w:hyperlink>
      <w:r w:rsidRPr="000F35DB">
        <w:rPr>
          <w:rFonts w:ascii="Arial" w:eastAsia="Calibri" w:hAnsi="Arial" w:cs="Arial"/>
          <w:color w:val="0E0E0E"/>
          <w:kern w:val="0"/>
        </w:rPr>
        <w:t xml:space="preserve"> </w:t>
      </w:r>
    </w:p>
    <w:p w14:paraId="1CA9083B"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Bux, C., &amp; </w:t>
      </w:r>
      <w:proofErr w:type="spellStart"/>
      <w:r w:rsidRPr="000F35DB">
        <w:rPr>
          <w:rFonts w:ascii="Arial" w:eastAsia="Calibri" w:hAnsi="Arial" w:cs="Arial"/>
          <w:color w:val="0E0E0E"/>
          <w:kern w:val="0"/>
        </w:rPr>
        <w:t>Amicarelli</w:t>
      </w:r>
      <w:proofErr w:type="spellEnd"/>
      <w:r w:rsidRPr="000F35DB">
        <w:rPr>
          <w:rFonts w:ascii="Arial" w:eastAsia="Calibri" w:hAnsi="Arial" w:cs="Arial"/>
          <w:color w:val="0E0E0E"/>
          <w:kern w:val="0"/>
        </w:rPr>
        <w:t xml:space="preserve">, V. (2022). Circular economy and sustainable strategies in the hospitality industry: Current trends and empirical implications. </w:t>
      </w:r>
      <w:r w:rsidRPr="000F35DB">
        <w:rPr>
          <w:rFonts w:ascii="Arial" w:eastAsia="Calibri" w:hAnsi="Arial" w:cs="Arial"/>
          <w:i/>
          <w:iCs/>
          <w:color w:val="0E0E0E"/>
          <w:kern w:val="0"/>
        </w:rPr>
        <w:t>Tourism and Hospitality Research</w:t>
      </w:r>
      <w:r w:rsidRPr="000F35DB">
        <w:rPr>
          <w:rFonts w:ascii="Arial" w:eastAsia="Calibri" w:hAnsi="Arial" w:cs="Arial"/>
          <w:color w:val="0E0E0E"/>
          <w:kern w:val="0"/>
        </w:rPr>
        <w:t xml:space="preserve">, 23, 624-636. </w:t>
      </w:r>
      <w:hyperlink r:id="rId30" w:history="1">
        <w:r w:rsidRPr="000F35DB">
          <w:rPr>
            <w:rFonts w:ascii="Arial" w:eastAsia="Calibri" w:hAnsi="Arial" w:cs="Arial"/>
            <w:color w:val="467886" w:themeColor="hyperlink"/>
            <w:kern w:val="0"/>
            <w:u w:val="single"/>
          </w:rPr>
          <w:t>https://doi.org/10.1177/14673584221119581</w:t>
        </w:r>
      </w:hyperlink>
      <w:r w:rsidRPr="000F35DB">
        <w:rPr>
          <w:rFonts w:ascii="Arial" w:eastAsia="Calibri" w:hAnsi="Arial" w:cs="Arial"/>
          <w:color w:val="0E0E0E"/>
          <w:kern w:val="0"/>
        </w:rPr>
        <w:t xml:space="preserve"> </w:t>
      </w:r>
    </w:p>
    <w:p w14:paraId="1BAD7B88"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Ernawati, H., &amp; </w:t>
      </w:r>
      <w:proofErr w:type="spellStart"/>
      <w:r w:rsidRPr="000F35DB">
        <w:rPr>
          <w:rFonts w:ascii="Arial" w:eastAsia="Calibri" w:hAnsi="Arial" w:cs="Arial"/>
          <w:color w:val="0E0E0E"/>
          <w:kern w:val="0"/>
        </w:rPr>
        <w:t>Rudiyanto</w:t>
      </w:r>
      <w:proofErr w:type="spellEnd"/>
      <w:r w:rsidRPr="000F35DB">
        <w:rPr>
          <w:rFonts w:ascii="Arial" w:eastAsia="Calibri" w:hAnsi="Arial" w:cs="Arial"/>
          <w:color w:val="0E0E0E"/>
          <w:kern w:val="0"/>
        </w:rPr>
        <w:t xml:space="preserve">, A. (2023). Unveiling the Path to Sustainable </w:t>
      </w:r>
      <w:proofErr w:type="spellStart"/>
      <w:r w:rsidRPr="000F35DB">
        <w:rPr>
          <w:rFonts w:ascii="Arial" w:eastAsia="Calibri" w:hAnsi="Arial" w:cs="Arial"/>
          <w:color w:val="0E0E0E"/>
          <w:kern w:val="0"/>
        </w:rPr>
        <w:t>Behavior</w:t>
      </w:r>
      <w:proofErr w:type="spellEnd"/>
      <w:r w:rsidRPr="000F35DB">
        <w:rPr>
          <w:rFonts w:ascii="Arial" w:eastAsia="Calibri" w:hAnsi="Arial" w:cs="Arial"/>
          <w:color w:val="0E0E0E"/>
          <w:kern w:val="0"/>
        </w:rPr>
        <w:t xml:space="preserve"> in Tourism through a Systematic Literature Review. </w:t>
      </w:r>
      <w:r w:rsidRPr="000F35DB">
        <w:rPr>
          <w:rFonts w:ascii="Arial" w:eastAsia="Calibri" w:hAnsi="Arial" w:cs="Arial"/>
          <w:i/>
          <w:iCs/>
          <w:color w:val="0E0E0E"/>
          <w:kern w:val="0"/>
        </w:rPr>
        <w:t>Asian Journal of Education and Social Studies</w:t>
      </w:r>
      <w:r w:rsidRPr="000F35DB">
        <w:rPr>
          <w:rFonts w:ascii="Arial" w:eastAsia="Calibri" w:hAnsi="Arial" w:cs="Arial"/>
          <w:color w:val="0E0E0E"/>
          <w:kern w:val="0"/>
        </w:rPr>
        <w:t xml:space="preserve">. </w:t>
      </w:r>
      <w:hyperlink r:id="rId31" w:history="1">
        <w:r w:rsidRPr="000F35DB">
          <w:rPr>
            <w:rFonts w:ascii="Arial" w:eastAsia="Calibri" w:hAnsi="Arial" w:cs="Arial"/>
            <w:color w:val="467886" w:themeColor="hyperlink"/>
            <w:kern w:val="0"/>
            <w:u w:val="single"/>
          </w:rPr>
          <w:t>https://doi.org/10.9734/ajess/2023/v49i31174</w:t>
        </w:r>
      </w:hyperlink>
      <w:r w:rsidRPr="000F35DB">
        <w:rPr>
          <w:rFonts w:ascii="Arial" w:eastAsia="Calibri" w:hAnsi="Arial" w:cs="Arial"/>
          <w:color w:val="0E0E0E"/>
          <w:kern w:val="0"/>
        </w:rPr>
        <w:t xml:space="preserve"> </w:t>
      </w:r>
    </w:p>
    <w:p w14:paraId="6968C2F1"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Han, H. (2021). Consumer behaviour and environmental sustainability in tourism and hospitality: a review of theories, concepts, and the latest research. </w:t>
      </w:r>
      <w:r w:rsidRPr="000F35DB">
        <w:rPr>
          <w:rFonts w:ascii="Arial" w:eastAsia="Calibri" w:hAnsi="Arial" w:cs="Arial"/>
          <w:i/>
          <w:iCs/>
          <w:color w:val="0E0E0E"/>
          <w:kern w:val="0"/>
        </w:rPr>
        <w:t>Journal of Sustainable Tourism</w:t>
      </w:r>
      <w:r w:rsidRPr="000F35DB">
        <w:rPr>
          <w:rFonts w:ascii="Arial" w:eastAsia="Calibri" w:hAnsi="Arial" w:cs="Arial"/>
          <w:color w:val="0E0E0E"/>
          <w:kern w:val="0"/>
        </w:rPr>
        <w:t xml:space="preserve">, 29, 1021-1042. </w:t>
      </w:r>
      <w:hyperlink r:id="rId32" w:history="1">
        <w:r w:rsidRPr="000F35DB">
          <w:rPr>
            <w:rFonts w:ascii="Arial" w:eastAsia="Calibri" w:hAnsi="Arial" w:cs="Arial"/>
            <w:color w:val="467886" w:themeColor="hyperlink"/>
            <w:kern w:val="0"/>
            <w:u w:val="single"/>
          </w:rPr>
          <w:t>https://doi.org/10.1080/09669582.2021.1903019</w:t>
        </w:r>
      </w:hyperlink>
      <w:r w:rsidRPr="000F35DB">
        <w:rPr>
          <w:rFonts w:ascii="Arial" w:eastAsia="Calibri" w:hAnsi="Arial" w:cs="Arial"/>
          <w:color w:val="0E0E0E"/>
          <w:kern w:val="0"/>
        </w:rPr>
        <w:t xml:space="preserve"> </w:t>
      </w:r>
    </w:p>
    <w:p w14:paraId="730B9863" w14:textId="77777777" w:rsidR="000F35DB" w:rsidRPr="000F35DB" w:rsidRDefault="000F35DB" w:rsidP="000F35DB">
      <w:pPr>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Vlasceanu, C., Tenie, I.-P., &amp; </w:t>
      </w:r>
      <w:proofErr w:type="spellStart"/>
      <w:r w:rsidRPr="000F35DB">
        <w:rPr>
          <w:rFonts w:ascii="Arial" w:eastAsia="Calibri" w:hAnsi="Arial" w:cs="Arial"/>
          <w:color w:val="0E0E0E"/>
          <w:kern w:val="0"/>
        </w:rPr>
        <w:t>Crismariu</w:t>
      </w:r>
      <w:proofErr w:type="spellEnd"/>
      <w:r w:rsidRPr="000F35DB">
        <w:rPr>
          <w:rFonts w:ascii="Arial" w:eastAsia="Calibri" w:hAnsi="Arial" w:cs="Arial"/>
          <w:color w:val="0E0E0E"/>
          <w:kern w:val="0"/>
        </w:rPr>
        <w:t xml:space="preserve">, O. (2020). Global sustainability and responsibility in hotels and cruising industry. </w:t>
      </w:r>
      <w:r w:rsidRPr="000F35DB">
        <w:rPr>
          <w:rFonts w:ascii="Arial" w:eastAsia="Calibri" w:hAnsi="Arial" w:cs="Arial"/>
          <w:i/>
          <w:iCs/>
          <w:color w:val="0E0E0E"/>
          <w:kern w:val="0"/>
        </w:rPr>
        <w:t>Proceedings of the International Conference on Business Excellence</w:t>
      </w:r>
      <w:r w:rsidRPr="000F35DB">
        <w:rPr>
          <w:rFonts w:ascii="Arial" w:eastAsia="Calibri" w:hAnsi="Arial" w:cs="Arial"/>
          <w:color w:val="0E0E0E"/>
          <w:kern w:val="0"/>
        </w:rPr>
        <w:t xml:space="preserve">, 14, 306-315. </w:t>
      </w:r>
      <w:hyperlink r:id="rId33" w:history="1">
        <w:r w:rsidRPr="000F35DB">
          <w:rPr>
            <w:rFonts w:ascii="Arial" w:eastAsia="Calibri" w:hAnsi="Arial" w:cs="Arial"/>
            <w:color w:val="467886" w:themeColor="hyperlink"/>
            <w:kern w:val="0"/>
            <w:u w:val="single"/>
          </w:rPr>
          <w:t>https://doi.org/10.2478/picbe-2020-0029</w:t>
        </w:r>
      </w:hyperlink>
      <w:r w:rsidRPr="000F35DB">
        <w:rPr>
          <w:rFonts w:ascii="Arial" w:eastAsia="Calibri" w:hAnsi="Arial" w:cs="Arial"/>
          <w:color w:val="0E0E0E"/>
          <w:kern w:val="0"/>
        </w:rPr>
        <w:t xml:space="preserve"> </w:t>
      </w:r>
    </w:p>
    <w:p w14:paraId="1B3BD9E1" w14:textId="77777777" w:rsidR="000F35DB" w:rsidRDefault="000F35DB" w:rsidP="000F35DB">
      <w:pPr>
        <w:jc w:val="center"/>
      </w:pPr>
    </w:p>
    <w:sectPr w:rsidR="000F35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5F0CFD"/>
    <w:multiLevelType w:val="multilevel"/>
    <w:tmpl w:val="D856148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277716907">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07B"/>
    <w:rsid w:val="000E507B"/>
    <w:rsid w:val="000F35DB"/>
    <w:rsid w:val="001B0393"/>
    <w:rsid w:val="003220C0"/>
    <w:rsid w:val="00445C12"/>
    <w:rsid w:val="00571879"/>
    <w:rsid w:val="00686DEB"/>
    <w:rsid w:val="007F7716"/>
    <w:rsid w:val="00815458"/>
    <w:rsid w:val="009E0E0B"/>
    <w:rsid w:val="00A52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B0FDF"/>
  <w15:chartTrackingRefBased/>
  <w15:docId w15:val="{063E8BC9-A661-4CF1-9466-466391215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5DB"/>
  </w:style>
  <w:style w:type="paragraph" w:styleId="Heading1">
    <w:name w:val="heading 1"/>
    <w:basedOn w:val="Normal"/>
    <w:next w:val="Normal"/>
    <w:link w:val="Heading1Char"/>
    <w:uiPriority w:val="9"/>
    <w:qFormat/>
    <w:rsid w:val="000E50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50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E50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50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50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50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50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50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50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50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50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E50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50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50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50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50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50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507B"/>
    <w:rPr>
      <w:rFonts w:eastAsiaTheme="majorEastAsia" w:cstheme="majorBidi"/>
      <w:color w:val="272727" w:themeColor="text1" w:themeTint="D8"/>
    </w:rPr>
  </w:style>
  <w:style w:type="paragraph" w:styleId="Title">
    <w:name w:val="Title"/>
    <w:basedOn w:val="Normal"/>
    <w:next w:val="Normal"/>
    <w:link w:val="TitleChar"/>
    <w:uiPriority w:val="10"/>
    <w:qFormat/>
    <w:rsid w:val="000E50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50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50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50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507B"/>
    <w:pPr>
      <w:spacing w:before="160"/>
      <w:jc w:val="center"/>
    </w:pPr>
    <w:rPr>
      <w:i/>
      <w:iCs/>
      <w:color w:val="404040" w:themeColor="text1" w:themeTint="BF"/>
    </w:rPr>
  </w:style>
  <w:style w:type="character" w:customStyle="1" w:styleId="QuoteChar">
    <w:name w:val="Quote Char"/>
    <w:basedOn w:val="DefaultParagraphFont"/>
    <w:link w:val="Quote"/>
    <w:uiPriority w:val="29"/>
    <w:rsid w:val="000E507B"/>
    <w:rPr>
      <w:i/>
      <w:iCs/>
      <w:color w:val="404040" w:themeColor="text1" w:themeTint="BF"/>
    </w:rPr>
  </w:style>
  <w:style w:type="paragraph" w:styleId="ListParagraph">
    <w:name w:val="List Paragraph"/>
    <w:basedOn w:val="Normal"/>
    <w:uiPriority w:val="34"/>
    <w:qFormat/>
    <w:rsid w:val="000E507B"/>
    <w:pPr>
      <w:ind w:left="720"/>
      <w:contextualSpacing/>
    </w:pPr>
  </w:style>
  <w:style w:type="character" w:styleId="IntenseEmphasis">
    <w:name w:val="Intense Emphasis"/>
    <w:basedOn w:val="DefaultParagraphFont"/>
    <w:uiPriority w:val="21"/>
    <w:qFormat/>
    <w:rsid w:val="000E507B"/>
    <w:rPr>
      <w:i/>
      <w:iCs/>
      <w:color w:val="0F4761" w:themeColor="accent1" w:themeShade="BF"/>
    </w:rPr>
  </w:style>
  <w:style w:type="paragraph" w:styleId="IntenseQuote">
    <w:name w:val="Intense Quote"/>
    <w:basedOn w:val="Normal"/>
    <w:next w:val="Normal"/>
    <w:link w:val="IntenseQuoteChar"/>
    <w:uiPriority w:val="30"/>
    <w:qFormat/>
    <w:rsid w:val="000E50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507B"/>
    <w:rPr>
      <w:i/>
      <w:iCs/>
      <w:color w:val="0F4761" w:themeColor="accent1" w:themeShade="BF"/>
    </w:rPr>
  </w:style>
  <w:style w:type="character" w:styleId="IntenseReference">
    <w:name w:val="Intense Reference"/>
    <w:basedOn w:val="DefaultParagraphFont"/>
    <w:uiPriority w:val="32"/>
    <w:qFormat/>
    <w:rsid w:val="000E50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805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jfm-03-2022-0025" TargetMode="External"/><Relationship Id="rId18" Type="http://schemas.openxmlformats.org/officeDocument/2006/relationships/hyperlink" Target="https://doi.org/10.3390/su132212691" TargetMode="External"/><Relationship Id="rId26" Type="http://schemas.openxmlformats.org/officeDocument/2006/relationships/hyperlink" Target="https://doi.org/10.1016/J.UFUG.2021.126992" TargetMode="External"/><Relationship Id="rId3" Type="http://schemas.openxmlformats.org/officeDocument/2006/relationships/settings" Target="settings.xml"/><Relationship Id="rId21" Type="http://schemas.openxmlformats.org/officeDocument/2006/relationships/hyperlink" Target="https://doi.org/10.1186/s13012-017-0637-1" TargetMode="External"/><Relationship Id="rId34" Type="http://schemas.openxmlformats.org/officeDocument/2006/relationships/fontTable" Target="fontTable.xml"/><Relationship Id="rId7" Type="http://schemas.openxmlformats.org/officeDocument/2006/relationships/hyperlink" Target="https://doi.org/10.1016/J.JCLEPRO.2021.127401" TargetMode="External"/><Relationship Id="rId12" Type="http://schemas.openxmlformats.org/officeDocument/2006/relationships/hyperlink" Target="https://doi.org/10.1108/IJCHM-05-2018-0370" TargetMode="External"/><Relationship Id="rId17" Type="http://schemas.openxmlformats.org/officeDocument/2006/relationships/hyperlink" Target="https://doi.org/10.3390/SU11092513" TargetMode="External"/><Relationship Id="rId25" Type="http://schemas.openxmlformats.org/officeDocument/2006/relationships/hyperlink" Target="https://doi.org/10.1108/ijchm-01-2019-0002" TargetMode="External"/><Relationship Id="rId33" Type="http://schemas.openxmlformats.org/officeDocument/2006/relationships/hyperlink" Target="https://doi.org/10.2478/picbe-2020-0029" TargetMode="External"/><Relationship Id="rId2" Type="http://schemas.openxmlformats.org/officeDocument/2006/relationships/styles" Target="styles.xml"/><Relationship Id="rId16" Type="http://schemas.openxmlformats.org/officeDocument/2006/relationships/hyperlink" Target="https://doi.org/10.3390/su12072729" TargetMode="External"/><Relationship Id="rId20" Type="http://schemas.openxmlformats.org/officeDocument/2006/relationships/hyperlink" Target="https://doi.org/10.1108/ijchm-10-2021-1305" TargetMode="External"/><Relationship Id="rId29" Type="http://schemas.openxmlformats.org/officeDocument/2006/relationships/hyperlink" Target="https://doi.org/10.1108/jpmd-05-2023-0051" TargetMode="External"/><Relationship Id="rId1" Type="http://schemas.openxmlformats.org/officeDocument/2006/relationships/numbering" Target="numbering.xml"/><Relationship Id="rId6" Type="http://schemas.openxmlformats.org/officeDocument/2006/relationships/hyperlink" Target="https://doi.org/10.1111/j.1523-1739.2011.01774.x" TargetMode="External"/><Relationship Id="rId11" Type="http://schemas.openxmlformats.org/officeDocument/2006/relationships/hyperlink" Target="https://doi.org/10.54941/ahfe1002729" TargetMode="External"/><Relationship Id="rId24" Type="http://schemas.openxmlformats.org/officeDocument/2006/relationships/hyperlink" Target="https://doi.org/10.3390/su12218852" TargetMode="External"/><Relationship Id="rId32" Type="http://schemas.openxmlformats.org/officeDocument/2006/relationships/hyperlink" Target="https://doi.org/10.1080/09669582.2021.1903019" TargetMode="External"/><Relationship Id="rId5" Type="http://schemas.openxmlformats.org/officeDocument/2006/relationships/hyperlink" Target="https://doi.org/10.1016/J.JCLEPRO.2016.07.103" TargetMode="External"/><Relationship Id="rId15" Type="http://schemas.openxmlformats.org/officeDocument/2006/relationships/hyperlink" Target="https://doi.org/10.1016/J.JCLEPRO.2013.07.017" TargetMode="External"/><Relationship Id="rId23" Type="http://schemas.openxmlformats.org/officeDocument/2006/relationships/hyperlink" Target="https://doi.org/10.3390/su13010006" TargetMode="External"/><Relationship Id="rId28" Type="http://schemas.openxmlformats.org/officeDocument/2006/relationships/hyperlink" Target="https://doi.org/10.3390/SU11061672" TargetMode="External"/><Relationship Id="rId10" Type="http://schemas.openxmlformats.org/officeDocument/2006/relationships/hyperlink" Target="https://doi.org/10.1016/J.JCLEPRO.2017.11.054" TargetMode="External"/><Relationship Id="rId19" Type="http://schemas.openxmlformats.org/officeDocument/2006/relationships/hyperlink" Target="https://doi.org/10.1080/15022250.2023.2174179" TargetMode="External"/><Relationship Id="rId31" Type="http://schemas.openxmlformats.org/officeDocument/2006/relationships/hyperlink" Target="https://doi.org/10.9734/ajess/2023/v49i31174" TargetMode="External"/><Relationship Id="rId4" Type="http://schemas.openxmlformats.org/officeDocument/2006/relationships/webSettings" Target="webSettings.xml"/><Relationship Id="rId9" Type="http://schemas.openxmlformats.org/officeDocument/2006/relationships/hyperlink" Target="https://doi.org/10.1016/J.BUILDENV.2017.07.007" TargetMode="External"/><Relationship Id="rId14" Type="http://schemas.openxmlformats.org/officeDocument/2006/relationships/hyperlink" Target="https://doi.org/10.52131/jom.2022.0402.0074" TargetMode="External"/><Relationship Id="rId22" Type="http://schemas.openxmlformats.org/officeDocument/2006/relationships/hyperlink" Target="https://doi.org/10.1108/EJIM-10-2020-0425" TargetMode="External"/><Relationship Id="rId27" Type="http://schemas.openxmlformats.org/officeDocument/2006/relationships/hyperlink" Target="https://doi.org/10.1016/j.jclepro.2020.120404" TargetMode="External"/><Relationship Id="rId30" Type="http://schemas.openxmlformats.org/officeDocument/2006/relationships/hyperlink" Target="https://doi.org/10.1177/14673584221119581" TargetMode="External"/><Relationship Id="rId35" Type="http://schemas.openxmlformats.org/officeDocument/2006/relationships/theme" Target="theme/theme1.xml"/><Relationship Id="rId8" Type="http://schemas.openxmlformats.org/officeDocument/2006/relationships/hyperlink" Target="https://doi.org/10.1088/1748-9326/aa625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TotalTime>
  <Pages>14</Pages>
  <Words>4056</Words>
  <Characters>23123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Salanchi</dc:creator>
  <cp:keywords/>
  <dc:description/>
  <cp:lastModifiedBy>Anamaria Salanchi</cp:lastModifiedBy>
  <cp:revision>4</cp:revision>
  <dcterms:created xsi:type="dcterms:W3CDTF">2024-06-03T15:12:00Z</dcterms:created>
  <dcterms:modified xsi:type="dcterms:W3CDTF">2024-06-03T20:51:00Z</dcterms:modified>
</cp:coreProperties>
</file>