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3384C4" w14:textId="77777777" w:rsidR="00E70843" w:rsidRPr="00E70843" w:rsidRDefault="006561C1" w:rsidP="006807D1">
      <w:pPr>
        <w:spacing w:line="360" w:lineRule="auto"/>
        <w:rPr>
          <w:rFonts w:ascii="Arial" w:eastAsia="Times New Roman" w:hAnsi="Arial" w:cs="Arial"/>
          <w:b/>
          <w:bCs/>
          <w:kern w:val="36"/>
          <w:sz w:val="48"/>
          <w:szCs w:val="48"/>
          <w:lang w:eastAsia="en-GB"/>
          <w14:ligatures w14:val="none"/>
        </w:rPr>
      </w:pPr>
      <w:r w:rsidRPr="00E70843">
        <w:rPr>
          <w:rFonts w:ascii="Arial" w:eastAsia="Times New Roman" w:hAnsi="Arial" w:cs="Arial"/>
          <w:b/>
          <w:bCs/>
          <w:kern w:val="36"/>
          <w:sz w:val="48"/>
          <w:szCs w:val="48"/>
          <w:lang w:eastAsia="en-GB"/>
          <w14:ligatures w14:val="none"/>
        </w:rPr>
        <w:t xml:space="preserve"> Jodie Chanel D</w:t>
      </w:r>
      <w:r w:rsidR="00E70843" w:rsidRPr="00E70843">
        <w:rPr>
          <w:rFonts w:ascii="Arial" w:eastAsia="Times New Roman" w:hAnsi="Arial" w:cs="Arial"/>
          <w:b/>
          <w:bCs/>
          <w:kern w:val="36"/>
          <w:sz w:val="48"/>
          <w:szCs w:val="48"/>
          <w:lang w:eastAsia="en-GB"/>
          <w14:ligatures w14:val="none"/>
        </w:rPr>
        <w:t>ickinson</w:t>
      </w:r>
    </w:p>
    <w:p w14:paraId="762FE7FC" w14:textId="52C769D2" w:rsidR="006561C1" w:rsidRPr="00E70843" w:rsidRDefault="006561C1" w:rsidP="006807D1">
      <w:pPr>
        <w:spacing w:line="360" w:lineRule="auto"/>
        <w:rPr>
          <w:rFonts w:ascii="Arial" w:eastAsia="Times New Roman" w:hAnsi="Arial" w:cs="Arial"/>
          <w:b/>
          <w:bCs/>
          <w:kern w:val="36"/>
          <w:sz w:val="48"/>
          <w:szCs w:val="48"/>
          <w:lang w:eastAsia="en-GB"/>
          <w14:ligatures w14:val="none"/>
        </w:rPr>
      </w:pPr>
      <w:r w:rsidRPr="00E70843">
        <w:rPr>
          <w:rFonts w:ascii="Arial" w:eastAsia="Times New Roman" w:hAnsi="Arial" w:cs="Arial"/>
          <w:b/>
          <w:bCs/>
          <w:kern w:val="36"/>
          <w:sz w:val="48"/>
          <w:szCs w:val="48"/>
          <w:lang w:eastAsia="en-GB"/>
          <w14:ligatures w14:val="none"/>
        </w:rPr>
        <w:t xml:space="preserve"> </w:t>
      </w:r>
      <w:r w:rsidR="00CA38C9" w:rsidRPr="00E70843">
        <w:rPr>
          <w:rFonts w:ascii="Arial" w:eastAsia="Times New Roman" w:hAnsi="Arial" w:cs="Arial"/>
          <w:b/>
          <w:bCs/>
          <w:kern w:val="36"/>
          <w:sz w:val="48"/>
          <w:szCs w:val="48"/>
          <w:lang w:eastAsia="en-GB"/>
          <w14:ligatures w14:val="none"/>
        </w:rPr>
        <w:t>2309200</w:t>
      </w:r>
    </w:p>
    <w:p w14:paraId="46444706" w14:textId="121552C8" w:rsidR="00CA38C9" w:rsidRPr="00E70843" w:rsidRDefault="00CA38C9" w:rsidP="006807D1">
      <w:pPr>
        <w:spacing w:line="360" w:lineRule="auto"/>
        <w:rPr>
          <w:rFonts w:ascii="Arial" w:eastAsia="Times New Roman" w:hAnsi="Arial" w:cs="Arial"/>
          <w:b/>
          <w:bCs/>
          <w:kern w:val="36"/>
          <w:sz w:val="48"/>
          <w:szCs w:val="48"/>
          <w:lang w:eastAsia="en-GB"/>
          <w14:ligatures w14:val="none"/>
        </w:rPr>
      </w:pPr>
      <w:r w:rsidRPr="00E70843">
        <w:rPr>
          <w:rFonts w:ascii="Arial" w:eastAsia="Times New Roman" w:hAnsi="Arial" w:cs="Arial"/>
          <w:b/>
          <w:bCs/>
          <w:kern w:val="36"/>
          <w:sz w:val="48"/>
          <w:szCs w:val="48"/>
          <w:lang w:eastAsia="en-GB"/>
          <w14:ligatures w14:val="none"/>
        </w:rPr>
        <w:t xml:space="preserve"> Introduction to Health and Social</w:t>
      </w:r>
      <w:r w:rsidR="008E070A" w:rsidRPr="00E70843">
        <w:rPr>
          <w:rFonts w:ascii="Arial" w:eastAsia="Times New Roman" w:hAnsi="Arial" w:cs="Arial"/>
          <w:b/>
          <w:bCs/>
          <w:kern w:val="36"/>
          <w:sz w:val="48"/>
          <w:szCs w:val="48"/>
          <w:lang w:eastAsia="en-GB"/>
          <w14:ligatures w14:val="none"/>
        </w:rPr>
        <w:t xml:space="preserve"> </w:t>
      </w:r>
      <w:r w:rsidRPr="00E70843">
        <w:rPr>
          <w:rFonts w:ascii="Arial" w:eastAsia="Times New Roman" w:hAnsi="Arial" w:cs="Arial"/>
          <w:b/>
          <w:bCs/>
          <w:kern w:val="36"/>
          <w:sz w:val="48"/>
          <w:szCs w:val="48"/>
          <w:lang w:eastAsia="en-GB"/>
          <w14:ligatures w14:val="none"/>
        </w:rPr>
        <w:t>Care</w:t>
      </w:r>
    </w:p>
    <w:p w14:paraId="3636912E" w14:textId="797C565D" w:rsidR="00D42062" w:rsidRPr="00E70843" w:rsidRDefault="00D42062" w:rsidP="006807D1">
      <w:pPr>
        <w:spacing w:line="360" w:lineRule="auto"/>
        <w:rPr>
          <w:rFonts w:ascii="Arial" w:eastAsia="Times New Roman" w:hAnsi="Arial" w:cs="Arial"/>
          <w:b/>
          <w:bCs/>
          <w:kern w:val="36"/>
          <w:sz w:val="48"/>
          <w:szCs w:val="48"/>
          <w:lang w:eastAsia="en-GB"/>
          <w14:ligatures w14:val="none"/>
        </w:rPr>
      </w:pPr>
      <w:r w:rsidRPr="00E70843">
        <w:rPr>
          <w:rFonts w:ascii="Arial" w:eastAsia="Times New Roman" w:hAnsi="Arial" w:cs="Arial"/>
          <w:b/>
          <w:bCs/>
          <w:kern w:val="36"/>
          <w:sz w:val="48"/>
          <w:szCs w:val="48"/>
          <w:lang w:eastAsia="en-GB"/>
          <w14:ligatures w14:val="none"/>
        </w:rPr>
        <w:t xml:space="preserve"> LCH4003</w:t>
      </w:r>
    </w:p>
    <w:p w14:paraId="3D02D049" w14:textId="3F536D30" w:rsidR="00D42062" w:rsidRPr="00E70843" w:rsidRDefault="00D42062" w:rsidP="006807D1">
      <w:pPr>
        <w:spacing w:line="360" w:lineRule="auto"/>
        <w:rPr>
          <w:rFonts w:ascii="Arial" w:eastAsia="Times New Roman" w:hAnsi="Arial" w:cs="Arial"/>
          <w:b/>
          <w:bCs/>
          <w:kern w:val="36"/>
          <w:sz w:val="48"/>
          <w:szCs w:val="48"/>
          <w:lang w:eastAsia="en-GB"/>
          <w14:ligatures w14:val="none"/>
        </w:rPr>
      </w:pPr>
      <w:r w:rsidRPr="00E70843">
        <w:rPr>
          <w:rFonts w:ascii="Arial" w:eastAsia="Times New Roman" w:hAnsi="Arial" w:cs="Arial"/>
          <w:b/>
          <w:bCs/>
          <w:kern w:val="36"/>
          <w:sz w:val="48"/>
          <w:szCs w:val="48"/>
          <w:lang w:eastAsia="en-GB"/>
          <w14:ligatures w14:val="none"/>
        </w:rPr>
        <w:t xml:space="preserve"> Debrah </w:t>
      </w:r>
      <w:r w:rsidR="009E57E6" w:rsidRPr="00E70843">
        <w:rPr>
          <w:rFonts w:ascii="Arial" w:eastAsia="Times New Roman" w:hAnsi="Arial" w:cs="Arial"/>
          <w:b/>
          <w:bCs/>
          <w:kern w:val="36"/>
          <w:sz w:val="48"/>
          <w:szCs w:val="48"/>
          <w:lang w:eastAsia="en-GB"/>
          <w14:ligatures w14:val="none"/>
        </w:rPr>
        <w:t>Odeh</w:t>
      </w:r>
    </w:p>
    <w:p w14:paraId="1F9B02B4" w14:textId="197CA510" w:rsidR="009E57E6" w:rsidRPr="00E70843" w:rsidRDefault="009E57E6" w:rsidP="006807D1">
      <w:pPr>
        <w:spacing w:line="360" w:lineRule="auto"/>
        <w:rPr>
          <w:rFonts w:ascii="Arial" w:eastAsia="Times New Roman" w:hAnsi="Arial" w:cs="Arial"/>
          <w:b/>
          <w:bCs/>
          <w:kern w:val="36"/>
          <w:sz w:val="48"/>
          <w:szCs w:val="48"/>
          <w:lang w:eastAsia="en-GB"/>
          <w14:ligatures w14:val="none"/>
        </w:rPr>
      </w:pPr>
      <w:r w:rsidRPr="00E70843">
        <w:rPr>
          <w:rFonts w:ascii="Arial" w:eastAsia="Times New Roman" w:hAnsi="Arial" w:cs="Arial"/>
          <w:b/>
          <w:bCs/>
          <w:kern w:val="36"/>
          <w:sz w:val="48"/>
          <w:szCs w:val="48"/>
          <w:lang w:eastAsia="en-GB"/>
          <w14:ligatures w14:val="none"/>
        </w:rPr>
        <w:t xml:space="preserve"> </w:t>
      </w:r>
      <w:r w:rsidR="00BF73FB" w:rsidRPr="00E70843">
        <w:rPr>
          <w:rFonts w:ascii="Arial" w:eastAsia="Times New Roman" w:hAnsi="Arial" w:cs="Arial"/>
          <w:b/>
          <w:bCs/>
          <w:kern w:val="36"/>
          <w:sz w:val="48"/>
          <w:szCs w:val="48"/>
          <w:lang w:eastAsia="en-GB"/>
          <w14:ligatures w14:val="none"/>
        </w:rPr>
        <w:t>The case of Mrs Mann</w:t>
      </w:r>
    </w:p>
    <w:p w14:paraId="2EC7C5EC" w14:textId="42C46DA6" w:rsidR="006551EE" w:rsidRDefault="006551EE" w:rsidP="006807D1">
      <w:pPr>
        <w:spacing w:line="360" w:lineRule="auto"/>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t xml:space="preserve">                                            </w:t>
      </w:r>
    </w:p>
    <w:p w14:paraId="6BC62F96" w14:textId="066D4823" w:rsidR="00993511" w:rsidRPr="007F7D94" w:rsidRDefault="00993511">
      <w:pPr>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br w:type="page"/>
      </w:r>
    </w:p>
    <w:p w14:paraId="45508FC0" w14:textId="71F1FEBB" w:rsidR="000812EB" w:rsidRPr="006807D1" w:rsidRDefault="000812EB" w:rsidP="006807D1">
      <w:pPr>
        <w:spacing w:line="360" w:lineRule="auto"/>
        <w:rPr>
          <w:rFonts w:ascii="Arial" w:eastAsia="Times New Roman" w:hAnsi="Arial" w:cs="Arial"/>
          <w:b/>
          <w:bCs/>
          <w:kern w:val="36"/>
          <w:sz w:val="22"/>
          <w:szCs w:val="22"/>
          <w:lang w:eastAsia="en-GB"/>
          <w14:ligatures w14:val="none"/>
        </w:rPr>
      </w:pPr>
      <w:r w:rsidRPr="006807D1">
        <w:rPr>
          <w:rFonts w:ascii="Arial" w:eastAsia="Times New Roman" w:hAnsi="Arial" w:cs="Arial"/>
          <w:b/>
          <w:bCs/>
          <w:kern w:val="36"/>
          <w:sz w:val="22"/>
          <w:szCs w:val="22"/>
          <w:lang w:eastAsia="en-GB"/>
          <w14:ligatures w14:val="none"/>
        </w:rPr>
        <w:lastRenderedPageBreak/>
        <w:t>Effective Communication, Administrative Skills, and Collaborative Working in Health and Social Care: The Case of Mrs Mann</w:t>
      </w:r>
    </w:p>
    <w:p w14:paraId="3EA7A459" w14:textId="7AB147AC" w:rsidR="000812EB" w:rsidRPr="006807D1" w:rsidRDefault="000812EB" w:rsidP="006807D1">
      <w:pPr>
        <w:spacing w:line="360" w:lineRule="auto"/>
        <w:rPr>
          <w:rFonts w:ascii="Arial" w:eastAsia="Times New Roman" w:hAnsi="Arial" w:cs="Arial"/>
          <w:b/>
          <w:bCs/>
          <w:kern w:val="0"/>
          <w:sz w:val="22"/>
          <w:szCs w:val="22"/>
          <w:lang w:eastAsia="en-GB"/>
          <w14:ligatures w14:val="none"/>
        </w:rPr>
      </w:pPr>
      <w:r w:rsidRPr="006807D1">
        <w:rPr>
          <w:rFonts w:ascii="Arial" w:eastAsia="Times New Roman" w:hAnsi="Arial" w:cs="Arial"/>
          <w:b/>
          <w:bCs/>
          <w:kern w:val="0"/>
          <w:sz w:val="22"/>
          <w:szCs w:val="22"/>
          <w:lang w:eastAsia="en-GB"/>
          <w14:ligatures w14:val="none"/>
        </w:rPr>
        <w:t>Introduction</w:t>
      </w:r>
    </w:p>
    <w:p w14:paraId="4058BDE1"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Effective communication, strong administrative skills, and collaborative working are essential for providing safe, inclusive, and person-centred health and social care. They ensure that individuals receive consistent, lawful, and high-quality support. This report explores these three areas using the case of Mrs Mann, a 72-year-old woman recently discharged from hospital after hip replacement surgery. She lives alone, receives twice-daily domiciliary care, and is supported by her GP and community physiotherapist. However, inconsistent documentation and a delayed medication adjustment have raised concerns, prompting an internal review.</w:t>
      </w:r>
    </w:p>
    <w:p w14:paraId="38609635"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 xml:space="preserve">The discussion will examine how effective communication, robust record keeping, and collaborative working contribute to Mrs Mann’s care, referencing key legislation such as the </w:t>
      </w:r>
      <w:r w:rsidRPr="006807D1">
        <w:rPr>
          <w:rFonts w:ascii="Arial" w:eastAsia="Times New Roman" w:hAnsi="Arial" w:cs="Arial"/>
          <w:i/>
          <w:iCs/>
          <w:kern w:val="0"/>
          <w:sz w:val="22"/>
          <w:szCs w:val="22"/>
          <w:lang w:eastAsia="en-GB"/>
          <w14:ligatures w14:val="none"/>
        </w:rPr>
        <w:t>Equality Act 2010</w:t>
      </w:r>
      <w:r w:rsidRPr="006807D1">
        <w:rPr>
          <w:rFonts w:ascii="Arial" w:eastAsia="Times New Roman" w:hAnsi="Arial" w:cs="Arial"/>
          <w:kern w:val="0"/>
          <w:sz w:val="22"/>
          <w:szCs w:val="22"/>
          <w:lang w:eastAsia="en-GB"/>
          <w14:ligatures w14:val="none"/>
        </w:rPr>
        <w:t xml:space="preserve"> and the </w:t>
      </w:r>
      <w:r w:rsidRPr="006807D1">
        <w:rPr>
          <w:rFonts w:ascii="Arial" w:eastAsia="Times New Roman" w:hAnsi="Arial" w:cs="Arial"/>
          <w:i/>
          <w:iCs/>
          <w:kern w:val="0"/>
          <w:sz w:val="22"/>
          <w:szCs w:val="22"/>
          <w:lang w:eastAsia="en-GB"/>
          <w14:ligatures w14:val="none"/>
        </w:rPr>
        <w:t>Data Protection Act 2018</w:t>
      </w:r>
      <w:r w:rsidRPr="006807D1">
        <w:rPr>
          <w:rFonts w:ascii="Arial" w:eastAsia="Times New Roman" w:hAnsi="Arial" w:cs="Arial"/>
          <w:kern w:val="0"/>
          <w:sz w:val="22"/>
          <w:szCs w:val="22"/>
          <w:lang w:eastAsia="en-GB"/>
          <w14:ligatures w14:val="none"/>
        </w:rPr>
        <w:t>. It will also draw on theoretical frameworks, policy guidance, and academic sources to demonstrate how professional practice can ensure person-centred, safe, and equitable outcomes for individuals with complex needs.</w:t>
      </w:r>
    </w:p>
    <w:p w14:paraId="1C651F6E" w14:textId="6C6F3BD4"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b/>
          <w:bCs/>
          <w:kern w:val="0"/>
          <w:sz w:val="22"/>
          <w:szCs w:val="22"/>
          <w:lang w:eastAsia="en-GB"/>
          <w14:ligatures w14:val="none"/>
        </w:rPr>
        <w:t xml:space="preserve">Importance of Effective Communication in Mrs Mann’s Care </w:t>
      </w:r>
    </w:p>
    <w:p w14:paraId="6E737F9F"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Communication is fundamental to building trust, ensuring understanding, and promoting equality within health and social care. For Mrs Mann, who speaks limited English, effective communication is essential to ensure her active involvement in decisions about her care and rehabilitation. Miscommunication could result in confusion, anxiety, or unsafe care practices.</w:t>
      </w:r>
    </w:p>
    <w:p w14:paraId="5FF3ED99"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 xml:space="preserve">The </w:t>
      </w:r>
      <w:r w:rsidRPr="006807D1">
        <w:rPr>
          <w:rFonts w:ascii="Arial" w:eastAsia="Times New Roman" w:hAnsi="Arial" w:cs="Arial"/>
          <w:i/>
          <w:iCs/>
          <w:kern w:val="0"/>
          <w:sz w:val="22"/>
          <w:szCs w:val="22"/>
          <w:lang w:eastAsia="en-GB"/>
          <w14:ligatures w14:val="none"/>
        </w:rPr>
        <w:t>Equality Act 2010</w:t>
      </w:r>
      <w:r w:rsidRPr="006807D1">
        <w:rPr>
          <w:rFonts w:ascii="Arial" w:eastAsia="Times New Roman" w:hAnsi="Arial" w:cs="Arial"/>
          <w:kern w:val="0"/>
          <w:sz w:val="22"/>
          <w:szCs w:val="22"/>
          <w:lang w:eastAsia="en-GB"/>
          <w14:ligatures w14:val="none"/>
        </w:rPr>
        <w:t xml:space="preserve"> establishes a legal duty for organisations to make reasonable adjustments to ensure equitable access for all service users (Gov.UK, 2010). This includes providing language support such as interpreters or translated materials. While Mrs Mann’s daughter often interprets for her, overreliance on family members can compromise confidentiality and accuracy. The </w:t>
      </w:r>
      <w:r w:rsidRPr="006807D1">
        <w:rPr>
          <w:rFonts w:ascii="Arial" w:eastAsia="Times New Roman" w:hAnsi="Arial" w:cs="Arial"/>
          <w:i/>
          <w:iCs/>
          <w:kern w:val="0"/>
          <w:sz w:val="22"/>
          <w:szCs w:val="22"/>
          <w:lang w:eastAsia="en-GB"/>
          <w14:ligatures w14:val="none"/>
        </w:rPr>
        <w:t>NHS Confidentiality Code of Practice</w:t>
      </w:r>
      <w:r w:rsidRPr="006807D1">
        <w:rPr>
          <w:rFonts w:ascii="Arial" w:eastAsia="Times New Roman" w:hAnsi="Arial" w:cs="Arial"/>
          <w:kern w:val="0"/>
          <w:sz w:val="22"/>
          <w:szCs w:val="22"/>
          <w:lang w:eastAsia="en-GB"/>
          <w14:ligatures w14:val="none"/>
        </w:rPr>
        <w:t xml:space="preserve"> (Department of Health and Social Care, 2022) advises that professional interpreters should be used wherever possible to maintain dignity, accuracy, and privacy.</w:t>
      </w:r>
    </w:p>
    <w:p w14:paraId="2BEEE3B8"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 xml:space="preserve">Glasby (2017) emphasises that effective communication ensures service users are treated as individuals, not cases. It encourages respect, understanding, and empowerment. Similarly, the </w:t>
      </w:r>
      <w:r w:rsidRPr="006807D1">
        <w:rPr>
          <w:rFonts w:ascii="Arial" w:eastAsia="Times New Roman" w:hAnsi="Arial" w:cs="Arial"/>
          <w:i/>
          <w:iCs/>
          <w:kern w:val="0"/>
          <w:sz w:val="22"/>
          <w:szCs w:val="22"/>
          <w:lang w:eastAsia="en-GB"/>
          <w14:ligatures w14:val="none"/>
        </w:rPr>
        <w:t>Health and Social Care Act 2008 (Regulated Activities) Regulations 2014</w:t>
      </w:r>
      <w:r w:rsidRPr="006807D1">
        <w:rPr>
          <w:rFonts w:ascii="Arial" w:eastAsia="Times New Roman" w:hAnsi="Arial" w:cs="Arial"/>
          <w:kern w:val="0"/>
          <w:sz w:val="22"/>
          <w:szCs w:val="22"/>
          <w:lang w:eastAsia="en-GB"/>
          <w14:ligatures w14:val="none"/>
        </w:rPr>
        <w:t xml:space="preserve"> </w:t>
      </w:r>
      <w:r w:rsidRPr="006807D1">
        <w:rPr>
          <w:rFonts w:ascii="Arial" w:eastAsia="Times New Roman" w:hAnsi="Arial" w:cs="Arial"/>
          <w:kern w:val="0"/>
          <w:sz w:val="22"/>
          <w:szCs w:val="22"/>
          <w:lang w:eastAsia="en-GB"/>
          <w14:ligatures w14:val="none"/>
        </w:rPr>
        <w:lastRenderedPageBreak/>
        <w:t>requires providers to involve individuals in decisions about their care and to communicate information in a way they can understand. For Mrs Mann, this means staff should use plain, simple English, visual prompts, or translated materials to ensure she fully comprehends care plans and medication instructions.</w:t>
      </w:r>
    </w:p>
    <w:p w14:paraId="06A2DB38"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 xml:space="preserve">Applying </w:t>
      </w:r>
      <w:r w:rsidRPr="006807D1">
        <w:rPr>
          <w:rFonts w:ascii="Arial" w:eastAsia="Times New Roman" w:hAnsi="Arial" w:cs="Arial"/>
          <w:b/>
          <w:bCs/>
          <w:kern w:val="0"/>
          <w:sz w:val="22"/>
          <w:szCs w:val="22"/>
          <w:lang w:eastAsia="en-GB"/>
          <w14:ligatures w14:val="none"/>
        </w:rPr>
        <w:t>Tuckman’s (1965) model of group development</w:t>
      </w:r>
      <w:r w:rsidRPr="006807D1">
        <w:rPr>
          <w:rFonts w:ascii="Arial" w:eastAsia="Times New Roman" w:hAnsi="Arial" w:cs="Arial"/>
          <w:kern w:val="0"/>
          <w:sz w:val="22"/>
          <w:szCs w:val="22"/>
          <w:lang w:eastAsia="en-GB"/>
          <w14:ligatures w14:val="none"/>
        </w:rPr>
        <w:t xml:space="preserve"> can help explain how communication develops within teams. In the forming stage, professionals establish trust and clarify roles; during the performing stage, communication becomes more cohesive and efficient. For Mrs Mann’s multidisciplinary team, clear communication between her care workers, GP, and physiotherapist is critical to ensure safe and consistent support.</w:t>
      </w:r>
    </w:p>
    <w:p w14:paraId="30C0B0DC"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i/>
          <w:iCs/>
          <w:kern w:val="0"/>
          <w:sz w:val="22"/>
          <w:szCs w:val="22"/>
          <w:lang w:eastAsia="en-GB"/>
          <w14:ligatures w14:val="none"/>
        </w:rPr>
        <w:t>Healthcare UK (Gov.UK, 2022)</w:t>
      </w:r>
      <w:r w:rsidRPr="006807D1">
        <w:rPr>
          <w:rFonts w:ascii="Arial" w:eastAsia="Times New Roman" w:hAnsi="Arial" w:cs="Arial"/>
          <w:kern w:val="0"/>
          <w:sz w:val="22"/>
          <w:szCs w:val="22"/>
          <w:lang w:eastAsia="en-GB"/>
          <w14:ligatures w14:val="none"/>
        </w:rPr>
        <w:t xml:space="preserve"> notes that effective communication reduces duplication, supports integration, and improves safety in multi-agency care. The communication lapse that delayed Mrs Mann’s medication adjustment demonstrates the potential consequences of poor information sharing.</w:t>
      </w:r>
    </w:p>
    <w:p w14:paraId="6B4DC6A1"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Silverman, Kurtz and Draper (2016) highlight that communication involves both verbal and non-verbal elements. Active listening, empathy, and culturally sensitive interactions are key to building trust. Care workers should check Mrs Mann’s understanding, listen attentively to her concerns, and adapt communication methods to her language and cultural background.</w:t>
      </w:r>
    </w:p>
    <w:p w14:paraId="64647225"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p>
    <w:p w14:paraId="4B1CD76D" w14:textId="7981404B" w:rsidR="00077D00"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Glasby and Dickinson (2014) describe communication as the foundation of partnership working, vital for ensuring professionals collaborate effectively with both colleagues and service users. When professionals communicate clearly and inclusively, individuals like Mrs Mann are empowered to make informed choices and participate actively in their own care.</w:t>
      </w:r>
    </w:p>
    <w:p w14:paraId="5C2E9975" w14:textId="1776FEE2" w:rsidR="000812EB" w:rsidRPr="006807D1" w:rsidRDefault="000812EB" w:rsidP="006807D1">
      <w:pPr>
        <w:spacing w:after="0" w:line="360" w:lineRule="auto"/>
        <w:rPr>
          <w:rFonts w:ascii="Arial" w:eastAsia="Times New Roman" w:hAnsi="Arial" w:cs="Arial"/>
          <w:kern w:val="0"/>
          <w:sz w:val="22"/>
          <w:szCs w:val="22"/>
          <w:lang w:eastAsia="en-GB"/>
          <w14:ligatures w14:val="none"/>
        </w:rPr>
      </w:pPr>
      <w:r w:rsidRPr="006807D1">
        <w:rPr>
          <w:rFonts w:ascii="Arial" w:eastAsia="Times New Roman" w:hAnsi="Arial" w:cs="Arial"/>
          <w:b/>
          <w:bCs/>
          <w:kern w:val="0"/>
          <w:sz w:val="22"/>
          <w:szCs w:val="22"/>
          <w:lang w:eastAsia="en-GB"/>
          <w14:ligatures w14:val="none"/>
        </w:rPr>
        <w:t>Importance of Good Administrative Skills and Record Keeping</w:t>
      </w:r>
    </w:p>
    <w:p w14:paraId="02C20CC7"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Accurate record keeping and strong administrative skills underpin safe, ethical, and accountable professional practice. Documentation provides a factual account of care delivered, supports continuity, and serves as a legal record. In Mrs Mann’s case, inconsistent documentation and a communication failure led to a delayed medication adjustment—highlighting how administrative shortcomings can directly affect patient safety and wellbeing.</w:t>
      </w:r>
    </w:p>
    <w:p w14:paraId="6970D7A7"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 xml:space="preserve">The </w:t>
      </w:r>
      <w:r w:rsidRPr="006807D1">
        <w:rPr>
          <w:rFonts w:ascii="Arial" w:eastAsia="Times New Roman" w:hAnsi="Arial" w:cs="Arial"/>
          <w:i/>
          <w:iCs/>
          <w:kern w:val="0"/>
          <w:sz w:val="22"/>
          <w:szCs w:val="22"/>
          <w:lang w:eastAsia="en-GB"/>
          <w14:ligatures w14:val="none"/>
        </w:rPr>
        <w:t>Data Protection Act 2018</w:t>
      </w:r>
      <w:r w:rsidRPr="006807D1">
        <w:rPr>
          <w:rFonts w:ascii="Arial" w:eastAsia="Times New Roman" w:hAnsi="Arial" w:cs="Arial"/>
          <w:kern w:val="0"/>
          <w:sz w:val="22"/>
          <w:szCs w:val="22"/>
          <w:lang w:eastAsia="en-GB"/>
          <w14:ligatures w14:val="none"/>
        </w:rPr>
        <w:t xml:space="preserve"> and </w:t>
      </w:r>
      <w:r w:rsidRPr="006807D1">
        <w:rPr>
          <w:rFonts w:ascii="Arial" w:eastAsia="Times New Roman" w:hAnsi="Arial" w:cs="Arial"/>
          <w:i/>
          <w:iCs/>
          <w:kern w:val="0"/>
          <w:sz w:val="22"/>
          <w:szCs w:val="22"/>
          <w:lang w:eastAsia="en-GB"/>
          <w14:ligatures w14:val="none"/>
        </w:rPr>
        <w:t>General Data Protection Regulation (GDPR)</w:t>
      </w:r>
      <w:r w:rsidRPr="006807D1">
        <w:rPr>
          <w:rFonts w:ascii="Arial" w:eastAsia="Times New Roman" w:hAnsi="Arial" w:cs="Arial"/>
          <w:kern w:val="0"/>
          <w:sz w:val="22"/>
          <w:szCs w:val="22"/>
          <w:lang w:eastAsia="en-GB"/>
          <w14:ligatures w14:val="none"/>
        </w:rPr>
        <w:t xml:space="preserve"> set out strict legal responsibilities for storing and sharing personal information. Data must be processed </w:t>
      </w:r>
      <w:r w:rsidRPr="006807D1">
        <w:rPr>
          <w:rFonts w:ascii="Arial" w:eastAsia="Times New Roman" w:hAnsi="Arial" w:cs="Arial"/>
          <w:kern w:val="0"/>
          <w:sz w:val="22"/>
          <w:szCs w:val="22"/>
          <w:lang w:eastAsia="en-GB"/>
          <w14:ligatures w14:val="none"/>
        </w:rPr>
        <w:lastRenderedPageBreak/>
        <w:t>lawfully, used fairly and transparently, and kept accurate and up to date (Information Commissioner’s Office, 2021). For Mrs Mann, this means her care notes, medication updates, and rehabilitation progress should be securely stored and shared only with authorised professionals involved in her care.</w:t>
      </w:r>
    </w:p>
    <w:p w14:paraId="290E05B4" w14:textId="28277925"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Kagle (1991, cited in Hoyle et al., 2019) argues that record keeping is not just administrative</w:t>
      </w:r>
      <w:r w:rsidR="000E2142">
        <w:rPr>
          <w:rFonts w:ascii="Arial" w:eastAsia="Times New Roman" w:hAnsi="Arial" w:cs="Arial"/>
          <w:kern w:val="0"/>
          <w:sz w:val="22"/>
          <w:szCs w:val="22"/>
          <w:lang w:eastAsia="en-GB"/>
          <w14:ligatures w14:val="none"/>
        </w:rPr>
        <w:t xml:space="preserve"> i</w:t>
      </w:r>
      <w:r w:rsidRPr="006807D1">
        <w:rPr>
          <w:rFonts w:ascii="Arial" w:eastAsia="Times New Roman" w:hAnsi="Arial" w:cs="Arial"/>
          <w:kern w:val="0"/>
          <w:sz w:val="22"/>
          <w:szCs w:val="22"/>
          <w:lang w:eastAsia="en-GB"/>
          <w14:ligatures w14:val="none"/>
        </w:rPr>
        <w:t>t is an ethical duty reflecting respect for the individual’s experiences and rights. Records must be factual, objective, and person</w:t>
      </w:r>
      <w:r w:rsidR="000E2142">
        <w:rPr>
          <w:rFonts w:ascii="Arial" w:eastAsia="Times New Roman" w:hAnsi="Arial" w:cs="Arial"/>
          <w:kern w:val="0"/>
          <w:sz w:val="22"/>
          <w:szCs w:val="22"/>
          <w:lang w:eastAsia="en-GB"/>
          <w14:ligatures w14:val="none"/>
        </w:rPr>
        <w:t xml:space="preserve"> </w:t>
      </w:r>
      <w:r w:rsidRPr="006807D1">
        <w:rPr>
          <w:rFonts w:ascii="Arial" w:eastAsia="Times New Roman" w:hAnsi="Arial" w:cs="Arial"/>
          <w:kern w:val="0"/>
          <w:sz w:val="22"/>
          <w:szCs w:val="22"/>
          <w:lang w:eastAsia="en-GB"/>
          <w14:ligatures w14:val="none"/>
        </w:rPr>
        <w:t>centred to ensure fairness and accuracy. Inaccurate or incomplete records can distort communication between professionals and compromise care quality.</w:t>
      </w:r>
    </w:p>
    <w:p w14:paraId="19FD8151"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 xml:space="preserve">The </w:t>
      </w:r>
      <w:r w:rsidRPr="006807D1">
        <w:rPr>
          <w:rFonts w:ascii="Arial" w:eastAsia="Times New Roman" w:hAnsi="Arial" w:cs="Arial"/>
          <w:i/>
          <w:iCs/>
          <w:kern w:val="0"/>
          <w:sz w:val="22"/>
          <w:szCs w:val="22"/>
          <w:lang w:eastAsia="en-GB"/>
          <w14:ligatures w14:val="none"/>
        </w:rPr>
        <w:t>Care Quality Commission (CQC, 2021)</w:t>
      </w:r>
      <w:r w:rsidRPr="006807D1">
        <w:rPr>
          <w:rFonts w:ascii="Arial" w:eastAsia="Times New Roman" w:hAnsi="Arial" w:cs="Arial"/>
          <w:kern w:val="0"/>
          <w:sz w:val="22"/>
          <w:szCs w:val="22"/>
          <w:lang w:eastAsia="en-GB"/>
          <w14:ligatures w14:val="none"/>
        </w:rPr>
        <w:t xml:space="preserve"> requires providers to maintain complete and contemporaneous records demonstrating care planning, risk assessments, and reviews. For Mrs Mann, accurate records detailing her pain management, physiotherapy progress, and medication changes would help prevent duplication and improve coordination between services.</w:t>
      </w:r>
    </w:p>
    <w:p w14:paraId="2D56B95F"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Good administrative practice also involves organisation, prioritisation, and digital competence. Glasby (2017) describes administrative systems as the “connective tissue” of integrated care, linking diverse professionals into a cohesive network. Similarly, Glasby and Dickinson (2014) argue that efficient administration and clear documentation are vital to effective partnership working and information sharing across sectors.</w:t>
      </w:r>
    </w:p>
    <w:p w14:paraId="73124D25"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 xml:space="preserve">The </w:t>
      </w:r>
      <w:r w:rsidRPr="006807D1">
        <w:rPr>
          <w:rFonts w:ascii="Arial" w:eastAsia="Times New Roman" w:hAnsi="Arial" w:cs="Arial"/>
          <w:i/>
          <w:iCs/>
          <w:kern w:val="0"/>
          <w:sz w:val="22"/>
          <w:szCs w:val="22"/>
          <w:lang w:eastAsia="en-GB"/>
          <w14:ligatures w14:val="none"/>
        </w:rPr>
        <w:t>Caldicott Principles</w:t>
      </w:r>
      <w:r w:rsidRPr="006807D1">
        <w:rPr>
          <w:rFonts w:ascii="Arial" w:eastAsia="Times New Roman" w:hAnsi="Arial" w:cs="Arial"/>
          <w:kern w:val="0"/>
          <w:sz w:val="22"/>
          <w:szCs w:val="22"/>
          <w:lang w:eastAsia="en-GB"/>
          <w14:ligatures w14:val="none"/>
        </w:rPr>
        <w:t xml:space="preserve"> (Caldicott, 2013) reinforce the ethical duty of confidentiality, stressing that identifiable information should only be shared when </w:t>
      </w:r>
      <w:proofErr w:type="gramStart"/>
      <w:r w:rsidRPr="006807D1">
        <w:rPr>
          <w:rFonts w:ascii="Arial" w:eastAsia="Times New Roman" w:hAnsi="Arial" w:cs="Arial"/>
          <w:kern w:val="0"/>
          <w:sz w:val="22"/>
          <w:szCs w:val="22"/>
          <w:lang w:eastAsia="en-GB"/>
          <w14:ligatures w14:val="none"/>
        </w:rPr>
        <w:t>absolutely necessary</w:t>
      </w:r>
      <w:proofErr w:type="gramEnd"/>
      <w:r w:rsidRPr="006807D1">
        <w:rPr>
          <w:rFonts w:ascii="Arial" w:eastAsia="Times New Roman" w:hAnsi="Arial" w:cs="Arial"/>
          <w:kern w:val="0"/>
          <w:sz w:val="22"/>
          <w:szCs w:val="22"/>
          <w:lang w:eastAsia="en-GB"/>
          <w14:ligatures w14:val="none"/>
        </w:rPr>
        <w:t xml:space="preserve"> and with clear justification. Mrs Mann and her daughter should be informed about how her personal data are stored and used, ensuring transparency and trust.</w:t>
      </w:r>
    </w:p>
    <w:p w14:paraId="20268A44"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Strong administrative practice also enables accountability. When errors occur—such as Mrs Mann’s delayed medication—a clear audit trail allows managers to identify causes, learn from mistakes, and prevent recurrence. This reflective approach supports continuous improvement and quality assurance within care settings.</w:t>
      </w:r>
    </w:p>
    <w:p w14:paraId="01931611" w14:textId="1CDB2BF1"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i/>
          <w:iCs/>
          <w:kern w:val="0"/>
          <w:sz w:val="22"/>
          <w:szCs w:val="22"/>
          <w:lang w:eastAsia="en-GB"/>
          <w14:ligatures w14:val="none"/>
        </w:rPr>
        <w:t>Healthcare UK (Gov.UK, 2022)</w:t>
      </w:r>
      <w:r w:rsidRPr="006807D1">
        <w:rPr>
          <w:rFonts w:ascii="Arial" w:eastAsia="Times New Roman" w:hAnsi="Arial" w:cs="Arial"/>
          <w:kern w:val="0"/>
          <w:sz w:val="22"/>
          <w:szCs w:val="22"/>
          <w:lang w:eastAsia="en-GB"/>
          <w14:ligatures w14:val="none"/>
        </w:rPr>
        <w:t xml:space="preserve"> highlights that consistent documentation supports integrated care and smooth transitions between services. Effective record keeping ensures that Mrs Mann’s GP, physiotherapist, and care </w:t>
      </w:r>
      <w:r w:rsidR="00077D00" w:rsidRPr="006807D1">
        <w:rPr>
          <w:rFonts w:ascii="Arial" w:eastAsia="Times New Roman" w:hAnsi="Arial" w:cs="Arial"/>
          <w:kern w:val="0"/>
          <w:sz w:val="22"/>
          <w:szCs w:val="22"/>
          <w:lang w:eastAsia="en-GB"/>
          <w14:ligatures w14:val="none"/>
        </w:rPr>
        <w:t>teamwork</w:t>
      </w:r>
      <w:r w:rsidRPr="006807D1">
        <w:rPr>
          <w:rFonts w:ascii="Arial" w:eastAsia="Times New Roman" w:hAnsi="Arial" w:cs="Arial"/>
          <w:kern w:val="0"/>
          <w:sz w:val="22"/>
          <w:szCs w:val="22"/>
          <w:lang w:eastAsia="en-GB"/>
          <w14:ligatures w14:val="none"/>
        </w:rPr>
        <w:t xml:space="preserve"> from the same information, maintaining continuity and reducing risk.</w:t>
      </w:r>
    </w:p>
    <w:p w14:paraId="72760DCF" w14:textId="4716890B"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lastRenderedPageBreak/>
        <w:t>Overall, good administrative skills uphold legal, ethical, and professional standards, protecting both service users and practitioners. For Mrs Mann, accurate, confidential, and well-managed documentation is essential to ensure safety, coordination, and trust in her ongoing care.</w:t>
      </w:r>
    </w:p>
    <w:p w14:paraId="35FCC0FC" w14:textId="6431B380" w:rsidR="000812EB" w:rsidRPr="006807D1" w:rsidRDefault="000812EB" w:rsidP="006807D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6807D1">
        <w:rPr>
          <w:rFonts w:ascii="Arial" w:eastAsia="Times New Roman" w:hAnsi="Arial" w:cs="Arial"/>
          <w:b/>
          <w:bCs/>
          <w:kern w:val="0"/>
          <w:sz w:val="22"/>
          <w:szCs w:val="22"/>
          <w:lang w:eastAsia="en-GB"/>
          <w14:ligatures w14:val="none"/>
        </w:rPr>
        <w:t>Importance of Collaborative Working</w:t>
      </w:r>
    </w:p>
    <w:p w14:paraId="3C845BBD"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Collaborative working ensures professionals from different disciplines provide joined-up, holistic care that meets the individual’s physical, emotional, and social needs. For Mrs Mann, effective collaboration between her GP, community physiotherapist, and domiciliary care team is crucial to ensuring her recovery and independence.</w:t>
      </w:r>
    </w:p>
    <w:p w14:paraId="3CC0337B"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Glasby and Dickinson (2014) define integrated care as the process of bringing professionals and organisations together to achieve shared goals and improve outcomes. When professionals collaborate effectively, duplication is avoided, communication is strengthened, and service users experience continuity of care. For example, care workers reinforcing the physiotherapist’s exercises and promptly reporting changes to the GP can enhance Mrs Mann’s rehabilitation and prevent complications.</w:t>
      </w:r>
    </w:p>
    <w:p w14:paraId="3483DD03"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 xml:space="preserve">The </w:t>
      </w:r>
      <w:r w:rsidRPr="006807D1">
        <w:rPr>
          <w:rFonts w:ascii="Arial" w:eastAsia="Times New Roman" w:hAnsi="Arial" w:cs="Arial"/>
          <w:i/>
          <w:iCs/>
          <w:kern w:val="0"/>
          <w:sz w:val="22"/>
          <w:szCs w:val="22"/>
          <w:lang w:eastAsia="en-GB"/>
          <w14:ligatures w14:val="none"/>
        </w:rPr>
        <w:t>Integrated Care Systems (ICS)</w:t>
      </w:r>
      <w:r w:rsidRPr="006807D1">
        <w:rPr>
          <w:rFonts w:ascii="Arial" w:eastAsia="Times New Roman" w:hAnsi="Arial" w:cs="Arial"/>
          <w:kern w:val="0"/>
          <w:sz w:val="22"/>
          <w:szCs w:val="22"/>
          <w:lang w:eastAsia="en-GB"/>
          <w14:ligatures w14:val="none"/>
        </w:rPr>
        <w:t xml:space="preserve"> framework (NHS England, 2023) promotes multi-agency working through shared leadership, accountability, and aligned priorities. In practice, this means professionals collaborate through joint meetings, shared care plans, and digital systems to ensure everyone involved in Mrs Mann’s care is informed and consistent in approach.</w:t>
      </w:r>
    </w:p>
    <w:p w14:paraId="41C28213"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Barr (2013) suggests that interprofessional collaboration relies on mutual respect and understanding of each other’s roles. Tools such as the SBAR (Situation, Background, Assessment, Recommendation) communication model can help ensure concise, accurate information sharing.</w:t>
      </w:r>
    </w:p>
    <w:p w14:paraId="5E04DF67"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However, Glasby (2017) notes that collaboration can be hindered by differing professional cultures, unclear boundaries, or information silos. Overcoming these barriers requires open communication, shared objectives, and strong leadership. Joint training and regular multidisciplinary meetings can help foster trust and cohesion.</w:t>
      </w:r>
    </w:p>
    <w:p w14:paraId="75471383" w14:textId="1B0E8725"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i/>
          <w:iCs/>
          <w:kern w:val="0"/>
          <w:sz w:val="22"/>
          <w:szCs w:val="22"/>
          <w:lang w:eastAsia="en-GB"/>
          <w14:ligatures w14:val="none"/>
        </w:rPr>
        <w:t>Healthcare UK (Gov.UK, 2022)</w:t>
      </w:r>
      <w:r w:rsidRPr="006807D1">
        <w:rPr>
          <w:rFonts w:ascii="Arial" w:eastAsia="Times New Roman" w:hAnsi="Arial" w:cs="Arial"/>
          <w:kern w:val="0"/>
          <w:sz w:val="22"/>
          <w:szCs w:val="22"/>
          <w:lang w:eastAsia="en-GB"/>
          <w14:ligatures w14:val="none"/>
        </w:rPr>
        <w:t xml:space="preserve"> supports the view that collaborative approaches improve patient outcomes and reduce hospital readmissions. For Mrs Mann, effective teamwork ensures her needs are met holistically promoting safety, confidence, and overall wellbeing.</w:t>
      </w:r>
    </w:p>
    <w:p w14:paraId="42C4874B" w14:textId="3CCEC548" w:rsidR="000812EB" w:rsidRPr="006807D1" w:rsidRDefault="000812EB" w:rsidP="006807D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6807D1">
        <w:rPr>
          <w:rFonts w:ascii="Arial" w:eastAsia="Times New Roman" w:hAnsi="Arial" w:cs="Arial"/>
          <w:b/>
          <w:bCs/>
          <w:kern w:val="0"/>
          <w:sz w:val="22"/>
          <w:szCs w:val="22"/>
          <w:lang w:eastAsia="en-GB"/>
          <w14:ligatures w14:val="none"/>
        </w:rPr>
        <w:lastRenderedPageBreak/>
        <w:t>Conclusion</w:t>
      </w:r>
    </w:p>
    <w:p w14:paraId="08872815" w14:textId="39C865F0"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 xml:space="preserve">The case of Mrs Mann illustrates the interconnected importance of communication, administrative accuracy, and collaborative working in achieving </w:t>
      </w:r>
      <w:proofErr w:type="gramStart"/>
      <w:r w:rsidRPr="006807D1">
        <w:rPr>
          <w:rFonts w:ascii="Arial" w:eastAsia="Times New Roman" w:hAnsi="Arial" w:cs="Arial"/>
          <w:kern w:val="0"/>
          <w:sz w:val="22"/>
          <w:szCs w:val="22"/>
          <w:lang w:eastAsia="en-GB"/>
          <w14:ligatures w14:val="none"/>
        </w:rPr>
        <w:t>person</w:t>
      </w:r>
      <w:r w:rsidR="000F6AEF">
        <w:rPr>
          <w:rFonts w:ascii="Arial" w:eastAsia="Times New Roman" w:hAnsi="Arial" w:cs="Arial"/>
          <w:kern w:val="0"/>
          <w:sz w:val="22"/>
          <w:szCs w:val="22"/>
          <w:lang w:eastAsia="en-GB"/>
          <w14:ligatures w14:val="none"/>
        </w:rPr>
        <w:t xml:space="preserve"> </w:t>
      </w:r>
      <w:r w:rsidRPr="006807D1">
        <w:rPr>
          <w:rFonts w:ascii="Arial" w:eastAsia="Times New Roman" w:hAnsi="Arial" w:cs="Arial"/>
          <w:kern w:val="0"/>
          <w:sz w:val="22"/>
          <w:szCs w:val="22"/>
          <w:lang w:eastAsia="en-GB"/>
          <w14:ligatures w14:val="none"/>
        </w:rPr>
        <w:t>centred, high</w:t>
      </w:r>
      <w:r w:rsidR="000F6AEF">
        <w:rPr>
          <w:rFonts w:ascii="Arial" w:eastAsia="Times New Roman" w:hAnsi="Arial" w:cs="Arial"/>
          <w:kern w:val="0"/>
          <w:sz w:val="22"/>
          <w:szCs w:val="22"/>
          <w:lang w:eastAsia="en-GB"/>
          <w14:ligatures w14:val="none"/>
        </w:rPr>
        <w:t xml:space="preserve"> </w:t>
      </w:r>
      <w:r w:rsidRPr="006807D1">
        <w:rPr>
          <w:rFonts w:ascii="Arial" w:eastAsia="Times New Roman" w:hAnsi="Arial" w:cs="Arial"/>
          <w:kern w:val="0"/>
          <w:sz w:val="22"/>
          <w:szCs w:val="22"/>
          <w:lang w:eastAsia="en-GB"/>
          <w14:ligatures w14:val="none"/>
        </w:rPr>
        <w:t>quality</w:t>
      </w:r>
      <w:proofErr w:type="gramEnd"/>
      <w:r w:rsidRPr="006807D1">
        <w:rPr>
          <w:rFonts w:ascii="Arial" w:eastAsia="Times New Roman" w:hAnsi="Arial" w:cs="Arial"/>
          <w:kern w:val="0"/>
          <w:sz w:val="22"/>
          <w:szCs w:val="22"/>
          <w:lang w:eastAsia="en-GB"/>
          <w14:ligatures w14:val="none"/>
        </w:rPr>
        <w:t xml:space="preserve"> care. Effective communication, guided by the </w:t>
      </w:r>
      <w:r w:rsidRPr="006807D1">
        <w:rPr>
          <w:rFonts w:ascii="Arial" w:eastAsia="Times New Roman" w:hAnsi="Arial" w:cs="Arial"/>
          <w:i/>
          <w:iCs/>
          <w:kern w:val="0"/>
          <w:sz w:val="22"/>
          <w:szCs w:val="22"/>
          <w:lang w:eastAsia="en-GB"/>
          <w14:ligatures w14:val="none"/>
        </w:rPr>
        <w:t>Equality Act 2010</w:t>
      </w:r>
      <w:r w:rsidRPr="006807D1">
        <w:rPr>
          <w:rFonts w:ascii="Arial" w:eastAsia="Times New Roman" w:hAnsi="Arial" w:cs="Arial"/>
          <w:kern w:val="0"/>
          <w:sz w:val="22"/>
          <w:szCs w:val="22"/>
          <w:lang w:eastAsia="en-GB"/>
          <w14:ligatures w14:val="none"/>
        </w:rPr>
        <w:t xml:space="preserve">, ensures inclusion, understanding, and respect for diversity. Strong administrative practice, underpinned by the </w:t>
      </w:r>
      <w:r w:rsidRPr="006807D1">
        <w:rPr>
          <w:rFonts w:ascii="Arial" w:eastAsia="Times New Roman" w:hAnsi="Arial" w:cs="Arial"/>
          <w:i/>
          <w:iCs/>
          <w:kern w:val="0"/>
          <w:sz w:val="22"/>
          <w:szCs w:val="22"/>
          <w:lang w:eastAsia="en-GB"/>
          <w14:ligatures w14:val="none"/>
        </w:rPr>
        <w:t>Data Protection Act 2018</w:t>
      </w:r>
      <w:r w:rsidRPr="006807D1">
        <w:rPr>
          <w:rFonts w:ascii="Arial" w:eastAsia="Times New Roman" w:hAnsi="Arial" w:cs="Arial"/>
          <w:kern w:val="0"/>
          <w:sz w:val="22"/>
          <w:szCs w:val="22"/>
          <w:lang w:eastAsia="en-GB"/>
          <w14:ligatures w14:val="none"/>
        </w:rPr>
        <w:t xml:space="preserve"> and professional standards, ensures accuracy, accountability, and legal compliance. Collaborative working across disciplines, promoted by integrated care policies, ensures continuity, safety, and holistic support.</w:t>
      </w:r>
    </w:p>
    <w:p w14:paraId="44196D51" w14:textId="60AF62D7" w:rsidR="00E70843"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r w:rsidRPr="006807D1">
        <w:rPr>
          <w:rFonts w:ascii="Arial" w:eastAsia="Times New Roman" w:hAnsi="Arial" w:cs="Arial"/>
          <w:kern w:val="0"/>
          <w:sz w:val="22"/>
          <w:szCs w:val="22"/>
          <w:lang w:eastAsia="en-GB"/>
          <w14:ligatures w14:val="none"/>
        </w:rPr>
        <w:t>As Glasby (2017) and Glasby and Dickinson (2014) emphasise, successful integrated care relies on professionals who communicate clearly, document accurately, and work collaboratively within ethical and legislative frameworks. Strengthening these practices helps prevent errors like those experienced in Mrs Mann’s care, ensuring all individuals receive dignified, safe, and effective support within an inclusive and accountable care system.</w:t>
      </w:r>
    </w:p>
    <w:p w14:paraId="436FB263" w14:textId="77777777" w:rsidR="00E70843" w:rsidRDefault="00E70843">
      <w:pPr>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br w:type="page"/>
      </w:r>
    </w:p>
    <w:p w14:paraId="1A640A83" w14:textId="339EDD2D" w:rsidR="00BF4D55" w:rsidRPr="00BF4D55" w:rsidRDefault="00BF4D55" w:rsidP="00BF4D55">
      <w:pPr>
        <w:rPr>
          <w:lang w:eastAsia="en-GB"/>
        </w:rPr>
      </w:pPr>
      <w:r w:rsidRPr="00BF4D55">
        <w:rPr>
          <w:lang w:eastAsia="en-GB"/>
        </w:rPr>
        <w:lastRenderedPageBreak/>
        <w:t xml:space="preserve">Reference List </w:t>
      </w:r>
    </w:p>
    <w:p w14:paraId="0AF410D8" w14:textId="77777777" w:rsidR="00BF4D55" w:rsidRPr="00BF4D55" w:rsidRDefault="00BF4D55" w:rsidP="00BF4D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F4D55">
        <w:rPr>
          <w:rFonts w:ascii="Times New Roman" w:eastAsia="Times New Roman" w:hAnsi="Times New Roman" w:cs="Times New Roman"/>
          <w:kern w:val="0"/>
          <w:lang w:eastAsia="en-GB"/>
          <w14:ligatures w14:val="none"/>
        </w:rPr>
        <w:t xml:space="preserve">Barr, H. (2013) </w:t>
      </w:r>
      <w:r w:rsidRPr="00BF4D55">
        <w:rPr>
          <w:rFonts w:ascii="Times New Roman" w:eastAsia="Times New Roman" w:hAnsi="Times New Roman" w:cs="Times New Roman"/>
          <w:i/>
          <w:iCs/>
          <w:kern w:val="0"/>
          <w:lang w:eastAsia="en-GB"/>
          <w14:ligatures w14:val="none"/>
        </w:rPr>
        <w:t>Interprofessional Education and Collaborative Practice.</w:t>
      </w:r>
      <w:r w:rsidRPr="00BF4D55">
        <w:rPr>
          <w:rFonts w:ascii="Times New Roman" w:eastAsia="Times New Roman" w:hAnsi="Times New Roman" w:cs="Times New Roman"/>
          <w:kern w:val="0"/>
          <w:lang w:eastAsia="en-GB"/>
          <w14:ligatures w14:val="none"/>
        </w:rPr>
        <w:t xml:space="preserve"> 2nd ed. London: Palgrave Macmillan.</w:t>
      </w:r>
    </w:p>
    <w:p w14:paraId="5036EC5C" w14:textId="77777777" w:rsidR="00BF4D55" w:rsidRPr="00BF4D55" w:rsidRDefault="00BF4D55" w:rsidP="00BF4D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F4D55">
        <w:rPr>
          <w:rFonts w:ascii="Times New Roman" w:eastAsia="Times New Roman" w:hAnsi="Times New Roman" w:cs="Times New Roman"/>
          <w:kern w:val="0"/>
          <w:lang w:eastAsia="en-GB"/>
          <w14:ligatures w14:val="none"/>
        </w:rPr>
        <w:t xml:space="preserve">Caldicott, F. (2013) </w:t>
      </w:r>
      <w:r w:rsidRPr="00BF4D55">
        <w:rPr>
          <w:rFonts w:ascii="Times New Roman" w:eastAsia="Times New Roman" w:hAnsi="Times New Roman" w:cs="Times New Roman"/>
          <w:i/>
          <w:iCs/>
          <w:kern w:val="0"/>
          <w:lang w:eastAsia="en-GB"/>
          <w14:ligatures w14:val="none"/>
        </w:rPr>
        <w:t>Information Governance Review: To Share or Not to Share?</w:t>
      </w:r>
      <w:r w:rsidRPr="00BF4D55">
        <w:rPr>
          <w:rFonts w:ascii="Times New Roman" w:eastAsia="Times New Roman" w:hAnsi="Times New Roman" w:cs="Times New Roman"/>
          <w:kern w:val="0"/>
          <w:lang w:eastAsia="en-GB"/>
          <w14:ligatures w14:val="none"/>
        </w:rPr>
        <w:t xml:space="preserve"> London: Department of Health.</w:t>
      </w:r>
    </w:p>
    <w:p w14:paraId="6616609C" w14:textId="77777777" w:rsidR="00BF4D55" w:rsidRPr="00BF4D55" w:rsidRDefault="00BF4D55" w:rsidP="00BF4D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F4D55">
        <w:rPr>
          <w:rFonts w:ascii="Times New Roman" w:eastAsia="Times New Roman" w:hAnsi="Times New Roman" w:cs="Times New Roman"/>
          <w:kern w:val="0"/>
          <w:lang w:eastAsia="en-GB"/>
          <w14:ligatures w14:val="none"/>
        </w:rPr>
        <w:t xml:space="preserve">Care Quality Commission (2021) </w:t>
      </w:r>
      <w:r w:rsidRPr="00BF4D55">
        <w:rPr>
          <w:rFonts w:ascii="Times New Roman" w:eastAsia="Times New Roman" w:hAnsi="Times New Roman" w:cs="Times New Roman"/>
          <w:i/>
          <w:iCs/>
          <w:kern w:val="0"/>
          <w:lang w:eastAsia="en-GB"/>
          <w14:ligatures w14:val="none"/>
        </w:rPr>
        <w:t>Guidance for Providers on Meeting the Regulations.</w:t>
      </w:r>
      <w:r w:rsidRPr="00BF4D55">
        <w:rPr>
          <w:rFonts w:ascii="Times New Roman" w:eastAsia="Times New Roman" w:hAnsi="Times New Roman" w:cs="Times New Roman"/>
          <w:kern w:val="0"/>
          <w:lang w:eastAsia="en-GB"/>
          <w14:ligatures w14:val="none"/>
        </w:rPr>
        <w:t xml:space="preserve"> London: CQC.</w:t>
      </w:r>
    </w:p>
    <w:p w14:paraId="03851CB0" w14:textId="77777777" w:rsidR="00BF4D55" w:rsidRPr="00BF4D55" w:rsidRDefault="00BF4D55" w:rsidP="00BF4D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F4D55">
        <w:rPr>
          <w:rFonts w:ascii="Times New Roman" w:eastAsia="Times New Roman" w:hAnsi="Times New Roman" w:cs="Times New Roman"/>
          <w:kern w:val="0"/>
          <w:lang w:eastAsia="en-GB"/>
          <w14:ligatures w14:val="none"/>
        </w:rPr>
        <w:t xml:space="preserve">Department of Health and Social Care (2022) </w:t>
      </w:r>
      <w:r w:rsidRPr="00BF4D55">
        <w:rPr>
          <w:rFonts w:ascii="Times New Roman" w:eastAsia="Times New Roman" w:hAnsi="Times New Roman" w:cs="Times New Roman"/>
          <w:i/>
          <w:iCs/>
          <w:kern w:val="0"/>
          <w:lang w:eastAsia="en-GB"/>
          <w14:ligatures w14:val="none"/>
        </w:rPr>
        <w:t>NHS Confidentiality Code of Practice.</w:t>
      </w:r>
      <w:r w:rsidRPr="00BF4D55">
        <w:rPr>
          <w:rFonts w:ascii="Times New Roman" w:eastAsia="Times New Roman" w:hAnsi="Times New Roman" w:cs="Times New Roman"/>
          <w:kern w:val="0"/>
          <w:lang w:eastAsia="en-GB"/>
          <w14:ligatures w14:val="none"/>
        </w:rPr>
        <w:t xml:space="preserve"> London: DHSC.</w:t>
      </w:r>
    </w:p>
    <w:p w14:paraId="24AA4183" w14:textId="77777777" w:rsidR="00BF4D55" w:rsidRPr="00BF4D55" w:rsidRDefault="00BF4D55" w:rsidP="00BF4D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F4D55">
        <w:rPr>
          <w:rFonts w:ascii="Times New Roman" w:eastAsia="Times New Roman" w:hAnsi="Times New Roman" w:cs="Times New Roman"/>
          <w:kern w:val="0"/>
          <w:lang w:eastAsia="en-GB"/>
          <w14:ligatures w14:val="none"/>
        </w:rPr>
        <w:t xml:space="preserve">Glasby, J. (2017) </w:t>
      </w:r>
      <w:r w:rsidRPr="00BF4D55">
        <w:rPr>
          <w:rFonts w:ascii="Times New Roman" w:eastAsia="Times New Roman" w:hAnsi="Times New Roman" w:cs="Times New Roman"/>
          <w:i/>
          <w:iCs/>
          <w:kern w:val="0"/>
          <w:lang w:eastAsia="en-GB"/>
          <w14:ligatures w14:val="none"/>
        </w:rPr>
        <w:t>Understanding Health and Social Care.</w:t>
      </w:r>
      <w:r w:rsidRPr="00BF4D55">
        <w:rPr>
          <w:rFonts w:ascii="Times New Roman" w:eastAsia="Times New Roman" w:hAnsi="Times New Roman" w:cs="Times New Roman"/>
          <w:kern w:val="0"/>
          <w:lang w:eastAsia="en-GB"/>
          <w14:ligatures w14:val="none"/>
        </w:rPr>
        <w:t xml:space="preserve"> 3rd ed. Bristol: The Policy Press.</w:t>
      </w:r>
    </w:p>
    <w:p w14:paraId="32A0138F" w14:textId="77777777" w:rsidR="00BF4D55" w:rsidRPr="00BF4D55" w:rsidRDefault="00BF4D55" w:rsidP="00BF4D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F4D55">
        <w:rPr>
          <w:rFonts w:ascii="Times New Roman" w:eastAsia="Times New Roman" w:hAnsi="Times New Roman" w:cs="Times New Roman"/>
          <w:kern w:val="0"/>
          <w:lang w:eastAsia="en-GB"/>
          <w14:ligatures w14:val="none"/>
        </w:rPr>
        <w:t xml:space="preserve">Glasby, J. and Dickinson, H. (2014) </w:t>
      </w:r>
      <w:r w:rsidRPr="00BF4D55">
        <w:rPr>
          <w:rFonts w:ascii="Times New Roman" w:eastAsia="Times New Roman" w:hAnsi="Times New Roman" w:cs="Times New Roman"/>
          <w:i/>
          <w:iCs/>
          <w:kern w:val="0"/>
          <w:lang w:eastAsia="en-GB"/>
          <w14:ligatures w14:val="none"/>
        </w:rPr>
        <w:t>Partnership Working in Health and Social Care: What is Integrated Care and How Can We Deliver It?</w:t>
      </w:r>
      <w:r w:rsidRPr="00BF4D55">
        <w:rPr>
          <w:rFonts w:ascii="Times New Roman" w:eastAsia="Times New Roman" w:hAnsi="Times New Roman" w:cs="Times New Roman"/>
          <w:kern w:val="0"/>
          <w:lang w:eastAsia="en-GB"/>
          <w14:ligatures w14:val="none"/>
        </w:rPr>
        <w:t xml:space="preserve"> Bristol: The Policy Press.</w:t>
      </w:r>
    </w:p>
    <w:p w14:paraId="421B2E0A" w14:textId="77777777" w:rsidR="00BF4D55" w:rsidRPr="00BF4D55" w:rsidRDefault="00BF4D55" w:rsidP="00BF4D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F4D55">
        <w:rPr>
          <w:rFonts w:ascii="Times New Roman" w:eastAsia="Times New Roman" w:hAnsi="Times New Roman" w:cs="Times New Roman"/>
          <w:kern w:val="0"/>
          <w:lang w:eastAsia="en-GB"/>
          <w14:ligatures w14:val="none"/>
        </w:rPr>
        <w:t xml:space="preserve">Gov.UK (2010) </w:t>
      </w:r>
      <w:r w:rsidRPr="00BF4D55">
        <w:rPr>
          <w:rFonts w:ascii="Times New Roman" w:eastAsia="Times New Roman" w:hAnsi="Times New Roman" w:cs="Times New Roman"/>
          <w:i/>
          <w:iCs/>
          <w:kern w:val="0"/>
          <w:lang w:eastAsia="en-GB"/>
          <w14:ligatures w14:val="none"/>
        </w:rPr>
        <w:t>Equality Act 2010.</w:t>
      </w:r>
      <w:r w:rsidRPr="00BF4D55">
        <w:rPr>
          <w:rFonts w:ascii="Times New Roman" w:eastAsia="Times New Roman" w:hAnsi="Times New Roman" w:cs="Times New Roman"/>
          <w:kern w:val="0"/>
          <w:lang w:eastAsia="en-GB"/>
          <w14:ligatures w14:val="none"/>
        </w:rPr>
        <w:t xml:space="preserve"> Available at: </w:t>
      </w:r>
      <w:hyperlink r:id="rId5" w:tgtFrame="_new" w:history="1">
        <w:r w:rsidRPr="00BF4D55">
          <w:rPr>
            <w:rFonts w:ascii="Times New Roman" w:eastAsia="Times New Roman" w:hAnsi="Times New Roman" w:cs="Times New Roman"/>
            <w:color w:val="0000FF"/>
            <w:kern w:val="0"/>
            <w:u w:val="single"/>
            <w:lang w:eastAsia="en-GB"/>
            <w14:ligatures w14:val="none"/>
          </w:rPr>
          <w:t>https://www.legislation.gov.uk/ukpga/2010/15</w:t>
        </w:r>
      </w:hyperlink>
      <w:r w:rsidRPr="00BF4D55">
        <w:rPr>
          <w:rFonts w:ascii="Times New Roman" w:eastAsia="Times New Roman" w:hAnsi="Times New Roman" w:cs="Times New Roman"/>
          <w:kern w:val="0"/>
          <w:lang w:eastAsia="en-GB"/>
          <w14:ligatures w14:val="none"/>
        </w:rPr>
        <w:t xml:space="preserve"> (Accessed: 11 November 2025).</w:t>
      </w:r>
    </w:p>
    <w:p w14:paraId="27C20E5A" w14:textId="77777777" w:rsidR="00BF4D55" w:rsidRPr="00BF4D55" w:rsidRDefault="00BF4D55" w:rsidP="00BF4D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F4D55">
        <w:rPr>
          <w:rFonts w:ascii="Times New Roman" w:eastAsia="Times New Roman" w:hAnsi="Times New Roman" w:cs="Times New Roman"/>
          <w:kern w:val="0"/>
          <w:lang w:eastAsia="en-GB"/>
          <w14:ligatures w14:val="none"/>
        </w:rPr>
        <w:t xml:space="preserve">Healthcare UK (Gov.UK) (2022) </w:t>
      </w:r>
      <w:r w:rsidRPr="00BF4D55">
        <w:rPr>
          <w:rFonts w:ascii="Times New Roman" w:eastAsia="Times New Roman" w:hAnsi="Times New Roman" w:cs="Times New Roman"/>
          <w:i/>
          <w:iCs/>
          <w:kern w:val="0"/>
          <w:lang w:eastAsia="en-GB"/>
          <w14:ligatures w14:val="none"/>
        </w:rPr>
        <w:t>Improving Health and Care through Partnership Working.</w:t>
      </w:r>
      <w:r w:rsidRPr="00BF4D55">
        <w:rPr>
          <w:rFonts w:ascii="Times New Roman" w:eastAsia="Times New Roman" w:hAnsi="Times New Roman" w:cs="Times New Roman"/>
          <w:kern w:val="0"/>
          <w:lang w:eastAsia="en-GB"/>
          <w14:ligatures w14:val="none"/>
        </w:rPr>
        <w:t xml:space="preserve"> Available at: </w:t>
      </w:r>
      <w:hyperlink r:id="rId6" w:tgtFrame="_new" w:history="1">
        <w:r w:rsidRPr="00BF4D55">
          <w:rPr>
            <w:rFonts w:ascii="Times New Roman" w:eastAsia="Times New Roman" w:hAnsi="Times New Roman" w:cs="Times New Roman"/>
            <w:color w:val="0000FF"/>
            <w:kern w:val="0"/>
            <w:u w:val="single"/>
            <w:lang w:eastAsia="en-GB"/>
            <w14:ligatures w14:val="none"/>
          </w:rPr>
          <w:t>https://www.gov.uk/government/organisations/healthcare-uk</w:t>
        </w:r>
      </w:hyperlink>
      <w:r w:rsidRPr="00BF4D55">
        <w:rPr>
          <w:rFonts w:ascii="Times New Roman" w:eastAsia="Times New Roman" w:hAnsi="Times New Roman" w:cs="Times New Roman"/>
          <w:kern w:val="0"/>
          <w:lang w:eastAsia="en-GB"/>
          <w14:ligatures w14:val="none"/>
        </w:rPr>
        <w:t xml:space="preserve"> (Accessed: 4 August 2022).</w:t>
      </w:r>
    </w:p>
    <w:p w14:paraId="5AAD4891" w14:textId="77777777" w:rsidR="00BF4D55" w:rsidRPr="00BF4D55" w:rsidRDefault="00BF4D55" w:rsidP="00BF4D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F4D55">
        <w:rPr>
          <w:rFonts w:ascii="Times New Roman" w:eastAsia="Times New Roman" w:hAnsi="Times New Roman" w:cs="Times New Roman"/>
          <w:kern w:val="0"/>
          <w:lang w:eastAsia="en-GB"/>
          <w14:ligatures w14:val="none"/>
        </w:rPr>
        <w:t xml:space="preserve">Hoyle, V., Shepherd, E., Flinn, A. and Lomas, E. (2019) ‘Child social care recording and the information rights of care-experienced people: a record-keeping perspective’, </w:t>
      </w:r>
      <w:r w:rsidRPr="00BF4D55">
        <w:rPr>
          <w:rFonts w:ascii="Times New Roman" w:eastAsia="Times New Roman" w:hAnsi="Times New Roman" w:cs="Times New Roman"/>
          <w:i/>
          <w:iCs/>
          <w:kern w:val="0"/>
          <w:lang w:eastAsia="en-GB"/>
          <w14:ligatures w14:val="none"/>
        </w:rPr>
        <w:t>British Journal of Social Work,</w:t>
      </w:r>
      <w:r w:rsidRPr="00BF4D55">
        <w:rPr>
          <w:rFonts w:ascii="Times New Roman" w:eastAsia="Times New Roman" w:hAnsi="Times New Roman" w:cs="Times New Roman"/>
          <w:kern w:val="0"/>
          <w:lang w:eastAsia="en-GB"/>
          <w14:ligatures w14:val="none"/>
        </w:rPr>
        <w:t xml:space="preserve"> 49(7), pp. 1856–1874. (Citing Kagle, J.D. (1991) </w:t>
      </w:r>
      <w:r w:rsidRPr="00BF4D55">
        <w:rPr>
          <w:rFonts w:ascii="Times New Roman" w:eastAsia="Times New Roman" w:hAnsi="Times New Roman" w:cs="Times New Roman"/>
          <w:i/>
          <w:iCs/>
          <w:kern w:val="0"/>
          <w:lang w:eastAsia="en-GB"/>
          <w14:ligatures w14:val="none"/>
        </w:rPr>
        <w:t>Social Work Records,</w:t>
      </w:r>
      <w:r w:rsidRPr="00BF4D55">
        <w:rPr>
          <w:rFonts w:ascii="Times New Roman" w:eastAsia="Times New Roman" w:hAnsi="Times New Roman" w:cs="Times New Roman"/>
          <w:kern w:val="0"/>
          <w:lang w:eastAsia="en-GB"/>
          <w14:ligatures w14:val="none"/>
        </w:rPr>
        <w:t xml:space="preserve"> 2nd ed.).</w:t>
      </w:r>
    </w:p>
    <w:p w14:paraId="44C5D385" w14:textId="77777777" w:rsidR="00BF4D55" w:rsidRPr="00BF4D55" w:rsidRDefault="00BF4D55" w:rsidP="00BF4D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F4D55">
        <w:rPr>
          <w:rFonts w:ascii="Times New Roman" w:eastAsia="Times New Roman" w:hAnsi="Times New Roman" w:cs="Times New Roman"/>
          <w:kern w:val="0"/>
          <w:lang w:eastAsia="en-GB"/>
          <w14:ligatures w14:val="none"/>
        </w:rPr>
        <w:t xml:space="preserve">Information Commissioner’s Office (2021) </w:t>
      </w:r>
      <w:r w:rsidRPr="00BF4D55">
        <w:rPr>
          <w:rFonts w:ascii="Times New Roman" w:eastAsia="Times New Roman" w:hAnsi="Times New Roman" w:cs="Times New Roman"/>
          <w:i/>
          <w:iCs/>
          <w:kern w:val="0"/>
          <w:lang w:eastAsia="en-GB"/>
          <w14:ligatures w14:val="none"/>
        </w:rPr>
        <w:t>Guide to the Data Protection Act 2018.</w:t>
      </w:r>
      <w:r w:rsidRPr="00BF4D55">
        <w:rPr>
          <w:rFonts w:ascii="Times New Roman" w:eastAsia="Times New Roman" w:hAnsi="Times New Roman" w:cs="Times New Roman"/>
          <w:kern w:val="0"/>
          <w:lang w:eastAsia="en-GB"/>
          <w14:ligatures w14:val="none"/>
        </w:rPr>
        <w:t xml:space="preserve"> Wilmslow: ICO.</w:t>
      </w:r>
    </w:p>
    <w:p w14:paraId="74505DEB" w14:textId="77777777" w:rsidR="00BF4D55" w:rsidRPr="00BF4D55" w:rsidRDefault="00BF4D55" w:rsidP="00BF4D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F4D55">
        <w:rPr>
          <w:rFonts w:ascii="Times New Roman" w:eastAsia="Times New Roman" w:hAnsi="Times New Roman" w:cs="Times New Roman"/>
          <w:kern w:val="0"/>
          <w:lang w:eastAsia="en-GB"/>
          <w14:ligatures w14:val="none"/>
        </w:rPr>
        <w:t xml:space="preserve">NHS England (2023) </w:t>
      </w:r>
      <w:r w:rsidRPr="00BF4D55">
        <w:rPr>
          <w:rFonts w:ascii="Times New Roman" w:eastAsia="Times New Roman" w:hAnsi="Times New Roman" w:cs="Times New Roman"/>
          <w:i/>
          <w:iCs/>
          <w:kern w:val="0"/>
          <w:lang w:eastAsia="en-GB"/>
          <w14:ligatures w14:val="none"/>
        </w:rPr>
        <w:t>Integrated Care Systems: Working Together to Improve Health and Care.</w:t>
      </w:r>
      <w:r w:rsidRPr="00BF4D55">
        <w:rPr>
          <w:rFonts w:ascii="Times New Roman" w:eastAsia="Times New Roman" w:hAnsi="Times New Roman" w:cs="Times New Roman"/>
          <w:kern w:val="0"/>
          <w:lang w:eastAsia="en-GB"/>
          <w14:ligatures w14:val="none"/>
        </w:rPr>
        <w:t xml:space="preserve"> London: NHS England.</w:t>
      </w:r>
    </w:p>
    <w:p w14:paraId="4A3000F3" w14:textId="77777777" w:rsidR="00BF4D55" w:rsidRPr="00BF4D55" w:rsidRDefault="00BF4D55" w:rsidP="00BF4D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F4D55">
        <w:rPr>
          <w:rFonts w:ascii="Times New Roman" w:eastAsia="Times New Roman" w:hAnsi="Times New Roman" w:cs="Times New Roman"/>
          <w:kern w:val="0"/>
          <w:lang w:eastAsia="en-GB"/>
          <w14:ligatures w14:val="none"/>
        </w:rPr>
        <w:t xml:space="preserve">Silverman, J., Kurtz, S. and Draper, J. (2016) </w:t>
      </w:r>
      <w:r w:rsidRPr="00BF4D55">
        <w:rPr>
          <w:rFonts w:ascii="Times New Roman" w:eastAsia="Times New Roman" w:hAnsi="Times New Roman" w:cs="Times New Roman"/>
          <w:i/>
          <w:iCs/>
          <w:kern w:val="0"/>
          <w:lang w:eastAsia="en-GB"/>
          <w14:ligatures w14:val="none"/>
        </w:rPr>
        <w:t>Skills for Communicating with Patients.</w:t>
      </w:r>
      <w:r w:rsidRPr="00BF4D55">
        <w:rPr>
          <w:rFonts w:ascii="Times New Roman" w:eastAsia="Times New Roman" w:hAnsi="Times New Roman" w:cs="Times New Roman"/>
          <w:kern w:val="0"/>
          <w:lang w:eastAsia="en-GB"/>
          <w14:ligatures w14:val="none"/>
        </w:rPr>
        <w:t xml:space="preserve"> 3rd ed. Oxford: Radcliffe Publishing.</w:t>
      </w:r>
    </w:p>
    <w:p w14:paraId="2EA1386E" w14:textId="77777777" w:rsidR="00BF4D55" w:rsidRPr="00BF4D55" w:rsidRDefault="00BF4D55" w:rsidP="00BF4D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F4D55">
        <w:rPr>
          <w:rFonts w:ascii="Times New Roman" w:eastAsia="Times New Roman" w:hAnsi="Times New Roman" w:cs="Times New Roman"/>
          <w:kern w:val="0"/>
          <w:lang w:eastAsia="en-GB"/>
          <w14:ligatures w14:val="none"/>
        </w:rPr>
        <w:t xml:space="preserve">Tuckman, B.W. (1965) ‘Developmental sequence in small groups’, </w:t>
      </w:r>
      <w:r w:rsidRPr="00BF4D55">
        <w:rPr>
          <w:rFonts w:ascii="Times New Roman" w:eastAsia="Times New Roman" w:hAnsi="Times New Roman" w:cs="Times New Roman"/>
          <w:i/>
          <w:iCs/>
          <w:kern w:val="0"/>
          <w:lang w:eastAsia="en-GB"/>
          <w14:ligatures w14:val="none"/>
        </w:rPr>
        <w:t>Psychological Bulletin,</w:t>
      </w:r>
      <w:r w:rsidRPr="00BF4D55">
        <w:rPr>
          <w:rFonts w:ascii="Times New Roman" w:eastAsia="Times New Roman" w:hAnsi="Times New Roman" w:cs="Times New Roman"/>
          <w:kern w:val="0"/>
          <w:lang w:eastAsia="en-GB"/>
          <w14:ligatures w14:val="none"/>
        </w:rPr>
        <w:t xml:space="preserve"> 63(6), pp. 384–399.</w:t>
      </w:r>
    </w:p>
    <w:p w14:paraId="26C4A309"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p>
    <w:p w14:paraId="5736D2BB" w14:textId="71ED26C6" w:rsidR="00E2586B" w:rsidRPr="006807D1" w:rsidRDefault="00E2586B" w:rsidP="006807D1">
      <w:pPr>
        <w:spacing w:before="100" w:beforeAutospacing="1" w:after="100" w:afterAutospacing="1" w:line="360" w:lineRule="auto"/>
        <w:rPr>
          <w:rFonts w:ascii="Arial" w:eastAsia="Times New Roman" w:hAnsi="Arial" w:cs="Arial"/>
          <w:b/>
          <w:bCs/>
          <w:kern w:val="36"/>
          <w:sz w:val="22"/>
          <w:szCs w:val="22"/>
          <w:lang w:eastAsia="en-GB"/>
          <w14:ligatures w14:val="none"/>
        </w:rPr>
      </w:pPr>
    </w:p>
    <w:p w14:paraId="0A3A7C43" w14:textId="77777777" w:rsidR="000812EB" w:rsidRPr="006807D1" w:rsidRDefault="000812EB" w:rsidP="006807D1">
      <w:pPr>
        <w:spacing w:before="100" w:beforeAutospacing="1" w:after="100" w:afterAutospacing="1" w:line="360" w:lineRule="auto"/>
        <w:rPr>
          <w:rFonts w:ascii="Arial" w:eastAsia="Times New Roman" w:hAnsi="Arial" w:cs="Arial"/>
          <w:kern w:val="0"/>
          <w:sz w:val="22"/>
          <w:szCs w:val="22"/>
          <w:lang w:eastAsia="en-GB"/>
          <w14:ligatures w14:val="none"/>
        </w:rPr>
      </w:pPr>
    </w:p>
    <w:sectPr w:rsidR="000812EB" w:rsidRPr="006807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C32BD"/>
    <w:multiLevelType w:val="hybridMultilevel"/>
    <w:tmpl w:val="EA4E52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9360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86B"/>
    <w:rsid w:val="000416A2"/>
    <w:rsid w:val="00077D00"/>
    <w:rsid w:val="000812EB"/>
    <w:rsid w:val="000E2142"/>
    <w:rsid w:val="000F6AEF"/>
    <w:rsid w:val="001401E5"/>
    <w:rsid w:val="00227141"/>
    <w:rsid w:val="00524FB9"/>
    <w:rsid w:val="006551EE"/>
    <w:rsid w:val="006561C1"/>
    <w:rsid w:val="006807D1"/>
    <w:rsid w:val="007F7D94"/>
    <w:rsid w:val="0087541E"/>
    <w:rsid w:val="008E070A"/>
    <w:rsid w:val="008E340F"/>
    <w:rsid w:val="00993511"/>
    <w:rsid w:val="009E57E6"/>
    <w:rsid w:val="009F1ED5"/>
    <w:rsid w:val="00BF4D55"/>
    <w:rsid w:val="00BF73FB"/>
    <w:rsid w:val="00C53A7F"/>
    <w:rsid w:val="00CA38C9"/>
    <w:rsid w:val="00D42062"/>
    <w:rsid w:val="00E2586B"/>
    <w:rsid w:val="00E70843"/>
    <w:rsid w:val="00FF2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9B77D"/>
  <w15:chartTrackingRefBased/>
  <w15:docId w15:val="{4F08994A-CE47-447D-8C55-7AF484253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58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58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58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58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58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58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58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58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58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58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58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58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58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58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58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58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58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586B"/>
    <w:rPr>
      <w:rFonts w:eastAsiaTheme="majorEastAsia" w:cstheme="majorBidi"/>
      <w:color w:val="272727" w:themeColor="text1" w:themeTint="D8"/>
    </w:rPr>
  </w:style>
  <w:style w:type="paragraph" w:styleId="Title">
    <w:name w:val="Title"/>
    <w:basedOn w:val="Normal"/>
    <w:next w:val="Normal"/>
    <w:link w:val="TitleChar"/>
    <w:uiPriority w:val="10"/>
    <w:qFormat/>
    <w:rsid w:val="00E258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58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58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58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586B"/>
    <w:pPr>
      <w:spacing w:before="160"/>
      <w:jc w:val="center"/>
    </w:pPr>
    <w:rPr>
      <w:i/>
      <w:iCs/>
      <w:color w:val="404040" w:themeColor="text1" w:themeTint="BF"/>
    </w:rPr>
  </w:style>
  <w:style w:type="character" w:customStyle="1" w:styleId="QuoteChar">
    <w:name w:val="Quote Char"/>
    <w:basedOn w:val="DefaultParagraphFont"/>
    <w:link w:val="Quote"/>
    <w:uiPriority w:val="29"/>
    <w:rsid w:val="00E2586B"/>
    <w:rPr>
      <w:i/>
      <w:iCs/>
      <w:color w:val="404040" w:themeColor="text1" w:themeTint="BF"/>
    </w:rPr>
  </w:style>
  <w:style w:type="paragraph" w:styleId="ListParagraph">
    <w:name w:val="List Paragraph"/>
    <w:basedOn w:val="Normal"/>
    <w:uiPriority w:val="34"/>
    <w:qFormat/>
    <w:rsid w:val="00E2586B"/>
    <w:pPr>
      <w:ind w:left="720"/>
      <w:contextualSpacing/>
    </w:pPr>
  </w:style>
  <w:style w:type="character" w:styleId="IntenseEmphasis">
    <w:name w:val="Intense Emphasis"/>
    <w:basedOn w:val="DefaultParagraphFont"/>
    <w:uiPriority w:val="21"/>
    <w:qFormat/>
    <w:rsid w:val="00E2586B"/>
    <w:rPr>
      <w:i/>
      <w:iCs/>
      <w:color w:val="0F4761" w:themeColor="accent1" w:themeShade="BF"/>
    </w:rPr>
  </w:style>
  <w:style w:type="paragraph" w:styleId="IntenseQuote">
    <w:name w:val="Intense Quote"/>
    <w:basedOn w:val="Normal"/>
    <w:next w:val="Normal"/>
    <w:link w:val="IntenseQuoteChar"/>
    <w:uiPriority w:val="30"/>
    <w:qFormat/>
    <w:rsid w:val="00E258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586B"/>
    <w:rPr>
      <w:i/>
      <w:iCs/>
      <w:color w:val="0F4761" w:themeColor="accent1" w:themeShade="BF"/>
    </w:rPr>
  </w:style>
  <w:style w:type="character" w:styleId="IntenseReference">
    <w:name w:val="Intense Reference"/>
    <w:basedOn w:val="DefaultParagraphFont"/>
    <w:uiPriority w:val="32"/>
    <w:qFormat/>
    <w:rsid w:val="00E2586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organisations/healthcare-uk" TargetMode="External"/><Relationship Id="rId5" Type="http://schemas.openxmlformats.org/officeDocument/2006/relationships/hyperlink" Target="https://www.legislation.gov.uk/ukpga/2010/1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TotalTime>
  <Pages>7</Pages>
  <Words>1673</Words>
  <Characters>11059</Characters>
  <Application>Microsoft Office Word</Application>
  <DocSecurity>0</DocSecurity>
  <Lines>167</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Chanel Dickinson (2309200)</dc:creator>
  <cp:keywords/>
  <dc:description/>
  <cp:lastModifiedBy>Jodie Chanel Dickinson (2309200)</cp:lastModifiedBy>
  <cp:revision>18</cp:revision>
  <dcterms:created xsi:type="dcterms:W3CDTF">2025-11-13T14:17:00Z</dcterms:created>
  <dcterms:modified xsi:type="dcterms:W3CDTF">2025-11-15T09:49:00Z</dcterms:modified>
</cp:coreProperties>
</file>