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B3349" w14:textId="77777777" w:rsidR="00AD4AA9" w:rsidRDefault="00AD4AA9">
      <w:pPr>
        <w:jc w:val="center"/>
      </w:pPr>
    </w:p>
    <w:p w14:paraId="30162D6E" w14:textId="77777777" w:rsidR="00A711B5" w:rsidRDefault="00A711B5">
      <w:pPr>
        <w:jc w:val="center"/>
      </w:pPr>
    </w:p>
    <w:p w14:paraId="7F8A48E1" w14:textId="77777777" w:rsidR="00A711B5" w:rsidRDefault="00A711B5">
      <w:pPr>
        <w:jc w:val="center"/>
      </w:pPr>
    </w:p>
    <w:p w14:paraId="5C0E1DE2" w14:textId="357F385F" w:rsidR="00A711B5" w:rsidRDefault="00A711B5">
      <w:pPr>
        <w:jc w:val="center"/>
      </w:pPr>
      <w:r>
        <w:rPr>
          <w:noProof/>
        </w:rPr>
        <w:drawing>
          <wp:inline distT="114300" distB="114300" distL="114300" distR="114300" wp14:anchorId="6CA26CA0" wp14:editId="3A516523">
            <wp:extent cx="4846320" cy="2149475"/>
            <wp:effectExtent l="38100" t="38100" r="30480" b="4127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930980" cy="2187024"/>
                    </a:xfrm>
                    <a:prstGeom prst="rect">
                      <a:avLst/>
                    </a:prstGeom>
                    <a:ln w="25400">
                      <a:solidFill>
                        <a:srgbClr val="000000"/>
                      </a:solidFill>
                      <a:prstDash val="solid"/>
                    </a:ln>
                  </pic:spPr>
                </pic:pic>
              </a:graphicData>
            </a:graphic>
          </wp:inline>
        </w:drawing>
      </w:r>
    </w:p>
    <w:p w14:paraId="4CBB4B4A" w14:textId="2E4091CF" w:rsidR="00AD4AA9" w:rsidRDefault="00AD4AA9">
      <w:pPr>
        <w:jc w:val="center"/>
      </w:pPr>
    </w:p>
    <w:p w14:paraId="48443292" w14:textId="77777777" w:rsidR="00AD4AA9" w:rsidRDefault="00AD4AA9">
      <w:pPr>
        <w:jc w:val="center"/>
      </w:pPr>
    </w:p>
    <w:p w14:paraId="7B54D8F6" w14:textId="77777777" w:rsidR="00AD4AA9" w:rsidRDefault="00352164">
      <w:pPr>
        <w:jc w:val="center"/>
        <w:rPr>
          <w:b/>
          <w:bCs/>
          <w:sz w:val="28"/>
          <w:szCs w:val="28"/>
        </w:rPr>
      </w:pPr>
      <w:r>
        <w:rPr>
          <w:b/>
          <w:bCs/>
          <w:sz w:val="28"/>
          <w:szCs w:val="28"/>
        </w:rPr>
        <w:t>Module Code: LCHS7002</w:t>
      </w:r>
    </w:p>
    <w:p w14:paraId="011451FA" w14:textId="77777777" w:rsidR="00AD4AA9" w:rsidRDefault="00352164">
      <w:pPr>
        <w:jc w:val="center"/>
        <w:rPr>
          <w:b/>
          <w:bCs/>
          <w:sz w:val="28"/>
          <w:szCs w:val="28"/>
        </w:rPr>
      </w:pPr>
      <w:r>
        <w:rPr>
          <w:b/>
          <w:bCs/>
          <w:sz w:val="28"/>
          <w:szCs w:val="28"/>
        </w:rPr>
        <w:t>Module Title: Health Care System Organisation and Leadership</w:t>
      </w:r>
    </w:p>
    <w:p w14:paraId="039999FF" w14:textId="77777777" w:rsidR="00AD4AA9" w:rsidRDefault="00352164">
      <w:pPr>
        <w:jc w:val="center"/>
        <w:rPr>
          <w:b/>
          <w:bCs/>
          <w:sz w:val="28"/>
          <w:szCs w:val="28"/>
        </w:rPr>
      </w:pPr>
      <w:r>
        <w:rPr>
          <w:b/>
          <w:bCs/>
          <w:sz w:val="28"/>
          <w:szCs w:val="28"/>
        </w:rPr>
        <w:t>Module Lecturers: Shaila Hussain | Tonia Babalola</w:t>
      </w:r>
    </w:p>
    <w:p w14:paraId="36B58BA1" w14:textId="77777777" w:rsidR="00AD4AA9" w:rsidRDefault="00AD4AA9">
      <w:pPr>
        <w:jc w:val="center"/>
        <w:rPr>
          <w:b/>
          <w:bCs/>
          <w:sz w:val="28"/>
          <w:szCs w:val="28"/>
        </w:rPr>
      </w:pPr>
    </w:p>
    <w:p w14:paraId="6DBA631B" w14:textId="77777777" w:rsidR="00AD4AA9" w:rsidRDefault="00352164">
      <w:pPr>
        <w:jc w:val="center"/>
        <w:rPr>
          <w:b/>
          <w:bCs/>
          <w:sz w:val="32"/>
          <w:szCs w:val="32"/>
        </w:rPr>
      </w:pPr>
      <w:r>
        <w:rPr>
          <w:b/>
          <w:bCs/>
          <w:sz w:val="32"/>
          <w:szCs w:val="32"/>
        </w:rPr>
        <w:t>ASSESSMENT: CASE STUDY ANALYSIS REPORT</w:t>
      </w:r>
    </w:p>
    <w:p w14:paraId="2278E591" w14:textId="77777777" w:rsidR="00AD4AA9" w:rsidRDefault="00352164">
      <w:pPr>
        <w:jc w:val="center"/>
        <w:rPr>
          <w:b/>
          <w:bCs/>
          <w:sz w:val="24"/>
          <w:szCs w:val="24"/>
        </w:rPr>
      </w:pPr>
      <w:r>
        <w:rPr>
          <w:b/>
          <w:bCs/>
          <w:sz w:val="24"/>
          <w:szCs w:val="24"/>
        </w:rPr>
        <w:t>[Infant Morphine Overdose: A Leadership and Systems Failure Analysis]</w:t>
      </w:r>
    </w:p>
    <w:p w14:paraId="130BAEBD" w14:textId="77777777" w:rsidR="00AD4AA9" w:rsidRDefault="00AD4AA9">
      <w:pPr>
        <w:jc w:val="center"/>
        <w:rPr>
          <w:b/>
          <w:bCs/>
          <w:sz w:val="28"/>
          <w:szCs w:val="28"/>
        </w:rPr>
      </w:pPr>
    </w:p>
    <w:p w14:paraId="423B51F1" w14:textId="64F50D1A" w:rsidR="00AD4AA9" w:rsidRDefault="00352164">
      <w:pPr>
        <w:jc w:val="center"/>
        <w:rPr>
          <w:b/>
          <w:bCs/>
          <w:sz w:val="28"/>
          <w:szCs w:val="28"/>
        </w:rPr>
      </w:pPr>
      <w:r>
        <w:rPr>
          <w:b/>
          <w:bCs/>
          <w:sz w:val="28"/>
          <w:szCs w:val="28"/>
        </w:rPr>
        <w:t xml:space="preserve">Student </w:t>
      </w:r>
      <w:r w:rsidR="00A711B5">
        <w:rPr>
          <w:b/>
          <w:bCs/>
          <w:sz w:val="28"/>
          <w:szCs w:val="28"/>
        </w:rPr>
        <w:t>Id: 2529441</w:t>
      </w:r>
    </w:p>
    <w:p w14:paraId="6E974CB9" w14:textId="065DAA57" w:rsidR="00AD4AA9" w:rsidRDefault="00352164" w:rsidP="00A711B5">
      <w:pPr>
        <w:jc w:val="center"/>
        <w:rPr>
          <w:b/>
          <w:bCs/>
          <w:sz w:val="28"/>
          <w:szCs w:val="28"/>
        </w:rPr>
      </w:pPr>
      <w:r>
        <w:rPr>
          <w:b/>
          <w:bCs/>
          <w:sz w:val="28"/>
          <w:szCs w:val="28"/>
        </w:rPr>
        <w:t xml:space="preserve">Student Name: </w:t>
      </w:r>
      <w:r w:rsidR="00A711B5">
        <w:rPr>
          <w:b/>
          <w:bCs/>
          <w:sz w:val="28"/>
          <w:szCs w:val="28"/>
        </w:rPr>
        <w:t>Twinkalben Patel</w:t>
      </w:r>
    </w:p>
    <w:p w14:paraId="3D67430D" w14:textId="77777777" w:rsidR="00AD4AA9" w:rsidRDefault="00AD4AA9">
      <w:pPr>
        <w:jc w:val="center"/>
        <w:rPr>
          <w:b/>
          <w:bCs/>
          <w:sz w:val="28"/>
          <w:szCs w:val="28"/>
        </w:rPr>
      </w:pPr>
    </w:p>
    <w:p w14:paraId="3D842EA7" w14:textId="78117048" w:rsidR="00AD4AA9" w:rsidRDefault="00AD4AA9" w:rsidP="00A711B5">
      <w:pPr>
        <w:rPr>
          <w:b/>
          <w:bCs/>
          <w:sz w:val="28"/>
          <w:szCs w:val="28"/>
        </w:rPr>
      </w:pPr>
    </w:p>
    <w:p w14:paraId="49FB00C1" w14:textId="5FA1BC84" w:rsidR="00AD4AA9" w:rsidRDefault="00352164" w:rsidP="00A711B5">
      <w:pPr>
        <w:rPr>
          <w:b/>
          <w:bCs/>
        </w:rPr>
      </w:pPr>
      <w:r>
        <w:br w:type="page"/>
      </w:r>
      <w:r>
        <w:rPr>
          <w:b/>
          <w:bCs/>
        </w:rPr>
        <w:lastRenderedPageBreak/>
        <w:t>TABLE OF CONTENTS</w:t>
      </w:r>
    </w:p>
    <w:sdt>
      <w:sdtPr>
        <w:id w:val="-294519638"/>
        <w:docPartObj>
          <w:docPartGallery w:val="Table of Contents"/>
          <w:docPartUnique/>
        </w:docPartObj>
      </w:sdtPr>
      <w:sdtContent>
        <w:p w14:paraId="3D58CB6C" w14:textId="0DF5B33A" w:rsidR="00AD4AA9" w:rsidRDefault="00AD4AA9" w:rsidP="00DD1467">
          <w:pPr>
            <w:widowControl w:val="0"/>
            <w:tabs>
              <w:tab w:val="right" w:pos="9025"/>
            </w:tabs>
            <w:spacing w:after="0"/>
            <w:rPr>
              <w:noProof/>
              <w:color w:val="000000"/>
            </w:rPr>
          </w:pPr>
          <w:r>
            <w:fldChar w:fldCharType="begin"/>
          </w:r>
          <w:r w:rsidR="00352164">
            <w:instrText xml:space="preserve"> TOC \h \u \z \t "Heading 1,1,Heading 2,2,Heading 3,3,Heading 4,4,Heading 5,5,Heading 6,6,"</w:instrText>
          </w:r>
          <w:r>
            <w:fldChar w:fldCharType="separate"/>
          </w:r>
          <w:hyperlink w:anchor="_wlqvbehhtp5j">
            <w:r>
              <w:rPr>
                <w:noProof/>
                <w:color w:val="000000"/>
              </w:rPr>
              <w:t>1. Introduction</w:t>
            </w:r>
            <w:r>
              <w:rPr>
                <w:noProof/>
                <w:color w:val="000000"/>
              </w:rPr>
              <w:tab/>
            </w:r>
          </w:hyperlink>
          <w:r w:rsidR="00352164">
            <w:rPr>
              <w:noProof/>
            </w:rPr>
            <w:fldChar w:fldCharType="begin"/>
          </w:r>
          <w:r w:rsidR="00352164">
            <w:rPr>
              <w:noProof/>
            </w:rPr>
            <w:instrText xml:space="preserve"> PAGEREF _wlqvbehhtp5j \h </w:instrText>
          </w:r>
          <w:r w:rsidR="00352164">
            <w:rPr>
              <w:noProof/>
            </w:rPr>
          </w:r>
          <w:r w:rsidR="00352164">
            <w:rPr>
              <w:noProof/>
            </w:rPr>
            <w:fldChar w:fldCharType="separate"/>
          </w:r>
          <w:r w:rsidR="00345BD4">
            <w:rPr>
              <w:noProof/>
            </w:rPr>
            <w:t>2</w:t>
          </w:r>
          <w:r w:rsidR="00352164">
            <w:rPr>
              <w:noProof/>
            </w:rPr>
            <w:fldChar w:fldCharType="end"/>
          </w:r>
        </w:p>
        <w:p w14:paraId="1280C9E0" w14:textId="4DC55827" w:rsidR="00AD4AA9" w:rsidRDefault="00AD4AA9" w:rsidP="00DD1467">
          <w:pPr>
            <w:widowControl w:val="0"/>
            <w:tabs>
              <w:tab w:val="right" w:pos="9025"/>
            </w:tabs>
            <w:spacing w:after="0"/>
            <w:rPr>
              <w:noProof/>
              <w:color w:val="000000"/>
            </w:rPr>
          </w:pPr>
          <w:hyperlink w:anchor="_dsafcdj2e21l">
            <w:r>
              <w:rPr>
                <w:noProof/>
                <w:color w:val="000000"/>
              </w:rPr>
              <w:t>2. Main Body and Analysis</w:t>
            </w:r>
            <w:r>
              <w:rPr>
                <w:noProof/>
                <w:color w:val="000000"/>
              </w:rPr>
              <w:tab/>
            </w:r>
          </w:hyperlink>
          <w:r>
            <w:rPr>
              <w:noProof/>
            </w:rPr>
            <w:fldChar w:fldCharType="begin"/>
          </w:r>
          <w:r>
            <w:rPr>
              <w:noProof/>
            </w:rPr>
            <w:instrText xml:space="preserve"> PAGEREF _dsafcdj2e21l \h </w:instrText>
          </w:r>
          <w:r>
            <w:rPr>
              <w:noProof/>
            </w:rPr>
          </w:r>
          <w:r>
            <w:rPr>
              <w:noProof/>
            </w:rPr>
            <w:fldChar w:fldCharType="separate"/>
          </w:r>
          <w:r w:rsidR="00345BD4">
            <w:rPr>
              <w:noProof/>
            </w:rPr>
            <w:t>3</w:t>
          </w:r>
          <w:r>
            <w:rPr>
              <w:noProof/>
            </w:rPr>
            <w:fldChar w:fldCharType="end"/>
          </w:r>
        </w:p>
        <w:p w14:paraId="71CD4F78" w14:textId="214B4BE4" w:rsidR="00AD4AA9" w:rsidRDefault="00AD4AA9" w:rsidP="00DD1467">
          <w:pPr>
            <w:widowControl w:val="0"/>
            <w:tabs>
              <w:tab w:val="right" w:pos="9025"/>
            </w:tabs>
            <w:spacing w:after="0"/>
            <w:ind w:left="360"/>
            <w:rPr>
              <w:noProof/>
              <w:color w:val="000000"/>
            </w:rPr>
          </w:pPr>
          <w:hyperlink w:anchor="_jzkqc3uhmqnc">
            <w:r>
              <w:rPr>
                <w:noProof/>
                <w:color w:val="000000"/>
              </w:rPr>
              <w:t xml:space="preserve"> </w:t>
            </w:r>
            <w:r w:rsidR="00345BD4">
              <w:rPr>
                <w:noProof/>
                <w:color w:val="000000"/>
              </w:rPr>
              <w:t>(a)</w:t>
            </w:r>
            <w:r>
              <w:rPr>
                <w:noProof/>
                <w:color w:val="000000"/>
              </w:rPr>
              <w:t>Identifying the Problem &amp; System Context</w:t>
            </w:r>
            <w:r>
              <w:rPr>
                <w:noProof/>
                <w:color w:val="000000"/>
              </w:rPr>
              <w:tab/>
            </w:r>
          </w:hyperlink>
          <w:r>
            <w:rPr>
              <w:noProof/>
            </w:rPr>
            <w:fldChar w:fldCharType="begin"/>
          </w:r>
          <w:r>
            <w:rPr>
              <w:noProof/>
            </w:rPr>
            <w:instrText xml:space="preserve"> PAGEREF _jzkqc3uhmqnc \h </w:instrText>
          </w:r>
          <w:r>
            <w:rPr>
              <w:noProof/>
            </w:rPr>
          </w:r>
          <w:r>
            <w:rPr>
              <w:noProof/>
            </w:rPr>
            <w:fldChar w:fldCharType="separate"/>
          </w:r>
          <w:r w:rsidR="00345BD4">
            <w:rPr>
              <w:noProof/>
            </w:rPr>
            <w:t>3</w:t>
          </w:r>
          <w:r>
            <w:rPr>
              <w:noProof/>
            </w:rPr>
            <w:fldChar w:fldCharType="end"/>
          </w:r>
        </w:p>
        <w:p w14:paraId="6C6E982A" w14:textId="31901CF7" w:rsidR="00AD4AA9" w:rsidRDefault="00AD4AA9" w:rsidP="00DD1467">
          <w:pPr>
            <w:widowControl w:val="0"/>
            <w:tabs>
              <w:tab w:val="right" w:pos="9025"/>
            </w:tabs>
            <w:spacing w:after="0"/>
            <w:ind w:left="720"/>
            <w:rPr>
              <w:noProof/>
              <w:color w:val="000000"/>
            </w:rPr>
          </w:pPr>
          <w:hyperlink w:anchor="_cyv1e8c4cro">
            <w:r>
              <w:rPr>
                <w:noProof/>
                <w:color w:val="000000"/>
              </w:rPr>
              <w:t>Problem Description</w:t>
            </w:r>
            <w:r>
              <w:rPr>
                <w:noProof/>
                <w:color w:val="000000"/>
              </w:rPr>
              <w:tab/>
            </w:r>
          </w:hyperlink>
          <w:r>
            <w:rPr>
              <w:noProof/>
            </w:rPr>
            <w:fldChar w:fldCharType="begin"/>
          </w:r>
          <w:r>
            <w:rPr>
              <w:noProof/>
            </w:rPr>
            <w:instrText xml:space="preserve"> PAGEREF _cyv1e8c4cro \h </w:instrText>
          </w:r>
          <w:r>
            <w:rPr>
              <w:noProof/>
            </w:rPr>
          </w:r>
          <w:r>
            <w:rPr>
              <w:noProof/>
            </w:rPr>
            <w:fldChar w:fldCharType="separate"/>
          </w:r>
          <w:r w:rsidR="00345BD4">
            <w:rPr>
              <w:noProof/>
            </w:rPr>
            <w:t>3</w:t>
          </w:r>
          <w:r>
            <w:rPr>
              <w:noProof/>
            </w:rPr>
            <w:fldChar w:fldCharType="end"/>
          </w:r>
        </w:p>
        <w:p w14:paraId="69D080E9" w14:textId="79760BBE" w:rsidR="00AD4AA9" w:rsidRDefault="00AD4AA9" w:rsidP="00DD1467">
          <w:pPr>
            <w:widowControl w:val="0"/>
            <w:tabs>
              <w:tab w:val="right" w:pos="9025"/>
            </w:tabs>
            <w:spacing w:after="0"/>
            <w:ind w:left="720"/>
            <w:rPr>
              <w:noProof/>
              <w:color w:val="000000"/>
            </w:rPr>
          </w:pPr>
          <w:hyperlink w:anchor="_moj412awa4vj">
            <w:r>
              <w:rPr>
                <w:noProof/>
                <w:color w:val="000000"/>
              </w:rPr>
              <w:t xml:space="preserve"> Global Context</w:t>
            </w:r>
            <w:r>
              <w:rPr>
                <w:noProof/>
                <w:color w:val="000000"/>
              </w:rPr>
              <w:tab/>
            </w:r>
          </w:hyperlink>
          <w:r>
            <w:rPr>
              <w:noProof/>
            </w:rPr>
            <w:fldChar w:fldCharType="begin"/>
          </w:r>
          <w:r>
            <w:rPr>
              <w:noProof/>
            </w:rPr>
            <w:instrText xml:space="preserve"> PAGEREF _moj412awa4vj \h </w:instrText>
          </w:r>
          <w:r>
            <w:rPr>
              <w:noProof/>
            </w:rPr>
          </w:r>
          <w:r>
            <w:rPr>
              <w:noProof/>
            </w:rPr>
            <w:fldChar w:fldCharType="separate"/>
          </w:r>
          <w:r w:rsidR="00345BD4">
            <w:rPr>
              <w:noProof/>
            </w:rPr>
            <w:t>3</w:t>
          </w:r>
          <w:r>
            <w:rPr>
              <w:noProof/>
            </w:rPr>
            <w:fldChar w:fldCharType="end"/>
          </w:r>
        </w:p>
        <w:p w14:paraId="7EEE5C02" w14:textId="23A288D1" w:rsidR="00AD4AA9" w:rsidRDefault="00AD4AA9" w:rsidP="00DD1467">
          <w:pPr>
            <w:widowControl w:val="0"/>
            <w:tabs>
              <w:tab w:val="right" w:pos="9025"/>
            </w:tabs>
            <w:spacing w:after="0"/>
            <w:ind w:left="720"/>
            <w:rPr>
              <w:noProof/>
              <w:color w:val="000000"/>
            </w:rPr>
          </w:pPr>
          <w:hyperlink w:anchor="_xbg3sp3hk7mm">
            <w:r>
              <w:rPr>
                <w:noProof/>
                <w:color w:val="000000"/>
              </w:rPr>
              <w:t>National Context</w:t>
            </w:r>
            <w:r>
              <w:rPr>
                <w:noProof/>
                <w:color w:val="000000"/>
              </w:rPr>
              <w:tab/>
            </w:r>
          </w:hyperlink>
          <w:r>
            <w:rPr>
              <w:noProof/>
            </w:rPr>
            <w:fldChar w:fldCharType="begin"/>
          </w:r>
          <w:r>
            <w:rPr>
              <w:noProof/>
            </w:rPr>
            <w:instrText xml:space="preserve"> PAGEREF _xbg3sp3hk7mm \h </w:instrText>
          </w:r>
          <w:r>
            <w:rPr>
              <w:noProof/>
            </w:rPr>
          </w:r>
          <w:r>
            <w:rPr>
              <w:noProof/>
            </w:rPr>
            <w:fldChar w:fldCharType="separate"/>
          </w:r>
          <w:r w:rsidR="00345BD4">
            <w:rPr>
              <w:noProof/>
            </w:rPr>
            <w:t>3</w:t>
          </w:r>
          <w:r>
            <w:rPr>
              <w:noProof/>
            </w:rPr>
            <w:fldChar w:fldCharType="end"/>
          </w:r>
        </w:p>
        <w:p w14:paraId="194CB21D" w14:textId="70BA1501" w:rsidR="00AD4AA9" w:rsidRDefault="00AD4AA9" w:rsidP="00DD1467">
          <w:pPr>
            <w:widowControl w:val="0"/>
            <w:tabs>
              <w:tab w:val="right" w:pos="9025"/>
            </w:tabs>
            <w:spacing w:after="0"/>
            <w:ind w:left="720"/>
            <w:rPr>
              <w:noProof/>
              <w:color w:val="000000"/>
            </w:rPr>
          </w:pPr>
          <w:hyperlink w:anchor="_g9zync2ktlny">
            <w:r>
              <w:rPr>
                <w:noProof/>
                <w:color w:val="000000"/>
              </w:rPr>
              <w:t>Organisational/National Body Context</w:t>
            </w:r>
            <w:r>
              <w:rPr>
                <w:noProof/>
                <w:color w:val="000000"/>
              </w:rPr>
              <w:tab/>
            </w:r>
          </w:hyperlink>
          <w:r>
            <w:rPr>
              <w:noProof/>
            </w:rPr>
            <w:fldChar w:fldCharType="begin"/>
          </w:r>
          <w:r>
            <w:rPr>
              <w:noProof/>
            </w:rPr>
            <w:instrText xml:space="preserve"> PAGEREF _g9zync2ktlny \h </w:instrText>
          </w:r>
          <w:r>
            <w:rPr>
              <w:noProof/>
            </w:rPr>
          </w:r>
          <w:r>
            <w:rPr>
              <w:noProof/>
            </w:rPr>
            <w:fldChar w:fldCharType="separate"/>
          </w:r>
          <w:r w:rsidR="00345BD4">
            <w:rPr>
              <w:noProof/>
            </w:rPr>
            <w:t>4</w:t>
          </w:r>
          <w:r>
            <w:rPr>
              <w:noProof/>
            </w:rPr>
            <w:fldChar w:fldCharType="end"/>
          </w:r>
        </w:p>
        <w:p w14:paraId="2E59BFE7" w14:textId="5E94B953" w:rsidR="00AD4AA9" w:rsidRDefault="00AD4AA9" w:rsidP="00DD1467">
          <w:pPr>
            <w:widowControl w:val="0"/>
            <w:tabs>
              <w:tab w:val="right" w:pos="9025"/>
            </w:tabs>
            <w:spacing w:after="0"/>
            <w:ind w:left="720"/>
            <w:rPr>
              <w:noProof/>
              <w:color w:val="000000"/>
            </w:rPr>
          </w:pPr>
          <w:hyperlink w:anchor="_7aatn6k06yk4">
            <w:r>
              <w:rPr>
                <w:noProof/>
                <w:color w:val="000000"/>
              </w:rPr>
              <w:t xml:space="preserve"> Systems Thinking and Governance Analysis</w:t>
            </w:r>
            <w:r>
              <w:rPr>
                <w:noProof/>
                <w:color w:val="000000"/>
              </w:rPr>
              <w:tab/>
            </w:r>
          </w:hyperlink>
          <w:r>
            <w:rPr>
              <w:noProof/>
            </w:rPr>
            <w:fldChar w:fldCharType="begin"/>
          </w:r>
          <w:r>
            <w:rPr>
              <w:noProof/>
            </w:rPr>
            <w:instrText xml:space="preserve"> PAGEREF _7aatn6k06yk4 \h </w:instrText>
          </w:r>
          <w:r>
            <w:rPr>
              <w:noProof/>
            </w:rPr>
          </w:r>
          <w:r>
            <w:rPr>
              <w:noProof/>
            </w:rPr>
            <w:fldChar w:fldCharType="separate"/>
          </w:r>
          <w:r w:rsidR="00345BD4">
            <w:rPr>
              <w:noProof/>
            </w:rPr>
            <w:t>4</w:t>
          </w:r>
          <w:r>
            <w:rPr>
              <w:noProof/>
            </w:rPr>
            <w:fldChar w:fldCharType="end"/>
          </w:r>
        </w:p>
        <w:p w14:paraId="4423D1B1" w14:textId="263254D0" w:rsidR="00AD4AA9" w:rsidRDefault="00AD4AA9" w:rsidP="00DD1467">
          <w:pPr>
            <w:widowControl w:val="0"/>
            <w:tabs>
              <w:tab w:val="right" w:pos="9025"/>
            </w:tabs>
            <w:spacing w:after="0"/>
            <w:ind w:left="720"/>
            <w:rPr>
              <w:noProof/>
              <w:color w:val="000000"/>
            </w:rPr>
          </w:pPr>
          <w:hyperlink w:anchor="_qzm561etp43j">
            <w:r>
              <w:rPr>
                <w:noProof/>
                <w:color w:val="000000"/>
              </w:rPr>
              <w:t>Underlying Challenges</w:t>
            </w:r>
            <w:r>
              <w:rPr>
                <w:noProof/>
                <w:color w:val="000000"/>
              </w:rPr>
              <w:tab/>
            </w:r>
          </w:hyperlink>
          <w:r>
            <w:rPr>
              <w:noProof/>
            </w:rPr>
            <w:fldChar w:fldCharType="begin"/>
          </w:r>
          <w:r>
            <w:rPr>
              <w:noProof/>
            </w:rPr>
            <w:instrText xml:space="preserve"> PAGEREF _qzm561etp43j \h </w:instrText>
          </w:r>
          <w:r>
            <w:rPr>
              <w:noProof/>
            </w:rPr>
          </w:r>
          <w:r>
            <w:rPr>
              <w:noProof/>
            </w:rPr>
            <w:fldChar w:fldCharType="separate"/>
          </w:r>
          <w:r w:rsidR="00345BD4">
            <w:rPr>
              <w:noProof/>
            </w:rPr>
            <w:t>5</w:t>
          </w:r>
          <w:r>
            <w:rPr>
              <w:noProof/>
            </w:rPr>
            <w:fldChar w:fldCharType="end"/>
          </w:r>
        </w:p>
        <w:p w14:paraId="2D3045CC" w14:textId="5A483981" w:rsidR="00AD4AA9" w:rsidRDefault="00AD4AA9" w:rsidP="00DD1467">
          <w:pPr>
            <w:widowControl w:val="0"/>
            <w:tabs>
              <w:tab w:val="right" w:pos="9025"/>
            </w:tabs>
            <w:spacing w:after="0"/>
            <w:ind w:left="720"/>
            <w:rPr>
              <w:noProof/>
              <w:color w:val="000000"/>
            </w:rPr>
          </w:pPr>
          <w:hyperlink w:anchor="_rmfs8j7mh164">
            <w:r>
              <w:rPr>
                <w:noProof/>
                <w:color w:val="000000"/>
              </w:rPr>
              <w:t>Visual Representation using Rich Picture</w:t>
            </w:r>
            <w:r>
              <w:rPr>
                <w:noProof/>
                <w:color w:val="000000"/>
              </w:rPr>
              <w:tab/>
            </w:r>
          </w:hyperlink>
          <w:r>
            <w:rPr>
              <w:noProof/>
            </w:rPr>
            <w:fldChar w:fldCharType="begin"/>
          </w:r>
          <w:r>
            <w:rPr>
              <w:noProof/>
            </w:rPr>
            <w:instrText xml:space="preserve"> PAGEREF _rmfs8j7mh164 \h </w:instrText>
          </w:r>
          <w:r>
            <w:rPr>
              <w:noProof/>
            </w:rPr>
          </w:r>
          <w:r>
            <w:rPr>
              <w:noProof/>
            </w:rPr>
            <w:fldChar w:fldCharType="separate"/>
          </w:r>
          <w:r w:rsidR="00345BD4">
            <w:rPr>
              <w:noProof/>
            </w:rPr>
            <w:t>5</w:t>
          </w:r>
          <w:r>
            <w:rPr>
              <w:noProof/>
            </w:rPr>
            <w:fldChar w:fldCharType="end"/>
          </w:r>
        </w:p>
        <w:p w14:paraId="2FF27C6D" w14:textId="716FAF71" w:rsidR="00AD4AA9" w:rsidRDefault="00345BD4" w:rsidP="00DD1467">
          <w:pPr>
            <w:widowControl w:val="0"/>
            <w:tabs>
              <w:tab w:val="right" w:pos="9025"/>
            </w:tabs>
            <w:spacing w:after="0"/>
            <w:ind w:left="360"/>
            <w:rPr>
              <w:noProof/>
              <w:color w:val="000000"/>
            </w:rPr>
          </w:pPr>
          <w:hyperlink w:anchor="_80c4olty2fr0">
            <w:r>
              <w:rPr>
                <w:noProof/>
                <w:color w:val="000000"/>
              </w:rPr>
              <w:t>(b)</w:t>
            </w:r>
            <w:r w:rsidR="00AD4AA9">
              <w:rPr>
                <w:noProof/>
                <w:color w:val="000000"/>
              </w:rPr>
              <w:t>Centralisation vs Decentralisation</w:t>
            </w:r>
            <w:r w:rsidR="00AD4AA9">
              <w:rPr>
                <w:noProof/>
                <w:color w:val="000000"/>
              </w:rPr>
              <w:tab/>
            </w:r>
          </w:hyperlink>
          <w:r w:rsidR="00AD4AA9">
            <w:rPr>
              <w:noProof/>
            </w:rPr>
            <w:fldChar w:fldCharType="begin"/>
          </w:r>
          <w:r w:rsidR="00AD4AA9">
            <w:rPr>
              <w:noProof/>
            </w:rPr>
            <w:instrText xml:space="preserve"> PAGEREF _80c4olty2fr0 \h </w:instrText>
          </w:r>
          <w:r w:rsidR="00AD4AA9">
            <w:rPr>
              <w:noProof/>
            </w:rPr>
          </w:r>
          <w:r w:rsidR="00AD4AA9">
            <w:rPr>
              <w:noProof/>
            </w:rPr>
            <w:fldChar w:fldCharType="separate"/>
          </w:r>
          <w:r>
            <w:rPr>
              <w:noProof/>
            </w:rPr>
            <w:t>6</w:t>
          </w:r>
          <w:r w:rsidR="00AD4AA9">
            <w:rPr>
              <w:noProof/>
            </w:rPr>
            <w:fldChar w:fldCharType="end"/>
          </w:r>
        </w:p>
        <w:p w14:paraId="049C28DC" w14:textId="552D0614" w:rsidR="00AD4AA9" w:rsidRDefault="00AD4AA9" w:rsidP="00DD1467">
          <w:pPr>
            <w:widowControl w:val="0"/>
            <w:tabs>
              <w:tab w:val="right" w:pos="9025"/>
            </w:tabs>
            <w:spacing w:after="0"/>
            <w:ind w:left="720"/>
            <w:rPr>
              <w:noProof/>
              <w:color w:val="000000"/>
            </w:rPr>
          </w:pPr>
          <w:hyperlink w:anchor="_y28r5xehd0nr">
            <w:r>
              <w:rPr>
                <w:noProof/>
                <w:color w:val="000000"/>
              </w:rPr>
              <w:t>Centralised System in NHS</w:t>
            </w:r>
            <w:r>
              <w:rPr>
                <w:noProof/>
                <w:color w:val="000000"/>
              </w:rPr>
              <w:tab/>
            </w:r>
          </w:hyperlink>
          <w:r>
            <w:rPr>
              <w:noProof/>
            </w:rPr>
            <w:fldChar w:fldCharType="begin"/>
          </w:r>
          <w:r>
            <w:rPr>
              <w:noProof/>
            </w:rPr>
            <w:instrText xml:space="preserve"> PAGEREF _y28r5xehd0nr \h </w:instrText>
          </w:r>
          <w:r>
            <w:rPr>
              <w:noProof/>
            </w:rPr>
          </w:r>
          <w:r>
            <w:rPr>
              <w:noProof/>
            </w:rPr>
            <w:fldChar w:fldCharType="separate"/>
          </w:r>
          <w:r w:rsidR="00345BD4">
            <w:rPr>
              <w:noProof/>
            </w:rPr>
            <w:t>6</w:t>
          </w:r>
          <w:r>
            <w:rPr>
              <w:noProof/>
            </w:rPr>
            <w:fldChar w:fldCharType="end"/>
          </w:r>
        </w:p>
        <w:p w14:paraId="75D8296E" w14:textId="405884EF" w:rsidR="00AD4AA9" w:rsidRDefault="00AD4AA9" w:rsidP="00DD1467">
          <w:pPr>
            <w:widowControl w:val="0"/>
            <w:tabs>
              <w:tab w:val="right" w:pos="9025"/>
            </w:tabs>
            <w:spacing w:after="0"/>
            <w:ind w:left="720"/>
            <w:rPr>
              <w:noProof/>
              <w:color w:val="000000"/>
            </w:rPr>
          </w:pPr>
          <w:hyperlink w:anchor="_9r9i4xrngmqt">
            <w:r>
              <w:rPr>
                <w:noProof/>
                <w:color w:val="000000"/>
              </w:rPr>
              <w:t xml:space="preserve"> Decentralised Elements</w:t>
            </w:r>
            <w:r>
              <w:rPr>
                <w:noProof/>
                <w:color w:val="000000"/>
              </w:rPr>
              <w:tab/>
            </w:r>
          </w:hyperlink>
          <w:r>
            <w:rPr>
              <w:noProof/>
            </w:rPr>
            <w:fldChar w:fldCharType="begin"/>
          </w:r>
          <w:r>
            <w:rPr>
              <w:noProof/>
            </w:rPr>
            <w:instrText xml:space="preserve"> PAGEREF _9r9i4xrngmqt \h </w:instrText>
          </w:r>
          <w:r>
            <w:rPr>
              <w:noProof/>
            </w:rPr>
          </w:r>
          <w:r>
            <w:rPr>
              <w:noProof/>
            </w:rPr>
            <w:fldChar w:fldCharType="separate"/>
          </w:r>
          <w:r w:rsidR="00345BD4">
            <w:rPr>
              <w:noProof/>
            </w:rPr>
            <w:t>6</w:t>
          </w:r>
          <w:r>
            <w:rPr>
              <w:noProof/>
            </w:rPr>
            <w:fldChar w:fldCharType="end"/>
          </w:r>
        </w:p>
        <w:p w14:paraId="00BA52EE" w14:textId="151D6352" w:rsidR="00AD4AA9" w:rsidRDefault="00AD4AA9" w:rsidP="00DD1467">
          <w:pPr>
            <w:widowControl w:val="0"/>
            <w:tabs>
              <w:tab w:val="right" w:pos="9025"/>
            </w:tabs>
            <w:spacing w:after="0"/>
            <w:ind w:left="720"/>
            <w:rPr>
              <w:noProof/>
              <w:color w:val="000000"/>
            </w:rPr>
          </w:pPr>
          <w:hyperlink w:anchor="_ppanmcr33n8z">
            <w:r>
              <w:rPr>
                <w:noProof/>
                <w:color w:val="000000"/>
              </w:rPr>
              <w:t xml:space="preserve"> Advantages of Decentralisation</w:t>
            </w:r>
            <w:r>
              <w:rPr>
                <w:noProof/>
                <w:color w:val="000000"/>
              </w:rPr>
              <w:tab/>
            </w:r>
          </w:hyperlink>
          <w:r>
            <w:rPr>
              <w:noProof/>
            </w:rPr>
            <w:fldChar w:fldCharType="begin"/>
          </w:r>
          <w:r>
            <w:rPr>
              <w:noProof/>
            </w:rPr>
            <w:instrText xml:space="preserve"> PAGEREF _ppanmcr33n8z \h </w:instrText>
          </w:r>
          <w:r>
            <w:rPr>
              <w:noProof/>
            </w:rPr>
          </w:r>
          <w:r>
            <w:rPr>
              <w:noProof/>
            </w:rPr>
            <w:fldChar w:fldCharType="separate"/>
          </w:r>
          <w:r w:rsidR="00345BD4">
            <w:rPr>
              <w:noProof/>
            </w:rPr>
            <w:t>7</w:t>
          </w:r>
          <w:r>
            <w:rPr>
              <w:noProof/>
            </w:rPr>
            <w:fldChar w:fldCharType="end"/>
          </w:r>
        </w:p>
        <w:p w14:paraId="070C3295" w14:textId="04FC9CE5" w:rsidR="00AD4AA9" w:rsidRDefault="00AD4AA9" w:rsidP="00DD1467">
          <w:pPr>
            <w:widowControl w:val="0"/>
            <w:tabs>
              <w:tab w:val="right" w:pos="9025"/>
            </w:tabs>
            <w:spacing w:after="0"/>
            <w:ind w:left="720"/>
            <w:rPr>
              <w:noProof/>
              <w:color w:val="000000"/>
            </w:rPr>
          </w:pPr>
          <w:hyperlink w:anchor="_5mqniijkix61">
            <w:r>
              <w:rPr>
                <w:noProof/>
                <w:color w:val="000000"/>
              </w:rPr>
              <w:t xml:space="preserve"> Disadvantages of Decentralisation</w:t>
            </w:r>
            <w:r>
              <w:rPr>
                <w:noProof/>
                <w:color w:val="000000"/>
              </w:rPr>
              <w:tab/>
            </w:r>
          </w:hyperlink>
          <w:r>
            <w:rPr>
              <w:noProof/>
            </w:rPr>
            <w:fldChar w:fldCharType="begin"/>
          </w:r>
          <w:r>
            <w:rPr>
              <w:noProof/>
            </w:rPr>
            <w:instrText xml:space="preserve"> PAGEREF _5mqniijkix61 \h </w:instrText>
          </w:r>
          <w:r>
            <w:rPr>
              <w:noProof/>
            </w:rPr>
          </w:r>
          <w:r>
            <w:rPr>
              <w:noProof/>
            </w:rPr>
            <w:fldChar w:fldCharType="separate"/>
          </w:r>
          <w:r w:rsidR="00345BD4">
            <w:rPr>
              <w:noProof/>
            </w:rPr>
            <w:t>7</w:t>
          </w:r>
          <w:r>
            <w:rPr>
              <w:noProof/>
            </w:rPr>
            <w:fldChar w:fldCharType="end"/>
          </w:r>
        </w:p>
        <w:p w14:paraId="79FD217E" w14:textId="19C50D73" w:rsidR="00AD4AA9" w:rsidRDefault="00AD4AA9" w:rsidP="00DD1467">
          <w:pPr>
            <w:widowControl w:val="0"/>
            <w:tabs>
              <w:tab w:val="right" w:pos="9025"/>
            </w:tabs>
            <w:spacing w:after="0"/>
            <w:ind w:left="720"/>
            <w:rPr>
              <w:noProof/>
              <w:color w:val="000000"/>
            </w:rPr>
          </w:pPr>
          <w:hyperlink w:anchor="_owo7jonxsrkg">
            <w:r>
              <w:rPr>
                <w:noProof/>
                <w:color w:val="000000"/>
              </w:rPr>
              <w:t xml:space="preserve"> Critical Comparative Analysis</w:t>
            </w:r>
            <w:r>
              <w:rPr>
                <w:noProof/>
                <w:color w:val="000000"/>
              </w:rPr>
              <w:tab/>
            </w:r>
          </w:hyperlink>
          <w:r>
            <w:rPr>
              <w:noProof/>
            </w:rPr>
            <w:fldChar w:fldCharType="begin"/>
          </w:r>
          <w:r>
            <w:rPr>
              <w:noProof/>
            </w:rPr>
            <w:instrText xml:space="preserve"> PAGEREF _owo7jonxsrkg \h </w:instrText>
          </w:r>
          <w:r>
            <w:rPr>
              <w:noProof/>
            </w:rPr>
          </w:r>
          <w:r>
            <w:rPr>
              <w:noProof/>
            </w:rPr>
            <w:fldChar w:fldCharType="separate"/>
          </w:r>
          <w:r w:rsidR="00345BD4">
            <w:rPr>
              <w:noProof/>
            </w:rPr>
            <w:t>8</w:t>
          </w:r>
          <w:r>
            <w:rPr>
              <w:noProof/>
            </w:rPr>
            <w:fldChar w:fldCharType="end"/>
          </w:r>
        </w:p>
        <w:p w14:paraId="7EFAE049" w14:textId="5E066AE5" w:rsidR="00AD4AA9" w:rsidRDefault="00345BD4" w:rsidP="00DD1467">
          <w:pPr>
            <w:widowControl w:val="0"/>
            <w:tabs>
              <w:tab w:val="right" w:pos="9025"/>
            </w:tabs>
            <w:spacing w:after="0"/>
            <w:ind w:left="360"/>
            <w:rPr>
              <w:noProof/>
              <w:color w:val="000000"/>
            </w:rPr>
          </w:pPr>
          <w:hyperlink w:anchor="_6krrupwjzlsc">
            <w:r>
              <w:rPr>
                <w:noProof/>
                <w:color w:val="000000"/>
              </w:rPr>
              <w:t xml:space="preserve">(c) </w:t>
            </w:r>
            <w:r w:rsidR="00AD4AA9">
              <w:rPr>
                <w:noProof/>
                <w:color w:val="000000"/>
              </w:rPr>
              <w:t>Leadership Theories &amp; Application</w:t>
            </w:r>
            <w:r w:rsidR="00AD4AA9">
              <w:rPr>
                <w:noProof/>
                <w:color w:val="000000"/>
              </w:rPr>
              <w:tab/>
            </w:r>
          </w:hyperlink>
          <w:r w:rsidR="00AD4AA9">
            <w:rPr>
              <w:noProof/>
            </w:rPr>
            <w:fldChar w:fldCharType="begin"/>
          </w:r>
          <w:r w:rsidR="00AD4AA9">
            <w:rPr>
              <w:noProof/>
            </w:rPr>
            <w:instrText xml:space="preserve"> PAGEREF _6krrupwjzlsc \h </w:instrText>
          </w:r>
          <w:r w:rsidR="00AD4AA9">
            <w:rPr>
              <w:noProof/>
            </w:rPr>
          </w:r>
          <w:r w:rsidR="00AD4AA9">
            <w:rPr>
              <w:noProof/>
            </w:rPr>
            <w:fldChar w:fldCharType="separate"/>
          </w:r>
          <w:r>
            <w:rPr>
              <w:noProof/>
            </w:rPr>
            <w:t>8</w:t>
          </w:r>
          <w:r w:rsidR="00AD4AA9">
            <w:rPr>
              <w:noProof/>
            </w:rPr>
            <w:fldChar w:fldCharType="end"/>
          </w:r>
        </w:p>
        <w:p w14:paraId="797B3C57" w14:textId="68D1AF7C" w:rsidR="00AD4AA9" w:rsidRDefault="00AD4AA9" w:rsidP="00DD1467">
          <w:pPr>
            <w:widowControl w:val="0"/>
            <w:tabs>
              <w:tab w:val="right" w:pos="9025"/>
            </w:tabs>
            <w:spacing w:after="0"/>
            <w:ind w:left="720"/>
            <w:rPr>
              <w:noProof/>
              <w:color w:val="000000"/>
            </w:rPr>
          </w:pPr>
          <w:hyperlink w:anchor="_aethrex9w2rk">
            <w:r>
              <w:rPr>
                <w:noProof/>
                <w:color w:val="000000"/>
              </w:rPr>
              <w:t xml:space="preserve"> Transformational Leadership</w:t>
            </w:r>
            <w:r>
              <w:rPr>
                <w:noProof/>
                <w:color w:val="000000"/>
              </w:rPr>
              <w:tab/>
            </w:r>
          </w:hyperlink>
          <w:r>
            <w:rPr>
              <w:noProof/>
            </w:rPr>
            <w:fldChar w:fldCharType="begin"/>
          </w:r>
          <w:r>
            <w:rPr>
              <w:noProof/>
            </w:rPr>
            <w:instrText xml:space="preserve"> PAGEREF _aethrex9w2rk \h </w:instrText>
          </w:r>
          <w:r>
            <w:rPr>
              <w:noProof/>
            </w:rPr>
          </w:r>
          <w:r>
            <w:rPr>
              <w:noProof/>
            </w:rPr>
            <w:fldChar w:fldCharType="separate"/>
          </w:r>
          <w:r w:rsidR="00345BD4">
            <w:rPr>
              <w:noProof/>
            </w:rPr>
            <w:t>8</w:t>
          </w:r>
          <w:r>
            <w:rPr>
              <w:noProof/>
            </w:rPr>
            <w:fldChar w:fldCharType="end"/>
          </w:r>
        </w:p>
        <w:p w14:paraId="07C6BE22" w14:textId="758A6FAF" w:rsidR="00AD4AA9" w:rsidRDefault="00AD4AA9" w:rsidP="00DD1467">
          <w:pPr>
            <w:widowControl w:val="0"/>
            <w:tabs>
              <w:tab w:val="right" w:pos="9025"/>
            </w:tabs>
            <w:spacing w:after="0"/>
            <w:ind w:left="720"/>
            <w:rPr>
              <w:noProof/>
              <w:color w:val="000000"/>
            </w:rPr>
          </w:pPr>
          <w:hyperlink w:anchor="_r74n70othwp9">
            <w:r>
              <w:rPr>
                <w:noProof/>
                <w:color w:val="000000"/>
              </w:rPr>
              <w:t xml:space="preserve"> Transactional Leadership</w:t>
            </w:r>
            <w:r>
              <w:rPr>
                <w:noProof/>
                <w:color w:val="000000"/>
              </w:rPr>
              <w:tab/>
            </w:r>
          </w:hyperlink>
          <w:r>
            <w:rPr>
              <w:noProof/>
            </w:rPr>
            <w:fldChar w:fldCharType="begin"/>
          </w:r>
          <w:r>
            <w:rPr>
              <w:noProof/>
            </w:rPr>
            <w:instrText xml:space="preserve"> PAGEREF _r74n70othwp9 \h </w:instrText>
          </w:r>
          <w:r>
            <w:rPr>
              <w:noProof/>
            </w:rPr>
          </w:r>
          <w:r>
            <w:rPr>
              <w:noProof/>
            </w:rPr>
            <w:fldChar w:fldCharType="separate"/>
          </w:r>
          <w:r w:rsidR="00345BD4">
            <w:rPr>
              <w:noProof/>
            </w:rPr>
            <w:t>9</w:t>
          </w:r>
          <w:r>
            <w:rPr>
              <w:noProof/>
            </w:rPr>
            <w:fldChar w:fldCharType="end"/>
          </w:r>
        </w:p>
        <w:p w14:paraId="6E78E0CF" w14:textId="29ABF0D8" w:rsidR="00AD4AA9" w:rsidRDefault="00AD4AA9" w:rsidP="00DD1467">
          <w:pPr>
            <w:widowControl w:val="0"/>
            <w:tabs>
              <w:tab w:val="right" w:pos="9025"/>
            </w:tabs>
            <w:spacing w:after="0"/>
            <w:ind w:left="720"/>
            <w:rPr>
              <w:noProof/>
              <w:color w:val="000000"/>
            </w:rPr>
          </w:pPr>
          <w:hyperlink w:anchor="_nc149my4t313">
            <w:r>
              <w:rPr>
                <w:noProof/>
                <w:color w:val="000000"/>
              </w:rPr>
              <w:t>Situational Leadership</w:t>
            </w:r>
            <w:r>
              <w:rPr>
                <w:noProof/>
                <w:color w:val="000000"/>
              </w:rPr>
              <w:tab/>
            </w:r>
          </w:hyperlink>
          <w:r>
            <w:rPr>
              <w:noProof/>
            </w:rPr>
            <w:fldChar w:fldCharType="begin"/>
          </w:r>
          <w:r>
            <w:rPr>
              <w:noProof/>
            </w:rPr>
            <w:instrText xml:space="preserve"> PAGEREF _nc149my4t313 \h </w:instrText>
          </w:r>
          <w:r>
            <w:rPr>
              <w:noProof/>
            </w:rPr>
          </w:r>
          <w:r>
            <w:rPr>
              <w:noProof/>
            </w:rPr>
            <w:fldChar w:fldCharType="separate"/>
          </w:r>
          <w:r w:rsidR="00345BD4">
            <w:rPr>
              <w:noProof/>
            </w:rPr>
            <w:t>9</w:t>
          </w:r>
          <w:r>
            <w:rPr>
              <w:noProof/>
            </w:rPr>
            <w:fldChar w:fldCharType="end"/>
          </w:r>
        </w:p>
        <w:p w14:paraId="2E5569D3" w14:textId="6329BB80" w:rsidR="00AD4AA9" w:rsidRDefault="00345BD4" w:rsidP="00DD1467">
          <w:pPr>
            <w:widowControl w:val="0"/>
            <w:tabs>
              <w:tab w:val="right" w:pos="9025"/>
            </w:tabs>
            <w:spacing w:after="0"/>
            <w:ind w:left="360"/>
            <w:rPr>
              <w:noProof/>
              <w:color w:val="000000"/>
            </w:rPr>
          </w:pPr>
          <w:hyperlink w:anchor="_m6jas1tqcy13">
            <w:r>
              <w:rPr>
                <w:noProof/>
                <w:color w:val="000000"/>
              </w:rPr>
              <w:t xml:space="preserve">(d) </w:t>
            </w:r>
            <w:r w:rsidR="00AD4AA9">
              <w:rPr>
                <w:noProof/>
                <w:color w:val="000000"/>
              </w:rPr>
              <w:t>Improvement &amp; Lessons Learned</w:t>
            </w:r>
            <w:r w:rsidR="00AD4AA9">
              <w:rPr>
                <w:noProof/>
                <w:color w:val="000000"/>
              </w:rPr>
              <w:tab/>
            </w:r>
          </w:hyperlink>
          <w:r w:rsidR="00AD4AA9">
            <w:rPr>
              <w:noProof/>
            </w:rPr>
            <w:fldChar w:fldCharType="begin"/>
          </w:r>
          <w:r w:rsidR="00AD4AA9">
            <w:rPr>
              <w:noProof/>
            </w:rPr>
            <w:instrText xml:space="preserve"> PAGEREF _m6jas1tqcy13 \h </w:instrText>
          </w:r>
          <w:r w:rsidR="00AD4AA9">
            <w:rPr>
              <w:noProof/>
            </w:rPr>
          </w:r>
          <w:r w:rsidR="00AD4AA9">
            <w:rPr>
              <w:noProof/>
            </w:rPr>
            <w:fldChar w:fldCharType="separate"/>
          </w:r>
          <w:r>
            <w:rPr>
              <w:noProof/>
            </w:rPr>
            <w:t>11</w:t>
          </w:r>
          <w:r w:rsidR="00AD4AA9">
            <w:rPr>
              <w:noProof/>
            </w:rPr>
            <w:fldChar w:fldCharType="end"/>
          </w:r>
        </w:p>
        <w:p w14:paraId="1DC98A9D" w14:textId="0CD45894" w:rsidR="00AD4AA9" w:rsidRDefault="00AD4AA9" w:rsidP="00DD1467">
          <w:pPr>
            <w:widowControl w:val="0"/>
            <w:tabs>
              <w:tab w:val="right" w:pos="9025"/>
            </w:tabs>
            <w:spacing w:after="0"/>
            <w:ind w:left="720"/>
            <w:rPr>
              <w:noProof/>
              <w:color w:val="000000"/>
            </w:rPr>
          </w:pPr>
          <w:hyperlink w:anchor="_1p3ppb6bf8z">
            <w:r>
              <w:rPr>
                <w:noProof/>
                <w:color w:val="000000"/>
              </w:rPr>
              <w:t xml:space="preserve"> Leadership &amp; Governance Interaction</w:t>
            </w:r>
            <w:r>
              <w:rPr>
                <w:noProof/>
                <w:color w:val="000000"/>
              </w:rPr>
              <w:tab/>
            </w:r>
          </w:hyperlink>
          <w:r>
            <w:rPr>
              <w:noProof/>
            </w:rPr>
            <w:fldChar w:fldCharType="begin"/>
          </w:r>
          <w:r>
            <w:rPr>
              <w:noProof/>
            </w:rPr>
            <w:instrText xml:space="preserve"> PAGEREF _1p3ppb6bf8z \h </w:instrText>
          </w:r>
          <w:r>
            <w:rPr>
              <w:noProof/>
            </w:rPr>
          </w:r>
          <w:r>
            <w:rPr>
              <w:noProof/>
            </w:rPr>
            <w:fldChar w:fldCharType="separate"/>
          </w:r>
          <w:r w:rsidR="00345BD4">
            <w:rPr>
              <w:noProof/>
            </w:rPr>
            <w:t>11</w:t>
          </w:r>
          <w:r>
            <w:rPr>
              <w:noProof/>
            </w:rPr>
            <w:fldChar w:fldCharType="end"/>
          </w:r>
        </w:p>
        <w:p w14:paraId="57D75D09" w14:textId="1C5FC15F" w:rsidR="00AD4AA9" w:rsidRDefault="00AD4AA9" w:rsidP="00DD1467">
          <w:pPr>
            <w:widowControl w:val="0"/>
            <w:tabs>
              <w:tab w:val="right" w:pos="9025"/>
            </w:tabs>
            <w:spacing w:after="0"/>
            <w:ind w:left="720"/>
            <w:rPr>
              <w:noProof/>
              <w:color w:val="000000"/>
            </w:rPr>
          </w:pPr>
          <w:hyperlink w:anchor="_qtcy5onbfd6i">
            <w:r>
              <w:rPr>
                <w:noProof/>
                <w:color w:val="000000"/>
              </w:rPr>
              <w:t xml:space="preserve"> Key Problems &amp; Improvement Strategies</w:t>
            </w:r>
            <w:r>
              <w:rPr>
                <w:noProof/>
                <w:color w:val="000000"/>
              </w:rPr>
              <w:tab/>
            </w:r>
          </w:hyperlink>
          <w:r>
            <w:rPr>
              <w:noProof/>
            </w:rPr>
            <w:fldChar w:fldCharType="begin"/>
          </w:r>
          <w:r>
            <w:rPr>
              <w:noProof/>
            </w:rPr>
            <w:instrText xml:space="preserve"> PAGEREF _qtcy5onbfd6i \h </w:instrText>
          </w:r>
          <w:r>
            <w:rPr>
              <w:noProof/>
            </w:rPr>
          </w:r>
          <w:r>
            <w:rPr>
              <w:noProof/>
            </w:rPr>
            <w:fldChar w:fldCharType="separate"/>
          </w:r>
          <w:r w:rsidR="00345BD4">
            <w:rPr>
              <w:noProof/>
            </w:rPr>
            <w:t>11</w:t>
          </w:r>
          <w:r>
            <w:rPr>
              <w:noProof/>
            </w:rPr>
            <w:fldChar w:fldCharType="end"/>
          </w:r>
        </w:p>
        <w:p w14:paraId="7C18FE5A" w14:textId="0EE13680" w:rsidR="00AD4AA9" w:rsidRDefault="00AD4AA9" w:rsidP="00DD1467">
          <w:pPr>
            <w:widowControl w:val="0"/>
            <w:tabs>
              <w:tab w:val="right" w:pos="9025"/>
            </w:tabs>
            <w:spacing w:after="0"/>
            <w:ind w:left="720"/>
            <w:rPr>
              <w:noProof/>
              <w:color w:val="000000"/>
            </w:rPr>
          </w:pPr>
          <w:hyperlink w:anchor="_2hoxpu36cqm9">
            <w:r>
              <w:rPr>
                <w:noProof/>
                <w:color w:val="000000"/>
              </w:rPr>
              <w:t>Integrated Learning</w:t>
            </w:r>
            <w:r>
              <w:rPr>
                <w:noProof/>
                <w:color w:val="000000"/>
              </w:rPr>
              <w:tab/>
            </w:r>
          </w:hyperlink>
          <w:r>
            <w:rPr>
              <w:noProof/>
            </w:rPr>
            <w:fldChar w:fldCharType="begin"/>
          </w:r>
          <w:r>
            <w:rPr>
              <w:noProof/>
            </w:rPr>
            <w:instrText xml:space="preserve"> PAGEREF _2hoxpu36cqm9 \h </w:instrText>
          </w:r>
          <w:r>
            <w:rPr>
              <w:noProof/>
            </w:rPr>
          </w:r>
          <w:r>
            <w:rPr>
              <w:noProof/>
            </w:rPr>
            <w:fldChar w:fldCharType="separate"/>
          </w:r>
          <w:r w:rsidR="00345BD4">
            <w:rPr>
              <w:noProof/>
            </w:rPr>
            <w:t>13</w:t>
          </w:r>
          <w:r>
            <w:rPr>
              <w:noProof/>
            </w:rPr>
            <w:fldChar w:fldCharType="end"/>
          </w:r>
        </w:p>
        <w:p w14:paraId="65E2CBF6" w14:textId="4A79338F" w:rsidR="00AD4AA9" w:rsidRDefault="00AD4AA9" w:rsidP="00DD1467">
          <w:pPr>
            <w:widowControl w:val="0"/>
            <w:tabs>
              <w:tab w:val="right" w:pos="9025"/>
            </w:tabs>
            <w:spacing w:after="0"/>
            <w:rPr>
              <w:noProof/>
              <w:color w:val="000000"/>
            </w:rPr>
          </w:pPr>
          <w:hyperlink w:anchor="_v1r6czivj3b9">
            <w:r>
              <w:rPr>
                <w:noProof/>
                <w:color w:val="000000"/>
              </w:rPr>
              <w:t>3. Recommendation</w:t>
            </w:r>
            <w:r>
              <w:rPr>
                <w:noProof/>
                <w:color w:val="000000"/>
              </w:rPr>
              <w:tab/>
            </w:r>
          </w:hyperlink>
          <w:r>
            <w:rPr>
              <w:noProof/>
            </w:rPr>
            <w:fldChar w:fldCharType="begin"/>
          </w:r>
          <w:r>
            <w:rPr>
              <w:noProof/>
            </w:rPr>
            <w:instrText xml:space="preserve"> PAGEREF _v1r6czivj3b9 \h </w:instrText>
          </w:r>
          <w:r>
            <w:rPr>
              <w:noProof/>
            </w:rPr>
          </w:r>
          <w:r>
            <w:rPr>
              <w:noProof/>
            </w:rPr>
            <w:fldChar w:fldCharType="separate"/>
          </w:r>
          <w:r w:rsidR="00345BD4">
            <w:rPr>
              <w:noProof/>
            </w:rPr>
            <w:t>13</w:t>
          </w:r>
          <w:r>
            <w:rPr>
              <w:noProof/>
            </w:rPr>
            <w:fldChar w:fldCharType="end"/>
          </w:r>
        </w:p>
        <w:p w14:paraId="48B79394" w14:textId="4BCD4F0A" w:rsidR="00AD4AA9" w:rsidRDefault="00AD4AA9" w:rsidP="00DD1467">
          <w:pPr>
            <w:widowControl w:val="0"/>
            <w:tabs>
              <w:tab w:val="right" w:pos="9025"/>
            </w:tabs>
            <w:spacing w:after="0"/>
            <w:ind w:left="360"/>
            <w:rPr>
              <w:noProof/>
              <w:color w:val="000000"/>
            </w:rPr>
          </w:pPr>
          <w:hyperlink w:anchor="_lqw1w5ejgwxy">
            <w:r>
              <w:rPr>
                <w:noProof/>
                <w:color w:val="000000"/>
              </w:rPr>
              <w:t xml:space="preserve"> Strategic Actions: Strengthening RED Drug Governance and Electronic Prescribing</w:t>
            </w:r>
            <w:r>
              <w:rPr>
                <w:noProof/>
                <w:color w:val="000000"/>
              </w:rPr>
              <w:tab/>
            </w:r>
          </w:hyperlink>
          <w:r>
            <w:rPr>
              <w:noProof/>
            </w:rPr>
            <w:fldChar w:fldCharType="begin"/>
          </w:r>
          <w:r>
            <w:rPr>
              <w:noProof/>
            </w:rPr>
            <w:instrText xml:space="preserve"> PAGEREF _lqw1w5ejgwxy \h </w:instrText>
          </w:r>
          <w:r>
            <w:rPr>
              <w:noProof/>
            </w:rPr>
          </w:r>
          <w:r>
            <w:rPr>
              <w:noProof/>
            </w:rPr>
            <w:fldChar w:fldCharType="separate"/>
          </w:r>
          <w:r w:rsidR="00345BD4">
            <w:rPr>
              <w:noProof/>
            </w:rPr>
            <w:t>13</w:t>
          </w:r>
          <w:r>
            <w:rPr>
              <w:noProof/>
            </w:rPr>
            <w:fldChar w:fldCharType="end"/>
          </w:r>
        </w:p>
        <w:p w14:paraId="45A56E3B" w14:textId="2F5C7F83" w:rsidR="00AD4AA9" w:rsidRDefault="00AD4AA9" w:rsidP="00DD1467">
          <w:pPr>
            <w:widowControl w:val="0"/>
            <w:tabs>
              <w:tab w:val="right" w:pos="9025"/>
            </w:tabs>
            <w:spacing w:after="0"/>
            <w:ind w:left="360"/>
            <w:rPr>
              <w:noProof/>
              <w:color w:val="000000"/>
            </w:rPr>
          </w:pPr>
          <w:hyperlink w:anchor="_4jkc95bice9l">
            <w:r>
              <w:rPr>
                <w:noProof/>
                <w:color w:val="000000"/>
              </w:rPr>
              <w:t xml:space="preserve"> Leadership Recommendations: Transformational and Situational Leadership</w:t>
            </w:r>
            <w:r>
              <w:rPr>
                <w:noProof/>
                <w:color w:val="000000"/>
              </w:rPr>
              <w:tab/>
            </w:r>
          </w:hyperlink>
          <w:r>
            <w:rPr>
              <w:noProof/>
            </w:rPr>
            <w:fldChar w:fldCharType="begin"/>
          </w:r>
          <w:r>
            <w:rPr>
              <w:noProof/>
            </w:rPr>
            <w:instrText xml:space="preserve"> PAGEREF _4jkc95bice9l \h </w:instrText>
          </w:r>
          <w:r>
            <w:rPr>
              <w:noProof/>
            </w:rPr>
          </w:r>
          <w:r>
            <w:rPr>
              <w:noProof/>
            </w:rPr>
            <w:fldChar w:fldCharType="separate"/>
          </w:r>
          <w:r w:rsidR="00345BD4">
            <w:rPr>
              <w:noProof/>
            </w:rPr>
            <w:t>13</w:t>
          </w:r>
          <w:r>
            <w:rPr>
              <w:noProof/>
            </w:rPr>
            <w:fldChar w:fldCharType="end"/>
          </w:r>
        </w:p>
        <w:p w14:paraId="7682A2A0" w14:textId="4C6E1255" w:rsidR="00AD4AA9" w:rsidRDefault="00AD4AA9" w:rsidP="00DD1467">
          <w:pPr>
            <w:widowControl w:val="0"/>
            <w:tabs>
              <w:tab w:val="right" w:pos="9025"/>
            </w:tabs>
            <w:spacing w:after="0"/>
            <w:ind w:left="360"/>
            <w:rPr>
              <w:noProof/>
              <w:color w:val="000000"/>
            </w:rPr>
          </w:pPr>
          <w:hyperlink w:anchor="_7616ah6q0eoz">
            <w:r>
              <w:rPr>
                <w:noProof/>
                <w:color w:val="000000"/>
              </w:rPr>
              <w:t xml:space="preserve"> Governance &amp; Communication: Strengthening Inter-professional Coordination</w:t>
            </w:r>
            <w:r>
              <w:rPr>
                <w:noProof/>
                <w:color w:val="000000"/>
              </w:rPr>
              <w:tab/>
            </w:r>
          </w:hyperlink>
          <w:r>
            <w:rPr>
              <w:noProof/>
            </w:rPr>
            <w:fldChar w:fldCharType="begin"/>
          </w:r>
          <w:r>
            <w:rPr>
              <w:noProof/>
            </w:rPr>
            <w:instrText xml:space="preserve"> PAGEREF _7616ah6q0eoz \h </w:instrText>
          </w:r>
          <w:r>
            <w:rPr>
              <w:noProof/>
            </w:rPr>
          </w:r>
          <w:r>
            <w:rPr>
              <w:noProof/>
            </w:rPr>
            <w:fldChar w:fldCharType="separate"/>
          </w:r>
          <w:r w:rsidR="00345BD4">
            <w:rPr>
              <w:noProof/>
            </w:rPr>
            <w:t>14</w:t>
          </w:r>
          <w:r>
            <w:rPr>
              <w:noProof/>
            </w:rPr>
            <w:fldChar w:fldCharType="end"/>
          </w:r>
        </w:p>
        <w:p w14:paraId="0CA5C220" w14:textId="511B924B" w:rsidR="00AD4AA9" w:rsidRDefault="00AD4AA9" w:rsidP="00DD1467">
          <w:pPr>
            <w:widowControl w:val="0"/>
            <w:tabs>
              <w:tab w:val="right" w:pos="9025"/>
            </w:tabs>
            <w:spacing w:after="0"/>
            <w:ind w:left="360"/>
            <w:rPr>
              <w:noProof/>
              <w:color w:val="000000"/>
            </w:rPr>
          </w:pPr>
          <w:hyperlink w:anchor="_vzkv79s2c27q">
            <w:r>
              <w:rPr>
                <w:noProof/>
                <w:color w:val="000000"/>
              </w:rPr>
              <w:t xml:space="preserve"> Efficiency &amp; Continuous Learning: Digital Systems and Feedback Integration</w:t>
            </w:r>
            <w:r>
              <w:rPr>
                <w:noProof/>
                <w:color w:val="000000"/>
              </w:rPr>
              <w:tab/>
            </w:r>
          </w:hyperlink>
          <w:r>
            <w:rPr>
              <w:noProof/>
            </w:rPr>
            <w:fldChar w:fldCharType="begin"/>
          </w:r>
          <w:r>
            <w:rPr>
              <w:noProof/>
            </w:rPr>
            <w:instrText xml:space="preserve"> PAGEREF _vzkv79s2c27q \h </w:instrText>
          </w:r>
          <w:r>
            <w:rPr>
              <w:noProof/>
            </w:rPr>
          </w:r>
          <w:r>
            <w:rPr>
              <w:noProof/>
            </w:rPr>
            <w:fldChar w:fldCharType="separate"/>
          </w:r>
          <w:r w:rsidR="00345BD4">
            <w:rPr>
              <w:noProof/>
            </w:rPr>
            <w:t>14</w:t>
          </w:r>
          <w:r>
            <w:rPr>
              <w:noProof/>
            </w:rPr>
            <w:fldChar w:fldCharType="end"/>
          </w:r>
        </w:p>
        <w:p w14:paraId="4E14EB9D" w14:textId="41AB40F1" w:rsidR="00AD4AA9" w:rsidRDefault="00AD4AA9" w:rsidP="00DD1467">
          <w:pPr>
            <w:widowControl w:val="0"/>
            <w:tabs>
              <w:tab w:val="right" w:pos="9025"/>
            </w:tabs>
            <w:spacing w:after="0"/>
            <w:rPr>
              <w:noProof/>
              <w:color w:val="000000"/>
            </w:rPr>
          </w:pPr>
          <w:hyperlink w:anchor="_f7muc7mluhzx">
            <w:r>
              <w:rPr>
                <w:noProof/>
                <w:color w:val="000000"/>
              </w:rPr>
              <w:t>4. Conclusion</w:t>
            </w:r>
            <w:r>
              <w:rPr>
                <w:noProof/>
                <w:color w:val="000000"/>
              </w:rPr>
              <w:tab/>
            </w:r>
          </w:hyperlink>
          <w:r>
            <w:rPr>
              <w:noProof/>
            </w:rPr>
            <w:fldChar w:fldCharType="begin"/>
          </w:r>
          <w:r>
            <w:rPr>
              <w:noProof/>
            </w:rPr>
            <w:instrText xml:space="preserve"> PAGEREF _f7muc7mluhzx \h </w:instrText>
          </w:r>
          <w:r>
            <w:rPr>
              <w:noProof/>
            </w:rPr>
          </w:r>
          <w:r>
            <w:rPr>
              <w:noProof/>
            </w:rPr>
            <w:fldChar w:fldCharType="separate"/>
          </w:r>
          <w:r w:rsidR="00345BD4">
            <w:rPr>
              <w:noProof/>
            </w:rPr>
            <w:t>15</w:t>
          </w:r>
          <w:r>
            <w:rPr>
              <w:noProof/>
            </w:rPr>
            <w:fldChar w:fldCharType="end"/>
          </w:r>
        </w:p>
        <w:p w14:paraId="139FC366" w14:textId="0915F62E" w:rsidR="00AD4AA9" w:rsidRDefault="00AD4AA9" w:rsidP="00DD1467">
          <w:pPr>
            <w:widowControl w:val="0"/>
            <w:tabs>
              <w:tab w:val="right" w:pos="9025"/>
            </w:tabs>
            <w:spacing w:after="0"/>
            <w:rPr>
              <w:color w:val="000000"/>
            </w:rPr>
          </w:pPr>
          <w:hyperlink w:anchor="_fgkiwtejimcz">
            <w:r>
              <w:rPr>
                <w:noProof/>
                <w:color w:val="000000"/>
              </w:rPr>
              <w:t>References</w:t>
            </w:r>
            <w:r>
              <w:rPr>
                <w:noProof/>
                <w:color w:val="000000"/>
              </w:rPr>
              <w:tab/>
            </w:r>
          </w:hyperlink>
          <w:r>
            <w:rPr>
              <w:noProof/>
            </w:rPr>
            <w:fldChar w:fldCharType="begin"/>
          </w:r>
          <w:r>
            <w:rPr>
              <w:noProof/>
            </w:rPr>
            <w:instrText xml:space="preserve"> PAGEREF _fgkiwtejimcz \h </w:instrText>
          </w:r>
          <w:r>
            <w:rPr>
              <w:noProof/>
            </w:rPr>
          </w:r>
          <w:r>
            <w:rPr>
              <w:noProof/>
            </w:rPr>
            <w:fldChar w:fldCharType="separate"/>
          </w:r>
          <w:r w:rsidR="00345BD4">
            <w:rPr>
              <w:noProof/>
            </w:rPr>
            <w:t>16</w:t>
          </w:r>
          <w:r>
            <w:rPr>
              <w:noProof/>
            </w:rPr>
            <w:fldChar w:fldCharType="end"/>
          </w:r>
          <w:r>
            <w:fldChar w:fldCharType="end"/>
          </w:r>
        </w:p>
      </w:sdtContent>
    </w:sdt>
    <w:p w14:paraId="7317DFF7" w14:textId="77777777" w:rsidR="00AD4AA9" w:rsidRDefault="00352164">
      <w:r>
        <w:br w:type="page"/>
      </w:r>
    </w:p>
    <w:p w14:paraId="75F8049B" w14:textId="77777777" w:rsidR="00AD4AA9" w:rsidRDefault="00352164">
      <w:pPr>
        <w:pStyle w:val="Heading1"/>
      </w:pPr>
      <w:bookmarkStart w:id="0" w:name="_wlqvbehhtp5j" w:colFirst="0" w:colLast="0"/>
      <w:bookmarkEnd w:id="0"/>
      <w:r>
        <w:lastRenderedPageBreak/>
        <w:t>1. Introduction</w:t>
      </w:r>
    </w:p>
    <w:p w14:paraId="46D5B481" w14:textId="44F50A4D" w:rsidR="00AD4AA9" w:rsidRDefault="00352164">
      <w:pPr>
        <w:spacing w:before="240" w:after="240"/>
      </w:pPr>
      <w:r>
        <w:t>The purpose of this report is to critically analyse a patient safety event through leadership theories, governance structures, and systems thinking to determine how systems have failed and suggestions that can be made to enhance safer healthcare delivery. The chosen case study is the</w:t>
      </w:r>
      <w:r>
        <w:rPr>
          <w:i/>
          <w:iCs/>
        </w:rPr>
        <w:t xml:space="preserve"> Infant Morphine Overdose</w:t>
      </w:r>
      <w:r>
        <w:t xml:space="preserve">, which presents a case of a patient, a 4-week-old kid, who presented to the Accident and Emergency department due to an overdose of morphine sulphate that was given to the baby, which was twenty times higher than intended. The mistake was to administer a 10mg/ 5ml oral solution instead of the required 100 micrograms/ ml drug, which is a RED drug, only prescribed in secondary care. </w:t>
      </w:r>
      <w:r w:rsidR="00C361C6">
        <w:t>T</w:t>
      </w:r>
      <w:r w:rsidR="00C361C6" w:rsidRPr="00C361C6">
        <w:t>his error highlights the risks associated with high-alert medications, particularly in paediatric settings where dosing precision is critical.</w:t>
      </w:r>
      <w:r w:rsidR="00C361C6">
        <w:t xml:space="preserve"> </w:t>
      </w:r>
      <w:r>
        <w:t>This case was due to concerns in hospital sending, GP prescriptions, pharmacy dispensing, and child administration</w:t>
      </w:r>
      <w:r w:rsidR="003C727A">
        <w:t>. This has been</w:t>
      </w:r>
      <w:r>
        <w:t xml:space="preserve"> representative of similar prevalent cases, as at least five cases have been reported since 2018, and one case has resulted in a fatality.</w:t>
      </w:r>
    </w:p>
    <w:p w14:paraId="0F7A9EFE" w14:textId="0F9B07C1" w:rsidR="00AD4AA9" w:rsidRDefault="00352164">
      <w:pPr>
        <w:spacing w:before="240" w:after="240"/>
      </w:pPr>
      <w:r>
        <w:t xml:space="preserve">Health and social care leadership can be described as the skill of influencing individuals and multidisciplinary teams to aid and attain collective goals, especially with regard to providing safe, effective and patient-centred care. It entails orchestrating complex care, the ability to make informed decisions in the face of uncertainty, and accountability across the system. </w:t>
      </w:r>
      <w:r w:rsidR="00C361C6" w:rsidRPr="00C361C6">
        <w:t>n high-risk clinical environments, effective leadership also involves anticipating potential failures and proactively mitigating risks.</w:t>
      </w:r>
      <w:r w:rsidR="00C361C6">
        <w:t xml:space="preserve"> </w:t>
      </w:r>
      <w:r>
        <w:t>Healthcare delivery follows both the centralised approach, in the form of national policies, as well as the RED drug classification, and possesses a decentralised approach, in which GPs and pharmacists are led by clinical autonomy. Although centralisation is good in aiding in standardisation and safety control, decentralisation leads to flexibility, although risk is high in cases where there is weak coordination.</w:t>
      </w:r>
    </w:p>
    <w:p w14:paraId="6E323FDA" w14:textId="77777777" w:rsidR="00AD4AA9" w:rsidRDefault="00352164">
      <w:pPr>
        <w:spacing w:before="240" w:after="240"/>
      </w:pPr>
      <w:r>
        <w:t>Various significant theories of leadership offer a guide in analysing this case. Transformational, transactional, and situational leadership styles encourage vision sharing and communication, rules and protocols enforcement, and adaptation to complex situations, respectively. High-risk situations are situations where the lack of effective leadership can cause great damage due to failures in communication, coordination, and decision-making. Therefore, in this report, the systems thinking will be used to analyse the problem, the role of governance and leadership. Lastly, it will provide the solution with evidence-based improvement strategies to enhance patient safety.</w:t>
      </w:r>
    </w:p>
    <w:p w14:paraId="18C87646" w14:textId="77777777" w:rsidR="00AD4AA9" w:rsidRDefault="00352164">
      <w:pPr>
        <w:pStyle w:val="Heading1"/>
      </w:pPr>
      <w:bookmarkStart w:id="1" w:name="_dsafcdj2e21l" w:colFirst="0" w:colLast="0"/>
      <w:bookmarkEnd w:id="1"/>
      <w:r>
        <w:lastRenderedPageBreak/>
        <w:t>2. Main Body and Analysis</w:t>
      </w:r>
    </w:p>
    <w:p w14:paraId="5D6E1A71" w14:textId="6BED774E" w:rsidR="00AD4AA9" w:rsidRDefault="00345BD4">
      <w:pPr>
        <w:pStyle w:val="Heading2"/>
      </w:pPr>
      <w:bookmarkStart w:id="2" w:name="_jzkqc3uhmqnc" w:colFirst="0" w:colLast="0"/>
      <w:bookmarkEnd w:id="2"/>
      <w:r>
        <w:t xml:space="preserve">(a) </w:t>
      </w:r>
      <w:r w:rsidR="00352164">
        <w:t>Identifying the Problem &amp; System Context</w:t>
      </w:r>
    </w:p>
    <w:p w14:paraId="63F95809" w14:textId="3A9A1346" w:rsidR="00AD4AA9" w:rsidRDefault="00352164">
      <w:pPr>
        <w:pStyle w:val="Heading3"/>
      </w:pPr>
      <w:bookmarkStart w:id="3" w:name="_cyv1e8c4cro" w:colFirst="0" w:colLast="0"/>
      <w:bookmarkEnd w:id="3"/>
      <w:r>
        <w:t xml:space="preserve"> Problem Description</w:t>
      </w:r>
    </w:p>
    <w:p w14:paraId="6FB33C31" w14:textId="77777777" w:rsidR="00AD4AA9" w:rsidRDefault="00352164">
      <w:r>
        <w:t>The focal issue in the case study is a critical case of overdose medication due to a failure at the system level and several layers of healthcare provision. The child under consideration (a 4-week-old infant) was given about 20 times the dose of morphine sulphate that was supposed to be given because the administered dose of morphine involved an oral solution of 10mg/5ml rather than an oral solution of 100 micrograms/ml. The wrong translation of the prescribed dose of 190 micrograms to a much greater dose of 3.8mg was made. The root cause of this error was related to the lack of clarity during discharge communication, the prescribing of an incorrect drug (RED drug) in the primary care, and the dispensing and counselling procedures. The case in point is a good example of how communication malfunctions and a shortage of precautions may result in severe patient injuries.</w:t>
      </w:r>
    </w:p>
    <w:p w14:paraId="4A19055B" w14:textId="0F10B1F9" w:rsidR="00AD4AA9" w:rsidRDefault="00352164">
      <w:pPr>
        <w:pStyle w:val="Heading3"/>
      </w:pPr>
      <w:bookmarkStart w:id="4" w:name="_moj412awa4vj" w:colFirst="0" w:colLast="0"/>
      <w:bookmarkEnd w:id="4"/>
      <w:r>
        <w:t xml:space="preserve"> Global Context</w:t>
      </w:r>
    </w:p>
    <w:p w14:paraId="3CEF6114" w14:textId="77777777" w:rsidR="00AD4AA9" w:rsidRDefault="00352164">
      <w:r>
        <w:t>The international picture of medication errors shows that the problem identified in this case study is a relatively common and critical issue in patient safety. The World Health Organization (WHO) claims that medication errors are a major cause of preventable harm the world over, as they cause millions of patients annually and lead to massive morbidity and mortality. These errors are estimated to cost the world about $42 billion per year, which represents nearly 1% of the global health spending (World Health Organization, 2017). Moreover, every 30 patients experience medication-related harm, and a considerable percentage of them is severe or life-threatening (World Health Organization, 2023). Women who are at high risk, especially those in paediatric age, are more susceptible because of weight-dependent dosing complications and formulation differences as witnessed here. This proves that drug safety errors are global and systemic.</w:t>
      </w:r>
    </w:p>
    <w:p w14:paraId="466C211E" w14:textId="2C26C38A" w:rsidR="00AD4AA9" w:rsidRDefault="00352164">
      <w:pPr>
        <w:pStyle w:val="Heading3"/>
      </w:pPr>
      <w:bookmarkStart w:id="5" w:name="_xbg3sp3hk7mm" w:colFirst="0" w:colLast="0"/>
      <w:bookmarkEnd w:id="5"/>
      <w:r>
        <w:t>National Context</w:t>
      </w:r>
    </w:p>
    <w:p w14:paraId="3D3F6878" w14:textId="668E564B" w:rsidR="00AD4AA9" w:rsidRDefault="00352164">
      <w:pPr>
        <w:spacing w:before="240" w:after="240"/>
      </w:pPr>
      <w:r>
        <w:t xml:space="preserve">The relevance of this case study can be further supported by the national context in the NHS, which proves that medication errors represent a critical yet chronic patient safety issue. In England, it is estimated that there are 237 million medication errors every year throughout the medication pathway, such as prescribing, dispensing, administration, and monitoring processes (BMJ, 2025). Among them, there are about 66 million, which can be deemed potentially clinically significant, of which errors, such as prescribing and dispensing, are </w:t>
      </w:r>
      <w:r>
        <w:lastRenderedPageBreak/>
        <w:t xml:space="preserve">estimated at 21% and 16%, respectively (Elliott </w:t>
      </w:r>
      <w:r w:rsidR="003C727A" w:rsidRPr="003C727A">
        <w:rPr>
          <w:i/>
          <w:iCs/>
        </w:rPr>
        <w:t>et al.,</w:t>
      </w:r>
      <w:r>
        <w:t xml:space="preserve"> 2021). In addition, the mistakes lead to 1,700 deaths a year and BNHS expends approximately £98 million a year (BMJ, 2025). It is especially true in the case of paediatric patients, as evidence that analysed the medication prescriptions given to children revealed that up to 13% of those prescriptions are incorrect (HSSIB, 2021). This fact demonstrates that medication errors in the NHS are systemic and disproportionately impact high-risk groups, including babies.</w:t>
      </w:r>
    </w:p>
    <w:p w14:paraId="4497A500" w14:textId="2925234E" w:rsidR="00AD4AA9" w:rsidRDefault="00352164">
      <w:pPr>
        <w:pStyle w:val="Heading3"/>
      </w:pPr>
      <w:bookmarkStart w:id="6" w:name="_g9zync2ktlny" w:colFirst="0" w:colLast="0"/>
      <w:bookmarkEnd w:id="6"/>
      <w:r>
        <w:t xml:space="preserve"> Organisational/National Body Context</w:t>
      </w:r>
    </w:p>
    <w:p w14:paraId="08A1CFF0" w14:textId="5308C8F9" w:rsidR="00AD4AA9" w:rsidRDefault="00352164">
      <w:r>
        <w:t xml:space="preserve">Organisational and national patient safety reports contribute to the idea that medication errors are often based on a lack of communication and care transitions, which are the core issues in this case. According to Redmond </w:t>
      </w:r>
      <w:r w:rsidR="003C727A" w:rsidRPr="003C727A">
        <w:rPr>
          <w:i/>
          <w:iCs/>
        </w:rPr>
        <w:t>et al.</w:t>
      </w:r>
      <w:r>
        <w:t xml:space="preserve"> (2019), an estimated over 40% of medication errors happen during any type of transition that takes place during the discharge of a patient from the hospital to primary care, since the medication reconciliation and transfer of information is highly poor. Moreover, </w:t>
      </w:r>
      <w:proofErr w:type="spellStart"/>
      <w:r>
        <w:t>Mutschling</w:t>
      </w:r>
      <w:proofErr w:type="spellEnd"/>
      <w:r>
        <w:t xml:space="preserve"> </w:t>
      </w:r>
      <w:r w:rsidR="003C727A" w:rsidRPr="003C727A">
        <w:rPr>
          <w:i/>
          <w:iCs/>
        </w:rPr>
        <w:t>et al.</w:t>
      </w:r>
      <w:r>
        <w:t xml:space="preserve"> (2018) demonstrate that the adverse events are influenced by the breakdown of communication, especially in clinical handovers, whereas inappropriate communication is implicated in more than 60% of severe cases in hospitals. These results reflect the case directly, as the deficiencies in discharge communication, interaction with GPs, and patient counselling caused harm. Thus, the case reflects a good example of how ineffective communication and unsafe care transitions can continue to pose system-wide risks in healthcare delivery.</w:t>
      </w:r>
    </w:p>
    <w:p w14:paraId="42B2E2FC" w14:textId="790EDAF0" w:rsidR="00AD4AA9" w:rsidRDefault="00352164">
      <w:pPr>
        <w:pStyle w:val="Heading3"/>
      </w:pPr>
      <w:bookmarkStart w:id="7" w:name="_7aatn6k06yk4" w:colFirst="0" w:colLast="0"/>
      <w:bookmarkEnd w:id="7"/>
      <w:r>
        <w:t>Systems Thinking and Governance Analysis</w:t>
      </w:r>
    </w:p>
    <w:p w14:paraId="63BAAB3F" w14:textId="57BDD561" w:rsidR="00AD4AA9" w:rsidRDefault="00352164">
      <w:r>
        <w:t>A systems thinking approach emphasises the fact that the healthcare system is a network of actors, processes, and decisions, with the failure in one part able to spread throughout the system. The medication error in this instance was caused by interdependent phases with discharge of the patient by the hospital, prescribing done by the GP, dispensing done by the community pharmacy and the administration done by parents, thus there are high system dependencies. There were a few feedback loops, though they failed to function because the query related to dosage presented by the pharmacy was not enhanced by direct-clinician-to-clinician communication, which would have resulted in the error being abated. Cascading failures of this type relate closely to the systems theory, which suggests that latent conditions and active failures can interact to create harm (</w:t>
      </w:r>
      <w:proofErr w:type="spellStart"/>
      <w:r>
        <w:t>Elbasheer</w:t>
      </w:r>
      <w:proofErr w:type="spellEnd"/>
      <w:r>
        <w:t xml:space="preserve"> </w:t>
      </w:r>
      <w:r w:rsidR="003C727A" w:rsidRPr="003C727A">
        <w:rPr>
          <w:i/>
          <w:iCs/>
        </w:rPr>
        <w:t>et al.,</w:t>
      </w:r>
      <w:r>
        <w:t xml:space="preserve"> 2026). There was governance at various levels, including local (Trust) and regional (Integrated Care Board), as well as national (NHS policies), but there was no proper protection of restrictions on the use of the RED drug. This is an example of how ineffective system integration and governance oversight can significantly increase risks to patient safety.</w:t>
      </w:r>
    </w:p>
    <w:p w14:paraId="0B487797" w14:textId="0BDE1742" w:rsidR="00AD4AA9" w:rsidRDefault="00352164">
      <w:pPr>
        <w:pStyle w:val="Heading3"/>
      </w:pPr>
      <w:bookmarkStart w:id="8" w:name="_qzm561etp43j" w:colFirst="0" w:colLast="0"/>
      <w:bookmarkEnd w:id="8"/>
      <w:r>
        <w:lastRenderedPageBreak/>
        <w:t>Underlying Challenges</w:t>
      </w:r>
    </w:p>
    <w:p w14:paraId="76209E50" w14:textId="77777777" w:rsidR="00AD4AA9" w:rsidRDefault="00352164">
      <w:pPr>
        <w:numPr>
          <w:ilvl w:val="0"/>
          <w:numId w:val="2"/>
        </w:numPr>
      </w:pPr>
      <w:r>
        <w:rPr>
          <w:b/>
          <w:bCs/>
        </w:rPr>
        <w:t>Limited Awareness of Special Formulations</w:t>
      </w:r>
      <w:r>
        <w:t>: Healthcare professionals, such as the GP and community pharmacists, were not aware that Morphine 100 micrograms/ml existed as a special product, and thus made the wrong prescribing and dispensing choices.</w:t>
      </w:r>
    </w:p>
    <w:p w14:paraId="5C6667AF" w14:textId="77777777" w:rsidR="00AD4AA9" w:rsidRDefault="00352164">
      <w:pPr>
        <w:numPr>
          <w:ilvl w:val="0"/>
          <w:numId w:val="2"/>
        </w:numPr>
      </w:pPr>
      <w:r>
        <w:rPr>
          <w:b/>
          <w:bCs/>
        </w:rPr>
        <w:t>Absence of Electronic Safety Alerts</w:t>
      </w:r>
      <w:r>
        <w:t>: The prescribing and dispensing systems did not activate warning labels that the medication was a RED drug or about formulation errors, and the mistake continued to run.</w:t>
      </w:r>
    </w:p>
    <w:p w14:paraId="5FA491E5" w14:textId="77777777" w:rsidR="00AD4AA9" w:rsidRDefault="00352164">
      <w:pPr>
        <w:numPr>
          <w:ilvl w:val="0"/>
          <w:numId w:val="2"/>
        </w:numPr>
      </w:pPr>
      <w:r>
        <w:rPr>
          <w:b/>
          <w:bCs/>
        </w:rPr>
        <w:t>Breakdown in Inter-professional Communication</w:t>
      </w:r>
      <w:r>
        <w:t>: No direct communication between the GP and the pharmacy, but rather indirect through reception and pharmacy staff, which could not provide accurate clarification of a high-risk prescription.</w:t>
      </w:r>
    </w:p>
    <w:p w14:paraId="477DD88E" w14:textId="77777777" w:rsidR="00AD4AA9" w:rsidRDefault="00352164">
      <w:pPr>
        <w:numPr>
          <w:ilvl w:val="0"/>
          <w:numId w:val="2"/>
        </w:numPr>
      </w:pPr>
      <w:r>
        <w:rPr>
          <w:b/>
          <w:bCs/>
        </w:rPr>
        <w:t>Fragmented Care Transition Processes</w:t>
      </w:r>
      <w:r>
        <w:t>: The incomplete nature of discharge summaries and lack of coordinated medication reconciliation among hospital, primary care and pharmacy environments helped to develop errors.</w:t>
      </w:r>
    </w:p>
    <w:p w14:paraId="41E99BAC" w14:textId="6C0F7BAC" w:rsidR="00AD4AA9" w:rsidRDefault="00352164">
      <w:pPr>
        <w:pStyle w:val="Heading3"/>
      </w:pPr>
      <w:bookmarkStart w:id="9" w:name="_rmfs8j7mh164" w:colFirst="0" w:colLast="0"/>
      <w:bookmarkEnd w:id="9"/>
      <w:r>
        <w:t>Visual Representation using Rich Picture</w:t>
      </w:r>
    </w:p>
    <w:p w14:paraId="3A05F864" w14:textId="77777777" w:rsidR="00AD4AA9" w:rsidRDefault="00352164">
      <w:pPr>
        <w:jc w:val="center"/>
      </w:pPr>
      <w:r>
        <w:rPr>
          <w:noProof/>
        </w:rPr>
        <w:drawing>
          <wp:inline distT="114300" distB="114300" distL="114300" distR="114300" wp14:anchorId="7B666553" wp14:editId="224A0B1A">
            <wp:extent cx="4967288" cy="3308775"/>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967288" cy="3308775"/>
                    </a:xfrm>
                    <a:prstGeom prst="rect">
                      <a:avLst/>
                    </a:prstGeom>
                    <a:ln w="25400">
                      <a:solidFill>
                        <a:srgbClr val="000000"/>
                      </a:solidFill>
                      <a:prstDash val="solid"/>
                    </a:ln>
                  </pic:spPr>
                </pic:pic>
              </a:graphicData>
            </a:graphic>
          </wp:inline>
        </w:drawing>
      </w:r>
    </w:p>
    <w:p w14:paraId="1362C8D1" w14:textId="30B8F4EA" w:rsidR="00AD4AA9" w:rsidRDefault="00352164" w:rsidP="00816984">
      <w:pPr>
        <w:jc w:val="center"/>
        <w:rPr>
          <w:b/>
          <w:bCs/>
        </w:rPr>
      </w:pPr>
      <w:r>
        <w:rPr>
          <w:b/>
          <w:bCs/>
        </w:rPr>
        <w:t>Figure 1: Rich Picture of the Problem</w:t>
      </w:r>
    </w:p>
    <w:p w14:paraId="6D76FD00" w14:textId="77777777" w:rsidR="00816984" w:rsidRPr="00816984" w:rsidRDefault="00816984" w:rsidP="00816984">
      <w:pPr>
        <w:jc w:val="center"/>
        <w:rPr>
          <w:b/>
          <w:bCs/>
        </w:rPr>
      </w:pPr>
    </w:p>
    <w:p w14:paraId="4FBEA8C1" w14:textId="77777777" w:rsidR="00AD4AA9" w:rsidRDefault="00352164">
      <w:r>
        <w:lastRenderedPageBreak/>
        <w:t>The rich picture shows that the overdose of the infant was due to failures that are intertwined throughout the healthcare system. It demonstrates the chronological reliance of the hospital discharge on the GP prescribing, pharmacy dispensing and administration by parent, where incomplete communication and delineation of dose were present in each involved step. Weak feedback loops, especially the query of the pharmacy, which had not escalated, enabled the error to persist. Lack of RED drug protection and ineffective counselling led to the wrong dose and harming of the patient.</w:t>
      </w:r>
    </w:p>
    <w:p w14:paraId="605CE21B" w14:textId="0A995E0F" w:rsidR="00AD4AA9" w:rsidRDefault="00345BD4">
      <w:pPr>
        <w:pStyle w:val="Heading2"/>
      </w:pPr>
      <w:bookmarkStart w:id="10" w:name="_80c4olty2fr0" w:colFirst="0" w:colLast="0"/>
      <w:bookmarkEnd w:id="10"/>
      <w:r>
        <w:t xml:space="preserve">(b) </w:t>
      </w:r>
      <w:r w:rsidR="00352164">
        <w:t>Centralisation vs Decentralisation</w:t>
      </w:r>
    </w:p>
    <w:p w14:paraId="665B1886" w14:textId="0834BFE6" w:rsidR="00AD4AA9" w:rsidRDefault="00352164">
      <w:pPr>
        <w:pStyle w:val="Heading3"/>
      </w:pPr>
      <w:bookmarkStart w:id="11" w:name="_y28r5xehd0nr" w:colFirst="0" w:colLast="0"/>
      <w:bookmarkEnd w:id="11"/>
      <w:r>
        <w:t>Centralised System in NHS</w:t>
      </w:r>
    </w:p>
    <w:p w14:paraId="4FC8AA0A" w14:textId="77777777" w:rsidR="00AD4AA9" w:rsidRDefault="00352164">
      <w:r>
        <w:t>Healthcare systems such as the NHS consist of centralised systems that seek to promote standardisation, safety and accountability in the clinical decision-making process. The utilisation of national and regional formularies, such as the Red-Amber-Green (RAG) classification system, where the responsibility of prescribing is supposed to reside, is one of them. Within this scheme, the RED drugs are designated as specialist medicines which should only be initiated and managed in secondary care, with prescribing left to the clinicians in the hospital, as it is more complex and requires monitoring (NHS, 2024). Such a centralised system has a range of benefits, such as better standardisation of care, lower clinical variability, and better patient safety due to specialist oversight. Nonetheless, in this case, even with such safeguards, there are weaknesses when the policies are not successfully implemented at the local level, as in this case, a prescription and dispensing of a RED drug in primary care were screened. This shows that centralisation is an effective framework in offering safety, but its implementation and maintenance in healthcare environments must be consistent.</w:t>
      </w:r>
    </w:p>
    <w:p w14:paraId="603027E9" w14:textId="5DE339AD" w:rsidR="00AD4AA9" w:rsidRDefault="00352164">
      <w:pPr>
        <w:pStyle w:val="Heading3"/>
      </w:pPr>
      <w:bookmarkStart w:id="12" w:name="_9r9i4xrngmqt" w:colFirst="0" w:colLast="0"/>
      <w:bookmarkEnd w:id="12"/>
      <w:r>
        <w:t>Decentralised Elements</w:t>
      </w:r>
    </w:p>
    <w:p w14:paraId="3277ED29" w14:textId="354D2320" w:rsidR="00AD4AA9" w:rsidRDefault="00352164">
      <w:r>
        <w:t xml:space="preserve">Components of decentralisation increasingly find place in modern healthcare systems, where the decision-making authority is spread out among various frontline actors, especially in the context of primary and community care. General practitioners (GPs) are the primary contact point and significantly independent in prescribing in the NHS, whereas dispensing, clinical checks, and patient counselling are managed by community pharmacists independently (Hanson </w:t>
      </w:r>
      <w:r w:rsidR="003C727A" w:rsidRPr="003C727A">
        <w:rPr>
          <w:i/>
          <w:iCs/>
        </w:rPr>
        <w:t>et al.,</w:t>
      </w:r>
      <w:r>
        <w:t xml:space="preserve"> 2022). This decentralisation is to enhance access, efficiency and responsiveness to patient needs. However, this autonomy also brings variability in practice and knowledge, such as is the case in this scenario, where the GP gave the wrong morphine formulation, autonomously, simply because of being unaware of the 100 micrograms/ml product. On the same note, pharmacists played their part and, even though they noticed the issues of concern, they used indirect communication and continued dispensing. According to </w:t>
      </w:r>
      <w:r>
        <w:lastRenderedPageBreak/>
        <w:t xml:space="preserve">Taiwo </w:t>
      </w:r>
      <w:r w:rsidR="003C727A" w:rsidRPr="003C727A">
        <w:rPr>
          <w:i/>
          <w:iCs/>
        </w:rPr>
        <w:t>et al.</w:t>
      </w:r>
      <w:r>
        <w:t xml:space="preserve"> (2021), the lack of strong coordination and a rise in autonomy may increase the risk of clinical errors. Thus, the flexibility provided through decentralisation may be compromised in case of inadequate integration and supervision, leading to compromised patient safety.</w:t>
      </w:r>
    </w:p>
    <w:p w14:paraId="3DD21DBA" w14:textId="090043B3" w:rsidR="00AD4AA9" w:rsidRDefault="00352164">
      <w:pPr>
        <w:pStyle w:val="Heading3"/>
      </w:pPr>
      <w:bookmarkStart w:id="13" w:name="_ppanmcr33n8z" w:colFirst="0" w:colLast="0"/>
      <w:bookmarkEnd w:id="13"/>
      <w:r>
        <w:t xml:space="preserve"> Advantages of Decentralisation</w:t>
      </w:r>
    </w:p>
    <w:p w14:paraId="40CB4E9F" w14:textId="77777777" w:rsidR="00AD4AA9" w:rsidRDefault="00352164">
      <w:pPr>
        <w:numPr>
          <w:ilvl w:val="0"/>
          <w:numId w:val="4"/>
        </w:numPr>
      </w:pPr>
      <w:r>
        <w:rPr>
          <w:b/>
          <w:bCs/>
        </w:rPr>
        <w:t>Clinical Flexibility in Decision-Making</w:t>
      </w:r>
      <w:r>
        <w:t>: Decentralised systems enable GPs to customise prescriptions according to real-time patient needs (changing doses according to current weight in this case, for example, 4050 g), providing personalised care, but not protocol-driven.</w:t>
      </w:r>
    </w:p>
    <w:p w14:paraId="529412BC" w14:textId="77777777" w:rsidR="00AD4AA9" w:rsidRDefault="00352164">
      <w:pPr>
        <w:numPr>
          <w:ilvl w:val="0"/>
          <w:numId w:val="4"/>
        </w:numPr>
      </w:pPr>
      <w:r>
        <w:rPr>
          <w:b/>
          <w:bCs/>
        </w:rPr>
        <w:t>Faster Service Delivery and Reduced Delays</w:t>
      </w:r>
      <w:r>
        <w:t>: Autonomy in primary care would allow prescribing and dispensing medicine without the need to request a specialist decelerates treatment delays, especially in urgent pain treatment of children.</w:t>
      </w:r>
    </w:p>
    <w:p w14:paraId="159FA27F" w14:textId="77777777" w:rsidR="00AD4AA9" w:rsidRDefault="00352164">
      <w:pPr>
        <w:numPr>
          <w:ilvl w:val="0"/>
          <w:numId w:val="4"/>
        </w:numPr>
      </w:pPr>
      <w:r>
        <w:rPr>
          <w:b/>
          <w:bCs/>
        </w:rPr>
        <w:t>Improved Patient Accessibility and Continuity of Care</w:t>
      </w:r>
      <w:r>
        <w:t>: Local GP practices and community pharmacies will allow patients to gain access to medicines and prevent readmission to the hospital due to having continuous access to care post-discharge.</w:t>
      </w:r>
    </w:p>
    <w:p w14:paraId="2829A0B4" w14:textId="77777777" w:rsidR="00AD4AA9" w:rsidRDefault="00352164">
      <w:pPr>
        <w:numPr>
          <w:ilvl w:val="0"/>
          <w:numId w:val="4"/>
        </w:numPr>
      </w:pPr>
      <w:r>
        <w:rPr>
          <w:b/>
          <w:bCs/>
        </w:rPr>
        <w:t>Efficient Workload Distribution Across Healthcare System</w:t>
      </w:r>
      <w:r>
        <w:t>: Decentralisation implies less of a load on the secondary care due to the transfer of regular prescribing and dispensing functions to the primary and community care environment.</w:t>
      </w:r>
    </w:p>
    <w:p w14:paraId="6006E691" w14:textId="700D0902" w:rsidR="00AD4AA9" w:rsidRDefault="00352164">
      <w:pPr>
        <w:pStyle w:val="Heading3"/>
      </w:pPr>
      <w:bookmarkStart w:id="14" w:name="_5mqniijkix61" w:colFirst="0" w:colLast="0"/>
      <w:bookmarkEnd w:id="14"/>
      <w:r>
        <w:t xml:space="preserve"> Disadvantages of Decentralisation</w:t>
      </w:r>
    </w:p>
    <w:p w14:paraId="03C825F7" w14:textId="77777777" w:rsidR="00AD4AA9" w:rsidRDefault="00352164">
      <w:pPr>
        <w:numPr>
          <w:ilvl w:val="0"/>
          <w:numId w:val="1"/>
        </w:numPr>
      </w:pPr>
      <w:r>
        <w:rPr>
          <w:b/>
          <w:bCs/>
        </w:rPr>
        <w:t>Inconsistent Clinical Knowledge and Awareness</w:t>
      </w:r>
      <w:r>
        <w:t>: Both pharmacists and the GP did not know anything about the 100 microgram/ml formulation and its RED status; they thus selected an incorrect product, 10mg/5ml, and then interpreted the dose in an unsafe manner.</w:t>
      </w:r>
    </w:p>
    <w:p w14:paraId="30652DAD" w14:textId="77777777" w:rsidR="00AD4AA9" w:rsidRDefault="00352164">
      <w:pPr>
        <w:numPr>
          <w:ilvl w:val="0"/>
          <w:numId w:val="1"/>
        </w:numPr>
      </w:pPr>
      <w:r>
        <w:rPr>
          <w:b/>
          <w:bCs/>
        </w:rPr>
        <w:t>Breakdown in Communication Pathways</w:t>
      </w:r>
      <w:r>
        <w:t>: Necessary clarification between the pharmacy and the GP was done indirectly through reception and pharmacy attendants, as they could not clearly clarify a high-risk prescription query.</w:t>
      </w:r>
    </w:p>
    <w:p w14:paraId="3496217C" w14:textId="77777777" w:rsidR="00AD4AA9" w:rsidRDefault="00352164">
      <w:pPr>
        <w:numPr>
          <w:ilvl w:val="0"/>
          <w:numId w:val="1"/>
        </w:numPr>
      </w:pPr>
      <w:r>
        <w:rPr>
          <w:b/>
          <w:bCs/>
        </w:rPr>
        <w:t>Fragmented Accountability Across Care Settings</w:t>
      </w:r>
      <w:r>
        <w:t>: Safe prescribing and dispensing Responsibility was spread among the hospital, GP, and pharmacy, with no one involved in ensuring adequate formulation, dose and administration.</w:t>
      </w:r>
    </w:p>
    <w:p w14:paraId="7E8F7181" w14:textId="77777777" w:rsidR="00AD4AA9" w:rsidRDefault="00352164">
      <w:pPr>
        <w:numPr>
          <w:ilvl w:val="0"/>
          <w:numId w:val="1"/>
        </w:numPr>
      </w:pPr>
      <w:r>
        <w:rPr>
          <w:b/>
          <w:bCs/>
        </w:rPr>
        <w:lastRenderedPageBreak/>
        <w:t>Variability in Safety Practices and Processes</w:t>
      </w:r>
      <w:r>
        <w:t>: Lack of standardisation of checks (volume-based dosing and counselling) led to inconsistent adherence to patient safety practices observed in settings.</w:t>
      </w:r>
    </w:p>
    <w:p w14:paraId="60024B70" w14:textId="12B92D99" w:rsidR="00AD4AA9" w:rsidRDefault="00352164">
      <w:pPr>
        <w:pStyle w:val="Heading3"/>
      </w:pPr>
      <w:bookmarkStart w:id="15" w:name="_owo7jonxsrkg" w:colFirst="0" w:colLast="0"/>
      <w:bookmarkEnd w:id="15"/>
      <w:r>
        <w:t>Critical Comparative Analysis</w:t>
      </w:r>
    </w:p>
    <w:p w14:paraId="5314DEFA" w14:textId="797E269D" w:rsidR="00AD4AA9" w:rsidRDefault="00352164">
      <w:r>
        <w:t xml:space="preserve">A combination of decentralised clinical practice and centralised governance is a common method of providing safe and efficient healthcare in healthcare systems. In the NHS, the centralised methods, including the RED drug classification, are also supposed to limit the use of high-risk drugs to specialist environments and make them safer by standardisation. Nevertheless, it has been established that in England alone, there are more than 237 million medication errors each year, and 21% of them are in the prescribing and 16% in the dispensing phases, reflecting that the mere existence of policy does not necessarily result in its successful application (BMJ, 2025). Meanwhile, the variability is generated by decentralised care, with 38.4% of the errors in primary care, where autonomy is the highest, and a few contribute to the 66 million potentially clinically significant errors (Elliott </w:t>
      </w:r>
      <w:r w:rsidR="003C727A" w:rsidRPr="003C727A">
        <w:rPr>
          <w:i/>
          <w:iCs/>
        </w:rPr>
        <w:t>et al.,</w:t>
      </w:r>
      <w:r>
        <w:t xml:space="preserve"> 2021). Decentralised prescribing and dispensing choices and poor communication in this instance permitted the wrong formulation to be chosen and dispensed without any escalation. However, the failures are not resulted by one or the other structure but the lack of connection between the centralised safety systems and the decentralised implementation, which led to the fact that, in combination, they allowed the error to run unmitigated throughout the system.</w:t>
      </w:r>
    </w:p>
    <w:p w14:paraId="62BB0E1C" w14:textId="6639CE69" w:rsidR="00AD4AA9" w:rsidRDefault="00345BD4">
      <w:pPr>
        <w:pStyle w:val="Heading2"/>
      </w:pPr>
      <w:bookmarkStart w:id="16" w:name="_6krrupwjzlsc" w:colFirst="0" w:colLast="0"/>
      <w:bookmarkEnd w:id="16"/>
      <w:r>
        <w:t xml:space="preserve">( c ) </w:t>
      </w:r>
      <w:r w:rsidR="00352164">
        <w:t>Leadership Theories &amp; Application</w:t>
      </w:r>
    </w:p>
    <w:p w14:paraId="3D193A96" w14:textId="1885D37F" w:rsidR="00AD4AA9" w:rsidRDefault="00352164">
      <w:pPr>
        <w:pStyle w:val="Heading3"/>
      </w:pPr>
      <w:bookmarkStart w:id="17" w:name="_aethrex9w2rk" w:colFirst="0" w:colLast="0"/>
      <w:bookmarkEnd w:id="17"/>
      <w:r>
        <w:t xml:space="preserve"> Transformational Leadership</w:t>
      </w:r>
    </w:p>
    <w:p w14:paraId="0BE97459" w14:textId="4222126A" w:rsidR="00AD4AA9" w:rsidRDefault="00352164">
      <w:pPr>
        <w:spacing w:before="240" w:after="240"/>
      </w:pPr>
      <w:r>
        <w:t xml:space="preserve">Healthcare leadership plays a critical role in the development of organisational culture, employee behaviour and eventual patient safety outcomes. Transformational leadership is a theory that emphasises inspiring and motivating teams by four important elements, which are idealised influence and inspirational motivation, intellectual stimulation and individualised consideration (Khan </w:t>
      </w:r>
      <w:r w:rsidR="003C727A" w:rsidRPr="003C727A">
        <w:rPr>
          <w:i/>
          <w:iCs/>
        </w:rPr>
        <w:t>et al.,</w:t>
      </w:r>
      <w:r>
        <w:t xml:space="preserve"> 2022). These leaders develop a common vision, foster open dialogue and empower personnel to oppose unsafe practice. It demonstrates that transformational leadership has a substantial positive effect on the patient safety culture and patient safety outcomes; a study by </w:t>
      </w:r>
      <w:proofErr w:type="spellStart"/>
      <w:r>
        <w:t>Seljemo</w:t>
      </w:r>
      <w:proofErr w:type="spellEnd"/>
      <w:r>
        <w:t xml:space="preserve"> </w:t>
      </w:r>
      <w:r w:rsidR="003C727A" w:rsidRPr="003C727A">
        <w:rPr>
          <w:i/>
          <w:iCs/>
        </w:rPr>
        <w:t>et al.</w:t>
      </w:r>
      <w:r>
        <w:t xml:space="preserve"> (2020) indicates that it accounts for up to 47.2% of data variation in terms of patient safety culture and is highly positively correlated with safer clinical practices (p&lt;0.001). Furthermore, Hamdan </w:t>
      </w:r>
      <w:r w:rsidR="003C727A" w:rsidRPr="003C727A">
        <w:rPr>
          <w:i/>
          <w:iCs/>
        </w:rPr>
        <w:t>et al.</w:t>
      </w:r>
      <w:r>
        <w:t xml:space="preserve"> (2024) show that transformational leadership has a statistically significant correlation with safety practices (β = 0.216, p = 0.001), with safety culture being the intermediate. Nevertheless, this type of </w:t>
      </w:r>
      <w:r>
        <w:lastRenderedPageBreak/>
        <w:t>leadership also has drawbacks, such as excess dependence on vision and a lack of operational control, which can undermine adherence to stringent measures.</w:t>
      </w:r>
    </w:p>
    <w:p w14:paraId="1621245F" w14:textId="77777777" w:rsidR="00AD4AA9" w:rsidRDefault="00352164">
      <w:pPr>
        <w:spacing w:before="240" w:after="240"/>
      </w:pPr>
      <w:r>
        <w:t>In this case study, the absence of transformational leadership is evident in poor communication, a lack of shared understanding of RED drug risks, and failure to empower staff to escalate concerns. Consequently, without strong transformational leadership, opportunities to prevent the error through proactive communication and safety culture reinforcement were missed, contributing to patient harm.</w:t>
      </w:r>
    </w:p>
    <w:p w14:paraId="107D002B" w14:textId="3FCA1C0A" w:rsidR="00AD4AA9" w:rsidRDefault="00352164">
      <w:pPr>
        <w:pStyle w:val="Heading3"/>
      </w:pPr>
      <w:bookmarkStart w:id="18" w:name="_r74n70othwp9" w:colFirst="0" w:colLast="0"/>
      <w:bookmarkEnd w:id="18"/>
      <w:r>
        <w:t>Transactional Leadership</w:t>
      </w:r>
    </w:p>
    <w:p w14:paraId="267C392E" w14:textId="160AB942" w:rsidR="00AD4AA9" w:rsidRDefault="00352164">
      <w:pPr>
        <w:spacing w:before="240" w:after="240"/>
      </w:pPr>
      <w:r>
        <w:t xml:space="preserve">The healthcare leadership framework tends to depend on highly organised strategies that focus on adherence, regulation, and responsibility in ensuring patient safety. The leadership based on transactional is founded on established rules and set duties and performance checks through the tools of contingent rewards and management-by-exception to </w:t>
      </w:r>
      <w:r w:rsidR="003C727A">
        <w:t>en</w:t>
      </w:r>
      <w:r>
        <w:t xml:space="preserve">sure that employees follow the guidelines (Khairy </w:t>
      </w:r>
      <w:r w:rsidR="003C727A" w:rsidRPr="003C727A">
        <w:rPr>
          <w:i/>
          <w:iCs/>
        </w:rPr>
        <w:t>et al.,</w:t>
      </w:r>
      <w:r>
        <w:t xml:space="preserve"> 2023). It is most useful in controlled settings, with </w:t>
      </w:r>
      <w:proofErr w:type="spellStart"/>
      <w:r>
        <w:t>Althobaiti</w:t>
      </w:r>
      <w:proofErr w:type="spellEnd"/>
      <w:r>
        <w:t xml:space="preserve"> (2026) demonstrating it to be statistically significantly related to patient safety culture and staff performance (p &lt; 0.05), and leading to the enhancement of teamwork, feedback, and organisational learning. Further, 608 nurses in a study by </w:t>
      </w:r>
      <w:proofErr w:type="spellStart"/>
      <w:r>
        <w:t>Bellali</w:t>
      </w:r>
      <w:proofErr w:type="spellEnd"/>
      <w:r>
        <w:t xml:space="preserve"> </w:t>
      </w:r>
      <w:r w:rsidR="003C727A" w:rsidRPr="003C727A">
        <w:rPr>
          <w:i/>
          <w:iCs/>
        </w:rPr>
        <w:t>et al.</w:t>
      </w:r>
      <w:r>
        <w:t xml:space="preserve"> (2024) discovered that transactional leadership was a positive predictor of job and work outcomes (R</w:t>
      </w:r>
      <w:r>
        <w:rPr>
          <w:vertAlign w:val="superscript"/>
        </w:rPr>
        <w:t>2</w:t>
      </w:r>
      <w:r>
        <w:t xml:space="preserve"> =0.28; p = 0.002). This implies that it helps stabilise the operations. </w:t>
      </w:r>
    </w:p>
    <w:p w14:paraId="06AA5F19" w14:textId="0F6C50E8" w:rsidR="00AD4AA9" w:rsidRDefault="00352164">
      <w:pPr>
        <w:spacing w:before="240" w:after="240"/>
      </w:pPr>
      <w:r>
        <w:t xml:space="preserve">Nevertheless, they are just as limited, because it puts the focus on rule-following, rather than critical thinking and situational awareness. According to Khairy </w:t>
      </w:r>
      <w:r w:rsidR="003C727A" w:rsidRPr="003C727A">
        <w:rPr>
          <w:i/>
          <w:iCs/>
        </w:rPr>
        <w:t>et al.</w:t>
      </w:r>
      <w:r>
        <w:t xml:space="preserve"> (2023), a non-holistic, task-oriented leadership may also be brought about by transactional leadership, which decreases the focus on a complex patient safety risk. Here, there was a clear existence of RED drug policies, which were not clearly understood and applied by the GP and pharmacists, instead of taking procedural steps without being aware of the risk of potential differences in formulations. It shows that the use of transactional leadership without an in-depth clinical insight and reporting can enable several severe mistakes to become even more serious and harm patient safety.</w:t>
      </w:r>
    </w:p>
    <w:p w14:paraId="510EFD33" w14:textId="7E8F8AF6" w:rsidR="00AD4AA9" w:rsidRDefault="00352164">
      <w:pPr>
        <w:pStyle w:val="Heading3"/>
      </w:pPr>
      <w:bookmarkStart w:id="19" w:name="_nc149my4t313" w:colFirst="0" w:colLast="0"/>
      <w:bookmarkEnd w:id="19"/>
      <w:r>
        <w:t>Situational Leadership</w:t>
      </w:r>
    </w:p>
    <w:p w14:paraId="4714736E" w14:textId="27002F8C" w:rsidR="00AD4AA9" w:rsidRDefault="00352164">
      <w:pPr>
        <w:spacing w:before="240" w:after="240"/>
      </w:pPr>
      <w:r>
        <w:t>The nature of clinical risk, staff competence and situational complexity requires diverse healthcare leadership. The situation leadership theory by Hersey and Blanchard is premised on the theory that leaders change their leadership style by either directing, coaching, supporting, or delegating people and circumstances as well as focusing on the readiness and ability of individuals and circumstances (</w:t>
      </w:r>
      <w:proofErr w:type="spellStart"/>
      <w:r>
        <w:t>Marchito</w:t>
      </w:r>
      <w:proofErr w:type="spellEnd"/>
      <w:r>
        <w:t xml:space="preserve"> </w:t>
      </w:r>
      <w:r w:rsidR="003C727A" w:rsidRPr="003C727A">
        <w:rPr>
          <w:i/>
          <w:iCs/>
        </w:rPr>
        <w:t>et al.,</w:t>
      </w:r>
      <w:r>
        <w:t xml:space="preserve"> 2025). </w:t>
      </w:r>
      <w:proofErr w:type="spellStart"/>
      <w:r>
        <w:t>Pasaribu</w:t>
      </w:r>
      <w:proofErr w:type="spellEnd"/>
      <w:r>
        <w:t xml:space="preserve"> </w:t>
      </w:r>
      <w:r w:rsidR="003C727A" w:rsidRPr="003C727A">
        <w:rPr>
          <w:i/>
          <w:iCs/>
        </w:rPr>
        <w:t>et al.</w:t>
      </w:r>
      <w:r>
        <w:t xml:space="preserve"> (2022) illustrate </w:t>
      </w:r>
      <w:r>
        <w:lastRenderedPageBreak/>
        <w:t xml:space="preserve">that such adaptability enhances the outcomes of health care; in particular, situational leadership has been shown to have a beneficial impact on employee performance (coefficient = 0.504) and job satisfaction (up to 61% impact, p &lt; 0.001). Although the clinical setting research by Wang </w:t>
      </w:r>
      <w:r w:rsidR="003C727A" w:rsidRPr="003C727A">
        <w:rPr>
          <w:i/>
          <w:iCs/>
        </w:rPr>
        <w:t>et al.</w:t>
      </w:r>
      <w:r>
        <w:t xml:space="preserve"> (2024) showed improvements in patient safety, care quality, and staff performance after using it, the research faces specific gaps which may influence the outcomes. It is also regarded as especially useful in the crisis setting, where the leaders can be able to react dynamically to the uncertain conditions and evolving needs.</w:t>
      </w:r>
    </w:p>
    <w:p w14:paraId="769D1DFF" w14:textId="77777777" w:rsidR="00AD4AA9" w:rsidRDefault="00352164">
      <w:pPr>
        <w:spacing w:before="240" w:after="240"/>
      </w:pPr>
      <w:r>
        <w:t>Nevertheless, situational leadership requires proper risk assessment and a change in leadership behaviour at the right time, which is important to the effectiveness of situational leadership. In this instance, leadership did not fit the high-risk paediatric situation, with weight-based dosing and RED drugs, suggesting it be more directive and supervisory. Rather than leading to an escalation of practices through routine decentralisation, there was no change of leadership style, despite there being misalignments such as unclear dosing and pharmacy inquiries. This shows that the lack of situational leadership constrained the system to react accordingly to the risk to avoid them; thus, the medication error developed and resulted in jeopardising patient safety.</w:t>
      </w:r>
    </w:p>
    <w:p w14:paraId="3DF1296E" w14:textId="0C98C9C6" w:rsidR="003C727A" w:rsidRPr="003C727A" w:rsidRDefault="003C727A" w:rsidP="003C727A">
      <w:pPr>
        <w:pStyle w:val="Heading3"/>
        <w:rPr>
          <w:lang w:val="en-IN"/>
        </w:rPr>
      </w:pPr>
      <w:r w:rsidRPr="003C727A">
        <w:rPr>
          <w:lang w:val="en-IN"/>
        </w:rPr>
        <w:t xml:space="preserve"> Critical Comparative Analysis</w:t>
      </w:r>
    </w:p>
    <w:p w14:paraId="0CADF885" w14:textId="6835A0DF" w:rsidR="003C727A" w:rsidRPr="003C727A" w:rsidRDefault="003C727A">
      <w:pPr>
        <w:spacing w:before="240" w:after="240"/>
        <w:rPr>
          <w:lang w:val="en-IN"/>
        </w:rPr>
      </w:pPr>
      <w:r w:rsidRPr="003C727A">
        <w:rPr>
          <w:lang w:val="en-IN"/>
        </w:rPr>
        <w:t xml:space="preserve">The leadership styles observed in the case can be philosophically assessed as unsuccessful in their translation of either the character of vision, compliance, or adaptability to safe practice. </w:t>
      </w:r>
      <w:r>
        <w:rPr>
          <w:lang w:val="en-IN"/>
        </w:rPr>
        <w:t>Form a t</w:t>
      </w:r>
      <w:r w:rsidRPr="003C727A">
        <w:rPr>
          <w:lang w:val="en-IN"/>
        </w:rPr>
        <w:t>ransformational</w:t>
      </w:r>
      <w:r>
        <w:rPr>
          <w:lang w:val="en-IN"/>
        </w:rPr>
        <w:t xml:space="preserve"> perspective</w:t>
      </w:r>
      <w:r w:rsidRPr="003C727A">
        <w:rPr>
          <w:lang w:val="en-IN"/>
        </w:rPr>
        <w:t>, no common understanding of risk, proactive communication, and a culture that promotes questions or escalation was present, showing the absence of a collective safety focus. Transactionally, despite the rules such as the prohibition of RED drugs, they were superficially adhered to without a critical analysis, which indicates compliance without a thorough understanding. Leadership was due to take adaptable forms to the dynamic paediatric environment, where more control, supervision and direct communication were needed. Leadership remained a siloed phenomenon that was not integrated across all three approaches, and there was no cross-boundary ownership of the patient pathway. This meant that the opportunity to improve the error at various levels was missed. As a result, failure was not brought about by a lack of leadership models, but by the inability to utilise them in a unified and situational way.</w:t>
      </w:r>
    </w:p>
    <w:p w14:paraId="0494B414" w14:textId="0AD8F3DD" w:rsidR="00AD4AA9" w:rsidRDefault="00345BD4">
      <w:pPr>
        <w:pStyle w:val="Heading2"/>
      </w:pPr>
      <w:bookmarkStart w:id="20" w:name="_m6jas1tqcy13" w:colFirst="0" w:colLast="0"/>
      <w:bookmarkEnd w:id="20"/>
      <w:r>
        <w:lastRenderedPageBreak/>
        <w:t>(d)</w:t>
      </w:r>
      <w:r w:rsidR="009C0768">
        <w:t xml:space="preserve"> </w:t>
      </w:r>
      <w:r w:rsidR="00352164">
        <w:t>Improvement &amp; Lessons Learned</w:t>
      </w:r>
    </w:p>
    <w:p w14:paraId="57CD213B" w14:textId="28E0B332" w:rsidR="00AD4AA9" w:rsidRDefault="00352164">
      <w:pPr>
        <w:pStyle w:val="Heading3"/>
      </w:pPr>
      <w:bookmarkStart w:id="21" w:name="_1p3ppb6bf8z" w:colFirst="0" w:colLast="0"/>
      <w:bookmarkEnd w:id="21"/>
      <w:r>
        <w:t xml:space="preserve"> Leadership &amp; Governance Interaction</w:t>
      </w:r>
    </w:p>
    <w:p w14:paraId="7380B696" w14:textId="42F0153F" w:rsidR="00AD4AA9" w:rsidRDefault="00352164">
      <w:r>
        <w:t xml:space="preserve">A combination of a high level of centralisation of the governance structures and decentralisation of clinical practice conditions the successful patient safety implementation, but this case indicates a definite lack of links between the two. On the policy level, the NHS and its regional formularies listed morphine sulphate 100 micrograms/ml as the RED drug; thus, it was limited to prescribing and supply in secondary care only. However, there was no practical operationalisation of this governance control because the hospital discharge summary inappropriately instructed the GP to proceed with the prescription, and there was no system-level constraint on this transfer. On the decentralised level, the GP ordered the wrong 10mg/5ml formulation, which was dispensed without escalation by the pharmacy; however, the pharmacy did not notice the irregularities in the dose. This is an indication of failure in implementing policy into measurable protective measures, </w:t>
      </w:r>
      <w:r w:rsidR="003C727A">
        <w:t>such as</w:t>
      </w:r>
      <w:r>
        <w:t xml:space="preserve"> electronic warnings or prescriptive control. Moreover, the lack of clinician-to-clinician interaction undermined accountability in settings. As a result, the failure to match the centralised policy and decentralised implementation left loopholes through which safety measures were evaded, and the mistake propagated along the care pathway.</w:t>
      </w:r>
    </w:p>
    <w:p w14:paraId="2BE996BF" w14:textId="4F6CCBA7" w:rsidR="00AD4AA9" w:rsidRDefault="00352164">
      <w:pPr>
        <w:pStyle w:val="Heading3"/>
      </w:pPr>
      <w:bookmarkStart w:id="22" w:name="_qtcy5onbfd6i" w:colFirst="0" w:colLast="0"/>
      <w:bookmarkEnd w:id="22"/>
      <w:r>
        <w:t xml:space="preserve"> Key Problems &amp; Improvement Strategies</w:t>
      </w:r>
    </w:p>
    <w:p w14:paraId="3B48F9C6" w14:textId="77777777" w:rsidR="00AD4AA9" w:rsidRDefault="00352164">
      <w:pPr>
        <w:rPr>
          <w:b/>
          <w:bCs/>
          <w:u w:val="single"/>
        </w:rPr>
      </w:pPr>
      <w:r>
        <w:rPr>
          <w:b/>
          <w:bCs/>
          <w:u w:val="single"/>
        </w:rPr>
        <w:t>Problem 1: Communication Failure Across Care Transitions</w:t>
      </w:r>
    </w:p>
    <w:p w14:paraId="79A2F958" w14:textId="77777777" w:rsidR="00AD4AA9" w:rsidRDefault="00352164">
      <w:pPr>
        <w:numPr>
          <w:ilvl w:val="0"/>
          <w:numId w:val="3"/>
        </w:numPr>
      </w:pPr>
      <w:r>
        <w:rPr>
          <w:b/>
          <w:bCs/>
          <w:i/>
          <w:iCs/>
        </w:rPr>
        <w:t>Description</w:t>
      </w:r>
      <w:r>
        <w:t>: One of the leading causes of medication errors is communication breakdown, especially when there is a change in care.</w:t>
      </w:r>
    </w:p>
    <w:p w14:paraId="7C448BB1" w14:textId="77777777" w:rsidR="00AD4AA9" w:rsidRDefault="00352164">
      <w:pPr>
        <w:numPr>
          <w:ilvl w:val="0"/>
          <w:numId w:val="3"/>
        </w:numPr>
      </w:pPr>
      <w:r>
        <w:rPr>
          <w:b/>
          <w:bCs/>
          <w:i/>
          <w:iCs/>
        </w:rPr>
        <w:t>Data</w:t>
      </w:r>
      <w:r>
        <w:t>: About 40% of medication mistakes are related to poor communication and reconciliation in handovers, and up to 60% of the errors are associated with the changes between the care settings (</w:t>
      </w:r>
      <w:proofErr w:type="spellStart"/>
      <w:r>
        <w:t>Barnsteiner</w:t>
      </w:r>
      <w:proofErr w:type="spellEnd"/>
      <w:r>
        <w:t>, 2020). The prescribing error was facilitated in this case by poor discharge summary clarity and by communicating with GPs indirectly.</w:t>
      </w:r>
    </w:p>
    <w:p w14:paraId="6CB006B3" w14:textId="77777777" w:rsidR="00AD4AA9" w:rsidRDefault="00352164">
      <w:pPr>
        <w:numPr>
          <w:ilvl w:val="0"/>
          <w:numId w:val="3"/>
        </w:numPr>
      </w:pPr>
      <w:r>
        <w:rPr>
          <w:b/>
          <w:bCs/>
          <w:i/>
          <w:iCs/>
        </w:rPr>
        <w:t>Improvement</w:t>
      </w:r>
      <w:r>
        <w:t>: Adopt an entirely electronic discharge summary system and computerised medication reconciliation, which can potentially reduce medication errors in up to 70% when used effectively.</w:t>
      </w:r>
    </w:p>
    <w:p w14:paraId="37FDF58B" w14:textId="77777777" w:rsidR="00AD4AA9" w:rsidRDefault="00352164">
      <w:pPr>
        <w:rPr>
          <w:b/>
          <w:bCs/>
          <w:u w:val="single"/>
        </w:rPr>
      </w:pPr>
      <w:r>
        <w:rPr>
          <w:b/>
          <w:bCs/>
          <w:u w:val="single"/>
        </w:rPr>
        <w:t>Problem 2: Clinical Knowledge Gaps in High-Risk Medications</w:t>
      </w:r>
    </w:p>
    <w:p w14:paraId="24C19A5B" w14:textId="77777777" w:rsidR="00AD4AA9" w:rsidRDefault="00352164">
      <w:pPr>
        <w:numPr>
          <w:ilvl w:val="0"/>
          <w:numId w:val="3"/>
        </w:numPr>
      </w:pPr>
      <w:r>
        <w:rPr>
          <w:b/>
          <w:bCs/>
          <w:i/>
          <w:iCs/>
        </w:rPr>
        <w:t>Description</w:t>
      </w:r>
      <w:r>
        <w:t>: Lack of awareness about specialised formulations will greatly aggravate the risk of errors.</w:t>
      </w:r>
    </w:p>
    <w:p w14:paraId="324B6C20" w14:textId="77777777" w:rsidR="00AD4AA9" w:rsidRDefault="00352164">
      <w:pPr>
        <w:numPr>
          <w:ilvl w:val="0"/>
          <w:numId w:val="3"/>
        </w:numPr>
      </w:pPr>
      <w:r>
        <w:rPr>
          <w:b/>
          <w:bCs/>
          <w:i/>
          <w:iCs/>
        </w:rPr>
        <w:lastRenderedPageBreak/>
        <w:t>Data</w:t>
      </w:r>
      <w:r>
        <w:t>: Up to 67% of patients have experienced at least one error in the medication, which was due to the incompleteness of knowledge or inaccuracy of documentation (Australian Commission on Safety and Quality in Health care, 2026). The pharmacists and GPs in this scenario did not have any clue about the 100 micrograms/ml special formulation and RED drug limitations.</w:t>
      </w:r>
    </w:p>
    <w:p w14:paraId="127FE404" w14:textId="77777777" w:rsidR="00AD4AA9" w:rsidRDefault="00352164">
      <w:pPr>
        <w:numPr>
          <w:ilvl w:val="0"/>
          <w:numId w:val="3"/>
        </w:numPr>
      </w:pPr>
      <w:r>
        <w:rPr>
          <w:b/>
          <w:bCs/>
          <w:i/>
          <w:iCs/>
        </w:rPr>
        <w:t>Improvement</w:t>
      </w:r>
      <w:r>
        <w:t>: Mandatory high-risk medication (usually paediatric dosing and specialist formulations) targeted training programmes and continuous professional development (CPD) to be introduced to decrease knowledge-related errors in prescribing.</w:t>
      </w:r>
    </w:p>
    <w:p w14:paraId="4F5B1F81" w14:textId="77777777" w:rsidR="00AD4AA9" w:rsidRDefault="00352164">
      <w:pPr>
        <w:rPr>
          <w:b/>
          <w:bCs/>
          <w:u w:val="single"/>
        </w:rPr>
      </w:pPr>
      <w:r>
        <w:rPr>
          <w:b/>
          <w:bCs/>
          <w:u w:val="single"/>
        </w:rPr>
        <w:t>Problem 3: System Design and Lack of Safety Alerts</w:t>
      </w:r>
    </w:p>
    <w:p w14:paraId="75D47E96" w14:textId="77777777" w:rsidR="00AD4AA9" w:rsidRDefault="00352164">
      <w:pPr>
        <w:numPr>
          <w:ilvl w:val="0"/>
          <w:numId w:val="3"/>
        </w:numPr>
      </w:pPr>
      <w:r>
        <w:rPr>
          <w:b/>
          <w:bCs/>
          <w:i/>
          <w:iCs/>
        </w:rPr>
        <w:t>Description</w:t>
      </w:r>
      <w:r>
        <w:t>: Medication errors have many contributors, including weak system design, especially the lack of electronic precautions.</w:t>
      </w:r>
    </w:p>
    <w:p w14:paraId="740941D1" w14:textId="758DA618" w:rsidR="00AD4AA9" w:rsidRDefault="00352164">
      <w:pPr>
        <w:numPr>
          <w:ilvl w:val="0"/>
          <w:numId w:val="3"/>
        </w:numPr>
      </w:pPr>
      <w:r>
        <w:rPr>
          <w:b/>
          <w:bCs/>
          <w:i/>
          <w:iCs/>
        </w:rPr>
        <w:t>Data</w:t>
      </w:r>
      <w:r>
        <w:t>: 50% of prescription errors are related to writing new prescriptions at the time of discharge, which is frequently not aided by decision-support systems (</w:t>
      </w:r>
      <w:proofErr w:type="spellStart"/>
      <w:r>
        <w:t>Alqenae</w:t>
      </w:r>
      <w:proofErr w:type="spellEnd"/>
      <w:r>
        <w:t xml:space="preserve"> </w:t>
      </w:r>
      <w:r w:rsidR="003C727A" w:rsidRPr="003C727A">
        <w:rPr>
          <w:i/>
          <w:iCs/>
        </w:rPr>
        <w:t>et al.,</w:t>
      </w:r>
      <w:r>
        <w:t xml:space="preserve"> 2020). However, there was no electronic warning in the case regarding the RED drug choice or wrong formulation.</w:t>
      </w:r>
    </w:p>
    <w:p w14:paraId="222EDC8C" w14:textId="77777777" w:rsidR="00AD4AA9" w:rsidRDefault="00352164">
      <w:pPr>
        <w:numPr>
          <w:ilvl w:val="0"/>
          <w:numId w:val="3"/>
        </w:numPr>
      </w:pPr>
      <w:r>
        <w:rPr>
          <w:b/>
          <w:bCs/>
          <w:i/>
          <w:iCs/>
        </w:rPr>
        <w:t>Improvement</w:t>
      </w:r>
      <w:r>
        <w:t>: Adopt automated alerts, clinical decision support systems, and electronic prescribing systems that are capable of decreasing prescribing errors significantly by identifying high-risk pills and mismatches.</w:t>
      </w:r>
    </w:p>
    <w:p w14:paraId="7ACFB6CE" w14:textId="77777777" w:rsidR="00AD4AA9" w:rsidRDefault="00352164">
      <w:pPr>
        <w:rPr>
          <w:b/>
          <w:bCs/>
          <w:u w:val="single"/>
        </w:rPr>
      </w:pPr>
      <w:r>
        <w:rPr>
          <w:b/>
          <w:bCs/>
          <w:u w:val="single"/>
        </w:rPr>
        <w:t>Problem 4: Inadequate Patient Counselling and Understanding</w:t>
      </w:r>
    </w:p>
    <w:p w14:paraId="0DA4F5C6" w14:textId="77777777" w:rsidR="00AD4AA9" w:rsidRDefault="00352164">
      <w:pPr>
        <w:numPr>
          <w:ilvl w:val="0"/>
          <w:numId w:val="3"/>
        </w:numPr>
      </w:pPr>
      <w:r>
        <w:rPr>
          <w:b/>
          <w:bCs/>
          <w:i/>
          <w:iCs/>
        </w:rPr>
        <w:t>Description</w:t>
      </w:r>
      <w:r>
        <w:t xml:space="preserve">: Poor patient understanding of medication instructions is a critical safety issue. </w:t>
      </w:r>
    </w:p>
    <w:p w14:paraId="0C756701" w14:textId="20FCD884" w:rsidR="00AD4AA9" w:rsidRDefault="00352164">
      <w:pPr>
        <w:numPr>
          <w:ilvl w:val="0"/>
          <w:numId w:val="3"/>
        </w:numPr>
      </w:pPr>
      <w:r>
        <w:rPr>
          <w:b/>
          <w:bCs/>
          <w:i/>
          <w:iCs/>
        </w:rPr>
        <w:t>Data</w:t>
      </w:r>
      <w:r>
        <w:t xml:space="preserve">: Over 43% of the serious adverse events involve communication failures, especially among patients who have not received proper counselling (Douglas </w:t>
      </w:r>
      <w:r w:rsidR="003C727A" w:rsidRPr="003C727A">
        <w:rPr>
          <w:i/>
          <w:iCs/>
        </w:rPr>
        <w:t>et al.,</w:t>
      </w:r>
      <w:r>
        <w:t xml:space="preserve"> 2021). In this case, parents kept on providing the wrong dosage as they had not been explained and demonstrated.</w:t>
      </w:r>
    </w:p>
    <w:p w14:paraId="0EFD3C13" w14:textId="77777777" w:rsidR="00AD4AA9" w:rsidRDefault="00352164">
      <w:pPr>
        <w:numPr>
          <w:ilvl w:val="0"/>
          <w:numId w:val="3"/>
        </w:numPr>
      </w:pPr>
      <w:r>
        <w:rPr>
          <w:b/>
          <w:bCs/>
          <w:i/>
          <w:iCs/>
        </w:rPr>
        <w:t>Improvement</w:t>
      </w:r>
      <w:r>
        <w:t>: Develop standardised counselling protocols, such as the use of teach-back techniques, prescription of proper dosing devices, so that patients can understand and administer drugs correctly.</w:t>
      </w:r>
    </w:p>
    <w:p w14:paraId="23F66CE9" w14:textId="5F7EFBA4" w:rsidR="00AD4AA9" w:rsidRDefault="00352164">
      <w:pPr>
        <w:pStyle w:val="Heading3"/>
      </w:pPr>
      <w:bookmarkStart w:id="23" w:name="_2hoxpu36cqm9" w:colFirst="0" w:colLast="0"/>
      <w:bookmarkEnd w:id="23"/>
      <w:r>
        <w:lastRenderedPageBreak/>
        <w:t>Integrated Learning</w:t>
      </w:r>
    </w:p>
    <w:p w14:paraId="3FBCEF7A" w14:textId="666DB042" w:rsidR="00AD4AA9" w:rsidRDefault="00352164">
      <w:r>
        <w:t xml:space="preserve">The case illustrates the relationship between leadership, system design, and governance to shape the patient safety outcomes. Centralised regulation put the RED drug prohibitions in place; however, with poor leadership, they did not ensure that these regulations were known and put into practice at the frontline. Decentralised models gave the GP and pharmacy autonomy in decision-making, yet there </w:t>
      </w:r>
      <w:r w:rsidR="003C727A">
        <w:t>were</w:t>
      </w:r>
      <w:r>
        <w:t xml:space="preserve"> no coordination and accountability due to a lack of good leadership and communication. Due to the lack of systems thinking, there was a lack of understanding of interdependencies between the hospital, primary care and pharmacy, which allowed the spread of errors. This points out that patient safety cannot be dependent on individual controls, but integrated controls are needed. As a result, leadership should be based on alignment of governance and practice, making governance accountable throughout the board and improving communication as well as decision-making throughout the entire system.</w:t>
      </w:r>
    </w:p>
    <w:p w14:paraId="4E3BE413" w14:textId="77777777" w:rsidR="00AD4AA9" w:rsidRDefault="00352164">
      <w:pPr>
        <w:pStyle w:val="Heading1"/>
      </w:pPr>
      <w:bookmarkStart w:id="24" w:name="_v1r6czivj3b9" w:colFirst="0" w:colLast="0"/>
      <w:bookmarkEnd w:id="24"/>
      <w:r>
        <w:t>3. Recommendation</w:t>
      </w:r>
    </w:p>
    <w:p w14:paraId="6AA9950D" w14:textId="6264FBA4" w:rsidR="00AD4AA9" w:rsidRDefault="00352164">
      <w:pPr>
        <w:pStyle w:val="Heading2"/>
      </w:pPr>
      <w:bookmarkStart w:id="25" w:name="_lqw1w5ejgwxy" w:colFirst="0" w:colLast="0"/>
      <w:bookmarkEnd w:id="25"/>
      <w:r>
        <w:t>Strategic Actions: Strengthening RED Drug Governance and Electronic Prescribing</w:t>
      </w:r>
    </w:p>
    <w:p w14:paraId="06C7FFFF" w14:textId="77777777" w:rsidR="00AD4AA9" w:rsidRDefault="00352164">
      <w:pPr>
        <w:spacing w:before="240" w:after="240"/>
      </w:pPr>
      <w:r>
        <w:t>Ensuring stronger RED drug governance involves poor policy awareness and enforcement by formulating digital controls that are enforceable. NHS and other studies conducted internationally indicate that electronic prescribing systems may decrease medication errors by more than half and prescribing errors by up to 47% (HSSIB, 2022). The lack of system constraints in this case permitted a RED drug to be prescribed in primary care without question. Hence, there must be hard-coded RED drugs built into prescribing systems with automatic blocking and escalation procedures. Besides, electronic records that connect to facilitate transitions can eliminate or even minimise transition-related medication errors by 40%, enhancing pre-discharge safety (University of Manchester, 2023). These controls would directly contribute to bridging the governance practice gap, which was experienced in the case.</w:t>
      </w:r>
    </w:p>
    <w:p w14:paraId="41B49F2C" w14:textId="67385277" w:rsidR="00AD4AA9" w:rsidRDefault="00352164">
      <w:pPr>
        <w:pStyle w:val="Heading2"/>
      </w:pPr>
      <w:bookmarkStart w:id="26" w:name="_4jkc95bice9l" w:colFirst="0" w:colLast="0"/>
      <w:bookmarkEnd w:id="26"/>
      <w:r>
        <w:t xml:space="preserve"> Leadership Recommendations: Transformational and Situational Leadership</w:t>
      </w:r>
    </w:p>
    <w:p w14:paraId="494B240A" w14:textId="031829E7" w:rsidR="00AD4AA9" w:rsidRDefault="00352164">
      <w:pPr>
        <w:spacing w:before="240" w:after="240"/>
      </w:pPr>
      <w:r>
        <w:t xml:space="preserve">The leadership approach should also shift to active compliance to active, flexible safety management. The researchers conclude that transformational leadership can account for up to 47.2% of the variability in the patient safety culture (p &lt; 0.001), whereas situational leadership demonstrates that staff work better and make decisions wiser in the complex </w:t>
      </w:r>
      <w:r>
        <w:lastRenderedPageBreak/>
        <w:t xml:space="preserve">setting (Camacho </w:t>
      </w:r>
      <w:r w:rsidR="003C727A" w:rsidRPr="003C727A">
        <w:rPr>
          <w:i/>
          <w:iCs/>
        </w:rPr>
        <w:t>et al.,</w:t>
      </w:r>
      <w:r>
        <w:t xml:space="preserve"> 2024). In this example, leaders were not able to develop a common sense of the risks of RED drugs, nor did they tailor to the high-risk paediatric environment. A hybrid leadership model in which the safety culture is propelled by transformational leadership and situational leadership by ensuring that the organisation responds appropriately to clinical risk should be adopted. This would allow frontline personnel to raise issues, question unsafe prescriptions, and enhance interdisciplinary coordination.</w:t>
      </w:r>
    </w:p>
    <w:p w14:paraId="62B2714B" w14:textId="70D32D07" w:rsidR="00AD4AA9" w:rsidRDefault="00352164">
      <w:pPr>
        <w:pStyle w:val="Heading2"/>
      </w:pPr>
      <w:bookmarkStart w:id="27" w:name="_7616ah6q0eoz" w:colFirst="0" w:colLast="0"/>
      <w:bookmarkEnd w:id="27"/>
      <w:r>
        <w:t xml:space="preserve"> Governance &amp; Communication: Strengthening Inter-professional Coordination</w:t>
      </w:r>
    </w:p>
    <w:p w14:paraId="72B12608" w14:textId="5CF9ED94" w:rsidR="00AD4AA9" w:rsidRDefault="00352164">
      <w:pPr>
        <w:spacing w:before="240" w:after="240"/>
      </w:pPr>
      <w:r>
        <w:t xml:space="preserve">Structured and enforceable governance mechanisms need to be used to address communication failures. The statistics show that among the medication errors, more than 40% happen when transferring care between providers since they do not transfer information properly. Here, the communication between the pharmacy and GP was not direct due to the non-clinical personnel, which did not allow accurately clarifying a high-risk prescription (Camacho </w:t>
      </w:r>
      <w:r w:rsidR="003C727A" w:rsidRPr="003C727A">
        <w:rPr>
          <w:i/>
          <w:iCs/>
        </w:rPr>
        <w:t>et al.,</w:t>
      </w:r>
      <w:r>
        <w:t xml:space="preserve"> 2024). Thus, healthcare systems must require direct clinician-to-clinician interaction with high-risk drugs, which should be backed by connected digital systems. Moreover, standardising medication reconciliation procedures must also be implemented because interoperable systems are known to decrease discrepancies and injury to a large extent. Improving communication governance will </w:t>
      </w:r>
      <w:r w:rsidR="003C727A">
        <w:t>en</w:t>
      </w:r>
      <w:r>
        <w:t>sure that accountability is upheld and mistakes are not repeated within care settings.</w:t>
      </w:r>
    </w:p>
    <w:p w14:paraId="110CEE4E" w14:textId="31FF3BE8" w:rsidR="00AD4AA9" w:rsidRDefault="00352164">
      <w:pPr>
        <w:pStyle w:val="Heading2"/>
      </w:pPr>
      <w:bookmarkStart w:id="28" w:name="_vzkv79s2c27q" w:colFirst="0" w:colLast="0"/>
      <w:bookmarkEnd w:id="28"/>
      <w:r>
        <w:t>Efficiency &amp; Continuous Learning: Digital Systems and Feedback Integration</w:t>
      </w:r>
    </w:p>
    <w:p w14:paraId="381EE14E" w14:textId="04A24360" w:rsidR="00AD4AA9" w:rsidRDefault="00352164">
      <w:pPr>
        <w:spacing w:before="240" w:after="240"/>
      </w:pPr>
      <w:r>
        <w:t xml:space="preserve">The enhancement of efficiency should involve integrating the digital infrastructure and ongoing learning processes. Electronic systems not only decrease the amount of prescribing mistakes by 15% but enhance the standardisation, auditability and clinical decisions (Colin </w:t>
      </w:r>
      <w:r w:rsidR="003C727A" w:rsidRPr="003C727A">
        <w:rPr>
          <w:i/>
          <w:iCs/>
        </w:rPr>
        <w:t>et al.,</w:t>
      </w:r>
      <w:r>
        <w:t xml:space="preserve"> 2025). The second approach to increasing the allocative efficiency is to ensure specialist drugs do not enter primary care in the first place. Moreover, incident reporting and feedback should be in real-time, because data-driven learning has been previously demonstrated to lessen recurring errors and enhance safety outcomes in organisations. The lack of feedback loops in this scenario made the known risks persist. An ongoing monitoring process, audit cycles, and staff training will be integrated to guarantee a long-term enhancement and system-wide responsibility.</w:t>
      </w:r>
    </w:p>
    <w:p w14:paraId="13B6454E" w14:textId="77777777" w:rsidR="00AD4AA9" w:rsidRDefault="00352164">
      <w:pPr>
        <w:pStyle w:val="Heading1"/>
      </w:pPr>
      <w:bookmarkStart w:id="29" w:name="_f7muc7mluhzx" w:colFirst="0" w:colLast="0"/>
      <w:bookmarkEnd w:id="29"/>
      <w:r>
        <w:lastRenderedPageBreak/>
        <w:t>4. Conclusion</w:t>
      </w:r>
    </w:p>
    <w:p w14:paraId="528D7E40" w14:textId="77777777" w:rsidR="00AD4AA9" w:rsidRDefault="00352164">
      <w:pPr>
        <w:spacing w:before="240" w:after="240"/>
      </w:pPr>
      <w:r>
        <w:t>This report was aimed at critically examining the infant morphine overdose case using leadership theories, governance systems and systems thinking to determine systemic errors and suggest ways to improve patient safety. The analysis confirms that the incident was not only a case of a single, clinical mistake but a complex, multi-tiered system malfunction that included failure within the communication of the hospital discharge, unsuitable GP prescription, pharmacy checks, and administration by parents. There was centralisation of governance mechanisms, such as RED drug restrictions that collapsed during implementation, and decentralisation of autonomy in the primary care system that facilitated uncoordinated and inconsistent decision-making. The failure of the leadership was demonstrated by the lack of risk identification on the proactive level, an ineffective communication system, and a lack of ownership, as well as allowing the error to pass through multiple checkpoints.</w:t>
      </w:r>
    </w:p>
    <w:p w14:paraId="203433BA" w14:textId="3BB5DB25" w:rsidR="00C67280" w:rsidRDefault="00C67280">
      <w:pPr>
        <w:spacing w:before="240" w:after="240"/>
      </w:pPr>
      <w:r w:rsidRPr="00C67280">
        <w:t>Moreover, the analysis provides an emphasis on the fact that safety barriers that must have served as the safeguards at every stage were either insufficient or not present at all, and the error did not have a chance to be resolved. The non-standardisation of prescription formats, the evidence of no specific dosage being communicated in both micrograms and millilitres, plus the inability to raise concerns and escalate the situation, contributed to a critical incident in their own way. This supports the notion that system failures, as opposed to actions sometimes in isolation, often result in patient safety failures.</w:t>
      </w:r>
    </w:p>
    <w:p w14:paraId="193150F1" w14:textId="4955A734" w:rsidR="00AD4AA9" w:rsidRDefault="00352164">
      <w:pPr>
        <w:spacing w:before="240" w:after="240"/>
        <w:rPr>
          <w:b/>
          <w:bCs/>
        </w:rPr>
      </w:pPr>
      <w:r>
        <w:t xml:space="preserve">The results also prove that the alignment between the leadership, governance, and system design is one of the most important in positively influencing patient safety. In the absence of systems thinking, critical interdependencies across care transitions would be unknown, enhancing the chances of error propagation. Clearly evident in this case is the fact that neither a policy nor autonomy is adequate in itself, but the successful integration of both through effective leadership and accountability yields safety. Hence, the objective of this report has been effectively achieved, as it has critically identified the systemic, leadership and governance vulnerabilities underlying the incident and how these combined areas of vulnerability played a direct role in causing avoidable harm to patients. Additionally, it has also </w:t>
      </w:r>
      <w:r w:rsidR="003C727A">
        <w:t>provided</w:t>
      </w:r>
      <w:r>
        <w:t xml:space="preserve"> evidence-based </w:t>
      </w:r>
      <w:r w:rsidR="003C727A">
        <w:t>recommendations</w:t>
      </w:r>
      <w:r>
        <w:t xml:space="preserve"> to enhance patient safety in future settings.</w:t>
      </w:r>
      <w:r>
        <w:br w:type="page"/>
      </w:r>
    </w:p>
    <w:p w14:paraId="13FAF26A" w14:textId="77777777" w:rsidR="00AD4AA9" w:rsidRDefault="00352164">
      <w:pPr>
        <w:pStyle w:val="Heading1"/>
        <w:spacing w:before="240" w:after="240"/>
      </w:pPr>
      <w:bookmarkStart w:id="30" w:name="_fgkiwtejimcz" w:colFirst="0" w:colLast="0"/>
      <w:bookmarkEnd w:id="30"/>
      <w:r>
        <w:lastRenderedPageBreak/>
        <w:t>References</w:t>
      </w:r>
    </w:p>
    <w:p w14:paraId="309B6498" w14:textId="77777777" w:rsidR="001455D2" w:rsidRDefault="001455D2">
      <w:pPr>
        <w:spacing w:after="240"/>
        <w:rPr>
          <w:sz w:val="24"/>
          <w:szCs w:val="24"/>
        </w:rPr>
      </w:pPr>
      <w:proofErr w:type="spellStart"/>
      <w:r>
        <w:rPr>
          <w:sz w:val="24"/>
          <w:szCs w:val="24"/>
        </w:rPr>
        <w:t>Alqenae</w:t>
      </w:r>
      <w:proofErr w:type="spellEnd"/>
      <w:r>
        <w:rPr>
          <w:sz w:val="24"/>
          <w:szCs w:val="24"/>
        </w:rPr>
        <w:t xml:space="preserve">, F., Steinke, D. and Keers, R. (2020). Prevalence and nature of medication errors and medication-related harm following discharge from hospital to community settings: A systematic review. </w:t>
      </w:r>
      <w:r>
        <w:rPr>
          <w:i/>
          <w:iCs/>
          <w:sz w:val="24"/>
          <w:szCs w:val="24"/>
        </w:rPr>
        <w:t>Drug Safety</w:t>
      </w:r>
      <w:r>
        <w:rPr>
          <w:sz w:val="24"/>
          <w:szCs w:val="24"/>
        </w:rPr>
        <w:t xml:space="preserve">, [online] 43(6), pp.517–537. Available at: </w:t>
      </w:r>
      <w:hyperlink r:id="rId9">
        <w:r>
          <w:rPr>
            <w:color w:val="1155CC"/>
            <w:sz w:val="24"/>
            <w:szCs w:val="24"/>
            <w:u w:val="single"/>
          </w:rPr>
          <w:t>https://doi.org/10.1007/s40264-020-00918-3</w:t>
        </w:r>
      </w:hyperlink>
      <w:r>
        <w:rPr>
          <w:sz w:val="24"/>
          <w:szCs w:val="24"/>
        </w:rPr>
        <w:t xml:space="preserve">. </w:t>
      </w:r>
    </w:p>
    <w:p w14:paraId="546EF1C3" w14:textId="77777777" w:rsidR="001455D2" w:rsidRDefault="001455D2">
      <w:pPr>
        <w:spacing w:after="240"/>
        <w:rPr>
          <w:sz w:val="24"/>
          <w:szCs w:val="24"/>
        </w:rPr>
      </w:pPr>
      <w:proofErr w:type="spellStart"/>
      <w:r>
        <w:rPr>
          <w:sz w:val="24"/>
          <w:szCs w:val="24"/>
        </w:rPr>
        <w:t>Althobaiti</w:t>
      </w:r>
      <w:proofErr w:type="spellEnd"/>
      <w:r>
        <w:rPr>
          <w:sz w:val="24"/>
          <w:szCs w:val="24"/>
        </w:rPr>
        <w:t xml:space="preserve">, F.M. (2026). The effects of leadership on patient safety culture in health care: a systematic review. </w:t>
      </w:r>
      <w:r>
        <w:rPr>
          <w:i/>
          <w:iCs/>
          <w:sz w:val="24"/>
          <w:szCs w:val="24"/>
        </w:rPr>
        <w:t>BMC nursing</w:t>
      </w:r>
      <w:r>
        <w:rPr>
          <w:sz w:val="24"/>
          <w:szCs w:val="24"/>
        </w:rPr>
        <w:t xml:space="preserve">, [online] 25(125), pp.1–20. Available at: </w:t>
      </w:r>
      <w:hyperlink r:id="rId10">
        <w:r>
          <w:rPr>
            <w:color w:val="1155CC"/>
            <w:sz w:val="24"/>
            <w:szCs w:val="24"/>
            <w:u w:val="single"/>
          </w:rPr>
          <w:t>https://doi.org/10.1186/s12912-025-04263-7</w:t>
        </w:r>
      </w:hyperlink>
      <w:r>
        <w:rPr>
          <w:sz w:val="24"/>
          <w:szCs w:val="24"/>
        </w:rPr>
        <w:t xml:space="preserve">. </w:t>
      </w:r>
    </w:p>
    <w:p w14:paraId="3F3D97D0" w14:textId="31FA23A7" w:rsidR="001455D2" w:rsidRDefault="001455D2">
      <w:pPr>
        <w:spacing w:after="240"/>
        <w:rPr>
          <w:sz w:val="24"/>
          <w:szCs w:val="24"/>
        </w:rPr>
      </w:pPr>
      <w:r>
        <w:rPr>
          <w:sz w:val="24"/>
          <w:szCs w:val="24"/>
        </w:rPr>
        <w:t xml:space="preserve">Australian Commission on Safety and Quality in Health care (2026). </w:t>
      </w:r>
      <w:r>
        <w:rPr>
          <w:i/>
          <w:iCs/>
          <w:sz w:val="24"/>
          <w:szCs w:val="24"/>
        </w:rPr>
        <w:t>Medication reconciliation | Australian Commission on Safety and Quality in Health Care</w:t>
      </w:r>
      <w:r>
        <w:rPr>
          <w:sz w:val="24"/>
          <w:szCs w:val="24"/>
        </w:rPr>
        <w:t xml:space="preserve">. [online] Safetyandquality.gov.au. Available at: </w:t>
      </w:r>
      <w:hyperlink r:id="rId11">
        <w:r>
          <w:rPr>
            <w:color w:val="1155CC"/>
            <w:sz w:val="24"/>
            <w:szCs w:val="24"/>
            <w:u w:val="single"/>
          </w:rPr>
          <w:t>https://www.safetyandquality.gov.au/our-work/medicines-safety-and-quality/medication-reconciliation</w:t>
        </w:r>
      </w:hyperlink>
      <w:r>
        <w:rPr>
          <w:sz w:val="24"/>
          <w:szCs w:val="24"/>
        </w:rPr>
        <w:t xml:space="preserve"> .</w:t>
      </w:r>
    </w:p>
    <w:p w14:paraId="38F5D576" w14:textId="7ADBCAEF" w:rsidR="001455D2" w:rsidRDefault="001455D2">
      <w:pPr>
        <w:spacing w:after="240"/>
        <w:rPr>
          <w:sz w:val="24"/>
          <w:szCs w:val="24"/>
        </w:rPr>
      </w:pPr>
      <w:proofErr w:type="spellStart"/>
      <w:r>
        <w:rPr>
          <w:sz w:val="24"/>
          <w:szCs w:val="24"/>
        </w:rPr>
        <w:t>Barnsteiner</w:t>
      </w:r>
      <w:proofErr w:type="spellEnd"/>
      <w:r>
        <w:rPr>
          <w:sz w:val="24"/>
          <w:szCs w:val="24"/>
        </w:rPr>
        <w:t xml:space="preserve">, J.H. (2020). </w:t>
      </w:r>
      <w:r>
        <w:rPr>
          <w:i/>
          <w:iCs/>
          <w:sz w:val="24"/>
          <w:szCs w:val="24"/>
        </w:rPr>
        <w:t>Medication Reconciliation</w:t>
      </w:r>
      <w:r>
        <w:rPr>
          <w:sz w:val="24"/>
          <w:szCs w:val="24"/>
        </w:rPr>
        <w:t xml:space="preserve">. [online] Nih.gov. Available at: </w:t>
      </w:r>
      <w:hyperlink r:id="rId12">
        <w:r>
          <w:rPr>
            <w:color w:val="1155CC"/>
            <w:sz w:val="24"/>
            <w:szCs w:val="24"/>
            <w:u w:val="single"/>
          </w:rPr>
          <w:t>https://www.ncbi.nlm.nih.gov/books/NBK2648/</w:t>
        </w:r>
      </w:hyperlink>
      <w:r>
        <w:rPr>
          <w:sz w:val="24"/>
          <w:szCs w:val="24"/>
        </w:rPr>
        <w:t xml:space="preserve"> .</w:t>
      </w:r>
    </w:p>
    <w:p w14:paraId="4A0AF3F9" w14:textId="77777777" w:rsidR="001455D2" w:rsidRDefault="001455D2">
      <w:pPr>
        <w:spacing w:after="240"/>
        <w:rPr>
          <w:sz w:val="24"/>
          <w:szCs w:val="24"/>
        </w:rPr>
      </w:pPr>
      <w:proofErr w:type="spellStart"/>
      <w:r>
        <w:rPr>
          <w:sz w:val="24"/>
          <w:szCs w:val="24"/>
        </w:rPr>
        <w:t>Bellali</w:t>
      </w:r>
      <w:proofErr w:type="spellEnd"/>
      <w:r>
        <w:rPr>
          <w:sz w:val="24"/>
          <w:szCs w:val="24"/>
        </w:rPr>
        <w:t xml:space="preserve">, T., Theodorou, P., </w:t>
      </w:r>
      <w:proofErr w:type="spellStart"/>
      <w:r>
        <w:rPr>
          <w:sz w:val="24"/>
          <w:szCs w:val="24"/>
        </w:rPr>
        <w:t>Psomiadi</w:t>
      </w:r>
      <w:proofErr w:type="spellEnd"/>
      <w:r>
        <w:rPr>
          <w:sz w:val="24"/>
          <w:szCs w:val="24"/>
        </w:rPr>
        <w:t xml:space="preserve">, M., </w:t>
      </w:r>
      <w:proofErr w:type="spellStart"/>
      <w:r>
        <w:rPr>
          <w:sz w:val="24"/>
          <w:szCs w:val="24"/>
        </w:rPr>
        <w:t>Konstantakopoulou</w:t>
      </w:r>
      <w:proofErr w:type="spellEnd"/>
      <w:r>
        <w:rPr>
          <w:sz w:val="24"/>
          <w:szCs w:val="24"/>
        </w:rPr>
        <w:t xml:space="preserve">, O., Platis, C., </w:t>
      </w:r>
      <w:proofErr w:type="spellStart"/>
      <w:r>
        <w:rPr>
          <w:sz w:val="24"/>
          <w:szCs w:val="24"/>
        </w:rPr>
        <w:t>Meropi</w:t>
      </w:r>
      <w:proofErr w:type="spellEnd"/>
      <w:r>
        <w:rPr>
          <w:sz w:val="24"/>
          <w:szCs w:val="24"/>
        </w:rPr>
        <w:t xml:space="preserve"> </w:t>
      </w:r>
      <w:proofErr w:type="spellStart"/>
      <w:r>
        <w:rPr>
          <w:sz w:val="24"/>
          <w:szCs w:val="24"/>
        </w:rPr>
        <w:t>Mpouzika</w:t>
      </w:r>
      <w:proofErr w:type="spellEnd"/>
      <w:r>
        <w:rPr>
          <w:sz w:val="24"/>
          <w:szCs w:val="24"/>
        </w:rPr>
        <w:t xml:space="preserve"> and Georgios Manomenidis (2024). Assessing the Effect of Transactional Leadership and Empowerment on Nursing Staff’s Satisfaction: a Cross-Sectional Study. </w:t>
      </w:r>
      <w:r>
        <w:rPr>
          <w:i/>
          <w:iCs/>
          <w:sz w:val="24"/>
          <w:szCs w:val="24"/>
        </w:rPr>
        <w:t>Florence Nightingale Journal of Nursing</w:t>
      </w:r>
      <w:r>
        <w:rPr>
          <w:sz w:val="24"/>
          <w:szCs w:val="24"/>
        </w:rPr>
        <w:t xml:space="preserve">, [online] 32(3), pp.277–283. Available at: </w:t>
      </w:r>
      <w:hyperlink r:id="rId13">
        <w:r>
          <w:rPr>
            <w:color w:val="1155CC"/>
            <w:sz w:val="24"/>
            <w:szCs w:val="24"/>
            <w:u w:val="single"/>
          </w:rPr>
          <w:t>https://doi.org/10.5152/fnjn.2024.24140</w:t>
        </w:r>
      </w:hyperlink>
      <w:r>
        <w:rPr>
          <w:sz w:val="24"/>
          <w:szCs w:val="24"/>
        </w:rPr>
        <w:t xml:space="preserve">. </w:t>
      </w:r>
    </w:p>
    <w:p w14:paraId="213E64B6" w14:textId="3DA913EF" w:rsidR="001455D2" w:rsidRDefault="001455D2">
      <w:pPr>
        <w:spacing w:after="240"/>
        <w:rPr>
          <w:sz w:val="24"/>
          <w:szCs w:val="24"/>
        </w:rPr>
      </w:pPr>
      <w:r>
        <w:rPr>
          <w:sz w:val="24"/>
          <w:szCs w:val="24"/>
        </w:rPr>
        <w:t xml:space="preserve">BMJ (2025). </w:t>
      </w:r>
      <w:r>
        <w:rPr>
          <w:i/>
          <w:iCs/>
          <w:sz w:val="24"/>
          <w:szCs w:val="24"/>
        </w:rPr>
        <w:t>237+ million medication errors made every year in England - BMJ Group</w:t>
      </w:r>
      <w:r>
        <w:rPr>
          <w:sz w:val="24"/>
          <w:szCs w:val="24"/>
        </w:rPr>
        <w:t xml:space="preserve">. [online] BMJ. Available at: </w:t>
      </w:r>
      <w:hyperlink r:id="rId14">
        <w:r>
          <w:rPr>
            <w:color w:val="1155CC"/>
            <w:sz w:val="24"/>
            <w:szCs w:val="24"/>
            <w:u w:val="single"/>
          </w:rPr>
          <w:t>https://www.bmj.com/company/%20newsroom/237-million-medication-errors-made-every-year-in-england/</w:t>
        </w:r>
      </w:hyperlink>
      <w:r>
        <w:rPr>
          <w:sz w:val="24"/>
          <w:szCs w:val="24"/>
        </w:rPr>
        <w:t xml:space="preserve"> .</w:t>
      </w:r>
    </w:p>
    <w:p w14:paraId="71AA5801" w14:textId="77777777" w:rsidR="001455D2" w:rsidRDefault="001455D2">
      <w:pPr>
        <w:spacing w:after="240"/>
        <w:rPr>
          <w:sz w:val="24"/>
          <w:szCs w:val="24"/>
        </w:rPr>
      </w:pPr>
      <w:r>
        <w:rPr>
          <w:sz w:val="24"/>
          <w:szCs w:val="24"/>
        </w:rPr>
        <w:t xml:space="preserve">Camacho, E.M., Gavan, S., Keers, R.N., Chuter, A. and Elliott, R.A. (2024). Estimating the impact on patient safety of enabling the digital transfer of patients’ prescription information in the English NHS. </w:t>
      </w:r>
      <w:r>
        <w:rPr>
          <w:i/>
          <w:iCs/>
          <w:sz w:val="24"/>
          <w:szCs w:val="24"/>
        </w:rPr>
        <w:t>BMJ Quality &amp; Safety</w:t>
      </w:r>
      <w:r>
        <w:rPr>
          <w:sz w:val="24"/>
          <w:szCs w:val="24"/>
        </w:rPr>
        <w:t xml:space="preserve">, [online] 33(11), pp.1–12. Available at: </w:t>
      </w:r>
      <w:hyperlink r:id="rId15">
        <w:r>
          <w:rPr>
            <w:color w:val="1155CC"/>
            <w:sz w:val="24"/>
            <w:szCs w:val="24"/>
            <w:u w:val="single"/>
          </w:rPr>
          <w:t>https://doi.org/10.1136/bmjqs-2023-016675</w:t>
        </w:r>
      </w:hyperlink>
      <w:r>
        <w:rPr>
          <w:sz w:val="24"/>
          <w:szCs w:val="24"/>
        </w:rPr>
        <w:t xml:space="preserve">. </w:t>
      </w:r>
    </w:p>
    <w:p w14:paraId="2EFF1FEA" w14:textId="77777777" w:rsidR="001455D2" w:rsidRDefault="001455D2">
      <w:pPr>
        <w:spacing w:after="240"/>
        <w:rPr>
          <w:sz w:val="24"/>
          <w:szCs w:val="24"/>
        </w:rPr>
      </w:pPr>
      <w:r>
        <w:rPr>
          <w:sz w:val="24"/>
          <w:szCs w:val="24"/>
        </w:rPr>
        <w:t xml:space="preserve">Colin, M.N., </w:t>
      </w:r>
      <w:proofErr w:type="spellStart"/>
      <w:r>
        <w:rPr>
          <w:sz w:val="24"/>
          <w:szCs w:val="24"/>
        </w:rPr>
        <w:t>Octaviany</w:t>
      </w:r>
      <w:proofErr w:type="spellEnd"/>
      <w:r>
        <w:rPr>
          <w:sz w:val="24"/>
          <w:szCs w:val="24"/>
        </w:rPr>
        <w:t xml:space="preserve">, S.T., Darmawan, M., </w:t>
      </w:r>
      <w:proofErr w:type="spellStart"/>
      <w:r>
        <w:rPr>
          <w:sz w:val="24"/>
          <w:szCs w:val="24"/>
        </w:rPr>
        <w:t>Anggi</w:t>
      </w:r>
      <w:proofErr w:type="spellEnd"/>
      <w:r>
        <w:rPr>
          <w:sz w:val="24"/>
          <w:szCs w:val="24"/>
        </w:rPr>
        <w:t xml:space="preserve">, J.F., Kusuma, C.F. and </w:t>
      </w:r>
      <w:proofErr w:type="spellStart"/>
      <w:r>
        <w:rPr>
          <w:sz w:val="24"/>
          <w:szCs w:val="24"/>
        </w:rPr>
        <w:t>Angga</w:t>
      </w:r>
      <w:proofErr w:type="spellEnd"/>
      <w:r>
        <w:rPr>
          <w:sz w:val="24"/>
          <w:szCs w:val="24"/>
        </w:rPr>
        <w:t xml:space="preserve"> </w:t>
      </w:r>
      <w:proofErr w:type="spellStart"/>
      <w:r>
        <w:rPr>
          <w:sz w:val="24"/>
          <w:szCs w:val="24"/>
        </w:rPr>
        <w:t>Prawira</w:t>
      </w:r>
      <w:proofErr w:type="spellEnd"/>
      <w:r>
        <w:rPr>
          <w:sz w:val="24"/>
          <w:szCs w:val="24"/>
        </w:rPr>
        <w:t xml:space="preserve"> </w:t>
      </w:r>
      <w:proofErr w:type="spellStart"/>
      <w:r>
        <w:rPr>
          <w:sz w:val="24"/>
          <w:szCs w:val="24"/>
        </w:rPr>
        <w:t>Kautsar</w:t>
      </w:r>
      <w:proofErr w:type="spellEnd"/>
      <w:r>
        <w:rPr>
          <w:sz w:val="24"/>
          <w:szCs w:val="24"/>
        </w:rPr>
        <w:t xml:space="preserve"> (2025). Meta-analysis of randomized controlled trials of electronic </w:t>
      </w:r>
      <w:r>
        <w:rPr>
          <w:sz w:val="24"/>
          <w:szCs w:val="24"/>
        </w:rPr>
        <w:lastRenderedPageBreak/>
        <w:t xml:space="preserve">health interventions to reduce medication errors. </w:t>
      </w:r>
      <w:proofErr w:type="spellStart"/>
      <w:r>
        <w:rPr>
          <w:i/>
          <w:iCs/>
          <w:sz w:val="24"/>
          <w:szCs w:val="24"/>
        </w:rPr>
        <w:t>npj</w:t>
      </w:r>
      <w:proofErr w:type="spellEnd"/>
      <w:r>
        <w:rPr>
          <w:i/>
          <w:iCs/>
          <w:sz w:val="24"/>
          <w:szCs w:val="24"/>
        </w:rPr>
        <w:t xml:space="preserve"> Digital Medicine</w:t>
      </w:r>
      <w:r>
        <w:rPr>
          <w:sz w:val="24"/>
          <w:szCs w:val="24"/>
        </w:rPr>
        <w:t xml:space="preserve">, [online] 8(1), pp.1–10. Available at: </w:t>
      </w:r>
      <w:hyperlink r:id="rId16">
        <w:r>
          <w:rPr>
            <w:color w:val="1155CC"/>
            <w:sz w:val="24"/>
            <w:szCs w:val="24"/>
            <w:u w:val="single"/>
          </w:rPr>
          <w:t>https://doi.org/10.1038/s41746-025-02127-7</w:t>
        </w:r>
      </w:hyperlink>
      <w:r>
        <w:rPr>
          <w:sz w:val="24"/>
          <w:szCs w:val="24"/>
        </w:rPr>
        <w:t xml:space="preserve">. </w:t>
      </w:r>
    </w:p>
    <w:p w14:paraId="0C783019" w14:textId="77777777" w:rsidR="001455D2" w:rsidRDefault="001455D2">
      <w:pPr>
        <w:spacing w:after="240"/>
        <w:rPr>
          <w:sz w:val="24"/>
          <w:szCs w:val="24"/>
        </w:rPr>
      </w:pPr>
      <w:r>
        <w:rPr>
          <w:sz w:val="24"/>
          <w:szCs w:val="24"/>
        </w:rPr>
        <w:t xml:space="preserve">Douglas, R.N., Stephens, L.S., Posner, K.L., Davies, J.M., Mincer, S.L., Burden, A.R. and Domino, K.B. (2021). Communication failures contributing to patient injury in anaesthesia malpractice claims☆. </w:t>
      </w:r>
      <w:r>
        <w:rPr>
          <w:i/>
          <w:iCs/>
          <w:sz w:val="24"/>
          <w:szCs w:val="24"/>
        </w:rPr>
        <w:t>British Journal of Anaesthesia</w:t>
      </w:r>
      <w:r>
        <w:rPr>
          <w:sz w:val="24"/>
          <w:szCs w:val="24"/>
        </w:rPr>
        <w:t xml:space="preserve">, 127(3), pp.470–478. Available at: </w:t>
      </w:r>
      <w:hyperlink r:id="rId17">
        <w:r>
          <w:rPr>
            <w:color w:val="1155CC"/>
            <w:sz w:val="24"/>
            <w:szCs w:val="24"/>
            <w:u w:val="single"/>
          </w:rPr>
          <w:t>https://doi.org/10.1016/j.bja.2021.05.030</w:t>
        </w:r>
      </w:hyperlink>
      <w:r>
        <w:rPr>
          <w:sz w:val="24"/>
          <w:szCs w:val="24"/>
        </w:rPr>
        <w:t xml:space="preserve">. </w:t>
      </w:r>
    </w:p>
    <w:p w14:paraId="79D9EB9F" w14:textId="77777777" w:rsidR="001455D2" w:rsidRDefault="001455D2">
      <w:pPr>
        <w:spacing w:after="240"/>
        <w:rPr>
          <w:sz w:val="24"/>
          <w:szCs w:val="24"/>
        </w:rPr>
      </w:pPr>
      <w:proofErr w:type="spellStart"/>
      <w:r>
        <w:rPr>
          <w:sz w:val="24"/>
          <w:szCs w:val="24"/>
        </w:rPr>
        <w:t>Elbasheer</w:t>
      </w:r>
      <w:proofErr w:type="spellEnd"/>
      <w:r>
        <w:rPr>
          <w:sz w:val="24"/>
          <w:szCs w:val="24"/>
        </w:rPr>
        <w:t xml:space="preserve">, M., Longo, F., Solina, V. and Ullah, I. (2026). Operational mode discovery and causal analysis for cascading failure detection and environmental monitoring: A case study in automatic assembly systems. </w:t>
      </w:r>
      <w:r>
        <w:rPr>
          <w:i/>
          <w:iCs/>
          <w:sz w:val="24"/>
          <w:szCs w:val="24"/>
        </w:rPr>
        <w:t>Journal of Manufacturing Systems</w:t>
      </w:r>
      <w:r>
        <w:rPr>
          <w:sz w:val="24"/>
          <w:szCs w:val="24"/>
        </w:rPr>
        <w:t xml:space="preserve">, 86, pp.376–392. Available at: </w:t>
      </w:r>
      <w:hyperlink r:id="rId18">
        <w:r>
          <w:rPr>
            <w:color w:val="1155CC"/>
            <w:sz w:val="24"/>
            <w:szCs w:val="24"/>
            <w:u w:val="single"/>
          </w:rPr>
          <w:t>https://doi.org/10.1016/j.jmsy.2026.03.003</w:t>
        </w:r>
      </w:hyperlink>
      <w:r>
        <w:rPr>
          <w:sz w:val="24"/>
          <w:szCs w:val="24"/>
        </w:rPr>
        <w:t xml:space="preserve">. </w:t>
      </w:r>
    </w:p>
    <w:p w14:paraId="383129F9" w14:textId="77777777" w:rsidR="001455D2" w:rsidRDefault="001455D2">
      <w:pPr>
        <w:spacing w:after="240"/>
        <w:rPr>
          <w:sz w:val="24"/>
          <w:szCs w:val="24"/>
        </w:rPr>
      </w:pPr>
      <w:r>
        <w:rPr>
          <w:sz w:val="24"/>
          <w:szCs w:val="24"/>
        </w:rPr>
        <w:t xml:space="preserve">Elliott, R.A., Camacho, E., Jankovic, D., </w:t>
      </w:r>
      <w:proofErr w:type="spellStart"/>
      <w:r>
        <w:rPr>
          <w:sz w:val="24"/>
          <w:szCs w:val="24"/>
        </w:rPr>
        <w:t>Sculpher</w:t>
      </w:r>
      <w:proofErr w:type="spellEnd"/>
      <w:r>
        <w:rPr>
          <w:sz w:val="24"/>
          <w:szCs w:val="24"/>
        </w:rPr>
        <w:t xml:space="preserve">, M.J. and Faria, R. (2021). Economic Analysis of the Prevalence and Clinical and Economic Burden of Medication Error in England. </w:t>
      </w:r>
      <w:r>
        <w:rPr>
          <w:i/>
          <w:iCs/>
          <w:sz w:val="24"/>
          <w:szCs w:val="24"/>
        </w:rPr>
        <w:t>BMJ Quality &amp; Safety</w:t>
      </w:r>
      <w:r>
        <w:rPr>
          <w:sz w:val="24"/>
          <w:szCs w:val="24"/>
        </w:rPr>
        <w:t xml:space="preserve">, [online] 30(2), pp.96–105. Available at: </w:t>
      </w:r>
      <w:hyperlink r:id="rId19">
        <w:r>
          <w:rPr>
            <w:color w:val="1155CC"/>
            <w:sz w:val="24"/>
            <w:szCs w:val="24"/>
            <w:u w:val="single"/>
          </w:rPr>
          <w:t>https://doi.org/10.1136/bmjqs-2019-010206</w:t>
        </w:r>
      </w:hyperlink>
      <w:r>
        <w:rPr>
          <w:sz w:val="24"/>
          <w:szCs w:val="24"/>
        </w:rPr>
        <w:t xml:space="preserve">. </w:t>
      </w:r>
    </w:p>
    <w:p w14:paraId="51240EFF" w14:textId="77777777" w:rsidR="001455D2" w:rsidRDefault="001455D2">
      <w:pPr>
        <w:spacing w:after="240"/>
        <w:rPr>
          <w:sz w:val="24"/>
          <w:szCs w:val="24"/>
        </w:rPr>
      </w:pPr>
      <w:r>
        <w:rPr>
          <w:sz w:val="24"/>
          <w:szCs w:val="24"/>
        </w:rPr>
        <w:t xml:space="preserve">Hamdan, M., Jaaffar, A., </w:t>
      </w:r>
      <w:proofErr w:type="spellStart"/>
      <w:r>
        <w:rPr>
          <w:sz w:val="24"/>
          <w:szCs w:val="24"/>
        </w:rPr>
        <w:t>Khraisat</w:t>
      </w:r>
      <w:proofErr w:type="spellEnd"/>
      <w:r>
        <w:rPr>
          <w:sz w:val="24"/>
          <w:szCs w:val="24"/>
        </w:rPr>
        <w:t xml:space="preserve">, O., Issa, M. and Jarrar, M. (2024). The Association of Transformational Leadership on Safety Practices Among Nurses: The Mediating Role of Patient Safety Culture. </w:t>
      </w:r>
      <w:r>
        <w:rPr>
          <w:i/>
          <w:iCs/>
          <w:sz w:val="24"/>
          <w:szCs w:val="24"/>
        </w:rPr>
        <w:t>Risk management and healthcare policy</w:t>
      </w:r>
      <w:r>
        <w:rPr>
          <w:sz w:val="24"/>
          <w:szCs w:val="24"/>
        </w:rPr>
        <w:t xml:space="preserve">, Volume 17(1), pp.1687–1700. Available at: </w:t>
      </w:r>
      <w:hyperlink r:id="rId20">
        <w:r>
          <w:rPr>
            <w:color w:val="1155CC"/>
            <w:sz w:val="24"/>
            <w:szCs w:val="24"/>
            <w:u w:val="single"/>
          </w:rPr>
          <w:t>https://doi.org/10.2147/rmhp.s458505</w:t>
        </w:r>
      </w:hyperlink>
      <w:r>
        <w:rPr>
          <w:sz w:val="24"/>
          <w:szCs w:val="24"/>
        </w:rPr>
        <w:t xml:space="preserve">. </w:t>
      </w:r>
    </w:p>
    <w:p w14:paraId="6F6028CC" w14:textId="77777777" w:rsidR="001455D2" w:rsidRDefault="001455D2">
      <w:pPr>
        <w:spacing w:after="240"/>
        <w:rPr>
          <w:sz w:val="24"/>
          <w:szCs w:val="24"/>
        </w:rPr>
      </w:pPr>
      <w:r>
        <w:rPr>
          <w:sz w:val="24"/>
          <w:szCs w:val="24"/>
        </w:rPr>
        <w:t xml:space="preserve">Hanson, K., </w:t>
      </w:r>
      <w:proofErr w:type="spellStart"/>
      <w:r>
        <w:rPr>
          <w:sz w:val="24"/>
          <w:szCs w:val="24"/>
        </w:rPr>
        <w:t>Brikci</w:t>
      </w:r>
      <w:proofErr w:type="spellEnd"/>
      <w:r>
        <w:rPr>
          <w:sz w:val="24"/>
          <w:szCs w:val="24"/>
        </w:rPr>
        <w:t xml:space="preserve">, N., </w:t>
      </w:r>
      <w:proofErr w:type="spellStart"/>
      <w:r>
        <w:rPr>
          <w:sz w:val="24"/>
          <w:szCs w:val="24"/>
        </w:rPr>
        <w:t>Erlangga</w:t>
      </w:r>
      <w:proofErr w:type="spellEnd"/>
      <w:r>
        <w:rPr>
          <w:sz w:val="24"/>
          <w:szCs w:val="24"/>
        </w:rPr>
        <w:t xml:space="preserve">, D., Alebachew, A., De Allegri, M., </w:t>
      </w:r>
      <w:proofErr w:type="spellStart"/>
      <w:r>
        <w:rPr>
          <w:sz w:val="24"/>
          <w:szCs w:val="24"/>
        </w:rPr>
        <w:t>Balabanova</w:t>
      </w:r>
      <w:proofErr w:type="spellEnd"/>
      <w:r>
        <w:rPr>
          <w:sz w:val="24"/>
          <w:szCs w:val="24"/>
        </w:rPr>
        <w:t xml:space="preserve">, D., Blecher, M., Cashin, C., </w:t>
      </w:r>
      <w:proofErr w:type="spellStart"/>
      <w:r>
        <w:rPr>
          <w:sz w:val="24"/>
          <w:szCs w:val="24"/>
        </w:rPr>
        <w:t>Esperato</w:t>
      </w:r>
      <w:proofErr w:type="spellEnd"/>
      <w:r>
        <w:rPr>
          <w:sz w:val="24"/>
          <w:szCs w:val="24"/>
        </w:rPr>
        <w:t xml:space="preserve">, A., </w:t>
      </w:r>
      <w:proofErr w:type="spellStart"/>
      <w:r>
        <w:rPr>
          <w:sz w:val="24"/>
          <w:szCs w:val="24"/>
        </w:rPr>
        <w:t>Hipgrave</w:t>
      </w:r>
      <w:proofErr w:type="spellEnd"/>
      <w:r>
        <w:rPr>
          <w:sz w:val="24"/>
          <w:szCs w:val="24"/>
        </w:rPr>
        <w:t xml:space="preserve">, D., Kalisa, I., Kurowski, C., Meng, Q., Morgan, D., </w:t>
      </w:r>
      <w:proofErr w:type="spellStart"/>
      <w:r>
        <w:rPr>
          <w:sz w:val="24"/>
          <w:szCs w:val="24"/>
        </w:rPr>
        <w:t>Mtei</w:t>
      </w:r>
      <w:proofErr w:type="spellEnd"/>
      <w:r>
        <w:rPr>
          <w:sz w:val="24"/>
          <w:szCs w:val="24"/>
        </w:rPr>
        <w:t xml:space="preserve">, G., Nolte, E., </w:t>
      </w:r>
      <w:proofErr w:type="spellStart"/>
      <w:r>
        <w:rPr>
          <w:sz w:val="24"/>
          <w:szCs w:val="24"/>
        </w:rPr>
        <w:t>Onoka</w:t>
      </w:r>
      <w:proofErr w:type="spellEnd"/>
      <w:r>
        <w:rPr>
          <w:sz w:val="24"/>
          <w:szCs w:val="24"/>
        </w:rPr>
        <w:t xml:space="preserve">, C., Powell-Jackson, T., Roland, M. and </w:t>
      </w:r>
      <w:proofErr w:type="spellStart"/>
      <w:r>
        <w:rPr>
          <w:sz w:val="24"/>
          <w:szCs w:val="24"/>
        </w:rPr>
        <w:t>Sadanandan</w:t>
      </w:r>
      <w:proofErr w:type="spellEnd"/>
      <w:r>
        <w:rPr>
          <w:sz w:val="24"/>
          <w:szCs w:val="24"/>
        </w:rPr>
        <w:t xml:space="preserve">, R. (2022). The Lancet Global Health Commission on Financing Primary Health care: Putting People at the Centre. </w:t>
      </w:r>
      <w:r>
        <w:rPr>
          <w:i/>
          <w:iCs/>
          <w:sz w:val="24"/>
          <w:szCs w:val="24"/>
        </w:rPr>
        <w:t>The Lancet Global Health</w:t>
      </w:r>
      <w:r>
        <w:rPr>
          <w:sz w:val="24"/>
          <w:szCs w:val="24"/>
        </w:rPr>
        <w:t xml:space="preserve">, [online] 10(5), pp.715–772. Available at: </w:t>
      </w:r>
      <w:hyperlink r:id="rId21">
        <w:r>
          <w:rPr>
            <w:color w:val="1155CC"/>
            <w:sz w:val="24"/>
            <w:szCs w:val="24"/>
            <w:u w:val="single"/>
          </w:rPr>
          <w:t>https://doi.org/10.1016/s2214-109x(22)00005-5</w:t>
        </w:r>
      </w:hyperlink>
      <w:r>
        <w:rPr>
          <w:sz w:val="24"/>
          <w:szCs w:val="24"/>
        </w:rPr>
        <w:t xml:space="preserve">. </w:t>
      </w:r>
    </w:p>
    <w:p w14:paraId="570A03FB" w14:textId="37D6FFE6" w:rsidR="001455D2" w:rsidRDefault="001455D2">
      <w:pPr>
        <w:spacing w:after="240"/>
        <w:rPr>
          <w:sz w:val="24"/>
          <w:szCs w:val="24"/>
        </w:rPr>
      </w:pPr>
      <w:r>
        <w:rPr>
          <w:sz w:val="24"/>
          <w:szCs w:val="24"/>
        </w:rPr>
        <w:t xml:space="preserve">HSSIB (2021). </w:t>
      </w:r>
      <w:r>
        <w:rPr>
          <w:i/>
          <w:iCs/>
          <w:sz w:val="24"/>
          <w:szCs w:val="24"/>
        </w:rPr>
        <w:t>Weight-based medication errors in children</w:t>
      </w:r>
      <w:r>
        <w:rPr>
          <w:sz w:val="24"/>
          <w:szCs w:val="24"/>
        </w:rPr>
        <w:t xml:space="preserve">. [online] HSSIB. Available at: </w:t>
      </w:r>
      <w:hyperlink r:id="rId22">
        <w:r>
          <w:rPr>
            <w:color w:val="1155CC"/>
            <w:sz w:val="24"/>
            <w:szCs w:val="24"/>
            <w:u w:val="single"/>
          </w:rPr>
          <w:t>https://www.hssib.org.uk/patient-safety-investigations/weight-based-medication-errors-in-children/investigation-report</w:t>
        </w:r>
      </w:hyperlink>
      <w:r>
        <w:rPr>
          <w:sz w:val="24"/>
          <w:szCs w:val="24"/>
        </w:rPr>
        <w:t xml:space="preserve"> .</w:t>
      </w:r>
    </w:p>
    <w:p w14:paraId="3647A759" w14:textId="0E58F6C4" w:rsidR="001455D2" w:rsidRDefault="001455D2">
      <w:pPr>
        <w:spacing w:after="240"/>
        <w:rPr>
          <w:sz w:val="24"/>
          <w:szCs w:val="24"/>
        </w:rPr>
      </w:pPr>
      <w:r>
        <w:rPr>
          <w:sz w:val="24"/>
          <w:szCs w:val="24"/>
        </w:rPr>
        <w:t xml:space="preserve">HSSIB (2022). </w:t>
      </w:r>
      <w:r>
        <w:rPr>
          <w:i/>
          <w:iCs/>
          <w:sz w:val="24"/>
          <w:szCs w:val="24"/>
        </w:rPr>
        <w:t>Investigation report: Electronic prescribing and medicines administration systems and safe discharge</w:t>
      </w:r>
      <w:r>
        <w:rPr>
          <w:sz w:val="24"/>
          <w:szCs w:val="24"/>
        </w:rPr>
        <w:t xml:space="preserve">. [online] HSSIB. Available at: </w:t>
      </w:r>
      <w:hyperlink r:id="rId23">
        <w:r>
          <w:rPr>
            <w:color w:val="1155CC"/>
            <w:sz w:val="24"/>
            <w:szCs w:val="24"/>
            <w:u w:val="single"/>
          </w:rPr>
          <w:t>https://www.hssib.org.uk/patient-safety-investigations/electronic-prescribing-and-medicines-administration-systems-and-safe-discharge/investigation-report/</w:t>
        </w:r>
      </w:hyperlink>
      <w:r>
        <w:rPr>
          <w:sz w:val="24"/>
          <w:szCs w:val="24"/>
        </w:rPr>
        <w:t xml:space="preserve"> .</w:t>
      </w:r>
    </w:p>
    <w:p w14:paraId="75EBE223" w14:textId="77777777" w:rsidR="001455D2" w:rsidRDefault="001455D2">
      <w:pPr>
        <w:spacing w:after="240"/>
        <w:rPr>
          <w:sz w:val="24"/>
          <w:szCs w:val="24"/>
        </w:rPr>
      </w:pPr>
      <w:r>
        <w:rPr>
          <w:sz w:val="24"/>
          <w:szCs w:val="24"/>
        </w:rPr>
        <w:t>Khairy, H.A., Baquero, A. and Al-</w:t>
      </w:r>
      <w:proofErr w:type="spellStart"/>
      <w:r>
        <w:rPr>
          <w:sz w:val="24"/>
          <w:szCs w:val="24"/>
        </w:rPr>
        <w:t>Romeedy</w:t>
      </w:r>
      <w:proofErr w:type="spellEnd"/>
      <w:r>
        <w:rPr>
          <w:sz w:val="24"/>
          <w:szCs w:val="24"/>
        </w:rPr>
        <w:t xml:space="preserve">, B.S. (2023). The Effect of Transactional Leadership on Organizational Agility in Tourism and Hospitality Businesses: The Mediating Roles of Organizational Trust and Ambidexterity. </w:t>
      </w:r>
      <w:r>
        <w:rPr>
          <w:i/>
          <w:iCs/>
          <w:sz w:val="24"/>
          <w:szCs w:val="24"/>
        </w:rPr>
        <w:t>Sustainability</w:t>
      </w:r>
      <w:r>
        <w:rPr>
          <w:sz w:val="24"/>
          <w:szCs w:val="24"/>
        </w:rPr>
        <w:t xml:space="preserve">, [online] 15(19), pp.1–21. Available at: </w:t>
      </w:r>
      <w:hyperlink r:id="rId24">
        <w:r>
          <w:rPr>
            <w:color w:val="1155CC"/>
            <w:sz w:val="24"/>
            <w:szCs w:val="24"/>
            <w:u w:val="single"/>
          </w:rPr>
          <w:t>https://doi.org/10.3390/su151914337</w:t>
        </w:r>
      </w:hyperlink>
      <w:r>
        <w:rPr>
          <w:sz w:val="24"/>
          <w:szCs w:val="24"/>
        </w:rPr>
        <w:t xml:space="preserve">. </w:t>
      </w:r>
    </w:p>
    <w:p w14:paraId="754F4CA0" w14:textId="77777777" w:rsidR="001455D2" w:rsidRDefault="001455D2">
      <w:pPr>
        <w:spacing w:after="240"/>
        <w:rPr>
          <w:sz w:val="24"/>
          <w:szCs w:val="24"/>
        </w:rPr>
      </w:pPr>
      <w:r>
        <w:rPr>
          <w:sz w:val="24"/>
          <w:szCs w:val="24"/>
        </w:rPr>
        <w:t xml:space="preserve">Khan, I.U., Amin, R.U. and Saif, N. (2022). Individualized consideration and idealized influence of transformational leadership: Mediating role of inspirational motivation and intellectual stimulation. </w:t>
      </w:r>
      <w:r>
        <w:rPr>
          <w:i/>
          <w:iCs/>
          <w:sz w:val="24"/>
          <w:szCs w:val="24"/>
        </w:rPr>
        <w:t>International Journal of Leadership in Education</w:t>
      </w:r>
      <w:r>
        <w:rPr>
          <w:sz w:val="24"/>
          <w:szCs w:val="24"/>
        </w:rPr>
        <w:t xml:space="preserve">, 1(1), pp.1–11. Available at: </w:t>
      </w:r>
      <w:hyperlink r:id="rId25">
        <w:r>
          <w:rPr>
            <w:color w:val="1155CC"/>
            <w:sz w:val="24"/>
            <w:szCs w:val="24"/>
            <w:u w:val="single"/>
          </w:rPr>
          <w:t>https://doi.org/10.1080/13603124.2022.2076286</w:t>
        </w:r>
      </w:hyperlink>
      <w:r>
        <w:rPr>
          <w:sz w:val="24"/>
          <w:szCs w:val="24"/>
        </w:rPr>
        <w:t xml:space="preserve">. </w:t>
      </w:r>
    </w:p>
    <w:p w14:paraId="7E3B9653" w14:textId="77777777" w:rsidR="001455D2" w:rsidRDefault="001455D2">
      <w:pPr>
        <w:spacing w:after="240"/>
        <w:rPr>
          <w:sz w:val="24"/>
          <w:szCs w:val="24"/>
        </w:rPr>
      </w:pPr>
      <w:proofErr w:type="spellStart"/>
      <w:r>
        <w:rPr>
          <w:sz w:val="24"/>
          <w:szCs w:val="24"/>
        </w:rPr>
        <w:t>Marchito</w:t>
      </w:r>
      <w:proofErr w:type="spellEnd"/>
      <w:r>
        <w:rPr>
          <w:sz w:val="24"/>
          <w:szCs w:val="24"/>
        </w:rPr>
        <w:t xml:space="preserve">, A.D.P., García, A.G. and de, M. (2025). The Hersey and Blanchard’s Situational Leadership Model Revisited: Its Role in Sustainable Organizational Development. </w:t>
      </w:r>
      <w:r>
        <w:rPr>
          <w:i/>
          <w:iCs/>
          <w:sz w:val="24"/>
          <w:szCs w:val="24"/>
        </w:rPr>
        <w:t>World</w:t>
      </w:r>
      <w:r>
        <w:rPr>
          <w:sz w:val="24"/>
          <w:szCs w:val="24"/>
        </w:rPr>
        <w:t xml:space="preserve">, [online] 6(2), pp.1–28. Available at: </w:t>
      </w:r>
      <w:hyperlink r:id="rId26">
        <w:r>
          <w:rPr>
            <w:color w:val="1155CC"/>
            <w:sz w:val="24"/>
            <w:szCs w:val="24"/>
            <w:u w:val="single"/>
          </w:rPr>
          <w:t>https://www.mdpi.com/2673-4060/6/2/63</w:t>
        </w:r>
      </w:hyperlink>
      <w:r>
        <w:rPr>
          <w:sz w:val="24"/>
          <w:szCs w:val="24"/>
        </w:rPr>
        <w:t xml:space="preserve">. </w:t>
      </w:r>
    </w:p>
    <w:p w14:paraId="4F02E643" w14:textId="77777777" w:rsidR="001455D2" w:rsidRDefault="001455D2">
      <w:pPr>
        <w:spacing w:after="240"/>
        <w:rPr>
          <w:sz w:val="24"/>
          <w:szCs w:val="24"/>
        </w:rPr>
      </w:pPr>
      <w:r>
        <w:rPr>
          <w:sz w:val="24"/>
          <w:szCs w:val="24"/>
        </w:rPr>
        <w:t xml:space="preserve">Müller, M., Jürgens, J., </w:t>
      </w:r>
      <w:proofErr w:type="spellStart"/>
      <w:r>
        <w:rPr>
          <w:sz w:val="24"/>
          <w:szCs w:val="24"/>
        </w:rPr>
        <w:t>Redaèlli</w:t>
      </w:r>
      <w:proofErr w:type="spellEnd"/>
      <w:r>
        <w:rPr>
          <w:sz w:val="24"/>
          <w:szCs w:val="24"/>
        </w:rPr>
        <w:t xml:space="preserve">, M., Klingberg, K., Hautz, W.E. and Stock, S. (2018). Impact of the Communication and Patient hand-off Tool SBAR on Patient safety: a Systematic Review. </w:t>
      </w:r>
      <w:r>
        <w:rPr>
          <w:i/>
          <w:iCs/>
          <w:sz w:val="24"/>
          <w:szCs w:val="24"/>
        </w:rPr>
        <w:t>BMJ Open</w:t>
      </w:r>
      <w:r>
        <w:rPr>
          <w:sz w:val="24"/>
          <w:szCs w:val="24"/>
        </w:rPr>
        <w:t xml:space="preserve">, 8(8), pp.1–10. Available at: </w:t>
      </w:r>
      <w:hyperlink r:id="rId27">
        <w:r>
          <w:rPr>
            <w:color w:val="1155CC"/>
            <w:sz w:val="24"/>
            <w:szCs w:val="24"/>
            <w:u w:val="single"/>
          </w:rPr>
          <w:t>https://doi.org/10.1136/bmjopen-2018-022202</w:t>
        </w:r>
      </w:hyperlink>
      <w:r>
        <w:rPr>
          <w:sz w:val="24"/>
          <w:szCs w:val="24"/>
        </w:rPr>
        <w:t xml:space="preserve">. </w:t>
      </w:r>
    </w:p>
    <w:p w14:paraId="3D4878C6" w14:textId="732BF569" w:rsidR="001455D2" w:rsidRDefault="001455D2">
      <w:pPr>
        <w:spacing w:after="240"/>
        <w:rPr>
          <w:sz w:val="24"/>
          <w:szCs w:val="24"/>
        </w:rPr>
      </w:pPr>
      <w:r>
        <w:rPr>
          <w:sz w:val="24"/>
          <w:szCs w:val="24"/>
        </w:rPr>
        <w:t xml:space="preserve">NHS (2024). </w:t>
      </w:r>
      <w:r>
        <w:rPr>
          <w:i/>
          <w:iCs/>
          <w:sz w:val="24"/>
          <w:szCs w:val="24"/>
        </w:rPr>
        <w:t xml:space="preserve">Standardisation of RAG rating definitions for formularies across London: Final recommendations report </w:t>
      </w:r>
      <w:proofErr w:type="spellStart"/>
      <w:r>
        <w:rPr>
          <w:i/>
          <w:iCs/>
          <w:sz w:val="24"/>
          <w:szCs w:val="24"/>
        </w:rPr>
        <w:t>Ashifa</w:t>
      </w:r>
      <w:proofErr w:type="spellEnd"/>
      <w:r>
        <w:rPr>
          <w:i/>
          <w:iCs/>
          <w:sz w:val="24"/>
          <w:szCs w:val="24"/>
        </w:rPr>
        <w:t xml:space="preserve"> Trivedi, Chief Pharmaceutical Officer’s Clinical Fellow 23/24, NHS London Procurement Partnership </w:t>
      </w:r>
      <w:proofErr w:type="spellStart"/>
      <w:r>
        <w:rPr>
          <w:i/>
          <w:iCs/>
          <w:sz w:val="24"/>
          <w:szCs w:val="24"/>
        </w:rPr>
        <w:t>Kalveer</w:t>
      </w:r>
      <w:proofErr w:type="spellEnd"/>
      <w:r>
        <w:rPr>
          <w:i/>
          <w:iCs/>
          <w:sz w:val="24"/>
          <w:szCs w:val="24"/>
        </w:rPr>
        <w:t xml:space="preserve"> Flora, Principal Pharmacist, NHS London Procurement Partnership Dr Raliat </w:t>
      </w:r>
      <w:proofErr w:type="spellStart"/>
      <w:r>
        <w:rPr>
          <w:i/>
          <w:iCs/>
          <w:sz w:val="24"/>
          <w:szCs w:val="24"/>
        </w:rPr>
        <w:t>Onatade</w:t>
      </w:r>
      <w:proofErr w:type="spellEnd"/>
      <w:r>
        <w:rPr>
          <w:i/>
          <w:iCs/>
          <w:sz w:val="24"/>
          <w:szCs w:val="24"/>
        </w:rPr>
        <w:t>, NHS North East London -Chief Pharmacist and Director of Medicines and Pharmacy Standardisation of RAG definitions for formularies across London NHS London Procurement Partnership 2 Background on RAG Rating System</w:t>
      </w:r>
      <w:r>
        <w:rPr>
          <w:sz w:val="24"/>
          <w:szCs w:val="24"/>
        </w:rPr>
        <w:t xml:space="preserve">. [online] Available at: </w:t>
      </w:r>
      <w:hyperlink r:id="rId28">
        <w:r>
          <w:rPr>
            <w:color w:val="1155CC"/>
            <w:sz w:val="24"/>
            <w:szCs w:val="24"/>
            <w:u w:val="single"/>
          </w:rPr>
          <w:t>https://www.lpp.nhs.uk/media/588937/standardisation-of-rag-rating-definitions-for-formularies-across-london-with-final-recommendations.pdf</w:t>
        </w:r>
      </w:hyperlink>
      <w:r>
        <w:rPr>
          <w:sz w:val="24"/>
          <w:szCs w:val="24"/>
        </w:rPr>
        <w:t xml:space="preserve"> .</w:t>
      </w:r>
    </w:p>
    <w:p w14:paraId="204E1501" w14:textId="77777777" w:rsidR="001455D2" w:rsidRDefault="001455D2">
      <w:pPr>
        <w:spacing w:after="240"/>
        <w:rPr>
          <w:sz w:val="24"/>
          <w:szCs w:val="24"/>
        </w:rPr>
      </w:pPr>
      <w:proofErr w:type="spellStart"/>
      <w:r>
        <w:rPr>
          <w:sz w:val="24"/>
          <w:szCs w:val="24"/>
        </w:rPr>
        <w:t>Pasaribu</w:t>
      </w:r>
      <w:proofErr w:type="spellEnd"/>
      <w:r>
        <w:rPr>
          <w:sz w:val="24"/>
          <w:szCs w:val="24"/>
        </w:rPr>
        <w:t xml:space="preserve">, S.B., </w:t>
      </w:r>
      <w:proofErr w:type="spellStart"/>
      <w:r>
        <w:rPr>
          <w:sz w:val="24"/>
          <w:szCs w:val="24"/>
        </w:rPr>
        <w:t>Goestjahjanti</w:t>
      </w:r>
      <w:proofErr w:type="spellEnd"/>
      <w:r>
        <w:rPr>
          <w:sz w:val="24"/>
          <w:szCs w:val="24"/>
        </w:rPr>
        <w:t xml:space="preserve">, F.S., Srinita, S., Novitasari, D. and Haryanto, B. (2022). The Role of Situational Leadership on Job Satisfaction, Organizational Citizenship </w:t>
      </w:r>
      <w:proofErr w:type="spellStart"/>
      <w:r>
        <w:rPr>
          <w:sz w:val="24"/>
          <w:szCs w:val="24"/>
        </w:rPr>
        <w:lastRenderedPageBreak/>
        <w:t>Behavior</w:t>
      </w:r>
      <w:proofErr w:type="spellEnd"/>
      <w:r>
        <w:rPr>
          <w:sz w:val="24"/>
          <w:szCs w:val="24"/>
        </w:rPr>
        <w:t xml:space="preserve"> (OCB), and Employee Performance. </w:t>
      </w:r>
      <w:r>
        <w:rPr>
          <w:i/>
          <w:iCs/>
          <w:sz w:val="24"/>
          <w:szCs w:val="24"/>
        </w:rPr>
        <w:t>Frontiers in Psychology</w:t>
      </w:r>
      <w:r>
        <w:rPr>
          <w:sz w:val="24"/>
          <w:szCs w:val="24"/>
        </w:rPr>
        <w:t xml:space="preserve">, [online] 13(13), pp.1–4. Available at: </w:t>
      </w:r>
      <w:hyperlink r:id="rId29">
        <w:r>
          <w:rPr>
            <w:color w:val="1155CC"/>
            <w:sz w:val="24"/>
            <w:szCs w:val="24"/>
            <w:u w:val="single"/>
          </w:rPr>
          <w:t>https://doi.org/10.3389/fpsyg.2022.896539</w:t>
        </w:r>
      </w:hyperlink>
      <w:r>
        <w:rPr>
          <w:sz w:val="24"/>
          <w:szCs w:val="24"/>
        </w:rPr>
        <w:t xml:space="preserve">. </w:t>
      </w:r>
    </w:p>
    <w:p w14:paraId="6E888F5E" w14:textId="77777777" w:rsidR="001455D2" w:rsidRDefault="001455D2">
      <w:pPr>
        <w:spacing w:after="240"/>
        <w:rPr>
          <w:sz w:val="24"/>
          <w:szCs w:val="24"/>
        </w:rPr>
      </w:pPr>
      <w:r>
        <w:rPr>
          <w:sz w:val="24"/>
          <w:szCs w:val="24"/>
        </w:rPr>
        <w:t xml:space="preserve">Redmond, P., Grimes, T.C., McDonnell, R., Boland, F., Hughes, C. and Fahey, T. (2019). Impact of medication reconciliation for improving transitions of care. </w:t>
      </w:r>
      <w:r>
        <w:rPr>
          <w:i/>
          <w:iCs/>
          <w:sz w:val="24"/>
          <w:szCs w:val="24"/>
        </w:rPr>
        <w:t>Cochrane Database of Systematic Reviews</w:t>
      </w:r>
      <w:r>
        <w:rPr>
          <w:sz w:val="24"/>
          <w:szCs w:val="24"/>
        </w:rPr>
        <w:t xml:space="preserve">, 8(8), pp.1–125. Available at: </w:t>
      </w:r>
      <w:hyperlink r:id="rId30">
        <w:r>
          <w:rPr>
            <w:color w:val="1155CC"/>
            <w:sz w:val="24"/>
            <w:szCs w:val="24"/>
            <w:u w:val="single"/>
          </w:rPr>
          <w:t>https://doi.org/10.1002/14651858.cd010791.pub2</w:t>
        </w:r>
      </w:hyperlink>
      <w:r>
        <w:rPr>
          <w:sz w:val="24"/>
          <w:szCs w:val="24"/>
        </w:rPr>
        <w:t xml:space="preserve">. </w:t>
      </w:r>
    </w:p>
    <w:p w14:paraId="07F0F859" w14:textId="77777777" w:rsidR="001455D2" w:rsidRDefault="001455D2">
      <w:pPr>
        <w:spacing w:after="240"/>
        <w:rPr>
          <w:sz w:val="24"/>
          <w:szCs w:val="24"/>
        </w:rPr>
      </w:pPr>
      <w:proofErr w:type="spellStart"/>
      <w:r>
        <w:rPr>
          <w:sz w:val="24"/>
          <w:szCs w:val="24"/>
        </w:rPr>
        <w:t>Seljemo</w:t>
      </w:r>
      <w:proofErr w:type="spellEnd"/>
      <w:r>
        <w:rPr>
          <w:sz w:val="24"/>
          <w:szCs w:val="24"/>
        </w:rPr>
        <w:t xml:space="preserve">, C., </w:t>
      </w:r>
      <w:proofErr w:type="spellStart"/>
      <w:r>
        <w:rPr>
          <w:sz w:val="24"/>
          <w:szCs w:val="24"/>
        </w:rPr>
        <w:t>Viksveen</w:t>
      </w:r>
      <w:proofErr w:type="spellEnd"/>
      <w:r>
        <w:rPr>
          <w:sz w:val="24"/>
          <w:szCs w:val="24"/>
        </w:rPr>
        <w:t xml:space="preserve">, P. and Ree, E. (2020). The Role of Transformational leadership, Job Demands and Job Resources for Patient Safety Culture in Norwegian Nursing homes: a cross-sectional Study. </w:t>
      </w:r>
      <w:r>
        <w:rPr>
          <w:i/>
          <w:iCs/>
          <w:sz w:val="24"/>
          <w:szCs w:val="24"/>
        </w:rPr>
        <w:t>BMC Health Services Research</w:t>
      </w:r>
      <w:r>
        <w:rPr>
          <w:sz w:val="24"/>
          <w:szCs w:val="24"/>
        </w:rPr>
        <w:t xml:space="preserve">, [online] 20(1), pp.1–8. Available at: </w:t>
      </w:r>
      <w:hyperlink r:id="rId31">
        <w:r>
          <w:rPr>
            <w:color w:val="1155CC"/>
            <w:sz w:val="24"/>
            <w:szCs w:val="24"/>
            <w:u w:val="single"/>
          </w:rPr>
          <w:t>https://doi.org/10.1186/s12913-020-05671-y</w:t>
        </w:r>
      </w:hyperlink>
      <w:r>
        <w:rPr>
          <w:sz w:val="24"/>
          <w:szCs w:val="24"/>
        </w:rPr>
        <w:t xml:space="preserve">. </w:t>
      </w:r>
    </w:p>
    <w:p w14:paraId="427410B9" w14:textId="77777777" w:rsidR="001455D2" w:rsidRDefault="001455D2">
      <w:pPr>
        <w:spacing w:after="240"/>
        <w:rPr>
          <w:sz w:val="24"/>
          <w:szCs w:val="24"/>
        </w:rPr>
      </w:pPr>
      <w:r>
        <w:rPr>
          <w:sz w:val="24"/>
          <w:szCs w:val="24"/>
        </w:rPr>
        <w:t xml:space="preserve">Taiwo, M., Olowu, A., </w:t>
      </w:r>
      <w:proofErr w:type="spellStart"/>
      <w:r>
        <w:rPr>
          <w:sz w:val="24"/>
          <w:szCs w:val="24"/>
        </w:rPr>
        <w:t>Olanlokun</w:t>
      </w:r>
      <w:proofErr w:type="spellEnd"/>
      <w:r>
        <w:rPr>
          <w:sz w:val="24"/>
          <w:szCs w:val="24"/>
        </w:rPr>
        <w:t xml:space="preserve">, Y. and Timothy, O. (2021). Clinical decision-making autonomy of pharmacists in decentralized models of healthcare administration and risk management. </w:t>
      </w:r>
      <w:r>
        <w:rPr>
          <w:i/>
          <w:iCs/>
          <w:sz w:val="24"/>
          <w:szCs w:val="24"/>
        </w:rPr>
        <w:t>World Journal of Advanced Research and Reviews</w:t>
      </w:r>
      <w:r>
        <w:rPr>
          <w:sz w:val="24"/>
          <w:szCs w:val="24"/>
        </w:rPr>
        <w:t xml:space="preserve">, 12(3), pp.727–745. Available at: </w:t>
      </w:r>
      <w:hyperlink r:id="rId32">
        <w:r>
          <w:rPr>
            <w:color w:val="1155CC"/>
            <w:sz w:val="24"/>
            <w:szCs w:val="24"/>
            <w:u w:val="single"/>
          </w:rPr>
          <w:t>https://doi.org/10.30574/wjarr.2021.12.3.0721</w:t>
        </w:r>
      </w:hyperlink>
      <w:r>
        <w:rPr>
          <w:sz w:val="24"/>
          <w:szCs w:val="24"/>
        </w:rPr>
        <w:t xml:space="preserve">. </w:t>
      </w:r>
    </w:p>
    <w:p w14:paraId="79B2715B" w14:textId="3BD03FFD" w:rsidR="001455D2" w:rsidRDefault="001455D2">
      <w:pPr>
        <w:spacing w:after="240"/>
        <w:rPr>
          <w:sz w:val="24"/>
          <w:szCs w:val="24"/>
        </w:rPr>
      </w:pPr>
      <w:r>
        <w:rPr>
          <w:sz w:val="24"/>
          <w:szCs w:val="24"/>
        </w:rPr>
        <w:t xml:space="preserve">University of Manchester (2023). </w:t>
      </w:r>
      <w:r>
        <w:rPr>
          <w:i/>
          <w:iCs/>
          <w:sz w:val="24"/>
          <w:szCs w:val="24"/>
        </w:rPr>
        <w:t>Electronic sharing of prescription medicines information would make patients safer, study shows</w:t>
      </w:r>
      <w:r>
        <w:rPr>
          <w:sz w:val="24"/>
          <w:szCs w:val="24"/>
        </w:rPr>
        <w:t>. [online] Electronic sharing of prescription medicines information would make patients safer, study shows . Available at:</w:t>
      </w:r>
      <w:hyperlink r:id="rId33" w:history="1">
        <w:r w:rsidR="00A711B5" w:rsidRPr="005C5253">
          <w:rPr>
            <w:rStyle w:val="Hyperlink"/>
            <w:sz w:val="24"/>
            <w:szCs w:val="24"/>
          </w:rPr>
          <w:t>https://www.manchester.ac.uk/about/news/electronic-sharing-of-prescription-medicines-information-would-make-patients-safer-study-shows/</w:t>
        </w:r>
      </w:hyperlink>
      <w:r>
        <w:rPr>
          <w:sz w:val="24"/>
          <w:szCs w:val="24"/>
        </w:rPr>
        <w:t>.</w:t>
      </w:r>
    </w:p>
    <w:p w14:paraId="4DB39C54" w14:textId="77777777" w:rsidR="001455D2" w:rsidRDefault="001455D2">
      <w:pPr>
        <w:spacing w:after="240"/>
        <w:rPr>
          <w:sz w:val="24"/>
          <w:szCs w:val="24"/>
        </w:rPr>
      </w:pPr>
      <w:r>
        <w:rPr>
          <w:sz w:val="24"/>
          <w:szCs w:val="24"/>
        </w:rPr>
        <w:t xml:space="preserve">Wang, X., Liu, Y., Peng, Z., Li, B., Liang, Q., Liao, S. and Liu, M. (2024). Situational leadership theory in nursing management: a scoping review. </w:t>
      </w:r>
      <w:r>
        <w:rPr>
          <w:i/>
          <w:iCs/>
          <w:sz w:val="24"/>
          <w:szCs w:val="24"/>
        </w:rPr>
        <w:t>BMC Nursing</w:t>
      </w:r>
      <w:r>
        <w:rPr>
          <w:sz w:val="24"/>
          <w:szCs w:val="24"/>
        </w:rPr>
        <w:t xml:space="preserve">, [online] 23(1), pp.1–16. Available at: </w:t>
      </w:r>
      <w:hyperlink r:id="rId34">
        <w:r>
          <w:rPr>
            <w:color w:val="1155CC"/>
            <w:sz w:val="24"/>
            <w:szCs w:val="24"/>
            <w:u w:val="single"/>
          </w:rPr>
          <w:t>https://doi.org/10.1186/s12912-024-02582-9</w:t>
        </w:r>
      </w:hyperlink>
      <w:r>
        <w:rPr>
          <w:sz w:val="24"/>
          <w:szCs w:val="24"/>
        </w:rPr>
        <w:t xml:space="preserve">. </w:t>
      </w:r>
    </w:p>
    <w:p w14:paraId="7E812E7C" w14:textId="0BB7C66E" w:rsidR="001455D2" w:rsidRDefault="001455D2">
      <w:pPr>
        <w:spacing w:after="240"/>
        <w:rPr>
          <w:sz w:val="24"/>
          <w:szCs w:val="24"/>
        </w:rPr>
      </w:pPr>
      <w:r>
        <w:rPr>
          <w:sz w:val="24"/>
          <w:szCs w:val="24"/>
        </w:rPr>
        <w:t xml:space="preserve">World Health Organization (2017). </w:t>
      </w:r>
      <w:r>
        <w:rPr>
          <w:i/>
          <w:iCs/>
          <w:sz w:val="24"/>
          <w:szCs w:val="24"/>
        </w:rPr>
        <w:t>WHO launches global effort to halve medication-related errors in 5 years</w:t>
      </w:r>
      <w:r>
        <w:rPr>
          <w:sz w:val="24"/>
          <w:szCs w:val="24"/>
        </w:rPr>
        <w:t>. [online] www.who.int. Available</w:t>
      </w:r>
      <w:r w:rsidR="00A711B5">
        <w:rPr>
          <w:sz w:val="24"/>
          <w:szCs w:val="24"/>
        </w:rPr>
        <w:t xml:space="preserve"> </w:t>
      </w:r>
      <w:r>
        <w:rPr>
          <w:sz w:val="24"/>
          <w:szCs w:val="24"/>
        </w:rPr>
        <w:t xml:space="preserve">at: </w:t>
      </w:r>
      <w:hyperlink r:id="rId35">
        <w:r>
          <w:rPr>
            <w:color w:val="1155CC"/>
            <w:sz w:val="24"/>
            <w:szCs w:val="24"/>
            <w:u w:val="single"/>
          </w:rPr>
          <w:t>https://www.who.int/news/item/29-03-2017-who-launches-global-effort-to-halve-medication-related-errors-in-5-years</w:t>
        </w:r>
      </w:hyperlink>
      <w:r>
        <w:rPr>
          <w:sz w:val="24"/>
          <w:szCs w:val="24"/>
        </w:rPr>
        <w:t>.</w:t>
      </w:r>
    </w:p>
    <w:p w14:paraId="3CE1416F" w14:textId="013C9758" w:rsidR="001455D2" w:rsidRDefault="001455D2">
      <w:pPr>
        <w:spacing w:after="240"/>
      </w:pPr>
      <w:r>
        <w:rPr>
          <w:sz w:val="24"/>
          <w:szCs w:val="24"/>
        </w:rPr>
        <w:t xml:space="preserve">World Health Organization (2023). </w:t>
      </w:r>
      <w:r>
        <w:rPr>
          <w:i/>
          <w:iCs/>
          <w:sz w:val="24"/>
          <w:szCs w:val="24"/>
        </w:rPr>
        <w:t>Patient safety</w:t>
      </w:r>
      <w:r>
        <w:rPr>
          <w:sz w:val="24"/>
          <w:szCs w:val="24"/>
        </w:rPr>
        <w:t xml:space="preserve">. [online] World Health Organization. Available at: </w:t>
      </w:r>
      <w:hyperlink r:id="rId36">
        <w:r>
          <w:rPr>
            <w:color w:val="1155CC"/>
            <w:sz w:val="24"/>
            <w:szCs w:val="24"/>
            <w:u w:val="single"/>
          </w:rPr>
          <w:t>https://www.who.int/news-room/fact-sheets/detail/patient-safety</w:t>
        </w:r>
      </w:hyperlink>
      <w:r>
        <w:rPr>
          <w:sz w:val="24"/>
          <w:szCs w:val="24"/>
        </w:rPr>
        <w:t xml:space="preserve"> .</w:t>
      </w:r>
    </w:p>
    <w:sectPr w:rsidR="001455D2" w:rsidSect="003C727A">
      <w:footerReference w:type="default" r:id="rId37"/>
      <w:footerReference w:type="first" r:id="rId3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A60DB" w14:textId="77777777" w:rsidR="00A010D8" w:rsidRDefault="00A010D8">
      <w:pPr>
        <w:spacing w:after="0" w:line="240" w:lineRule="auto"/>
      </w:pPr>
      <w:r>
        <w:separator/>
      </w:r>
    </w:p>
  </w:endnote>
  <w:endnote w:type="continuationSeparator" w:id="0">
    <w:p w14:paraId="21B6C740" w14:textId="77777777" w:rsidR="00A010D8" w:rsidRDefault="00A01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fontKey="{EA0EC75C-B4DD-45E7-A891-1413B1B5997D}"/>
  </w:font>
  <w:font w:name="Shruti">
    <w:panose1 w:val="020B0502040204020203"/>
    <w:charset w:val="00"/>
    <w:family w:val="swiss"/>
    <w:pitch w:val="variable"/>
    <w:sig w:usb0="00040003" w:usb1="00000000" w:usb2="00000000" w:usb3="00000000" w:csb0="00000001" w:csb1="00000000"/>
    <w:embedRegular r:id="rId2" w:fontKey="{C2430F99-B750-4AA2-90E3-5942C5011034}"/>
  </w:font>
  <w:font w:name="Cambria">
    <w:panose1 w:val="02040503050406030204"/>
    <w:charset w:val="00"/>
    <w:family w:val="roman"/>
    <w:pitch w:val="variable"/>
    <w:sig w:usb0="E00006FF" w:usb1="420024FF" w:usb2="02000000" w:usb3="00000000" w:csb0="0000019F" w:csb1="00000000"/>
    <w:embedRegular r:id="rId3" w:fontKey="{ACB958BA-50F5-4C77-822A-3C5CF72B14B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1B05C" w14:textId="77777777" w:rsidR="00AD4AA9" w:rsidRDefault="00352164">
    <w:pPr>
      <w:jc w:val="right"/>
      <w:rPr>
        <w:sz w:val="20"/>
        <w:szCs w:val="20"/>
      </w:rPr>
    </w:pPr>
    <w:r>
      <w:rPr>
        <w:sz w:val="20"/>
        <w:szCs w:val="20"/>
      </w:rPr>
      <w:fldChar w:fldCharType="begin"/>
    </w:r>
    <w:r>
      <w:rPr>
        <w:sz w:val="20"/>
        <w:szCs w:val="20"/>
      </w:rPr>
      <w:instrText>PAGE</w:instrText>
    </w:r>
    <w:r>
      <w:rPr>
        <w:sz w:val="20"/>
        <w:szCs w:val="20"/>
      </w:rPr>
      <w:fldChar w:fldCharType="separate"/>
    </w:r>
    <w:r w:rsidR="003C727A">
      <w:rPr>
        <w:noProof/>
        <w:sz w:val="20"/>
        <w:szCs w:val="20"/>
      </w:rPr>
      <w:t>1</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42F90" w14:textId="77777777" w:rsidR="00AD4AA9" w:rsidRDefault="00AD4AA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915CF" w14:textId="77777777" w:rsidR="00A010D8" w:rsidRDefault="00A010D8">
      <w:pPr>
        <w:spacing w:after="0" w:line="240" w:lineRule="auto"/>
      </w:pPr>
      <w:r>
        <w:separator/>
      </w:r>
    </w:p>
  </w:footnote>
  <w:footnote w:type="continuationSeparator" w:id="0">
    <w:p w14:paraId="104EB9A7" w14:textId="77777777" w:rsidR="00A010D8" w:rsidRDefault="00A010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AD5C83"/>
    <w:multiLevelType w:val="multilevel"/>
    <w:tmpl w:val="9EEC2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46C4337"/>
    <w:multiLevelType w:val="multilevel"/>
    <w:tmpl w:val="16DA0A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EAE1A42"/>
    <w:multiLevelType w:val="multilevel"/>
    <w:tmpl w:val="3154A8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F0E1409"/>
    <w:multiLevelType w:val="multilevel"/>
    <w:tmpl w:val="91BE93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97516982">
    <w:abstractNumId w:val="1"/>
  </w:num>
  <w:num w:numId="2" w16cid:durableId="807547810">
    <w:abstractNumId w:val="0"/>
  </w:num>
  <w:num w:numId="3" w16cid:durableId="1174418356">
    <w:abstractNumId w:val="2"/>
  </w:num>
  <w:num w:numId="4" w16cid:durableId="13479488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AA9"/>
    <w:rsid w:val="00096F66"/>
    <w:rsid w:val="001455D2"/>
    <w:rsid w:val="00185449"/>
    <w:rsid w:val="00345BD4"/>
    <w:rsid w:val="00352164"/>
    <w:rsid w:val="003C727A"/>
    <w:rsid w:val="00816984"/>
    <w:rsid w:val="009C0768"/>
    <w:rsid w:val="00A010D8"/>
    <w:rsid w:val="00A2637A"/>
    <w:rsid w:val="00A711B5"/>
    <w:rsid w:val="00AD4AA9"/>
    <w:rsid w:val="00BC57CB"/>
    <w:rsid w:val="00C361C6"/>
    <w:rsid w:val="00C67280"/>
    <w:rsid w:val="00C77D60"/>
    <w:rsid w:val="00D018CA"/>
    <w:rsid w:val="00DA73C2"/>
    <w:rsid w:val="00DD1467"/>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27470"/>
  <w15:docId w15:val="{9C65CFC2-95E2-44E2-BC8E-9D7B41396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A711B5"/>
    <w:rPr>
      <w:color w:val="0000FF" w:themeColor="hyperlink"/>
      <w:u w:val="single"/>
    </w:rPr>
  </w:style>
  <w:style w:type="character" w:styleId="UnresolvedMention">
    <w:name w:val="Unresolved Mention"/>
    <w:basedOn w:val="DefaultParagraphFont"/>
    <w:uiPriority w:val="99"/>
    <w:semiHidden/>
    <w:unhideWhenUsed/>
    <w:rsid w:val="00A711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5152/fnjn.2024.24140" TargetMode="External"/><Relationship Id="rId18" Type="http://schemas.openxmlformats.org/officeDocument/2006/relationships/hyperlink" Target="https://doi.org/10.1016/j.jmsy.2026.03.003" TargetMode="External"/><Relationship Id="rId26" Type="http://schemas.openxmlformats.org/officeDocument/2006/relationships/hyperlink" Target="https://www.mdpi.com/2673-4060/6/2/63" TargetMode="External"/><Relationship Id="rId39" Type="http://schemas.openxmlformats.org/officeDocument/2006/relationships/fontTable" Target="fontTable.xml"/><Relationship Id="rId21" Type="http://schemas.openxmlformats.org/officeDocument/2006/relationships/hyperlink" Target="https://doi.org/10.1016/s2214-109x(22)00005-5" TargetMode="External"/><Relationship Id="rId34" Type="http://schemas.openxmlformats.org/officeDocument/2006/relationships/hyperlink" Target="https://doi.org/10.1186/s12912-024-02582-9" TargetMode="External"/><Relationship Id="rId7" Type="http://schemas.openxmlformats.org/officeDocument/2006/relationships/image" Target="media/image1.png"/><Relationship Id="rId12" Type="http://schemas.openxmlformats.org/officeDocument/2006/relationships/hyperlink" Target="https://www.ncbi.nlm.nih.gov/books/NBK2648/" TargetMode="External"/><Relationship Id="rId17" Type="http://schemas.openxmlformats.org/officeDocument/2006/relationships/hyperlink" Target="https://doi.org/10.1016/j.bja.2021.05.030" TargetMode="External"/><Relationship Id="rId25" Type="http://schemas.openxmlformats.org/officeDocument/2006/relationships/hyperlink" Target="https://doi.org/10.1080/13603124.2022.2076286" TargetMode="External"/><Relationship Id="rId33" Type="http://schemas.openxmlformats.org/officeDocument/2006/relationships/hyperlink" Target="https://www.manchester.ac.uk/about/news/electronic-sharing-of-prescription-medicines-information-would-make-patients-safer-study-shows/" TargetMode="External"/><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doi.org/10.1038/s41746-025-02127-7" TargetMode="External"/><Relationship Id="rId20" Type="http://schemas.openxmlformats.org/officeDocument/2006/relationships/hyperlink" Target="https://doi.org/10.2147/rmhp.s458505" TargetMode="External"/><Relationship Id="rId29" Type="http://schemas.openxmlformats.org/officeDocument/2006/relationships/hyperlink" Target="https://doi.org/10.3389/fpsyg.2022.89653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fetyandquality.gov.au/our-work/medicines-safety-and-quality/medication-reconciliation" TargetMode="External"/><Relationship Id="rId24" Type="http://schemas.openxmlformats.org/officeDocument/2006/relationships/hyperlink" Target="https://doi.org/10.3390/su151914337" TargetMode="External"/><Relationship Id="rId32" Type="http://schemas.openxmlformats.org/officeDocument/2006/relationships/hyperlink" Target="https://doi.org/10.30574/wjarr.2021.12.3.0721"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136/bmjqs-2023-016675" TargetMode="External"/><Relationship Id="rId23" Type="http://schemas.openxmlformats.org/officeDocument/2006/relationships/hyperlink" Target="https://www.hssib.org.uk/patient-safety-investigations/electronic-prescribing-and-medicines-administration-systems-and-safe-discharge/investigation-report/" TargetMode="External"/><Relationship Id="rId28" Type="http://schemas.openxmlformats.org/officeDocument/2006/relationships/hyperlink" Target="https://www.lpp.nhs.uk/media/588937/standardisation-of-rag-rating-definitions-for-formularies-across-london-with-final-recommendations.pdf" TargetMode="External"/><Relationship Id="rId36" Type="http://schemas.openxmlformats.org/officeDocument/2006/relationships/hyperlink" Target="https://www.who.int/news-room/fact-sheets/detail/patient-safety" TargetMode="External"/><Relationship Id="rId10" Type="http://schemas.openxmlformats.org/officeDocument/2006/relationships/hyperlink" Target="https://doi.org/10.1186/s12912-025-04263-7" TargetMode="External"/><Relationship Id="rId19" Type="http://schemas.openxmlformats.org/officeDocument/2006/relationships/hyperlink" Target="https://doi.org/10.1136/bmjqs-2019-010206" TargetMode="External"/><Relationship Id="rId31" Type="http://schemas.openxmlformats.org/officeDocument/2006/relationships/hyperlink" Target="https://doi.org/10.1186/s12913-020-05671-y" TargetMode="External"/><Relationship Id="rId4" Type="http://schemas.openxmlformats.org/officeDocument/2006/relationships/webSettings" Target="webSettings.xml"/><Relationship Id="rId9" Type="http://schemas.openxmlformats.org/officeDocument/2006/relationships/hyperlink" Target="https://doi.org/10.1007/s40264-020-00918-3" TargetMode="External"/><Relationship Id="rId14" Type="http://schemas.openxmlformats.org/officeDocument/2006/relationships/hyperlink" Target="https://www.bmj.com/company/%20newsroom/237-million-medication-errors-made-every-year-in-england/" TargetMode="External"/><Relationship Id="rId22" Type="http://schemas.openxmlformats.org/officeDocument/2006/relationships/hyperlink" Target="https://www.hssib.org.uk/patient-safety-investigations/weight-based-medication-errors-in-children/investigation-report" TargetMode="External"/><Relationship Id="rId27" Type="http://schemas.openxmlformats.org/officeDocument/2006/relationships/hyperlink" Target="https://doi.org/10.1136/bmjopen-2018-022202" TargetMode="External"/><Relationship Id="rId30" Type="http://schemas.openxmlformats.org/officeDocument/2006/relationships/hyperlink" Target="https://doi.org/10.1002/14651858.cd010791.pub2" TargetMode="External"/><Relationship Id="rId35" Type="http://schemas.openxmlformats.org/officeDocument/2006/relationships/hyperlink" Target="https://www.who.int/news/item/29-03-2017-who-launches-global-effort-to-halve-medication-related-errors-in-5-years" TargetMode="External"/><Relationship Id="rId8" Type="http://schemas.openxmlformats.org/officeDocument/2006/relationships/image" Target="media/image2.png"/><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20</Pages>
  <Words>7183</Words>
  <Characters>40944</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Twinkal Patel</cp:lastModifiedBy>
  <cp:revision>4</cp:revision>
  <dcterms:created xsi:type="dcterms:W3CDTF">2026-04-19T19:29:00Z</dcterms:created>
  <dcterms:modified xsi:type="dcterms:W3CDTF">2026-04-19T19:51:00Z</dcterms:modified>
</cp:coreProperties>
</file>