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sz w:val="24"/>
          <w:szCs w:val="24"/>
          <w:lang w:eastAsia="ja-JP"/>
        </w:rPr>
        <w:id w:val="-822814215"/>
        <w:docPartObj>
          <w:docPartGallery w:val="Cover Pages"/>
          <w:docPartUnique/>
        </w:docPartObj>
      </w:sdtPr>
      <w:sdtEndPr>
        <w:rPr>
          <w:color w:val="595959" w:themeColor="text1" w:themeTint="A6"/>
          <w:sz w:val="28"/>
          <w:szCs w:val="28"/>
        </w:rPr>
      </w:sdtEndPr>
      <w:sdtContent>
        <w:p w14:paraId="6678C524" w14:textId="205E94AF" w:rsidR="00170CB6" w:rsidRDefault="00170CB6">
          <w:pPr>
            <w:pStyle w:val="NoSpacing"/>
            <w:spacing w:before="1540" w:after="240"/>
            <w:jc w:val="center"/>
            <w:rPr>
              <w:color w:val="156082" w:themeColor="accent1"/>
            </w:rPr>
          </w:pPr>
          <w:r>
            <w:rPr>
              <w:noProof/>
              <w:color w:val="156082" w:themeColor="accent1"/>
            </w:rPr>
            <w:drawing>
              <wp:inline distT="0" distB="0" distL="0" distR="0" wp14:anchorId="556D29BC" wp14:editId="57E6E8D0">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156082" w:themeColor="accent1"/>
              <w:sz w:val="40"/>
              <w:szCs w:val="40"/>
            </w:rPr>
            <w:alias w:val="Title"/>
            <w:tag w:val=""/>
            <w:id w:val="1735040861"/>
            <w:placeholder>
              <w:docPart w:val="EF81F6E8DFEE4F4EA3B0C127469E89E2"/>
            </w:placeholder>
            <w:dataBinding w:prefixMappings="xmlns:ns0='http://purl.org/dc/elements/1.1/' xmlns:ns1='http://schemas.openxmlformats.org/package/2006/metadata/core-properties' " w:xpath="/ns1:coreProperties[1]/ns0:title[1]" w:storeItemID="{6C3C8BC8-F283-45AE-878A-BAB7291924A1}"/>
            <w:text/>
          </w:sdtPr>
          <w:sdtContent>
            <w:p w14:paraId="422FE413" w14:textId="701DE2BC" w:rsidR="00170CB6" w:rsidRPr="00170CB6" w:rsidRDefault="00170CB6">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color w:val="156082" w:themeColor="accent1"/>
                  <w:sz w:val="40"/>
                  <w:szCs w:val="40"/>
                </w:rPr>
              </w:pPr>
              <w:r w:rsidRPr="00170CB6">
                <w:rPr>
                  <w:rFonts w:ascii="Arial" w:eastAsiaTheme="majorEastAsia" w:hAnsi="Arial" w:cs="Arial"/>
                  <w:caps/>
                  <w:color w:val="156082" w:themeColor="accent1"/>
                  <w:sz w:val="40"/>
                  <w:szCs w:val="40"/>
                </w:rPr>
                <w:t>module name: introduction to physiology</w:t>
              </w:r>
            </w:p>
          </w:sdtContent>
        </w:sdt>
        <w:sdt>
          <w:sdtPr>
            <w:rPr>
              <w:rFonts w:ascii="Arial" w:hAnsi="Arial" w:cs="Arial"/>
              <w:color w:val="156082" w:themeColor="accent1"/>
              <w:sz w:val="28"/>
              <w:szCs w:val="28"/>
            </w:rPr>
            <w:alias w:val="Subtitle"/>
            <w:tag w:val=""/>
            <w:id w:val="328029620"/>
            <w:placeholder>
              <w:docPart w:val="5C3139FD46A843299EF714E2A9A60074"/>
            </w:placeholder>
            <w:dataBinding w:prefixMappings="xmlns:ns0='http://purl.org/dc/elements/1.1/' xmlns:ns1='http://schemas.openxmlformats.org/package/2006/metadata/core-properties' " w:xpath="/ns1:coreProperties[1]/ns0:subject[1]" w:storeItemID="{6C3C8BC8-F283-45AE-878A-BAB7291924A1}"/>
            <w:text/>
          </w:sdtPr>
          <w:sdtContent>
            <w:p w14:paraId="424D7941" w14:textId="65733F73" w:rsidR="00170CB6" w:rsidRPr="00170CB6" w:rsidRDefault="00170CB6">
              <w:pPr>
                <w:pStyle w:val="NoSpacing"/>
                <w:jc w:val="center"/>
                <w:rPr>
                  <w:rFonts w:ascii="Arial" w:hAnsi="Arial" w:cs="Arial"/>
                  <w:color w:val="156082" w:themeColor="accent1"/>
                  <w:sz w:val="28"/>
                  <w:szCs w:val="28"/>
                </w:rPr>
              </w:pPr>
              <w:r w:rsidRPr="00170CB6">
                <w:rPr>
                  <w:rFonts w:ascii="Arial" w:hAnsi="Arial" w:cs="Arial"/>
                  <w:color w:val="156082" w:themeColor="accent1"/>
                  <w:sz w:val="28"/>
                  <w:szCs w:val="28"/>
                </w:rPr>
                <w:t>Module Code: BMHP5023_BIRM</w:t>
              </w:r>
            </w:p>
          </w:sdtContent>
        </w:sdt>
        <w:p w14:paraId="2A4975E8" w14:textId="77777777" w:rsidR="00170CB6" w:rsidRDefault="00170CB6">
          <w:pPr>
            <w:pStyle w:val="NoSpacing"/>
            <w:spacing w:before="480"/>
            <w:jc w:val="center"/>
            <w:rPr>
              <w:color w:val="156082" w:themeColor="accent1"/>
            </w:rPr>
          </w:pPr>
        </w:p>
        <w:p w14:paraId="46FF5883" w14:textId="5DFD63B3" w:rsidR="00170CB6" w:rsidRDefault="00170CB6">
          <w:pPr>
            <w:pStyle w:val="NoSpacing"/>
            <w:spacing w:before="480"/>
            <w:jc w:val="center"/>
            <w:rPr>
              <w:rFonts w:ascii="Arial" w:hAnsi="Arial" w:cs="Arial"/>
              <w:color w:val="156082" w:themeColor="accent1"/>
              <w:sz w:val="24"/>
              <w:szCs w:val="24"/>
            </w:rPr>
          </w:pPr>
          <w:r>
            <w:rPr>
              <w:rFonts w:ascii="Arial" w:hAnsi="Arial" w:cs="Arial"/>
              <w:color w:val="156082" w:themeColor="accent1"/>
              <w:sz w:val="24"/>
              <w:szCs w:val="24"/>
            </w:rPr>
            <w:t>Student Name: Nicolette Ramsay</w:t>
          </w:r>
        </w:p>
        <w:p w14:paraId="1B9B9A1C" w14:textId="673E25B6" w:rsidR="00170CB6" w:rsidRDefault="00170CB6">
          <w:pPr>
            <w:pStyle w:val="NoSpacing"/>
            <w:spacing w:before="480"/>
            <w:jc w:val="center"/>
            <w:rPr>
              <w:rFonts w:ascii="Arial" w:hAnsi="Arial" w:cs="Arial"/>
              <w:color w:val="156082" w:themeColor="accent1"/>
              <w:sz w:val="24"/>
              <w:szCs w:val="24"/>
            </w:rPr>
          </w:pPr>
          <w:r>
            <w:rPr>
              <w:rFonts w:ascii="Arial" w:hAnsi="Arial" w:cs="Arial"/>
              <w:color w:val="156082" w:themeColor="accent1"/>
              <w:sz w:val="24"/>
              <w:szCs w:val="24"/>
            </w:rPr>
            <w:t>Student Code: 2412969</w:t>
          </w:r>
        </w:p>
        <w:p w14:paraId="7A04D277" w14:textId="03234764" w:rsidR="00170CB6" w:rsidRPr="00170CB6" w:rsidRDefault="00170CB6">
          <w:pPr>
            <w:pStyle w:val="NoSpacing"/>
            <w:spacing w:before="480"/>
            <w:jc w:val="center"/>
            <w:rPr>
              <w:rFonts w:ascii="Arial" w:hAnsi="Arial" w:cs="Arial"/>
              <w:color w:val="156082" w:themeColor="accent1"/>
              <w:sz w:val="24"/>
              <w:szCs w:val="24"/>
            </w:rPr>
          </w:pPr>
          <w:r>
            <w:rPr>
              <w:rFonts w:ascii="Arial" w:hAnsi="Arial" w:cs="Arial"/>
              <w:color w:val="156082" w:themeColor="accent1"/>
              <w:sz w:val="24"/>
              <w:szCs w:val="24"/>
            </w:rPr>
            <w:t>Lecturers Name: Farah Islam</w:t>
          </w:r>
        </w:p>
        <w:p w14:paraId="31838170" w14:textId="246C4CF5" w:rsidR="00170CB6" w:rsidRPr="00170CB6" w:rsidRDefault="00170CB6">
          <w:pPr>
            <w:pStyle w:val="NoSpacing"/>
            <w:spacing w:before="480"/>
            <w:jc w:val="center"/>
            <w:rPr>
              <w:rFonts w:ascii="Arial" w:hAnsi="Arial" w:cs="Arial"/>
              <w:color w:val="156082" w:themeColor="accent1"/>
              <w:sz w:val="24"/>
              <w:szCs w:val="24"/>
            </w:rPr>
          </w:pPr>
          <w:r w:rsidRPr="00170CB6">
            <w:rPr>
              <w:rFonts w:ascii="Arial" w:hAnsi="Arial" w:cs="Arial"/>
              <w:color w:val="156082" w:themeColor="accent1"/>
              <w:sz w:val="24"/>
              <w:szCs w:val="24"/>
            </w:rPr>
            <w:t>Subtopic: Report Writing</w:t>
          </w:r>
        </w:p>
        <w:p w14:paraId="31318FFA" w14:textId="4CF36C03" w:rsidR="00170CB6" w:rsidRDefault="00170CB6">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507E5365" wp14:editId="19522FB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10-25T00:00:00Z">
                                    <w:dateFormat w:val="dd MMMM yyyy"/>
                                    <w:lid w:val="en-GB"/>
                                    <w:storeMappedDataAs w:val="dateTime"/>
                                    <w:calendar w:val="gregorian"/>
                                  </w:date>
                                </w:sdtPr>
                                <w:sdtContent>
                                  <w:p w14:paraId="33ED7FAB" w14:textId="6C402727" w:rsidR="00170CB6" w:rsidRDefault="00170CB6">
                                    <w:pPr>
                                      <w:pStyle w:val="NoSpacing"/>
                                      <w:spacing w:after="40"/>
                                      <w:jc w:val="center"/>
                                      <w:rPr>
                                        <w:caps/>
                                        <w:color w:val="156082" w:themeColor="accent1"/>
                                        <w:sz w:val="28"/>
                                        <w:szCs w:val="28"/>
                                      </w:rPr>
                                    </w:pPr>
                                    <w:r>
                                      <w:rPr>
                                        <w:caps/>
                                        <w:color w:val="156082" w:themeColor="accent1"/>
                                        <w:sz w:val="28"/>
                                        <w:szCs w:val="28"/>
                                      </w:rPr>
                                      <w:t>2</w:t>
                                    </w:r>
                                    <w:r w:rsidR="007E5A7C">
                                      <w:rPr>
                                        <w:caps/>
                                        <w:color w:val="156082" w:themeColor="accent1"/>
                                        <w:sz w:val="28"/>
                                        <w:szCs w:val="28"/>
                                      </w:rPr>
                                      <w:t xml:space="preserve">5 </w:t>
                                    </w:r>
                                    <w:r>
                                      <w:rPr>
                                        <w:caps/>
                                        <w:color w:val="156082" w:themeColor="accent1"/>
                                        <w:sz w:val="28"/>
                                        <w:szCs w:val="28"/>
                                      </w:rPr>
                                      <w:t>October 2026</w:t>
                                    </w:r>
                                  </w:p>
                                </w:sdtContent>
                              </w:sdt>
                              <w:p w14:paraId="394793F8" w14:textId="151631AA" w:rsidR="00170CB6" w:rsidRDefault="000000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170CB6">
                                      <w:rPr>
                                        <w:caps/>
                                        <w:color w:val="156082" w:themeColor="accent1"/>
                                      </w:rPr>
                                      <w:t xml:space="preserve">     </w:t>
                                    </w:r>
                                  </w:sdtContent>
                                </w:sdt>
                              </w:p>
                              <w:p w14:paraId="0A046A90" w14:textId="624AD2E5" w:rsidR="00170CB6"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170CB6">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07E5365"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10-25T00:00:00Z">
                              <w:dateFormat w:val="dd MMMM yyyy"/>
                              <w:lid w:val="en-GB"/>
                              <w:storeMappedDataAs w:val="dateTime"/>
                              <w:calendar w:val="gregorian"/>
                            </w:date>
                          </w:sdtPr>
                          <w:sdtContent>
                            <w:p w14:paraId="33ED7FAB" w14:textId="6C402727" w:rsidR="00170CB6" w:rsidRDefault="00170CB6">
                              <w:pPr>
                                <w:pStyle w:val="NoSpacing"/>
                                <w:spacing w:after="40"/>
                                <w:jc w:val="center"/>
                                <w:rPr>
                                  <w:caps/>
                                  <w:color w:val="156082" w:themeColor="accent1"/>
                                  <w:sz w:val="28"/>
                                  <w:szCs w:val="28"/>
                                </w:rPr>
                              </w:pPr>
                              <w:r>
                                <w:rPr>
                                  <w:caps/>
                                  <w:color w:val="156082" w:themeColor="accent1"/>
                                  <w:sz w:val="28"/>
                                  <w:szCs w:val="28"/>
                                </w:rPr>
                                <w:t>2</w:t>
                              </w:r>
                              <w:r w:rsidR="007E5A7C">
                                <w:rPr>
                                  <w:caps/>
                                  <w:color w:val="156082" w:themeColor="accent1"/>
                                  <w:sz w:val="28"/>
                                  <w:szCs w:val="28"/>
                                </w:rPr>
                                <w:t xml:space="preserve">5 </w:t>
                              </w:r>
                              <w:r>
                                <w:rPr>
                                  <w:caps/>
                                  <w:color w:val="156082" w:themeColor="accent1"/>
                                  <w:sz w:val="28"/>
                                  <w:szCs w:val="28"/>
                                </w:rPr>
                                <w:t>October 2026</w:t>
                              </w:r>
                            </w:p>
                          </w:sdtContent>
                        </w:sdt>
                        <w:p w14:paraId="394793F8" w14:textId="151631AA" w:rsidR="00170CB6" w:rsidRDefault="000000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170CB6">
                                <w:rPr>
                                  <w:caps/>
                                  <w:color w:val="156082" w:themeColor="accent1"/>
                                </w:rPr>
                                <w:t xml:space="preserve">     </w:t>
                              </w:r>
                            </w:sdtContent>
                          </w:sdt>
                        </w:p>
                        <w:p w14:paraId="0A046A90" w14:textId="624AD2E5" w:rsidR="00170CB6"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170CB6">
                                <w:rPr>
                                  <w:color w:val="156082" w:themeColor="accent1"/>
                                </w:rPr>
                                <w:t xml:space="preserve">     </w:t>
                              </w:r>
                            </w:sdtContent>
                          </w:sdt>
                        </w:p>
                      </w:txbxContent>
                    </v:textbox>
                    <w10:wrap anchorx="margin" anchory="page"/>
                  </v:shape>
                </w:pict>
              </mc:Fallback>
            </mc:AlternateContent>
          </w:r>
          <w:r>
            <w:rPr>
              <w:noProof/>
              <w:color w:val="156082" w:themeColor="accent1"/>
            </w:rPr>
            <w:drawing>
              <wp:inline distT="0" distB="0" distL="0" distR="0" wp14:anchorId="00FE7501" wp14:editId="3CDB46D5">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80EE3DC" w14:textId="09F89451" w:rsidR="00170CB6" w:rsidRDefault="00170CB6">
          <w:pPr>
            <w:rPr>
              <w:color w:val="595959" w:themeColor="text1" w:themeTint="A6"/>
              <w:sz w:val="28"/>
              <w:szCs w:val="28"/>
              <w:lang w:eastAsia="en-GB"/>
            </w:rPr>
          </w:pPr>
          <w:r>
            <w:rPr>
              <w:color w:val="595959" w:themeColor="text1" w:themeTint="A6"/>
              <w:sz w:val="28"/>
              <w:szCs w:val="28"/>
              <w:lang w:eastAsia="en-GB"/>
            </w:rPr>
            <w:br w:type="page"/>
          </w:r>
        </w:p>
      </w:sdtContent>
    </w:sdt>
    <w:sdt>
      <w:sdtPr>
        <w:id w:val="-1656377148"/>
        <w:docPartObj>
          <w:docPartGallery w:val="Table of Contents"/>
          <w:docPartUnique/>
        </w:docPartObj>
      </w:sdtPr>
      <w:sdtEndPr>
        <w:rPr>
          <w:rFonts w:asciiTheme="minorHAnsi" w:eastAsiaTheme="minorEastAsia" w:hAnsiTheme="minorHAnsi" w:cstheme="minorBidi"/>
          <w:b/>
          <w:bCs/>
          <w:color w:val="auto"/>
          <w:sz w:val="24"/>
          <w:szCs w:val="24"/>
          <w:lang w:eastAsia="ja-JP"/>
        </w:rPr>
      </w:sdtEndPr>
      <w:sdtContent>
        <w:p w14:paraId="49111896" w14:textId="77854487" w:rsidR="00262A1B" w:rsidRDefault="00262A1B">
          <w:pPr>
            <w:pStyle w:val="TOCHeading"/>
          </w:pPr>
          <w:r>
            <w:t>Contents</w:t>
          </w:r>
        </w:p>
        <w:p w14:paraId="220337E8" w14:textId="0141E4AF" w:rsidR="007E5A7C" w:rsidRDefault="00262A1B">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243809977" w:history="1">
            <w:r w:rsidR="007E5A7C" w:rsidRPr="009F03FD">
              <w:rPr>
                <w:rStyle w:val="Hyperlink"/>
                <w:noProof/>
              </w:rPr>
              <w:t>Introduction</w:t>
            </w:r>
            <w:r w:rsidR="007E5A7C">
              <w:rPr>
                <w:noProof/>
                <w:webHidden/>
              </w:rPr>
              <w:tab/>
            </w:r>
            <w:r w:rsidR="007E5A7C">
              <w:rPr>
                <w:noProof/>
                <w:webHidden/>
              </w:rPr>
              <w:fldChar w:fldCharType="begin"/>
            </w:r>
            <w:r w:rsidR="007E5A7C">
              <w:rPr>
                <w:noProof/>
                <w:webHidden/>
              </w:rPr>
              <w:instrText xml:space="preserve"> PAGEREF _Toc243809977 \h </w:instrText>
            </w:r>
            <w:r w:rsidR="007E5A7C">
              <w:rPr>
                <w:noProof/>
                <w:webHidden/>
              </w:rPr>
            </w:r>
            <w:r w:rsidR="007E5A7C">
              <w:rPr>
                <w:noProof/>
                <w:webHidden/>
              </w:rPr>
              <w:fldChar w:fldCharType="separate"/>
            </w:r>
            <w:r w:rsidR="007E5A7C">
              <w:rPr>
                <w:noProof/>
                <w:webHidden/>
              </w:rPr>
              <w:t>1</w:t>
            </w:r>
            <w:r w:rsidR="007E5A7C">
              <w:rPr>
                <w:noProof/>
                <w:webHidden/>
              </w:rPr>
              <w:fldChar w:fldCharType="end"/>
            </w:r>
          </w:hyperlink>
        </w:p>
        <w:p w14:paraId="7084936C" w14:textId="7E4877B1" w:rsidR="007E5A7C" w:rsidRDefault="007E5A7C">
          <w:pPr>
            <w:pStyle w:val="TOC1"/>
            <w:tabs>
              <w:tab w:val="right" w:leader="dot" w:pos="9016"/>
            </w:tabs>
            <w:rPr>
              <w:noProof/>
              <w:kern w:val="2"/>
              <w:lang w:eastAsia="en-GB"/>
              <w14:ligatures w14:val="standardContextual"/>
            </w:rPr>
          </w:pPr>
          <w:hyperlink w:anchor="_Toc243809978" w:history="1">
            <w:r w:rsidRPr="009F03FD">
              <w:rPr>
                <w:rStyle w:val="Hyperlink"/>
                <w:noProof/>
                <w:lang w:eastAsia="zh-CN"/>
              </w:rPr>
              <w:t>B: Explain how blood sugar levels are maintained at a safe and effective level for the body’s needs.</w:t>
            </w:r>
            <w:r>
              <w:rPr>
                <w:noProof/>
                <w:webHidden/>
              </w:rPr>
              <w:tab/>
            </w:r>
            <w:r>
              <w:rPr>
                <w:noProof/>
                <w:webHidden/>
              </w:rPr>
              <w:fldChar w:fldCharType="begin"/>
            </w:r>
            <w:r>
              <w:rPr>
                <w:noProof/>
                <w:webHidden/>
              </w:rPr>
              <w:instrText xml:space="preserve"> PAGEREF _Toc243809978 \h </w:instrText>
            </w:r>
            <w:r>
              <w:rPr>
                <w:noProof/>
                <w:webHidden/>
              </w:rPr>
            </w:r>
            <w:r>
              <w:rPr>
                <w:noProof/>
                <w:webHidden/>
              </w:rPr>
              <w:fldChar w:fldCharType="separate"/>
            </w:r>
            <w:r>
              <w:rPr>
                <w:noProof/>
                <w:webHidden/>
              </w:rPr>
              <w:t>2</w:t>
            </w:r>
            <w:r>
              <w:rPr>
                <w:noProof/>
                <w:webHidden/>
              </w:rPr>
              <w:fldChar w:fldCharType="end"/>
            </w:r>
          </w:hyperlink>
        </w:p>
        <w:p w14:paraId="291895C4" w14:textId="47737459" w:rsidR="007E5A7C" w:rsidRDefault="007E5A7C">
          <w:pPr>
            <w:pStyle w:val="TOC1"/>
            <w:tabs>
              <w:tab w:val="right" w:leader="dot" w:pos="9016"/>
            </w:tabs>
            <w:rPr>
              <w:noProof/>
              <w:kern w:val="2"/>
              <w:lang w:eastAsia="en-GB"/>
              <w14:ligatures w14:val="standardContextual"/>
            </w:rPr>
          </w:pPr>
          <w:hyperlink w:anchor="_Toc243809979" w:history="1">
            <w:r w:rsidRPr="009F03FD">
              <w:rPr>
                <w:rStyle w:val="Hyperlink"/>
                <w:noProof/>
                <w:lang w:eastAsia="zh-CN"/>
              </w:rPr>
              <w:t>C: Show how oxygen and glucose are used to produce energy through cell metabolism.</w:t>
            </w:r>
            <w:r>
              <w:rPr>
                <w:noProof/>
                <w:webHidden/>
              </w:rPr>
              <w:tab/>
            </w:r>
            <w:r>
              <w:rPr>
                <w:noProof/>
                <w:webHidden/>
              </w:rPr>
              <w:fldChar w:fldCharType="begin"/>
            </w:r>
            <w:r>
              <w:rPr>
                <w:noProof/>
                <w:webHidden/>
              </w:rPr>
              <w:instrText xml:space="preserve"> PAGEREF _Toc243809979 \h </w:instrText>
            </w:r>
            <w:r>
              <w:rPr>
                <w:noProof/>
                <w:webHidden/>
              </w:rPr>
            </w:r>
            <w:r>
              <w:rPr>
                <w:noProof/>
                <w:webHidden/>
              </w:rPr>
              <w:fldChar w:fldCharType="separate"/>
            </w:r>
            <w:r>
              <w:rPr>
                <w:noProof/>
                <w:webHidden/>
              </w:rPr>
              <w:t>3</w:t>
            </w:r>
            <w:r>
              <w:rPr>
                <w:noProof/>
                <w:webHidden/>
              </w:rPr>
              <w:fldChar w:fldCharType="end"/>
            </w:r>
          </w:hyperlink>
        </w:p>
        <w:p w14:paraId="2F3639AD" w14:textId="3BD82CF0" w:rsidR="007E5A7C" w:rsidRDefault="007E5A7C">
          <w:pPr>
            <w:pStyle w:val="TOC1"/>
            <w:tabs>
              <w:tab w:val="right" w:leader="dot" w:pos="9016"/>
            </w:tabs>
            <w:rPr>
              <w:noProof/>
              <w:kern w:val="2"/>
              <w:lang w:eastAsia="en-GB"/>
              <w14:ligatures w14:val="standardContextual"/>
            </w:rPr>
          </w:pPr>
          <w:hyperlink w:anchor="_Toc243809980" w:history="1">
            <w:r w:rsidRPr="009F03FD">
              <w:rPr>
                <w:rStyle w:val="Hyperlink"/>
                <w:noProof/>
                <w:lang w:eastAsia="zh-CN"/>
              </w:rPr>
              <w:t>D: Briefly examine how recording and tracking blood sugar levels helps individuals with Type 2 diabetes to safely manage their condition.</w:t>
            </w:r>
            <w:r>
              <w:rPr>
                <w:noProof/>
                <w:webHidden/>
              </w:rPr>
              <w:tab/>
            </w:r>
            <w:r>
              <w:rPr>
                <w:noProof/>
                <w:webHidden/>
              </w:rPr>
              <w:fldChar w:fldCharType="begin"/>
            </w:r>
            <w:r>
              <w:rPr>
                <w:noProof/>
                <w:webHidden/>
              </w:rPr>
              <w:instrText xml:space="preserve"> PAGEREF _Toc243809980 \h </w:instrText>
            </w:r>
            <w:r>
              <w:rPr>
                <w:noProof/>
                <w:webHidden/>
              </w:rPr>
            </w:r>
            <w:r>
              <w:rPr>
                <w:noProof/>
                <w:webHidden/>
              </w:rPr>
              <w:fldChar w:fldCharType="separate"/>
            </w:r>
            <w:r>
              <w:rPr>
                <w:noProof/>
                <w:webHidden/>
              </w:rPr>
              <w:t>4</w:t>
            </w:r>
            <w:r>
              <w:rPr>
                <w:noProof/>
                <w:webHidden/>
              </w:rPr>
              <w:fldChar w:fldCharType="end"/>
            </w:r>
          </w:hyperlink>
        </w:p>
        <w:p w14:paraId="4E4F6189" w14:textId="22EF83C3" w:rsidR="007E5A7C" w:rsidRDefault="007E5A7C">
          <w:pPr>
            <w:pStyle w:val="TOC1"/>
            <w:tabs>
              <w:tab w:val="right" w:leader="dot" w:pos="9016"/>
            </w:tabs>
            <w:rPr>
              <w:noProof/>
              <w:kern w:val="2"/>
              <w:lang w:eastAsia="en-GB"/>
              <w14:ligatures w14:val="standardContextual"/>
            </w:rPr>
          </w:pPr>
          <w:hyperlink w:anchor="_Toc243809981" w:history="1">
            <w:r w:rsidRPr="009F03FD">
              <w:rPr>
                <w:rStyle w:val="Hyperlink"/>
                <w:noProof/>
                <w:lang w:eastAsia="zh-CN"/>
              </w:rPr>
              <w:t>E: Include evidence-based recommendations on how lifestyle changes could help improve their condition.</w:t>
            </w:r>
            <w:r>
              <w:rPr>
                <w:noProof/>
                <w:webHidden/>
              </w:rPr>
              <w:tab/>
            </w:r>
            <w:r>
              <w:rPr>
                <w:noProof/>
                <w:webHidden/>
              </w:rPr>
              <w:fldChar w:fldCharType="begin"/>
            </w:r>
            <w:r>
              <w:rPr>
                <w:noProof/>
                <w:webHidden/>
              </w:rPr>
              <w:instrText xml:space="preserve"> PAGEREF _Toc243809981 \h </w:instrText>
            </w:r>
            <w:r>
              <w:rPr>
                <w:noProof/>
                <w:webHidden/>
              </w:rPr>
            </w:r>
            <w:r>
              <w:rPr>
                <w:noProof/>
                <w:webHidden/>
              </w:rPr>
              <w:fldChar w:fldCharType="separate"/>
            </w:r>
            <w:r>
              <w:rPr>
                <w:noProof/>
                <w:webHidden/>
              </w:rPr>
              <w:t>4</w:t>
            </w:r>
            <w:r>
              <w:rPr>
                <w:noProof/>
                <w:webHidden/>
              </w:rPr>
              <w:fldChar w:fldCharType="end"/>
            </w:r>
          </w:hyperlink>
        </w:p>
        <w:p w14:paraId="565DADBE" w14:textId="337C30F1" w:rsidR="007E5A7C" w:rsidRDefault="007E5A7C">
          <w:pPr>
            <w:pStyle w:val="TOC1"/>
            <w:tabs>
              <w:tab w:val="right" w:leader="dot" w:pos="9016"/>
            </w:tabs>
            <w:rPr>
              <w:noProof/>
              <w:kern w:val="2"/>
              <w:lang w:eastAsia="en-GB"/>
              <w14:ligatures w14:val="standardContextual"/>
            </w:rPr>
          </w:pPr>
          <w:hyperlink w:anchor="_Toc243809982" w:history="1">
            <w:r w:rsidRPr="009F03FD">
              <w:rPr>
                <w:rStyle w:val="Hyperlink"/>
                <w:noProof/>
                <w:lang w:eastAsia="zh-CN"/>
              </w:rPr>
              <w:t>CONCLUSION</w:t>
            </w:r>
            <w:r>
              <w:rPr>
                <w:noProof/>
                <w:webHidden/>
              </w:rPr>
              <w:tab/>
            </w:r>
            <w:r>
              <w:rPr>
                <w:noProof/>
                <w:webHidden/>
              </w:rPr>
              <w:fldChar w:fldCharType="begin"/>
            </w:r>
            <w:r>
              <w:rPr>
                <w:noProof/>
                <w:webHidden/>
              </w:rPr>
              <w:instrText xml:space="preserve"> PAGEREF _Toc243809982 \h </w:instrText>
            </w:r>
            <w:r>
              <w:rPr>
                <w:noProof/>
                <w:webHidden/>
              </w:rPr>
            </w:r>
            <w:r>
              <w:rPr>
                <w:noProof/>
                <w:webHidden/>
              </w:rPr>
              <w:fldChar w:fldCharType="separate"/>
            </w:r>
            <w:r>
              <w:rPr>
                <w:noProof/>
                <w:webHidden/>
              </w:rPr>
              <w:t>6</w:t>
            </w:r>
            <w:r>
              <w:rPr>
                <w:noProof/>
                <w:webHidden/>
              </w:rPr>
              <w:fldChar w:fldCharType="end"/>
            </w:r>
          </w:hyperlink>
        </w:p>
        <w:p w14:paraId="62DF3E38" w14:textId="2939DEC4" w:rsidR="007E5A7C" w:rsidRDefault="007E5A7C">
          <w:pPr>
            <w:pStyle w:val="TOC1"/>
            <w:tabs>
              <w:tab w:val="right" w:leader="dot" w:pos="9016"/>
            </w:tabs>
            <w:rPr>
              <w:noProof/>
              <w:kern w:val="2"/>
              <w:lang w:eastAsia="en-GB"/>
              <w14:ligatures w14:val="standardContextual"/>
            </w:rPr>
          </w:pPr>
          <w:hyperlink w:anchor="_Toc243809983" w:history="1">
            <w:r w:rsidRPr="009F03FD">
              <w:rPr>
                <w:rStyle w:val="Hyperlink"/>
                <w:noProof/>
              </w:rPr>
              <w:t>REFERENCE LIST</w:t>
            </w:r>
            <w:r>
              <w:rPr>
                <w:noProof/>
                <w:webHidden/>
              </w:rPr>
              <w:tab/>
            </w:r>
            <w:r>
              <w:rPr>
                <w:noProof/>
                <w:webHidden/>
              </w:rPr>
              <w:fldChar w:fldCharType="begin"/>
            </w:r>
            <w:r>
              <w:rPr>
                <w:noProof/>
                <w:webHidden/>
              </w:rPr>
              <w:instrText xml:space="preserve"> PAGEREF _Toc243809983 \h </w:instrText>
            </w:r>
            <w:r>
              <w:rPr>
                <w:noProof/>
                <w:webHidden/>
              </w:rPr>
            </w:r>
            <w:r>
              <w:rPr>
                <w:noProof/>
                <w:webHidden/>
              </w:rPr>
              <w:fldChar w:fldCharType="separate"/>
            </w:r>
            <w:r>
              <w:rPr>
                <w:noProof/>
                <w:webHidden/>
              </w:rPr>
              <w:t>7</w:t>
            </w:r>
            <w:r>
              <w:rPr>
                <w:noProof/>
                <w:webHidden/>
              </w:rPr>
              <w:fldChar w:fldCharType="end"/>
            </w:r>
          </w:hyperlink>
        </w:p>
        <w:p w14:paraId="2FE906CA" w14:textId="2962CF46" w:rsidR="00262A1B" w:rsidRDefault="00262A1B">
          <w:r>
            <w:rPr>
              <w:b/>
              <w:bCs/>
            </w:rPr>
            <w:fldChar w:fldCharType="end"/>
          </w:r>
        </w:p>
      </w:sdtContent>
    </w:sdt>
    <w:p w14:paraId="600A8CE4" w14:textId="77777777" w:rsidR="00262A1B" w:rsidRDefault="00262A1B" w:rsidP="00262A1B">
      <w:pPr>
        <w:pStyle w:val="Heading1"/>
      </w:pPr>
    </w:p>
    <w:p w14:paraId="55584502" w14:textId="77777777" w:rsidR="00262A1B" w:rsidRDefault="00262A1B" w:rsidP="00262A1B">
      <w:pPr>
        <w:pStyle w:val="Heading1"/>
      </w:pPr>
    </w:p>
    <w:p w14:paraId="0AF7A569" w14:textId="77777777" w:rsidR="00262A1B" w:rsidRDefault="00262A1B" w:rsidP="00262A1B">
      <w:pPr>
        <w:pStyle w:val="Heading1"/>
      </w:pPr>
    </w:p>
    <w:p w14:paraId="3B5F4C79" w14:textId="77777777" w:rsidR="00262A1B" w:rsidRDefault="00262A1B" w:rsidP="00262A1B">
      <w:pPr>
        <w:pStyle w:val="Heading1"/>
      </w:pPr>
    </w:p>
    <w:p w14:paraId="6CFF899B" w14:textId="77777777" w:rsidR="00262A1B" w:rsidRDefault="00262A1B" w:rsidP="00262A1B">
      <w:pPr>
        <w:pStyle w:val="Heading1"/>
      </w:pPr>
    </w:p>
    <w:p w14:paraId="54AD32F6" w14:textId="77777777" w:rsidR="00262A1B" w:rsidRDefault="00262A1B" w:rsidP="00262A1B"/>
    <w:p w14:paraId="0795E483" w14:textId="77777777" w:rsidR="00262A1B" w:rsidRDefault="00262A1B" w:rsidP="00262A1B"/>
    <w:p w14:paraId="7DAC749E" w14:textId="77777777" w:rsidR="00262A1B" w:rsidRDefault="00262A1B" w:rsidP="00262A1B"/>
    <w:p w14:paraId="742CC74F" w14:textId="77777777" w:rsidR="00262A1B" w:rsidRDefault="00262A1B" w:rsidP="00262A1B"/>
    <w:p w14:paraId="606B9F7E" w14:textId="77777777" w:rsidR="00262A1B" w:rsidRDefault="00262A1B" w:rsidP="00262A1B"/>
    <w:p w14:paraId="74E8A35C" w14:textId="77777777" w:rsidR="00262A1B" w:rsidRPr="00262A1B" w:rsidRDefault="00262A1B" w:rsidP="00262A1B"/>
    <w:p w14:paraId="31383591" w14:textId="77777777" w:rsidR="00262A1B" w:rsidRDefault="00262A1B" w:rsidP="00262A1B">
      <w:pPr>
        <w:pStyle w:val="Heading1"/>
      </w:pPr>
    </w:p>
    <w:p w14:paraId="14E01572" w14:textId="77777777" w:rsidR="00262A1B" w:rsidRDefault="00262A1B" w:rsidP="00262A1B"/>
    <w:p w14:paraId="5FD1799C" w14:textId="77777777" w:rsidR="00262A1B" w:rsidRPr="00262A1B" w:rsidRDefault="00262A1B" w:rsidP="00262A1B"/>
    <w:p w14:paraId="6C487CED" w14:textId="444A8466" w:rsidR="00DD371E" w:rsidRDefault="005A4901" w:rsidP="00262A1B">
      <w:pPr>
        <w:pStyle w:val="Heading1"/>
      </w:pPr>
      <w:bookmarkStart w:id="0" w:name="_Toc243809977"/>
      <w:r w:rsidRPr="005A4901">
        <w:lastRenderedPageBreak/>
        <w:t>Introductio</w:t>
      </w:r>
      <w:r w:rsidR="00262A1B">
        <w:t>n</w:t>
      </w:r>
      <w:bookmarkEnd w:id="0"/>
    </w:p>
    <w:p w14:paraId="4C030944" w14:textId="77777777" w:rsidR="00146604" w:rsidRPr="00146604" w:rsidRDefault="00146604" w:rsidP="00146604"/>
    <w:p w14:paraId="48FCB38B" w14:textId="48481789" w:rsidR="00861006" w:rsidRDefault="00870315" w:rsidP="00CA02CE">
      <w:pPr>
        <w:spacing w:line="360" w:lineRule="auto"/>
        <w:jc w:val="both"/>
        <w:rPr>
          <w:rFonts w:ascii="Arial" w:hAnsi="Arial" w:cs="Arial"/>
          <w:sz w:val="22"/>
          <w:szCs w:val="22"/>
        </w:rPr>
      </w:pPr>
      <w:r>
        <w:rPr>
          <w:rFonts w:ascii="Arial" w:hAnsi="Arial" w:cs="Arial"/>
          <w:sz w:val="22"/>
          <w:szCs w:val="22"/>
        </w:rPr>
        <w:t xml:space="preserve">Diabetes mellitus is a chronic metabolic condition in which the body is unable to regulate blood glucose effectively. This occurs when </w:t>
      </w:r>
      <w:r w:rsidR="00861006">
        <w:rPr>
          <w:rFonts w:ascii="Arial" w:hAnsi="Arial" w:cs="Arial"/>
          <w:sz w:val="22"/>
          <w:szCs w:val="22"/>
        </w:rPr>
        <w:t>the pancreas does not produce sufficient insulin, when the body cannot use the insulin it produces effectively, or through a combination of these processes. Insulin is a hormone that helps to regulate blood glucose by enabling glucose to move from the bloodstream into cells where it can be used for energy (World Health Organi</w:t>
      </w:r>
      <w:r w:rsidR="00697C64">
        <w:rPr>
          <w:rFonts w:ascii="Arial" w:hAnsi="Arial" w:cs="Arial"/>
          <w:sz w:val="22"/>
          <w:szCs w:val="22"/>
        </w:rPr>
        <w:t>z</w:t>
      </w:r>
      <w:r w:rsidR="00861006">
        <w:rPr>
          <w:rFonts w:ascii="Arial" w:hAnsi="Arial" w:cs="Arial"/>
          <w:sz w:val="22"/>
          <w:szCs w:val="22"/>
        </w:rPr>
        <w:t>ation, 2026). Type 2 diabetes is the most common form of diabetes and develops when the body becomes less responsive to insulin and, over time, may also produce insufficient insulin to maintain normal blood glucose levels (World Health Organi</w:t>
      </w:r>
      <w:r w:rsidR="00697C64">
        <w:rPr>
          <w:rFonts w:ascii="Arial" w:hAnsi="Arial" w:cs="Arial"/>
          <w:sz w:val="22"/>
          <w:szCs w:val="22"/>
        </w:rPr>
        <w:t>z</w:t>
      </w:r>
      <w:r w:rsidR="00861006">
        <w:rPr>
          <w:rFonts w:ascii="Arial" w:hAnsi="Arial" w:cs="Arial"/>
          <w:sz w:val="22"/>
          <w:szCs w:val="22"/>
        </w:rPr>
        <w:t>ation, 2026).</w:t>
      </w:r>
      <w:r w:rsidR="00F160EC">
        <w:rPr>
          <w:rFonts w:ascii="Arial" w:hAnsi="Arial" w:cs="Arial"/>
          <w:sz w:val="22"/>
          <w:szCs w:val="22"/>
        </w:rPr>
        <w:t xml:space="preserve"> The risk of developing Type 2 diabetes is influenced by a combination of genetic, demographic and lifestyle factors. These include increasing age, family history, ethnicity, having overweight or obesity, a larger waist measurement, high blood pressure and physical inactivity (Diabetes U</w:t>
      </w:r>
      <w:r w:rsidR="00697C64">
        <w:rPr>
          <w:rFonts w:ascii="Arial" w:hAnsi="Arial" w:cs="Arial"/>
          <w:sz w:val="22"/>
          <w:szCs w:val="22"/>
        </w:rPr>
        <w:t>K</w:t>
      </w:r>
      <w:r w:rsidR="00F160EC">
        <w:rPr>
          <w:rFonts w:ascii="Arial" w:hAnsi="Arial" w:cs="Arial"/>
          <w:sz w:val="22"/>
          <w:szCs w:val="22"/>
        </w:rPr>
        <w:t>, no date).</w:t>
      </w:r>
    </w:p>
    <w:p w14:paraId="615DF025" w14:textId="46934DA0" w:rsidR="00D85D56" w:rsidRDefault="00D85D56" w:rsidP="00CA02CE">
      <w:pPr>
        <w:spacing w:line="360" w:lineRule="auto"/>
        <w:jc w:val="both"/>
        <w:rPr>
          <w:rFonts w:ascii="Arial" w:hAnsi="Arial" w:cs="Arial"/>
          <w:sz w:val="22"/>
          <w:szCs w:val="22"/>
        </w:rPr>
      </w:pPr>
      <w:r>
        <w:rPr>
          <w:rFonts w:ascii="Arial" w:hAnsi="Arial" w:cs="Arial"/>
          <w:sz w:val="22"/>
          <w:szCs w:val="22"/>
        </w:rPr>
        <w:t>Some risk factors, such as age, ethnicity and family history, cannot be changed, whereas factors including physical activity, weight and some aspects of lifestyle may be modifiable. Recognising these risk factors is important because appropriate lifestyle changes can help reduce the risk of developing Type 2 diabetes and support management in people who already have the condition (World Health Organi</w:t>
      </w:r>
      <w:r w:rsidR="00F83955">
        <w:rPr>
          <w:rFonts w:ascii="Arial" w:hAnsi="Arial" w:cs="Arial"/>
          <w:sz w:val="22"/>
          <w:szCs w:val="22"/>
        </w:rPr>
        <w:t>z</w:t>
      </w:r>
      <w:r>
        <w:rPr>
          <w:rFonts w:ascii="Arial" w:hAnsi="Arial" w:cs="Arial"/>
          <w:sz w:val="22"/>
          <w:szCs w:val="22"/>
        </w:rPr>
        <w:t>ation, 2026). This report will examine how blood glucose is maintained within an appropriate range for the body’s needs, including the roles of insulin and glucagon. It will explain how glucose and oxygen are used to produce energy through cellular metabolism. This report will also consider the importance of tracking and recording blood glucose levels in people with Type 2 diabetes before evaluating evidence-based lifestyle measures, including diet, physical activity and smoking cess</w:t>
      </w:r>
      <w:r w:rsidR="00E955C2">
        <w:rPr>
          <w:rFonts w:ascii="Arial" w:hAnsi="Arial" w:cs="Arial"/>
          <w:sz w:val="22"/>
          <w:szCs w:val="22"/>
        </w:rPr>
        <w:t>ation, that can support effective management of the condition.</w:t>
      </w:r>
      <w:r w:rsidR="00A036C3">
        <w:rPr>
          <w:rFonts w:ascii="Arial" w:hAnsi="Arial" w:cs="Arial"/>
          <w:sz w:val="22"/>
          <w:szCs w:val="22"/>
        </w:rPr>
        <w:t xml:space="preserve"> </w:t>
      </w:r>
    </w:p>
    <w:p w14:paraId="54C43382" w14:textId="7CD1336A" w:rsidR="005B1723" w:rsidRPr="00FE26AB" w:rsidRDefault="00FE26AB" w:rsidP="00262A1B">
      <w:pPr>
        <w:pStyle w:val="Heading1"/>
        <w:rPr>
          <w:lang w:eastAsia="zh-CN"/>
        </w:rPr>
      </w:pPr>
      <w:bookmarkStart w:id="1" w:name="_Toc243809978"/>
      <w:r>
        <w:rPr>
          <w:lang w:eastAsia="zh-CN"/>
        </w:rPr>
        <w:t xml:space="preserve">B: </w:t>
      </w:r>
      <w:r w:rsidR="005B1723" w:rsidRPr="00FE26AB">
        <w:rPr>
          <w:lang w:eastAsia="zh-CN"/>
        </w:rPr>
        <w:t>Explain how blood sugar levels are maintained at a safe and effective level for the body’s needs.</w:t>
      </w:r>
      <w:bookmarkEnd w:id="1"/>
    </w:p>
    <w:p w14:paraId="2DDFF6C0" w14:textId="117034CE" w:rsidR="00697C64" w:rsidRDefault="005B1723" w:rsidP="00CA02CE">
      <w:pPr>
        <w:spacing w:before="100" w:beforeAutospacing="1" w:after="100" w:afterAutospacing="1" w:line="360" w:lineRule="auto"/>
        <w:jc w:val="both"/>
        <w:rPr>
          <w:rFonts w:ascii="Arial" w:hAnsi="Arial" w:cs="Arial"/>
          <w:color w:val="000000" w:themeColor="text1"/>
          <w:sz w:val="22"/>
          <w:szCs w:val="22"/>
          <w:lang w:eastAsia="zh-CN"/>
        </w:rPr>
      </w:pPr>
      <w:r w:rsidRPr="00874359">
        <w:rPr>
          <w:rFonts w:ascii="Arial" w:hAnsi="Arial" w:cs="Arial"/>
          <w:color w:val="000000" w:themeColor="text1"/>
          <w:sz w:val="22"/>
          <w:szCs w:val="22"/>
          <w:lang w:eastAsia="zh-CN"/>
        </w:rPr>
        <w:t>Blood glucose regulation is an example of homeostasis, where the body continually adjusts internal conditions to keep them within an appropriate range. The pancreas plays a central rol</w:t>
      </w:r>
      <w:r w:rsidR="001E0EC4">
        <w:rPr>
          <w:rFonts w:ascii="Arial" w:hAnsi="Arial" w:cs="Arial"/>
          <w:color w:val="000000" w:themeColor="text1"/>
          <w:sz w:val="22"/>
          <w:szCs w:val="22"/>
          <w:lang w:eastAsia="zh-CN"/>
        </w:rPr>
        <w:t>e</w:t>
      </w:r>
      <w:r w:rsidRPr="00874359">
        <w:rPr>
          <w:rFonts w:ascii="Arial" w:hAnsi="Arial" w:cs="Arial"/>
          <w:color w:val="000000" w:themeColor="text1"/>
          <w:sz w:val="22"/>
          <w:szCs w:val="22"/>
          <w:lang w:eastAsia="zh-CN"/>
        </w:rPr>
        <w:t xml:space="preserve"> </w:t>
      </w:r>
      <w:r w:rsidR="00A42AB1">
        <w:rPr>
          <w:rFonts w:ascii="Arial" w:hAnsi="Arial" w:cs="Arial"/>
          <w:color w:val="000000" w:themeColor="text1"/>
          <w:sz w:val="22"/>
          <w:szCs w:val="22"/>
          <w:lang w:eastAsia="zh-CN"/>
        </w:rPr>
        <w:t>in blood glucose regulation by producing the hormones insulin and glucagon</w:t>
      </w:r>
      <w:r w:rsidRPr="00874359">
        <w:rPr>
          <w:rFonts w:ascii="Arial" w:hAnsi="Arial" w:cs="Arial"/>
          <w:color w:val="000000" w:themeColor="text1"/>
          <w:sz w:val="22"/>
          <w:szCs w:val="22"/>
          <w:lang w:eastAsia="zh-CN"/>
        </w:rPr>
        <w:t xml:space="preserve">, which have opposing effects on blood glucose </w:t>
      </w:r>
      <w:r w:rsidR="001E0EC4">
        <w:rPr>
          <w:rFonts w:ascii="Arial" w:hAnsi="Arial" w:cs="Arial"/>
          <w:color w:val="000000" w:themeColor="text1"/>
          <w:sz w:val="22"/>
          <w:szCs w:val="22"/>
          <w:lang w:eastAsia="zh-CN"/>
        </w:rPr>
        <w:t xml:space="preserve">levels. When blood glucose rises, </w:t>
      </w:r>
      <w:r w:rsidRPr="00874359">
        <w:rPr>
          <w:rFonts w:ascii="Arial" w:hAnsi="Arial" w:cs="Arial"/>
          <w:color w:val="000000" w:themeColor="text1"/>
          <w:sz w:val="22"/>
          <w:szCs w:val="22"/>
          <w:lang w:eastAsia="zh-CN"/>
        </w:rPr>
        <w:t>particularly after eating, pancreatic beta</w:t>
      </w:r>
      <w:r w:rsidR="001E0EC4">
        <w:rPr>
          <w:rFonts w:ascii="Arial" w:hAnsi="Arial" w:cs="Arial"/>
          <w:color w:val="000000" w:themeColor="text1"/>
          <w:sz w:val="22"/>
          <w:szCs w:val="22"/>
          <w:lang w:eastAsia="zh-CN"/>
        </w:rPr>
        <w:t xml:space="preserve"> </w:t>
      </w:r>
      <w:r w:rsidRPr="00874359">
        <w:rPr>
          <w:rFonts w:ascii="Arial" w:hAnsi="Arial" w:cs="Arial"/>
          <w:color w:val="000000" w:themeColor="text1"/>
          <w:sz w:val="22"/>
          <w:szCs w:val="22"/>
          <w:lang w:eastAsia="zh-CN"/>
        </w:rPr>
        <w:t xml:space="preserve">cells release insulin. Insulin promotes the uptake of glucose into tissues such as skeletal muscle and adipose tissue and encourages the liver to store excess glucose as glycogen. These actions reduce the amount of glucose circulating in the blood </w:t>
      </w:r>
      <w:r w:rsidRPr="00874359">
        <w:rPr>
          <w:rFonts w:ascii="Arial" w:hAnsi="Arial" w:cs="Arial"/>
          <w:color w:val="000000" w:themeColor="text1"/>
          <w:sz w:val="22"/>
          <w:szCs w:val="22"/>
          <w:lang w:eastAsia="zh-CN"/>
        </w:rPr>
        <w:lastRenderedPageBreak/>
        <w:t>(</w:t>
      </w:r>
      <w:r w:rsidR="00F3108D">
        <w:rPr>
          <w:rFonts w:ascii="Arial" w:hAnsi="Arial" w:cs="Arial"/>
          <w:color w:val="000000" w:themeColor="text1"/>
          <w:sz w:val="22"/>
          <w:szCs w:val="22"/>
          <w:lang w:eastAsia="zh-CN"/>
        </w:rPr>
        <w:t>Hantzidiamantis, Awosika and Lappin, 2024</w:t>
      </w:r>
      <w:r w:rsidRPr="00874359">
        <w:rPr>
          <w:rFonts w:ascii="Arial" w:hAnsi="Arial" w:cs="Arial"/>
          <w:color w:val="000000" w:themeColor="text1"/>
          <w:sz w:val="22"/>
          <w:szCs w:val="22"/>
          <w:lang w:eastAsia="zh-CN"/>
        </w:rPr>
        <w:t>). When blood glucose begins to fall, such as between meals or during fasting, pancreatic alpha cells release glucagon. Glucagon acts mainly on the liver, stimulating the breakdown of stored glycogen (glycogenolysis) and the production of glucose from non-carbohydrate substances</w:t>
      </w:r>
      <w:r w:rsidR="0074595A" w:rsidRPr="00874359">
        <w:rPr>
          <w:rFonts w:ascii="Arial" w:hAnsi="Arial" w:cs="Arial"/>
          <w:color w:val="000000" w:themeColor="text1"/>
          <w:sz w:val="22"/>
          <w:szCs w:val="22"/>
          <w:lang w:eastAsia="zh-CN"/>
        </w:rPr>
        <w:t xml:space="preserve"> (gluconeogenesis). The </w:t>
      </w:r>
      <w:r w:rsidR="00446B14">
        <w:rPr>
          <w:rFonts w:ascii="Arial" w:hAnsi="Arial" w:cs="Arial"/>
          <w:color w:val="000000" w:themeColor="text1"/>
          <w:sz w:val="22"/>
          <w:szCs w:val="22"/>
          <w:lang w:eastAsia="zh-CN"/>
        </w:rPr>
        <w:t xml:space="preserve">liver then releases glucose into the bloodstream, helping prevent blood glucose from falling </w:t>
      </w:r>
      <w:r w:rsidR="00697C64">
        <w:rPr>
          <w:rFonts w:ascii="Arial" w:hAnsi="Arial" w:cs="Arial"/>
          <w:color w:val="000000" w:themeColor="text1"/>
          <w:sz w:val="22"/>
          <w:szCs w:val="22"/>
          <w:lang w:eastAsia="zh-CN"/>
        </w:rPr>
        <w:t xml:space="preserve">too </w:t>
      </w:r>
      <w:r w:rsidR="00446B14">
        <w:rPr>
          <w:rFonts w:ascii="Arial" w:hAnsi="Arial" w:cs="Arial"/>
          <w:color w:val="000000" w:themeColor="text1"/>
          <w:sz w:val="22"/>
          <w:szCs w:val="22"/>
          <w:lang w:eastAsia="zh-CN"/>
        </w:rPr>
        <w:t>low (Rix et al.,</w:t>
      </w:r>
      <w:r w:rsidR="0074595A" w:rsidRPr="00874359">
        <w:rPr>
          <w:rFonts w:ascii="Arial" w:hAnsi="Arial" w:cs="Arial"/>
          <w:color w:val="000000" w:themeColor="text1"/>
          <w:sz w:val="22"/>
          <w:szCs w:val="22"/>
          <w:lang w:eastAsia="zh-CN"/>
        </w:rPr>
        <w:t xml:space="preserve"> 2019).</w:t>
      </w:r>
      <w:r w:rsidR="00874359">
        <w:rPr>
          <w:rFonts w:ascii="Arial" w:hAnsi="Arial" w:cs="Arial"/>
          <w:color w:val="000000" w:themeColor="text1"/>
          <w:sz w:val="22"/>
          <w:szCs w:val="22"/>
          <w:lang w:eastAsia="zh-CN"/>
        </w:rPr>
        <w:t xml:space="preserve"> This balance between insulin and glucagon is </w:t>
      </w:r>
      <w:r w:rsidR="00BD65FD">
        <w:rPr>
          <w:rFonts w:ascii="Arial" w:hAnsi="Arial" w:cs="Arial"/>
          <w:color w:val="000000" w:themeColor="text1"/>
          <w:sz w:val="22"/>
          <w:szCs w:val="22"/>
          <w:lang w:eastAsia="zh-CN"/>
        </w:rPr>
        <w:t xml:space="preserve">part of a negative feedback mechanism: changes in blood glucose trigger hormonal responses that help bring levels back towards the normal range. </w:t>
      </w:r>
      <w:r w:rsidR="00CA02CE">
        <w:rPr>
          <w:rFonts w:ascii="Arial" w:hAnsi="Arial" w:cs="Arial"/>
          <w:color w:val="000000" w:themeColor="text1"/>
          <w:sz w:val="22"/>
          <w:szCs w:val="22"/>
          <w:lang w:eastAsia="zh-CN"/>
        </w:rPr>
        <w:t xml:space="preserve">In Type 2 diabetes, blood glucose regulation becomes impaired because body tissues become less responsive to insulin, a condition known as insulin resistance. </w:t>
      </w:r>
    </w:p>
    <w:p w14:paraId="3505D775" w14:textId="5DE1E4EB" w:rsidR="00BD65FD" w:rsidRDefault="00CA02CE" w:rsidP="00CA02CE">
      <w:pPr>
        <w:spacing w:before="100" w:beforeAutospacing="1" w:after="100" w:afterAutospacing="1"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The pancreas may initially produce more insulin to compensate, but over time its b</w:t>
      </w:r>
      <w:r w:rsidR="00FF6845">
        <w:rPr>
          <w:rFonts w:ascii="Arial" w:hAnsi="Arial" w:cs="Arial"/>
          <w:color w:val="000000" w:themeColor="text1"/>
          <w:sz w:val="22"/>
          <w:szCs w:val="22"/>
          <w:lang w:eastAsia="zh-CN"/>
        </w:rPr>
        <w:t>e</w:t>
      </w:r>
      <w:r>
        <w:rPr>
          <w:rFonts w:ascii="Arial" w:hAnsi="Arial" w:cs="Arial"/>
          <w:color w:val="000000" w:themeColor="text1"/>
          <w:sz w:val="22"/>
          <w:szCs w:val="22"/>
          <w:lang w:eastAsia="zh-CN"/>
        </w:rPr>
        <w:t>ta cells may become less able to meet the body’s needs. The liver may also continue producing and releasing glucose when it is not needed</w:t>
      </w:r>
      <w:r w:rsidR="00697C64">
        <w:rPr>
          <w:rFonts w:ascii="Arial" w:hAnsi="Arial" w:cs="Arial"/>
          <w:color w:val="000000" w:themeColor="text1"/>
          <w:sz w:val="22"/>
          <w:szCs w:val="22"/>
          <w:lang w:eastAsia="zh-CN"/>
        </w:rPr>
        <w:t>, contributing to hyperglycaemia (Gilon, 2020). If blood glucose remains high over a long period, it can damage blood vessels and nerves and increase the risk of complications affecting the eyes, kidneys, feet and cardiovascular system (Diabetes UK, no date). This demonstrates why maintaining blood glucose within an appropriate range is important for health.</w:t>
      </w:r>
    </w:p>
    <w:p w14:paraId="0554A2F6" w14:textId="60D7C8D8" w:rsidR="00FE26AB" w:rsidRPr="00FE26AB" w:rsidRDefault="00FE26AB" w:rsidP="00262A1B">
      <w:pPr>
        <w:pStyle w:val="Heading1"/>
        <w:rPr>
          <w:lang w:eastAsia="zh-CN"/>
        </w:rPr>
      </w:pPr>
      <w:bookmarkStart w:id="2" w:name="_Toc243809979"/>
      <w:r>
        <w:rPr>
          <w:lang w:eastAsia="zh-CN"/>
        </w:rPr>
        <w:t xml:space="preserve">C: </w:t>
      </w:r>
      <w:r w:rsidRPr="00FE26AB">
        <w:rPr>
          <w:lang w:eastAsia="zh-CN"/>
        </w:rPr>
        <w:t>Show how oxygen and glucose are used to produce energy through cell metabolism.</w:t>
      </w:r>
      <w:bookmarkEnd w:id="2"/>
      <w:r w:rsidRPr="00FE26AB">
        <w:rPr>
          <w:lang w:eastAsia="zh-CN"/>
        </w:rPr>
        <w:t xml:space="preserve"> </w:t>
      </w:r>
    </w:p>
    <w:p w14:paraId="09B4DF69" w14:textId="6F6735C1" w:rsidR="00675171" w:rsidRDefault="00BD65FD" w:rsidP="00CA02CE">
      <w:pPr>
        <w:spacing w:before="100" w:beforeAutospacing="1" w:after="100" w:afterAutospacing="1"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Cellular metabolism is the process through which cells obtain usable energy from nutrients. During aerobic cellular respiration, glucose is broken down in the presence of oxygen to produce adenosine triphosphate (ATP), which supplies energy for activities such as muscle contraction, active transport and tissue repair. Glycolysis occurs in the cytoplasm and breaks glucose into smaller molecules, producing a small amount of ATP. When oxygen is available, further stages take place in the mitochondria, including the citric acid cycle and oxidative phosphorylation, which produce most of the ATP</w:t>
      </w:r>
      <w:r w:rsidR="0056485C">
        <w:rPr>
          <w:rFonts w:ascii="Arial" w:hAnsi="Arial" w:cs="Arial"/>
          <w:color w:val="000000" w:themeColor="text1"/>
          <w:sz w:val="22"/>
          <w:szCs w:val="22"/>
          <w:lang w:eastAsia="zh-CN"/>
        </w:rPr>
        <w:t xml:space="preserve"> (Clark</w:t>
      </w:r>
      <w:r w:rsidR="001C15E3">
        <w:rPr>
          <w:rFonts w:ascii="Arial" w:hAnsi="Arial" w:cs="Arial"/>
          <w:color w:val="000000" w:themeColor="text1"/>
          <w:sz w:val="22"/>
          <w:szCs w:val="22"/>
          <w:lang w:eastAsia="zh-CN"/>
        </w:rPr>
        <w:t>, Douglas and Choi</w:t>
      </w:r>
      <w:r w:rsidR="0056485C">
        <w:rPr>
          <w:rFonts w:ascii="Arial" w:hAnsi="Arial" w:cs="Arial"/>
          <w:color w:val="000000" w:themeColor="text1"/>
          <w:sz w:val="22"/>
          <w:szCs w:val="22"/>
          <w:lang w:eastAsia="zh-CN"/>
        </w:rPr>
        <w:t>, 20</w:t>
      </w:r>
      <w:r w:rsidR="002A0370">
        <w:rPr>
          <w:rFonts w:ascii="Arial" w:hAnsi="Arial" w:cs="Arial"/>
          <w:color w:val="000000" w:themeColor="text1"/>
          <w:sz w:val="22"/>
          <w:szCs w:val="22"/>
          <w:lang w:eastAsia="zh-CN"/>
        </w:rPr>
        <w:t>18</w:t>
      </w:r>
      <w:r w:rsidR="0056485C">
        <w:rPr>
          <w:rFonts w:ascii="Arial" w:hAnsi="Arial" w:cs="Arial"/>
          <w:color w:val="000000" w:themeColor="text1"/>
          <w:sz w:val="22"/>
          <w:szCs w:val="22"/>
          <w:lang w:eastAsia="zh-CN"/>
        </w:rPr>
        <w:t xml:space="preserve">). </w:t>
      </w:r>
      <w:r w:rsidR="002F7664">
        <w:rPr>
          <w:rFonts w:ascii="Arial" w:hAnsi="Arial" w:cs="Arial"/>
          <w:color w:val="000000" w:themeColor="text1"/>
          <w:sz w:val="22"/>
          <w:szCs w:val="22"/>
          <w:lang w:eastAsia="zh-CN"/>
        </w:rPr>
        <w:t>O</w:t>
      </w:r>
      <w:r w:rsidR="00675171">
        <w:rPr>
          <w:rFonts w:ascii="Arial" w:hAnsi="Arial" w:cs="Arial"/>
          <w:color w:val="000000" w:themeColor="text1"/>
          <w:sz w:val="22"/>
          <w:szCs w:val="22"/>
          <w:lang w:eastAsia="zh-CN"/>
        </w:rPr>
        <w:t>verall</w:t>
      </w:r>
      <w:r w:rsidR="00026059">
        <w:rPr>
          <w:rFonts w:ascii="Arial" w:hAnsi="Arial" w:cs="Arial"/>
          <w:color w:val="000000" w:themeColor="text1"/>
          <w:sz w:val="22"/>
          <w:szCs w:val="22"/>
          <w:lang w:eastAsia="zh-CN"/>
        </w:rPr>
        <w:t>,</w:t>
      </w:r>
      <w:r w:rsidR="00675171">
        <w:rPr>
          <w:rFonts w:ascii="Arial" w:hAnsi="Arial" w:cs="Arial"/>
          <w:color w:val="000000" w:themeColor="text1"/>
          <w:sz w:val="22"/>
          <w:szCs w:val="22"/>
          <w:lang w:eastAsia="zh-CN"/>
        </w:rPr>
        <w:t xml:space="preserve"> aerobic respiration </w:t>
      </w:r>
      <w:r w:rsidR="00026059">
        <w:rPr>
          <w:rFonts w:ascii="Arial" w:hAnsi="Arial" w:cs="Arial"/>
          <w:color w:val="000000" w:themeColor="text1"/>
          <w:sz w:val="22"/>
          <w:szCs w:val="22"/>
          <w:lang w:eastAsia="zh-CN"/>
        </w:rPr>
        <w:t xml:space="preserve">uses </w:t>
      </w:r>
      <w:r w:rsidR="00F83955">
        <w:rPr>
          <w:rFonts w:ascii="Arial" w:hAnsi="Arial" w:cs="Arial"/>
          <w:color w:val="000000" w:themeColor="text1"/>
          <w:sz w:val="22"/>
          <w:szCs w:val="22"/>
          <w:lang w:eastAsia="zh-CN"/>
        </w:rPr>
        <w:t>glucose and oxygen to produce</w:t>
      </w:r>
      <w:r w:rsidR="00972602">
        <w:rPr>
          <w:rFonts w:ascii="Arial" w:hAnsi="Arial" w:cs="Arial"/>
          <w:color w:val="000000" w:themeColor="text1"/>
          <w:sz w:val="22"/>
          <w:szCs w:val="22"/>
          <w:lang w:eastAsia="zh-CN"/>
        </w:rPr>
        <w:t xml:space="preserve"> carbon dioxide, water and energy in the form of ATP.</w:t>
      </w:r>
      <w:r w:rsidR="00E21B90">
        <w:rPr>
          <w:rFonts w:ascii="Arial" w:hAnsi="Arial" w:cs="Arial"/>
          <w:color w:val="000000" w:themeColor="text1"/>
          <w:sz w:val="22"/>
          <w:szCs w:val="22"/>
          <w:lang w:eastAsia="zh-CN"/>
        </w:rPr>
        <w:t xml:space="preserve"> Oxygen is essential for the final stage of aerobic respiration, while glucose provides the fuel. This process demonstrates why effective glucose regulation is important: cells require a continuing energy supply, but glucose must also be maintained within safe limits. In Type 2 diabetes, insulin resistance and declining beta-cell function disrupt normal regulation. Abnormal glucagon activity can also contribute to excessive glucose production by the liver, further increasing blood glucose levels (Gilon, 2020).</w:t>
      </w:r>
    </w:p>
    <w:p w14:paraId="13101D1D" w14:textId="7D81FD4E" w:rsidR="00FE26AB" w:rsidRPr="00BB26FC" w:rsidRDefault="00FE26AB" w:rsidP="00262A1B">
      <w:pPr>
        <w:pStyle w:val="Heading1"/>
        <w:rPr>
          <w:lang w:eastAsia="zh-CN"/>
        </w:rPr>
      </w:pPr>
      <w:bookmarkStart w:id="3" w:name="_Toc243809980"/>
      <w:r w:rsidRPr="00BB26FC">
        <w:rPr>
          <w:lang w:eastAsia="zh-CN"/>
        </w:rPr>
        <w:lastRenderedPageBreak/>
        <w:t>D: Briefly examine how recording and tracking blood sugar levels helps individuals with Type 2 diabetes to safely manage their condition.</w:t>
      </w:r>
      <w:bookmarkEnd w:id="3"/>
      <w:r w:rsidRPr="00BB26FC">
        <w:rPr>
          <w:lang w:eastAsia="zh-CN"/>
        </w:rPr>
        <w:t xml:space="preserve">  </w:t>
      </w:r>
    </w:p>
    <w:p w14:paraId="606313B6" w14:textId="43ABA740" w:rsidR="00FE26AB" w:rsidRDefault="00564B93" w:rsidP="00CA02CE">
      <w:pPr>
        <w:spacing w:before="100" w:beforeAutospacing="1" w:after="100" w:afterAutospacing="1" w:line="360" w:lineRule="auto"/>
        <w:jc w:val="both"/>
        <w:rPr>
          <w:rFonts w:ascii="Arial" w:hAnsi="Arial" w:cs="Arial"/>
          <w:color w:val="000000" w:themeColor="text1"/>
          <w:sz w:val="22"/>
          <w:szCs w:val="22"/>
          <w:lang w:eastAsia="zh-CN"/>
        </w:rPr>
      </w:pPr>
      <w:r w:rsidRPr="00BB26FC">
        <w:rPr>
          <w:rFonts w:ascii="Arial" w:hAnsi="Arial" w:cs="Arial"/>
          <w:color w:val="000000" w:themeColor="text1"/>
          <w:sz w:val="22"/>
          <w:szCs w:val="22"/>
          <w:lang w:eastAsia="zh-CN"/>
        </w:rPr>
        <w:t xml:space="preserve">Recording and tracking blood glucose can help people with Type 2 diabetes and their healthcare professionals assess how effectively the condition is being managed. One important test is glycated haemoglobin (HbA1c), which reflects average blood glucose over approximately the previous two to three months. HbA1c is useful because it provides a longer-term picture than a single blood glucose reading. NICE recommends measuring HbA1c every three to six months </w:t>
      </w:r>
      <w:r w:rsidR="00FA12BC">
        <w:rPr>
          <w:rFonts w:ascii="Arial" w:hAnsi="Arial" w:cs="Arial"/>
          <w:color w:val="000000" w:themeColor="text1"/>
          <w:sz w:val="22"/>
          <w:szCs w:val="22"/>
          <w:lang w:eastAsia="zh-CN"/>
        </w:rPr>
        <w:t>until</w:t>
      </w:r>
      <w:r w:rsidR="00BB26FC" w:rsidRPr="00BB26FC">
        <w:rPr>
          <w:rFonts w:ascii="Arial" w:hAnsi="Arial" w:cs="Arial"/>
          <w:color w:val="000000" w:themeColor="text1"/>
          <w:sz w:val="22"/>
          <w:szCs w:val="22"/>
          <w:lang w:eastAsia="zh-CN"/>
        </w:rPr>
        <w:t xml:space="preserve"> levels are stable</w:t>
      </w:r>
      <w:r w:rsidR="00FA12BC">
        <w:rPr>
          <w:rFonts w:ascii="Arial" w:hAnsi="Arial" w:cs="Arial"/>
          <w:color w:val="000000" w:themeColor="text1"/>
          <w:sz w:val="22"/>
          <w:szCs w:val="22"/>
          <w:lang w:eastAsia="zh-CN"/>
        </w:rPr>
        <w:t xml:space="preserve"> on unchanged treatment, and every six months once they are stable</w:t>
      </w:r>
      <w:r w:rsidR="00BB26FC" w:rsidRPr="00BB26FC">
        <w:rPr>
          <w:rFonts w:ascii="Arial" w:hAnsi="Arial" w:cs="Arial"/>
          <w:color w:val="000000" w:themeColor="text1"/>
          <w:sz w:val="22"/>
          <w:szCs w:val="22"/>
          <w:lang w:eastAsia="zh-CN"/>
        </w:rPr>
        <w:t xml:space="preserve"> (NICE, 2026). </w:t>
      </w:r>
      <w:r w:rsidR="006C73C0">
        <w:rPr>
          <w:rFonts w:ascii="Arial" w:hAnsi="Arial" w:cs="Arial"/>
          <w:color w:val="000000" w:themeColor="text1"/>
          <w:sz w:val="22"/>
          <w:szCs w:val="22"/>
          <w:lang w:eastAsia="zh-CN"/>
        </w:rPr>
        <w:t>S</w:t>
      </w:r>
      <w:r w:rsidR="00BB26FC" w:rsidRPr="00BB26FC">
        <w:rPr>
          <w:rFonts w:ascii="Arial" w:hAnsi="Arial" w:cs="Arial"/>
          <w:color w:val="000000" w:themeColor="text1"/>
          <w:sz w:val="22"/>
          <w:szCs w:val="22"/>
          <w:lang w:eastAsia="zh-CN"/>
        </w:rPr>
        <w:t>ome people may also use a blood glucose meter, which measures capillary blood glucose at</w:t>
      </w:r>
      <w:r w:rsidR="00BB26FC">
        <w:rPr>
          <w:rFonts w:ascii="Arial" w:hAnsi="Arial" w:cs="Arial"/>
          <w:color w:val="000000" w:themeColor="text1"/>
          <w:sz w:val="22"/>
          <w:szCs w:val="22"/>
          <w:lang w:eastAsia="zh-CN"/>
        </w:rPr>
        <w:t xml:space="preserve"> a particular time. These readings can help identify patterns related to meals, activity, illness or medication. Continuous glucose monitoring (CGM) uses a sensor to measure glucose in the fluid beneath the skin and can show changes over time. When used appropriately, these methods can help people understand their results and discuss possible adjustments to their care plan with their healthcare team. However, finger-prick testing is not routinely recommended for every adult with Type 2 diabetes. NICE </w:t>
      </w:r>
      <w:r w:rsidR="00B41CD5">
        <w:rPr>
          <w:rFonts w:ascii="Arial" w:hAnsi="Arial" w:cs="Arial"/>
          <w:color w:val="000000" w:themeColor="text1"/>
          <w:sz w:val="22"/>
          <w:szCs w:val="22"/>
          <w:lang w:eastAsia="zh-CN"/>
        </w:rPr>
        <w:t xml:space="preserve">recommends that blood glucose testing should be </w:t>
      </w:r>
      <w:r w:rsidR="00BB26FC">
        <w:rPr>
          <w:rFonts w:ascii="Arial" w:hAnsi="Arial" w:cs="Arial"/>
          <w:color w:val="000000" w:themeColor="text1"/>
          <w:sz w:val="22"/>
          <w:szCs w:val="22"/>
          <w:lang w:eastAsia="zh-CN"/>
        </w:rPr>
        <w:t>consider</w:t>
      </w:r>
      <w:r w:rsidR="00B41CD5">
        <w:rPr>
          <w:rFonts w:ascii="Arial" w:hAnsi="Arial" w:cs="Arial"/>
          <w:color w:val="000000" w:themeColor="text1"/>
          <w:sz w:val="22"/>
          <w:szCs w:val="22"/>
          <w:lang w:eastAsia="zh-CN"/>
        </w:rPr>
        <w:t xml:space="preserve">ed </w:t>
      </w:r>
      <w:r w:rsidR="00BB26FC">
        <w:rPr>
          <w:rFonts w:ascii="Arial" w:hAnsi="Arial" w:cs="Arial"/>
          <w:color w:val="000000" w:themeColor="text1"/>
          <w:sz w:val="22"/>
          <w:szCs w:val="22"/>
          <w:lang w:eastAsia="zh-CN"/>
        </w:rPr>
        <w:t>in specific circumstances, including insulin treatment, episodes of hypoglyc</w:t>
      </w:r>
      <w:r w:rsidR="00F51457">
        <w:rPr>
          <w:rFonts w:ascii="Arial" w:hAnsi="Arial" w:cs="Arial"/>
          <w:color w:val="000000" w:themeColor="text1"/>
          <w:sz w:val="22"/>
          <w:szCs w:val="22"/>
          <w:lang w:eastAsia="zh-CN"/>
        </w:rPr>
        <w:t>aemia</w:t>
      </w:r>
      <w:r w:rsidR="006D1DB0">
        <w:rPr>
          <w:rFonts w:ascii="Arial" w:hAnsi="Arial" w:cs="Arial"/>
          <w:color w:val="000000" w:themeColor="text1"/>
          <w:sz w:val="22"/>
          <w:szCs w:val="22"/>
          <w:lang w:eastAsia="zh-CN"/>
        </w:rPr>
        <w:t xml:space="preserve">, and situations where </w:t>
      </w:r>
      <w:r w:rsidR="00F51457">
        <w:rPr>
          <w:rFonts w:ascii="Arial" w:hAnsi="Arial" w:cs="Arial"/>
          <w:color w:val="000000" w:themeColor="text1"/>
          <w:sz w:val="22"/>
          <w:szCs w:val="22"/>
          <w:lang w:eastAsia="zh-CN"/>
        </w:rPr>
        <w:t xml:space="preserve">certain medicines </w:t>
      </w:r>
      <w:r w:rsidR="006D1DB0">
        <w:rPr>
          <w:rFonts w:ascii="Arial" w:hAnsi="Arial" w:cs="Arial"/>
          <w:color w:val="000000" w:themeColor="text1"/>
          <w:sz w:val="22"/>
          <w:szCs w:val="22"/>
          <w:lang w:eastAsia="zh-CN"/>
        </w:rPr>
        <w:t>may increase the risk of</w:t>
      </w:r>
      <w:r w:rsidR="00F51457">
        <w:rPr>
          <w:rFonts w:ascii="Arial" w:hAnsi="Arial" w:cs="Arial"/>
          <w:color w:val="000000" w:themeColor="text1"/>
          <w:sz w:val="22"/>
          <w:szCs w:val="22"/>
          <w:lang w:eastAsia="zh-CN"/>
        </w:rPr>
        <w:t xml:space="preserve"> low blood glucose</w:t>
      </w:r>
      <w:r w:rsidR="006D1DB0">
        <w:rPr>
          <w:rFonts w:ascii="Arial" w:hAnsi="Arial" w:cs="Arial"/>
          <w:color w:val="000000" w:themeColor="text1"/>
          <w:sz w:val="22"/>
          <w:szCs w:val="22"/>
          <w:lang w:eastAsia="zh-CN"/>
        </w:rPr>
        <w:t>, particularly when driving or operating machinery (NICE, 2026)</w:t>
      </w:r>
      <w:r w:rsidR="00F51457">
        <w:rPr>
          <w:rFonts w:ascii="Arial" w:hAnsi="Arial" w:cs="Arial"/>
          <w:color w:val="000000" w:themeColor="text1"/>
          <w:sz w:val="22"/>
          <w:szCs w:val="22"/>
          <w:lang w:eastAsia="zh-CN"/>
        </w:rPr>
        <w:t xml:space="preserve">. Monitoring should have a clear purpose, and people who test should understand how to interpret the results and what action to take (NICE, 2026). </w:t>
      </w:r>
      <w:r w:rsidR="002F7664">
        <w:rPr>
          <w:rFonts w:ascii="Arial" w:hAnsi="Arial" w:cs="Arial"/>
          <w:color w:val="000000" w:themeColor="text1"/>
          <w:sz w:val="22"/>
          <w:szCs w:val="22"/>
          <w:lang w:eastAsia="zh-CN"/>
        </w:rPr>
        <w:t>T</w:t>
      </w:r>
      <w:r w:rsidR="00F51457">
        <w:rPr>
          <w:rFonts w:ascii="Arial" w:hAnsi="Arial" w:cs="Arial"/>
          <w:color w:val="000000" w:themeColor="text1"/>
          <w:sz w:val="22"/>
          <w:szCs w:val="22"/>
          <w:lang w:eastAsia="zh-CN"/>
        </w:rPr>
        <w:t>his prevents unnecessary testing that may cause anxiety without improving management.</w:t>
      </w:r>
    </w:p>
    <w:p w14:paraId="713310D2" w14:textId="5878CD69" w:rsidR="00F51457" w:rsidRDefault="00F51457" w:rsidP="00CA02CE">
      <w:pPr>
        <w:spacing w:before="100" w:beforeAutospacing="1" w:after="100" w:afterAutospacing="1"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Recording readings alongside information such as meals, physical activity, medication and symptoms can help reveal patterns. For example, repeated high readings may prompt a review of treatment or eating habits, while low readings may indicate a need to review medicines or receive advice about hypoglycaemia. However, a single reading should not be interpreted in isolation, and people should not change prescribed medication without appropriate advice. Monitoring is therefore most useful when combined with education, regular reviews and shared decision-making. Data can sup</w:t>
      </w:r>
      <w:r w:rsidR="003170EA">
        <w:rPr>
          <w:rFonts w:ascii="Arial" w:hAnsi="Arial" w:cs="Arial"/>
          <w:color w:val="000000" w:themeColor="text1"/>
          <w:sz w:val="22"/>
          <w:szCs w:val="22"/>
          <w:lang w:eastAsia="zh-CN"/>
        </w:rPr>
        <w:t>port self-management, but it does not replace professional assessment. Results must be interpreted in context, including the person’s treatment, health needs and agreed individual targets.</w:t>
      </w:r>
    </w:p>
    <w:p w14:paraId="1C16535C" w14:textId="53F8B154" w:rsidR="003170EA" w:rsidRDefault="00E068C4" w:rsidP="00262A1B">
      <w:pPr>
        <w:pStyle w:val="Heading1"/>
        <w:rPr>
          <w:lang w:eastAsia="zh-CN"/>
        </w:rPr>
      </w:pPr>
      <w:bookmarkStart w:id="4" w:name="_Toc243809981"/>
      <w:r>
        <w:rPr>
          <w:lang w:eastAsia="zh-CN"/>
        </w:rPr>
        <w:lastRenderedPageBreak/>
        <w:t xml:space="preserve">E: </w:t>
      </w:r>
      <w:r w:rsidR="003170EA" w:rsidRPr="003170EA">
        <w:rPr>
          <w:lang w:eastAsia="zh-CN"/>
        </w:rPr>
        <w:t>Include evidence-based recommendations on how lifestyle changes could help improve their condition.</w:t>
      </w:r>
      <w:bookmarkEnd w:id="4"/>
    </w:p>
    <w:p w14:paraId="7FE70BFC" w14:textId="3C7BAB1D" w:rsidR="003170EA" w:rsidRDefault="003170EA" w:rsidP="00CA02CE">
      <w:pPr>
        <w:spacing w:before="100" w:beforeAutospacing="1" w:after="100" w:afterAutospacing="1" w:line="360" w:lineRule="auto"/>
        <w:jc w:val="both"/>
        <w:rPr>
          <w:rFonts w:ascii="Arial" w:hAnsi="Arial" w:cs="Arial"/>
          <w:color w:val="000000"/>
          <w:sz w:val="22"/>
          <w:szCs w:val="22"/>
          <w:lang w:eastAsia="zh-CN"/>
        </w:rPr>
      </w:pPr>
      <w:r>
        <w:rPr>
          <w:rFonts w:ascii="Arial" w:hAnsi="Arial" w:cs="Arial"/>
          <w:color w:val="000000"/>
          <w:sz w:val="22"/>
          <w:szCs w:val="22"/>
          <w:lang w:eastAsia="zh-CN"/>
        </w:rPr>
        <w:t>Lifestyle support is an important part of managing Type 2 diabetes and should be personalised to the individual. NICE recommends integrating dieta</w:t>
      </w:r>
      <w:r w:rsidR="001D142D">
        <w:rPr>
          <w:rFonts w:ascii="Arial" w:hAnsi="Arial" w:cs="Arial"/>
          <w:color w:val="000000"/>
          <w:sz w:val="22"/>
          <w:szCs w:val="22"/>
          <w:lang w:eastAsia="zh-CN"/>
        </w:rPr>
        <w:t>ry advice, physical activity and weight management into</w:t>
      </w:r>
      <w:r w:rsidR="00B41CD5">
        <w:rPr>
          <w:rFonts w:ascii="Arial" w:hAnsi="Arial" w:cs="Arial"/>
          <w:color w:val="000000"/>
          <w:sz w:val="22"/>
          <w:szCs w:val="22"/>
          <w:lang w:eastAsia="zh-CN"/>
        </w:rPr>
        <w:t xml:space="preserve"> an</w:t>
      </w:r>
      <w:r w:rsidR="001D142D">
        <w:rPr>
          <w:rFonts w:ascii="Arial" w:hAnsi="Arial" w:cs="Arial"/>
          <w:color w:val="000000"/>
          <w:sz w:val="22"/>
          <w:szCs w:val="22"/>
          <w:lang w:eastAsia="zh-CN"/>
        </w:rPr>
        <w:t xml:space="preserve"> individualised care plan, alongside medication where required (NICE, 2026). </w:t>
      </w:r>
      <w:r w:rsidR="00B41CD5">
        <w:rPr>
          <w:rFonts w:ascii="Arial" w:hAnsi="Arial" w:cs="Arial"/>
          <w:color w:val="000000"/>
          <w:sz w:val="22"/>
          <w:szCs w:val="22"/>
          <w:lang w:eastAsia="zh-CN"/>
        </w:rPr>
        <w:t>A</w:t>
      </w:r>
      <w:r w:rsidR="001D142D">
        <w:rPr>
          <w:rFonts w:ascii="Arial" w:hAnsi="Arial" w:cs="Arial"/>
          <w:color w:val="000000"/>
          <w:sz w:val="22"/>
          <w:szCs w:val="22"/>
          <w:lang w:eastAsia="zh-CN"/>
        </w:rPr>
        <w:t xml:space="preserve">dvice should take account of personal preferences, cultural food choices, financial circumstances, existing health conditions and the person’s readiness to make changes. A balanced </w:t>
      </w:r>
      <w:r w:rsidR="005B2F49">
        <w:rPr>
          <w:rFonts w:ascii="Arial" w:hAnsi="Arial" w:cs="Arial"/>
          <w:color w:val="000000"/>
          <w:sz w:val="22"/>
          <w:szCs w:val="22"/>
          <w:lang w:eastAsia="zh-CN"/>
        </w:rPr>
        <w:t>diet</w:t>
      </w:r>
      <w:r w:rsidR="001D142D">
        <w:rPr>
          <w:rFonts w:ascii="Arial" w:hAnsi="Arial" w:cs="Arial"/>
          <w:color w:val="000000"/>
          <w:sz w:val="22"/>
          <w:szCs w:val="22"/>
          <w:lang w:eastAsia="zh-CN"/>
        </w:rPr>
        <w:t xml:space="preserve"> can support blood glucose control, weight management and cardiovascular health. People should be encouraged to eat a variety of vegetables, fruits, pulses and wholegrain foods, while reducing frequent consumption of highly processed foods, sugary drinks and foods high in salt or saturated fat. Higher-fibre carbohydrate</w:t>
      </w:r>
      <w:r w:rsidR="00C34EC2">
        <w:rPr>
          <w:rFonts w:ascii="Arial" w:hAnsi="Arial" w:cs="Arial"/>
          <w:color w:val="000000"/>
          <w:sz w:val="22"/>
          <w:szCs w:val="22"/>
          <w:lang w:eastAsia="zh-CN"/>
        </w:rPr>
        <w:t xml:space="preserve"> choices, such as oats, beans, lentils and wholegrain bread, can form part of a balanced diet. Carbohydrate</w:t>
      </w:r>
      <w:r w:rsidR="00FA12BC">
        <w:rPr>
          <w:rFonts w:ascii="Arial" w:hAnsi="Arial" w:cs="Arial"/>
          <w:color w:val="000000"/>
          <w:sz w:val="22"/>
          <w:szCs w:val="22"/>
          <w:lang w:eastAsia="zh-CN"/>
        </w:rPr>
        <w:t>s</w:t>
      </w:r>
      <w:r w:rsidR="00C34EC2">
        <w:rPr>
          <w:rFonts w:ascii="Arial" w:hAnsi="Arial" w:cs="Arial"/>
          <w:color w:val="000000"/>
          <w:sz w:val="22"/>
          <w:szCs w:val="22"/>
          <w:lang w:eastAsia="zh-CN"/>
        </w:rPr>
        <w:t xml:space="preserve"> do not need to be eliminated completely</w:t>
      </w:r>
      <w:r w:rsidR="006D1DB0">
        <w:rPr>
          <w:rFonts w:ascii="Arial" w:hAnsi="Arial" w:cs="Arial"/>
          <w:color w:val="000000"/>
          <w:sz w:val="22"/>
          <w:szCs w:val="22"/>
          <w:lang w:eastAsia="zh-CN"/>
        </w:rPr>
        <w:t>;</w:t>
      </w:r>
      <w:r w:rsidR="00C34EC2">
        <w:rPr>
          <w:rFonts w:ascii="Arial" w:hAnsi="Arial" w:cs="Arial"/>
          <w:color w:val="000000"/>
          <w:sz w:val="22"/>
          <w:szCs w:val="22"/>
          <w:lang w:eastAsia="zh-CN"/>
        </w:rPr>
        <w:t xml:space="preserve"> the type, amount and distribution of carbohydrate should be considered according to individual needs and treatment (Diabetes UK, 2026; NICE, 2026). There is no single diet that suits everyone, so realistic changes are more likely to be sustained tha</w:t>
      </w:r>
      <w:r w:rsidR="00FA12BC">
        <w:rPr>
          <w:rFonts w:ascii="Arial" w:hAnsi="Arial" w:cs="Arial"/>
          <w:color w:val="000000"/>
          <w:sz w:val="22"/>
          <w:szCs w:val="22"/>
          <w:lang w:eastAsia="zh-CN"/>
        </w:rPr>
        <w:t>n</w:t>
      </w:r>
      <w:r w:rsidR="00C34EC2">
        <w:rPr>
          <w:rFonts w:ascii="Arial" w:hAnsi="Arial" w:cs="Arial"/>
          <w:color w:val="000000"/>
          <w:sz w:val="22"/>
          <w:szCs w:val="22"/>
          <w:lang w:eastAsia="zh-CN"/>
        </w:rPr>
        <w:t xml:space="preserve"> restrictive plans that are difficult to follow.</w:t>
      </w:r>
    </w:p>
    <w:p w14:paraId="3D784686" w14:textId="74A9C933" w:rsidR="00C34EC2" w:rsidRDefault="00C34EC2" w:rsidP="00CA02CE">
      <w:pPr>
        <w:spacing w:before="100" w:beforeAutospacing="1" w:after="100" w:afterAutospacing="1" w:line="360" w:lineRule="auto"/>
        <w:jc w:val="both"/>
        <w:rPr>
          <w:rFonts w:ascii="Arial" w:hAnsi="Arial" w:cs="Arial"/>
          <w:color w:val="000000"/>
          <w:sz w:val="22"/>
          <w:szCs w:val="22"/>
          <w:lang w:eastAsia="zh-CN"/>
        </w:rPr>
      </w:pPr>
      <w:r>
        <w:rPr>
          <w:rFonts w:ascii="Arial" w:hAnsi="Arial" w:cs="Arial"/>
          <w:color w:val="000000"/>
          <w:sz w:val="22"/>
          <w:szCs w:val="22"/>
          <w:lang w:eastAsia="zh-CN"/>
        </w:rPr>
        <w:t>Regular physical activity helps</w:t>
      </w:r>
      <w:r w:rsidR="00C40374">
        <w:rPr>
          <w:rFonts w:ascii="Arial" w:hAnsi="Arial" w:cs="Arial"/>
          <w:color w:val="000000"/>
          <w:sz w:val="22"/>
          <w:szCs w:val="22"/>
          <w:lang w:eastAsia="zh-CN"/>
        </w:rPr>
        <w:t xml:space="preserve"> muscles use glucose and can improve insulin sensitivity</w:t>
      </w:r>
      <w:r w:rsidR="008370E2">
        <w:rPr>
          <w:rFonts w:ascii="Arial" w:hAnsi="Arial" w:cs="Arial"/>
          <w:color w:val="000000"/>
          <w:sz w:val="22"/>
          <w:szCs w:val="22"/>
          <w:lang w:eastAsia="zh-CN"/>
        </w:rPr>
        <w:t xml:space="preserve">. Adults should aim, where their health allows, for at least 150 minutes of moderate-intensity activity each week, building up gradually if they are currently inactive (NHS, </w:t>
      </w:r>
      <w:r w:rsidR="00851234">
        <w:rPr>
          <w:rFonts w:ascii="Arial" w:hAnsi="Arial" w:cs="Arial"/>
          <w:color w:val="000000"/>
          <w:sz w:val="22"/>
          <w:szCs w:val="22"/>
          <w:lang w:eastAsia="zh-CN"/>
        </w:rPr>
        <w:t>2024</w:t>
      </w:r>
      <w:r w:rsidR="00451D44">
        <w:rPr>
          <w:rFonts w:ascii="Arial" w:hAnsi="Arial" w:cs="Arial"/>
          <w:color w:val="000000"/>
          <w:sz w:val="22"/>
          <w:szCs w:val="22"/>
          <w:lang w:eastAsia="zh-CN"/>
        </w:rPr>
        <w:t>;</w:t>
      </w:r>
      <w:r w:rsidR="008370E2">
        <w:rPr>
          <w:rFonts w:ascii="Arial" w:hAnsi="Arial" w:cs="Arial"/>
          <w:color w:val="000000"/>
          <w:sz w:val="22"/>
          <w:szCs w:val="22"/>
          <w:lang w:eastAsia="zh-CN"/>
        </w:rPr>
        <w:t xml:space="preserve"> Diabetes U</w:t>
      </w:r>
      <w:r w:rsidR="009D3F43">
        <w:rPr>
          <w:rFonts w:ascii="Arial" w:hAnsi="Arial" w:cs="Arial"/>
          <w:color w:val="000000"/>
          <w:sz w:val="22"/>
          <w:szCs w:val="22"/>
          <w:lang w:eastAsia="zh-CN"/>
        </w:rPr>
        <w:t>K,</w:t>
      </w:r>
      <w:r w:rsidR="008370E2">
        <w:rPr>
          <w:rFonts w:ascii="Arial" w:hAnsi="Arial" w:cs="Arial"/>
          <w:color w:val="000000"/>
          <w:sz w:val="22"/>
          <w:szCs w:val="22"/>
          <w:lang w:eastAsia="zh-CN"/>
        </w:rPr>
        <w:t xml:space="preserve"> 2026). Activities such as brisk walking, cycling, swimming or suitable home exercises may be appropriate. Breaking up long periods of sitting can also</w:t>
      </w:r>
      <w:r w:rsidR="00EB6065">
        <w:rPr>
          <w:rFonts w:ascii="Arial" w:hAnsi="Arial" w:cs="Arial"/>
          <w:color w:val="000000"/>
          <w:sz w:val="22"/>
          <w:szCs w:val="22"/>
          <w:lang w:eastAsia="zh-CN"/>
        </w:rPr>
        <w:t xml:space="preserve"> help people become more active. Recommendations should be adapted for people with mobility difficulties, pain, cardiovascular conditions</w:t>
      </w:r>
      <w:r w:rsidR="008C4DCA">
        <w:rPr>
          <w:rFonts w:ascii="Arial" w:hAnsi="Arial" w:cs="Arial"/>
          <w:color w:val="000000"/>
          <w:sz w:val="22"/>
          <w:szCs w:val="22"/>
          <w:lang w:eastAsia="zh-CN"/>
        </w:rPr>
        <w:t xml:space="preserve"> or other limitations. A gradual, achievable plan may be more effective than an ambitious programme that cannot be maintained. For people who are overweight or have obesity, supported weight loss can improve blood glucose control and reduce other health risks. In some people, particularly those with more recently dia</w:t>
      </w:r>
      <w:r w:rsidR="001821FC">
        <w:rPr>
          <w:rFonts w:ascii="Arial" w:hAnsi="Arial" w:cs="Arial"/>
          <w:color w:val="000000"/>
          <w:sz w:val="22"/>
          <w:szCs w:val="22"/>
          <w:lang w:eastAsia="zh-CN"/>
        </w:rPr>
        <w:t xml:space="preserve">gnosed Type 2 diabetes, substantial weight loss may contribute to remission. However, remission is not guaranteed and does not mean the person can stop follow-up care. Any intensive or very low-calorie diet should be discussed with a healthcare professional, especially when diabetes medicines may cause hypoglycaemia (NHS, </w:t>
      </w:r>
      <w:r w:rsidR="00851234">
        <w:rPr>
          <w:rFonts w:ascii="Arial" w:hAnsi="Arial" w:cs="Arial"/>
          <w:color w:val="000000"/>
          <w:sz w:val="22"/>
          <w:szCs w:val="22"/>
          <w:lang w:eastAsia="zh-CN"/>
        </w:rPr>
        <w:t>202</w:t>
      </w:r>
      <w:r w:rsidR="00451D44">
        <w:rPr>
          <w:rFonts w:ascii="Arial" w:hAnsi="Arial" w:cs="Arial"/>
          <w:color w:val="000000"/>
          <w:sz w:val="22"/>
          <w:szCs w:val="22"/>
          <w:lang w:eastAsia="zh-CN"/>
        </w:rPr>
        <w:t>5</w:t>
      </w:r>
      <w:r w:rsidR="001821FC">
        <w:rPr>
          <w:rFonts w:ascii="Arial" w:hAnsi="Arial" w:cs="Arial"/>
          <w:color w:val="000000"/>
          <w:sz w:val="22"/>
          <w:szCs w:val="22"/>
          <w:lang w:eastAsia="zh-CN"/>
        </w:rPr>
        <w:t>; Diabetes UK, 2026). Weight-related advice should be respectful and non-judgemental, recognising that weight is influenced by multiple factors.</w:t>
      </w:r>
    </w:p>
    <w:p w14:paraId="597D00E1" w14:textId="593C816D" w:rsidR="001821FC" w:rsidRDefault="00915AF5" w:rsidP="00CA02CE">
      <w:pPr>
        <w:spacing w:before="100" w:beforeAutospacing="1" w:after="100" w:afterAutospacing="1" w:line="360" w:lineRule="auto"/>
        <w:jc w:val="both"/>
        <w:rPr>
          <w:rFonts w:ascii="Arial" w:hAnsi="Arial" w:cs="Arial"/>
          <w:color w:val="000000"/>
          <w:sz w:val="22"/>
          <w:szCs w:val="22"/>
          <w:lang w:eastAsia="zh-CN"/>
        </w:rPr>
      </w:pPr>
      <w:r>
        <w:rPr>
          <w:rFonts w:ascii="Arial" w:hAnsi="Arial" w:cs="Arial"/>
          <w:color w:val="000000"/>
          <w:sz w:val="22"/>
          <w:szCs w:val="22"/>
          <w:lang w:eastAsia="zh-CN"/>
        </w:rPr>
        <w:t>People who smoke should be offered support to stop because smoking adds to the cardiovascular risks already associated with diabetes. Limiting alcohol, maintaining regular appointments and attending structured diabetes</w:t>
      </w:r>
      <w:r w:rsidR="0000229A">
        <w:rPr>
          <w:rFonts w:ascii="Arial" w:hAnsi="Arial" w:cs="Arial"/>
          <w:color w:val="000000"/>
          <w:sz w:val="22"/>
          <w:szCs w:val="22"/>
          <w:lang w:eastAsia="zh-CN"/>
        </w:rPr>
        <w:t xml:space="preserve"> education can also support self-management. </w:t>
      </w:r>
      <w:r w:rsidR="0000229A">
        <w:rPr>
          <w:rFonts w:ascii="Arial" w:hAnsi="Arial" w:cs="Arial"/>
          <w:color w:val="000000"/>
          <w:sz w:val="22"/>
          <w:szCs w:val="22"/>
          <w:lang w:eastAsia="zh-CN"/>
        </w:rPr>
        <w:lastRenderedPageBreak/>
        <w:t xml:space="preserve">Education programmes can help people understand their condition, make informed decisions and recognise when they need professional advice (NHS, </w:t>
      </w:r>
      <w:r w:rsidR="00851234">
        <w:rPr>
          <w:rFonts w:ascii="Arial" w:hAnsi="Arial" w:cs="Arial"/>
          <w:color w:val="000000"/>
          <w:sz w:val="22"/>
          <w:szCs w:val="22"/>
          <w:lang w:eastAsia="zh-CN"/>
        </w:rPr>
        <w:t>202</w:t>
      </w:r>
      <w:r w:rsidR="00451D44">
        <w:rPr>
          <w:rFonts w:ascii="Arial" w:hAnsi="Arial" w:cs="Arial"/>
          <w:color w:val="000000"/>
          <w:sz w:val="22"/>
          <w:szCs w:val="22"/>
          <w:lang w:eastAsia="zh-CN"/>
        </w:rPr>
        <w:t>5</w:t>
      </w:r>
      <w:r w:rsidR="0000229A">
        <w:rPr>
          <w:rFonts w:ascii="Arial" w:hAnsi="Arial" w:cs="Arial"/>
          <w:color w:val="000000"/>
          <w:sz w:val="22"/>
          <w:szCs w:val="22"/>
          <w:lang w:eastAsia="zh-CN"/>
        </w:rPr>
        <w:t xml:space="preserve">; NICE, 2026). </w:t>
      </w:r>
      <w:r w:rsidR="00FA12BC">
        <w:rPr>
          <w:rFonts w:ascii="Arial" w:hAnsi="Arial" w:cs="Arial"/>
          <w:color w:val="000000"/>
          <w:sz w:val="22"/>
          <w:szCs w:val="22"/>
          <w:lang w:eastAsia="zh-CN"/>
        </w:rPr>
        <w:t>O</w:t>
      </w:r>
      <w:r w:rsidR="0000229A">
        <w:rPr>
          <w:rFonts w:ascii="Arial" w:hAnsi="Arial" w:cs="Arial"/>
          <w:color w:val="000000"/>
          <w:sz w:val="22"/>
          <w:szCs w:val="22"/>
          <w:lang w:eastAsia="zh-CN"/>
        </w:rPr>
        <w:t>verall, lifestyle recommendations are most likely to help when they are collaborati</w:t>
      </w:r>
      <w:r w:rsidR="00FA12BC">
        <w:rPr>
          <w:rFonts w:ascii="Arial" w:hAnsi="Arial" w:cs="Arial"/>
          <w:color w:val="000000"/>
          <w:sz w:val="22"/>
          <w:szCs w:val="22"/>
          <w:lang w:eastAsia="zh-CN"/>
        </w:rPr>
        <w:t>ve</w:t>
      </w:r>
      <w:r w:rsidR="0000229A">
        <w:rPr>
          <w:rFonts w:ascii="Arial" w:hAnsi="Arial" w:cs="Arial"/>
          <w:color w:val="000000"/>
          <w:sz w:val="22"/>
          <w:szCs w:val="22"/>
          <w:lang w:eastAsia="zh-CN"/>
        </w:rPr>
        <w:t xml:space="preserve"> and realistic. Rather than giving every person the same plan, healthcare professionals should agree priorities with the individual, identi</w:t>
      </w:r>
      <w:r w:rsidR="00B02AA3">
        <w:rPr>
          <w:rFonts w:ascii="Arial" w:hAnsi="Arial" w:cs="Arial"/>
          <w:color w:val="000000"/>
          <w:sz w:val="22"/>
          <w:szCs w:val="22"/>
          <w:lang w:eastAsia="zh-CN"/>
        </w:rPr>
        <w:t>f</w:t>
      </w:r>
      <w:r w:rsidR="0000229A">
        <w:rPr>
          <w:rFonts w:ascii="Arial" w:hAnsi="Arial" w:cs="Arial"/>
          <w:color w:val="000000"/>
          <w:sz w:val="22"/>
          <w:szCs w:val="22"/>
          <w:lang w:eastAsia="zh-CN"/>
        </w:rPr>
        <w:t>y barriers and review progress. This approach supports independence and recognises that diabetes management involves ongoing adjustments rather than one-off lifestyle change</w:t>
      </w:r>
      <w:r w:rsidR="00FA12BC">
        <w:rPr>
          <w:rFonts w:ascii="Arial" w:hAnsi="Arial" w:cs="Arial"/>
          <w:color w:val="000000"/>
          <w:sz w:val="22"/>
          <w:szCs w:val="22"/>
          <w:lang w:eastAsia="zh-CN"/>
        </w:rPr>
        <w:t>s</w:t>
      </w:r>
      <w:r w:rsidR="0000229A">
        <w:rPr>
          <w:rFonts w:ascii="Arial" w:hAnsi="Arial" w:cs="Arial"/>
          <w:color w:val="000000"/>
          <w:sz w:val="22"/>
          <w:szCs w:val="22"/>
          <w:lang w:eastAsia="zh-CN"/>
        </w:rPr>
        <w:t>.</w:t>
      </w:r>
    </w:p>
    <w:p w14:paraId="375F55A2" w14:textId="77777777" w:rsidR="00AE70FB" w:rsidRDefault="00AE70FB" w:rsidP="00CA02CE">
      <w:pPr>
        <w:spacing w:before="100" w:beforeAutospacing="1" w:after="100" w:afterAutospacing="1" w:line="360" w:lineRule="auto"/>
        <w:jc w:val="both"/>
        <w:rPr>
          <w:rFonts w:ascii="Arial" w:hAnsi="Arial" w:cs="Arial"/>
          <w:b/>
          <w:bCs/>
          <w:color w:val="000000"/>
          <w:sz w:val="28"/>
          <w:szCs w:val="28"/>
          <w:lang w:eastAsia="zh-CN"/>
        </w:rPr>
      </w:pPr>
    </w:p>
    <w:p w14:paraId="3AFA96EB" w14:textId="1C81B73D" w:rsidR="0000229A" w:rsidRDefault="0000229A" w:rsidP="00262A1B">
      <w:pPr>
        <w:pStyle w:val="Heading1"/>
        <w:rPr>
          <w:lang w:eastAsia="zh-CN"/>
        </w:rPr>
      </w:pPr>
      <w:bookmarkStart w:id="5" w:name="_Toc243809982"/>
      <w:r w:rsidRPr="0000229A">
        <w:rPr>
          <w:lang w:eastAsia="zh-CN"/>
        </w:rPr>
        <w:t>CONCLUSION</w:t>
      </w:r>
      <w:bookmarkEnd w:id="5"/>
    </w:p>
    <w:p w14:paraId="6E0A90F8" w14:textId="5A0CD230" w:rsidR="0000229A" w:rsidRPr="0000229A" w:rsidRDefault="0000229A" w:rsidP="00CA02CE">
      <w:pPr>
        <w:spacing w:before="100" w:beforeAutospacing="1" w:after="100" w:afterAutospacing="1" w:line="360" w:lineRule="auto"/>
        <w:jc w:val="both"/>
        <w:rPr>
          <w:rFonts w:ascii="Arial" w:hAnsi="Arial" w:cs="Arial"/>
          <w:color w:val="000000"/>
          <w:sz w:val="22"/>
          <w:szCs w:val="22"/>
          <w:lang w:eastAsia="zh-CN"/>
        </w:rPr>
      </w:pPr>
      <w:r>
        <w:rPr>
          <w:rFonts w:ascii="Arial" w:hAnsi="Arial" w:cs="Arial"/>
          <w:color w:val="000000"/>
          <w:sz w:val="22"/>
          <w:szCs w:val="22"/>
          <w:lang w:eastAsia="zh-CN"/>
        </w:rPr>
        <w:t>Type 2 diabetes is a chronic metabolic condition in which insulin resistance and declin</w:t>
      </w:r>
      <w:r w:rsidR="00E168F1">
        <w:rPr>
          <w:rFonts w:ascii="Arial" w:hAnsi="Arial" w:cs="Arial"/>
          <w:color w:val="000000"/>
          <w:sz w:val="22"/>
          <w:szCs w:val="22"/>
          <w:lang w:eastAsia="zh-CN"/>
        </w:rPr>
        <w:t xml:space="preserve">ing pancreatic beta-cell function impair the body’s ability to regulate blood glucose. Normal glucose homeostasis depends on the </w:t>
      </w:r>
      <w:r w:rsidR="00F53974">
        <w:rPr>
          <w:rFonts w:ascii="Arial" w:hAnsi="Arial" w:cs="Arial"/>
          <w:color w:val="000000"/>
          <w:sz w:val="22"/>
          <w:szCs w:val="22"/>
          <w:lang w:eastAsia="zh-CN"/>
        </w:rPr>
        <w:t xml:space="preserve">coordinated actions of insulin and glucagon, while cellular respiration uses glucose and oxygen to produce ATP needed for the body’s activities. When glucose regulation fails, prolonged hyperglycaemia can contribute to complications affecting the blood vessels, nerves, eyes, kidneys and cardiovascular system. Monitoring, including HbA1c testing and selected use of blood glucose meters or continuous glucose monitoring, can help assess control and guide decisions when used appropriately. However, monitoring must be linked to education and individual care plans rather than treated as an </w:t>
      </w:r>
      <w:r w:rsidR="00081AFF">
        <w:rPr>
          <w:rFonts w:ascii="Arial" w:hAnsi="Arial" w:cs="Arial"/>
          <w:color w:val="000000"/>
          <w:sz w:val="22"/>
          <w:szCs w:val="22"/>
          <w:lang w:eastAsia="zh-CN"/>
        </w:rPr>
        <w:t>end</w:t>
      </w:r>
      <w:r w:rsidR="00F53974">
        <w:rPr>
          <w:rFonts w:ascii="Arial" w:hAnsi="Arial" w:cs="Arial"/>
          <w:color w:val="000000"/>
          <w:sz w:val="22"/>
          <w:szCs w:val="22"/>
          <w:lang w:eastAsia="zh-CN"/>
        </w:rPr>
        <w:t xml:space="preserve">. </w:t>
      </w:r>
      <w:r w:rsidR="00081AFF">
        <w:rPr>
          <w:rFonts w:ascii="Arial" w:hAnsi="Arial" w:cs="Arial"/>
          <w:color w:val="000000"/>
          <w:sz w:val="22"/>
          <w:szCs w:val="22"/>
          <w:lang w:eastAsia="zh-CN"/>
        </w:rPr>
        <w:t>Healthy eating, physical activity, weight management where appropriate, smoking cessation and structured diabetes education can all support effective management. These measures should be tailored to each person’s needs and circumstances and used alongside prescribed treatment. A person-centred approach is essential because successful diabetes management depends not only on physiological knowledge but also on practical support, informed choices and changes that can be sustained over time.</w:t>
      </w:r>
    </w:p>
    <w:p w14:paraId="049C2387" w14:textId="77777777" w:rsidR="00A036C3" w:rsidRDefault="00A036C3" w:rsidP="00CA02CE">
      <w:pPr>
        <w:spacing w:line="360" w:lineRule="auto"/>
        <w:jc w:val="both"/>
        <w:rPr>
          <w:rFonts w:ascii="Arial" w:hAnsi="Arial" w:cs="Arial"/>
          <w:sz w:val="22"/>
          <w:szCs w:val="22"/>
        </w:rPr>
      </w:pPr>
    </w:p>
    <w:p w14:paraId="5BEAC4B3" w14:textId="77777777" w:rsidR="00A036C3" w:rsidRDefault="00A036C3" w:rsidP="00CA02CE">
      <w:pPr>
        <w:spacing w:line="360" w:lineRule="auto"/>
        <w:jc w:val="both"/>
        <w:rPr>
          <w:rFonts w:ascii="Arial" w:hAnsi="Arial" w:cs="Arial"/>
          <w:sz w:val="22"/>
          <w:szCs w:val="22"/>
        </w:rPr>
      </w:pPr>
    </w:p>
    <w:p w14:paraId="1AAB0255" w14:textId="77777777" w:rsidR="00A036C3" w:rsidRDefault="00A036C3" w:rsidP="00CA02CE">
      <w:pPr>
        <w:spacing w:line="360" w:lineRule="auto"/>
        <w:jc w:val="both"/>
        <w:rPr>
          <w:rFonts w:ascii="Arial" w:hAnsi="Arial" w:cs="Arial"/>
          <w:sz w:val="22"/>
          <w:szCs w:val="22"/>
        </w:rPr>
      </w:pPr>
    </w:p>
    <w:p w14:paraId="6D570172" w14:textId="77777777" w:rsidR="00A036C3" w:rsidRDefault="00A036C3" w:rsidP="00CA02CE">
      <w:pPr>
        <w:spacing w:line="360" w:lineRule="auto"/>
        <w:jc w:val="both"/>
        <w:rPr>
          <w:rFonts w:ascii="Arial" w:hAnsi="Arial" w:cs="Arial"/>
          <w:sz w:val="22"/>
          <w:szCs w:val="22"/>
        </w:rPr>
      </w:pPr>
    </w:p>
    <w:p w14:paraId="3EB03AFE" w14:textId="77777777" w:rsidR="00A036C3" w:rsidRDefault="00A036C3" w:rsidP="00CA02CE">
      <w:pPr>
        <w:spacing w:line="360" w:lineRule="auto"/>
        <w:jc w:val="both"/>
        <w:rPr>
          <w:rFonts w:ascii="Arial" w:hAnsi="Arial" w:cs="Arial"/>
          <w:sz w:val="22"/>
          <w:szCs w:val="22"/>
        </w:rPr>
      </w:pPr>
    </w:p>
    <w:p w14:paraId="1898DC7D" w14:textId="77777777" w:rsidR="00A036C3" w:rsidRDefault="00A036C3" w:rsidP="00CA02CE">
      <w:pPr>
        <w:spacing w:line="360" w:lineRule="auto"/>
        <w:jc w:val="both"/>
        <w:rPr>
          <w:rFonts w:ascii="Arial" w:hAnsi="Arial" w:cs="Arial"/>
          <w:sz w:val="22"/>
          <w:szCs w:val="22"/>
        </w:rPr>
      </w:pPr>
    </w:p>
    <w:p w14:paraId="50ECD1B1" w14:textId="77777777" w:rsidR="00F104F7" w:rsidRDefault="00F104F7" w:rsidP="00CA02CE">
      <w:pPr>
        <w:spacing w:line="360" w:lineRule="auto"/>
        <w:jc w:val="both"/>
        <w:rPr>
          <w:rFonts w:ascii="Arial" w:hAnsi="Arial" w:cs="Arial"/>
          <w:b/>
          <w:bCs/>
          <w:sz w:val="28"/>
          <w:szCs w:val="28"/>
        </w:rPr>
      </w:pPr>
    </w:p>
    <w:p w14:paraId="2221D5A1" w14:textId="77777777" w:rsidR="00F104F7" w:rsidRDefault="00F104F7" w:rsidP="00CA02CE">
      <w:pPr>
        <w:spacing w:line="360" w:lineRule="auto"/>
        <w:jc w:val="both"/>
        <w:rPr>
          <w:rFonts w:ascii="Arial" w:hAnsi="Arial" w:cs="Arial"/>
          <w:b/>
          <w:bCs/>
          <w:sz w:val="28"/>
          <w:szCs w:val="28"/>
        </w:rPr>
      </w:pPr>
    </w:p>
    <w:p w14:paraId="38161283" w14:textId="77777777" w:rsidR="007651C6" w:rsidRDefault="007651C6" w:rsidP="00CA02CE">
      <w:pPr>
        <w:spacing w:line="360" w:lineRule="auto"/>
        <w:jc w:val="both"/>
        <w:rPr>
          <w:rFonts w:ascii="Arial" w:hAnsi="Arial" w:cs="Arial"/>
          <w:b/>
          <w:bCs/>
          <w:sz w:val="28"/>
          <w:szCs w:val="28"/>
        </w:rPr>
      </w:pPr>
    </w:p>
    <w:p w14:paraId="0BA13154" w14:textId="00076E10" w:rsidR="007651C6" w:rsidRDefault="00A036C3" w:rsidP="00262A1B">
      <w:pPr>
        <w:pStyle w:val="Heading1"/>
      </w:pPr>
      <w:bookmarkStart w:id="6" w:name="_Toc243809983"/>
      <w:r>
        <w:t>REFERENCE LIST</w:t>
      </w:r>
      <w:bookmarkEnd w:id="6"/>
    </w:p>
    <w:p w14:paraId="3686399D" w14:textId="77777777" w:rsidR="00262A1B" w:rsidRPr="00262A1B" w:rsidRDefault="00262A1B" w:rsidP="00262A1B"/>
    <w:p w14:paraId="70F6B6A6" w14:textId="5C9A5852" w:rsidR="00A036C3" w:rsidRPr="00276404" w:rsidRDefault="007651C6" w:rsidP="00CA02CE">
      <w:pPr>
        <w:spacing w:line="360" w:lineRule="auto"/>
        <w:jc w:val="both"/>
        <w:rPr>
          <w:rFonts w:ascii="Arial" w:hAnsi="Arial" w:cs="Arial"/>
          <w:color w:val="212121"/>
          <w:sz w:val="22"/>
          <w:szCs w:val="22"/>
          <w:shd w:val="clear" w:color="auto" w:fill="FFFFFF"/>
        </w:rPr>
      </w:pPr>
      <w:r w:rsidRPr="00276404">
        <w:rPr>
          <w:rFonts w:ascii="Arial" w:hAnsi="Arial" w:cs="Arial"/>
          <w:color w:val="212121"/>
          <w:sz w:val="22"/>
          <w:szCs w:val="22"/>
          <w:shd w:val="clear" w:color="auto" w:fill="FFFFFF"/>
        </w:rPr>
        <w:t xml:space="preserve">Clark, M.A., Douglas, M. and Choi, J. (2018) </w:t>
      </w:r>
      <w:r w:rsidRPr="001B74FB">
        <w:rPr>
          <w:rFonts w:ascii="Arial" w:hAnsi="Arial" w:cs="Arial"/>
          <w:i/>
          <w:iCs/>
          <w:color w:val="212121"/>
          <w:sz w:val="22"/>
          <w:szCs w:val="22"/>
          <w:shd w:val="clear" w:color="auto" w:fill="FFFFFF"/>
        </w:rPr>
        <w:t>Biology 2e</w:t>
      </w:r>
      <w:r w:rsidRPr="00276404">
        <w:rPr>
          <w:rFonts w:ascii="Arial" w:hAnsi="Arial" w:cs="Arial"/>
          <w:color w:val="212121"/>
          <w:sz w:val="22"/>
          <w:szCs w:val="22"/>
          <w:shd w:val="clear" w:color="auto" w:fill="FFFFFF"/>
        </w:rPr>
        <w:t xml:space="preserve">. Houston, TX: OpenStax. Available at: </w:t>
      </w:r>
      <w:hyperlink r:id="rId11" w:history="1">
        <w:r w:rsidRPr="00276404">
          <w:rPr>
            <w:rStyle w:val="Hyperlink"/>
            <w:rFonts w:ascii="Arial" w:hAnsi="Arial" w:cs="Arial"/>
            <w:sz w:val="22"/>
            <w:szCs w:val="22"/>
            <w:shd w:val="clear" w:color="auto" w:fill="FFFFFF"/>
          </w:rPr>
          <w:t>https://openstax.org</w:t>
        </w:r>
        <w:r w:rsidRPr="00276404">
          <w:rPr>
            <w:rStyle w:val="Hyperlink"/>
            <w:rFonts w:ascii="Arial" w:hAnsi="Arial" w:cs="Arial"/>
            <w:sz w:val="22"/>
            <w:szCs w:val="22"/>
            <w:shd w:val="clear" w:color="auto" w:fill="FFFFFF"/>
          </w:rPr>
          <w:t>/</w:t>
        </w:r>
        <w:r w:rsidRPr="00276404">
          <w:rPr>
            <w:rStyle w:val="Hyperlink"/>
            <w:rFonts w:ascii="Arial" w:hAnsi="Arial" w:cs="Arial"/>
            <w:sz w:val="22"/>
            <w:szCs w:val="22"/>
            <w:shd w:val="clear" w:color="auto" w:fill="FFFFFF"/>
          </w:rPr>
          <w:t>books/biology-2e/page</w:t>
        </w:r>
        <w:r w:rsidRPr="00276404">
          <w:rPr>
            <w:rStyle w:val="Hyperlink"/>
            <w:rFonts w:ascii="Arial" w:hAnsi="Arial" w:cs="Arial"/>
            <w:sz w:val="22"/>
            <w:szCs w:val="22"/>
            <w:shd w:val="clear" w:color="auto" w:fill="FFFFFF"/>
          </w:rPr>
          <w:t>s</w:t>
        </w:r>
        <w:r w:rsidRPr="00276404">
          <w:rPr>
            <w:rStyle w:val="Hyperlink"/>
            <w:rFonts w:ascii="Arial" w:hAnsi="Arial" w:cs="Arial"/>
            <w:sz w:val="22"/>
            <w:szCs w:val="22"/>
            <w:shd w:val="clear" w:color="auto" w:fill="FFFFFF"/>
          </w:rPr>
          <w:t>/7-c</w:t>
        </w:r>
        <w:r w:rsidRPr="00276404">
          <w:rPr>
            <w:rStyle w:val="Hyperlink"/>
            <w:rFonts w:ascii="Arial" w:hAnsi="Arial" w:cs="Arial"/>
            <w:sz w:val="22"/>
            <w:szCs w:val="22"/>
            <w:shd w:val="clear" w:color="auto" w:fill="FFFFFF"/>
          </w:rPr>
          <w:t>h</w:t>
        </w:r>
        <w:r w:rsidRPr="00276404">
          <w:rPr>
            <w:rStyle w:val="Hyperlink"/>
            <w:rFonts w:ascii="Arial" w:hAnsi="Arial" w:cs="Arial"/>
            <w:sz w:val="22"/>
            <w:szCs w:val="22"/>
            <w:shd w:val="clear" w:color="auto" w:fill="FFFFFF"/>
          </w:rPr>
          <w:t>apter-summary</w:t>
        </w:r>
      </w:hyperlink>
      <w:r w:rsidRPr="00276404">
        <w:rPr>
          <w:rFonts w:ascii="Arial" w:hAnsi="Arial" w:cs="Arial"/>
          <w:color w:val="212121"/>
          <w:sz w:val="22"/>
          <w:szCs w:val="22"/>
          <w:shd w:val="clear" w:color="auto" w:fill="FFFFFF"/>
        </w:rPr>
        <w:t xml:space="preserve"> </w:t>
      </w:r>
      <w:r w:rsidRPr="00276404">
        <w:rPr>
          <w:rFonts w:ascii="Arial" w:hAnsi="Arial" w:cs="Arial"/>
          <w:color w:val="212121"/>
          <w:sz w:val="22"/>
          <w:szCs w:val="22"/>
          <w:shd w:val="clear" w:color="auto" w:fill="FFFFFF"/>
        </w:rPr>
        <w:t>(Accessed: 2</w:t>
      </w:r>
      <w:r w:rsidR="007E0F3F">
        <w:rPr>
          <w:rFonts w:ascii="Arial" w:hAnsi="Arial" w:cs="Arial"/>
          <w:color w:val="212121"/>
          <w:sz w:val="22"/>
          <w:szCs w:val="22"/>
          <w:shd w:val="clear" w:color="auto" w:fill="FFFFFF"/>
        </w:rPr>
        <w:t>0</w:t>
      </w:r>
      <w:r w:rsidRPr="00276404">
        <w:rPr>
          <w:rFonts w:ascii="Arial" w:hAnsi="Arial" w:cs="Arial"/>
          <w:color w:val="212121"/>
          <w:sz w:val="22"/>
          <w:szCs w:val="22"/>
          <w:shd w:val="clear" w:color="auto" w:fill="FFFFFF"/>
        </w:rPr>
        <w:t xml:space="preserve"> October 2026).</w:t>
      </w:r>
    </w:p>
    <w:p w14:paraId="471EA0DF" w14:textId="1E67D61D" w:rsidR="00A036C3" w:rsidRPr="00276404" w:rsidRDefault="00A036C3" w:rsidP="00CA02CE">
      <w:pPr>
        <w:spacing w:line="360" w:lineRule="auto"/>
        <w:jc w:val="both"/>
        <w:rPr>
          <w:rFonts w:ascii="Arial" w:hAnsi="Arial" w:cs="Arial"/>
          <w:sz w:val="22"/>
          <w:szCs w:val="22"/>
        </w:rPr>
      </w:pPr>
      <w:r w:rsidRPr="00276404">
        <w:rPr>
          <w:rFonts w:ascii="Arial" w:hAnsi="Arial" w:cs="Arial"/>
          <w:sz w:val="22"/>
          <w:szCs w:val="22"/>
        </w:rPr>
        <w:t xml:space="preserve">Diabetes UK (no date) </w:t>
      </w:r>
      <w:r w:rsidRPr="00276404">
        <w:rPr>
          <w:rFonts w:ascii="Arial" w:hAnsi="Arial" w:cs="Arial"/>
          <w:i/>
          <w:iCs/>
          <w:sz w:val="22"/>
          <w:szCs w:val="22"/>
        </w:rPr>
        <w:t xml:space="preserve">Diabetes risk factors. </w:t>
      </w:r>
      <w:r w:rsidRPr="00276404">
        <w:rPr>
          <w:rFonts w:ascii="Arial" w:hAnsi="Arial" w:cs="Arial"/>
          <w:sz w:val="22"/>
          <w:szCs w:val="22"/>
        </w:rPr>
        <w:t xml:space="preserve">Available at: </w:t>
      </w:r>
      <w:hyperlink r:id="rId12" w:history="1">
        <w:r w:rsidR="00A21BA3" w:rsidRPr="00276404">
          <w:rPr>
            <w:rStyle w:val="Hyperlink"/>
            <w:rFonts w:ascii="Arial" w:hAnsi="Arial" w:cs="Arial"/>
            <w:sz w:val="22"/>
            <w:szCs w:val="22"/>
          </w:rPr>
          <w:t>https://www.diabe</w:t>
        </w:r>
        <w:r w:rsidR="00A21BA3" w:rsidRPr="00276404">
          <w:rPr>
            <w:rStyle w:val="Hyperlink"/>
            <w:rFonts w:ascii="Arial" w:hAnsi="Arial" w:cs="Arial"/>
            <w:sz w:val="22"/>
            <w:szCs w:val="22"/>
          </w:rPr>
          <w:t>t</w:t>
        </w:r>
        <w:r w:rsidR="00A21BA3" w:rsidRPr="00276404">
          <w:rPr>
            <w:rStyle w:val="Hyperlink"/>
            <w:rFonts w:ascii="Arial" w:hAnsi="Arial" w:cs="Arial"/>
            <w:sz w:val="22"/>
            <w:szCs w:val="22"/>
          </w:rPr>
          <w:t>es.org.uk/about-diabetes/type-2-diabetes/diabetes-risk-factors</w:t>
        </w:r>
      </w:hyperlink>
      <w:r w:rsidR="00A21BA3" w:rsidRPr="00276404">
        <w:rPr>
          <w:rFonts w:ascii="Arial" w:hAnsi="Arial" w:cs="Arial"/>
          <w:sz w:val="22"/>
          <w:szCs w:val="22"/>
        </w:rPr>
        <w:t xml:space="preserve"> (</w:t>
      </w:r>
      <w:r w:rsidRPr="00276404">
        <w:rPr>
          <w:rFonts w:ascii="Arial" w:hAnsi="Arial" w:cs="Arial"/>
          <w:sz w:val="22"/>
          <w:szCs w:val="22"/>
        </w:rPr>
        <w:t xml:space="preserve">Accessed: </w:t>
      </w:r>
      <w:r w:rsidR="00DB586B" w:rsidRPr="00276404">
        <w:rPr>
          <w:rFonts w:ascii="Arial" w:hAnsi="Arial" w:cs="Arial"/>
          <w:sz w:val="22"/>
          <w:szCs w:val="22"/>
        </w:rPr>
        <w:t>20</w:t>
      </w:r>
      <w:r w:rsidRPr="00276404">
        <w:rPr>
          <w:rFonts w:ascii="Arial" w:hAnsi="Arial" w:cs="Arial"/>
          <w:sz w:val="22"/>
          <w:szCs w:val="22"/>
        </w:rPr>
        <w:t xml:space="preserve"> October 2026)</w:t>
      </w:r>
      <w:r w:rsidR="007E5A7C">
        <w:rPr>
          <w:rFonts w:ascii="Arial" w:hAnsi="Arial" w:cs="Arial"/>
          <w:sz w:val="22"/>
          <w:szCs w:val="22"/>
        </w:rPr>
        <w:t>.</w:t>
      </w:r>
    </w:p>
    <w:p w14:paraId="2A62237E" w14:textId="4B305013" w:rsidR="00276404" w:rsidRPr="00276404" w:rsidRDefault="00276404" w:rsidP="00276404">
      <w:pPr>
        <w:spacing w:line="360" w:lineRule="auto"/>
        <w:jc w:val="both"/>
        <w:rPr>
          <w:rFonts w:ascii="Arial" w:hAnsi="Arial" w:cs="Arial"/>
          <w:sz w:val="22"/>
          <w:szCs w:val="22"/>
        </w:rPr>
      </w:pPr>
      <w:r w:rsidRPr="00276404">
        <w:rPr>
          <w:rFonts w:ascii="Arial" w:hAnsi="Arial" w:cs="Arial"/>
          <w:sz w:val="22"/>
          <w:szCs w:val="22"/>
        </w:rPr>
        <w:t xml:space="preserve">Diabetes UK (2026) </w:t>
      </w:r>
      <w:r w:rsidRPr="00053337">
        <w:rPr>
          <w:rFonts w:ascii="Arial" w:hAnsi="Arial" w:cs="Arial"/>
          <w:i/>
          <w:iCs/>
          <w:sz w:val="22"/>
          <w:szCs w:val="22"/>
        </w:rPr>
        <w:t>I have type 2 diabetes</w:t>
      </w:r>
      <w:r w:rsidRPr="00276404">
        <w:rPr>
          <w:rFonts w:ascii="Arial" w:hAnsi="Arial" w:cs="Arial"/>
          <w:sz w:val="22"/>
          <w:szCs w:val="22"/>
        </w:rPr>
        <w:t xml:space="preserve"> – </w:t>
      </w:r>
      <w:r w:rsidRPr="008A3613">
        <w:rPr>
          <w:rFonts w:ascii="Arial" w:hAnsi="Arial" w:cs="Arial"/>
          <w:i/>
          <w:iCs/>
          <w:sz w:val="22"/>
          <w:szCs w:val="22"/>
        </w:rPr>
        <w:t>what can I ea</w:t>
      </w:r>
      <w:r w:rsidRPr="008A3613">
        <w:rPr>
          <w:rFonts w:ascii="Arial" w:hAnsi="Arial" w:cs="Arial"/>
          <w:sz w:val="22"/>
          <w:szCs w:val="22"/>
        </w:rPr>
        <w:t>t?</w:t>
      </w:r>
      <w:r w:rsidRPr="00276404">
        <w:rPr>
          <w:rFonts w:ascii="Arial" w:hAnsi="Arial" w:cs="Arial"/>
          <w:sz w:val="22"/>
          <w:szCs w:val="22"/>
        </w:rPr>
        <w:t xml:space="preserve"> Available at: </w:t>
      </w:r>
      <w:hyperlink r:id="rId13" w:tgtFrame="_blank" w:tooltip="Original URL: https://www.diabetes.org.uk/living-with-diabetes/eating/i-have-type-2-diabetes. Click or tap if you trust this link." w:history="1">
        <w:r w:rsidRPr="00276404">
          <w:rPr>
            <w:rStyle w:val="Hyperlink"/>
            <w:rFonts w:ascii="Arial" w:hAnsi="Arial" w:cs="Arial"/>
            <w:sz w:val="22"/>
            <w:szCs w:val="22"/>
          </w:rPr>
          <w:t>https://www.diabetes.org.uk/living-with-di</w:t>
        </w:r>
        <w:r w:rsidRPr="00276404">
          <w:rPr>
            <w:rStyle w:val="Hyperlink"/>
            <w:rFonts w:ascii="Arial" w:hAnsi="Arial" w:cs="Arial"/>
            <w:sz w:val="22"/>
            <w:szCs w:val="22"/>
          </w:rPr>
          <w:t>a</w:t>
        </w:r>
        <w:r w:rsidRPr="00276404">
          <w:rPr>
            <w:rStyle w:val="Hyperlink"/>
            <w:rFonts w:ascii="Arial" w:hAnsi="Arial" w:cs="Arial"/>
            <w:sz w:val="22"/>
            <w:szCs w:val="22"/>
          </w:rPr>
          <w:t>betes/eating/i-have-type-2-diabetes</w:t>
        </w:r>
      </w:hyperlink>
      <w:r w:rsidRPr="00276404">
        <w:rPr>
          <w:rFonts w:ascii="Arial" w:hAnsi="Arial" w:cs="Arial"/>
          <w:sz w:val="22"/>
          <w:szCs w:val="22"/>
        </w:rPr>
        <w:t xml:space="preserve"> (Accessed: 21 October 2026).</w:t>
      </w:r>
    </w:p>
    <w:p w14:paraId="7EF674E2" w14:textId="108DE0F1" w:rsidR="00276404" w:rsidRPr="00276404" w:rsidRDefault="00276404" w:rsidP="00276404">
      <w:pPr>
        <w:spacing w:line="360" w:lineRule="auto"/>
        <w:jc w:val="both"/>
        <w:rPr>
          <w:rFonts w:ascii="Arial" w:hAnsi="Arial" w:cs="Arial"/>
          <w:sz w:val="22"/>
          <w:szCs w:val="22"/>
        </w:rPr>
      </w:pPr>
      <w:r w:rsidRPr="00276404">
        <w:rPr>
          <w:rFonts w:ascii="Arial" w:hAnsi="Arial" w:cs="Arial"/>
          <w:sz w:val="22"/>
          <w:szCs w:val="22"/>
        </w:rPr>
        <w:t xml:space="preserve">Gilon, P. (2020) ‘The role of α-cells in islet function and glucose homeostasis in health and type 2 diabetes’, </w:t>
      </w:r>
      <w:r w:rsidRPr="00053337">
        <w:rPr>
          <w:rFonts w:ascii="Arial" w:hAnsi="Arial" w:cs="Arial"/>
          <w:i/>
          <w:iCs/>
          <w:sz w:val="22"/>
          <w:szCs w:val="22"/>
        </w:rPr>
        <w:t>Journal of Molecular Biology</w:t>
      </w:r>
      <w:r w:rsidRPr="00276404">
        <w:rPr>
          <w:rFonts w:ascii="Arial" w:hAnsi="Arial" w:cs="Arial"/>
          <w:sz w:val="22"/>
          <w:szCs w:val="22"/>
        </w:rPr>
        <w:t>, 432(5), pp. 1367–1394. Available at</w:t>
      </w:r>
      <w:r w:rsidR="006C73C0">
        <w:rPr>
          <w:rFonts w:ascii="Arial" w:hAnsi="Arial" w:cs="Arial"/>
          <w:sz w:val="22"/>
          <w:szCs w:val="22"/>
        </w:rPr>
        <w:t xml:space="preserve">: </w:t>
      </w:r>
      <w:hyperlink r:id="rId14" w:history="1">
        <w:r w:rsidR="006C73C0" w:rsidRPr="009204B7">
          <w:rPr>
            <w:rStyle w:val="Hyperlink"/>
            <w:rFonts w:ascii="Arial" w:hAnsi="Arial" w:cs="Arial"/>
            <w:sz w:val="22"/>
            <w:szCs w:val="22"/>
          </w:rPr>
          <w:t>https://doi.org/10.1016/j.jmb.202</w:t>
        </w:r>
        <w:r w:rsidR="006C73C0" w:rsidRPr="009204B7">
          <w:rPr>
            <w:rStyle w:val="Hyperlink"/>
            <w:rFonts w:ascii="Arial" w:hAnsi="Arial" w:cs="Arial"/>
            <w:sz w:val="22"/>
            <w:szCs w:val="22"/>
          </w:rPr>
          <w:t>0</w:t>
        </w:r>
        <w:r w:rsidR="006C73C0" w:rsidRPr="009204B7">
          <w:rPr>
            <w:rStyle w:val="Hyperlink"/>
            <w:rFonts w:ascii="Arial" w:hAnsi="Arial" w:cs="Arial"/>
            <w:sz w:val="22"/>
            <w:szCs w:val="22"/>
          </w:rPr>
          <w:t>.01.004</w:t>
        </w:r>
      </w:hyperlink>
      <w:r w:rsidR="006C73C0">
        <w:rPr>
          <w:rFonts w:ascii="Arial" w:hAnsi="Arial" w:cs="Arial"/>
          <w:sz w:val="22"/>
          <w:szCs w:val="22"/>
        </w:rPr>
        <w:t xml:space="preserve"> </w:t>
      </w:r>
      <w:r w:rsidR="007E0F3F">
        <w:rPr>
          <w:rFonts w:ascii="Arial" w:hAnsi="Arial" w:cs="Arial"/>
          <w:sz w:val="22"/>
          <w:szCs w:val="22"/>
        </w:rPr>
        <w:t>(Accessed: 20 October 2026)</w:t>
      </w:r>
      <w:r w:rsidR="007E5A7C">
        <w:rPr>
          <w:rFonts w:ascii="Arial" w:hAnsi="Arial" w:cs="Arial"/>
          <w:sz w:val="22"/>
          <w:szCs w:val="22"/>
        </w:rPr>
        <w:t>.</w:t>
      </w:r>
    </w:p>
    <w:p w14:paraId="1D4F9212" w14:textId="448D3667" w:rsidR="00276404" w:rsidRPr="00276404" w:rsidRDefault="00276404" w:rsidP="00276404">
      <w:pPr>
        <w:spacing w:line="360" w:lineRule="auto"/>
        <w:jc w:val="both"/>
        <w:rPr>
          <w:rFonts w:ascii="Arial" w:hAnsi="Arial" w:cs="Arial"/>
          <w:sz w:val="22"/>
          <w:szCs w:val="22"/>
        </w:rPr>
      </w:pPr>
      <w:r w:rsidRPr="00276404">
        <w:rPr>
          <w:rFonts w:ascii="Arial" w:hAnsi="Arial" w:cs="Arial"/>
          <w:sz w:val="22"/>
          <w:szCs w:val="22"/>
        </w:rPr>
        <w:t xml:space="preserve">Hantzidiamantis, P.J., Awosika, A.O. and Lappin, S.L. (2024) ‘Physiology, glucose’. In: </w:t>
      </w:r>
      <w:r w:rsidRPr="00053337">
        <w:rPr>
          <w:rFonts w:ascii="Arial" w:hAnsi="Arial" w:cs="Arial"/>
          <w:i/>
          <w:iCs/>
          <w:sz w:val="22"/>
          <w:szCs w:val="22"/>
        </w:rPr>
        <w:t>StatPearls</w:t>
      </w:r>
      <w:r w:rsidRPr="00276404">
        <w:rPr>
          <w:rFonts w:ascii="Arial" w:hAnsi="Arial" w:cs="Arial"/>
          <w:sz w:val="22"/>
          <w:szCs w:val="22"/>
        </w:rPr>
        <w:t xml:space="preserve"> [Internet]. Treasure Island (FL): StatPearls Publishing. Available at: </w:t>
      </w:r>
      <w:hyperlink r:id="rId15" w:tgtFrame="_blank" w:tooltip="Original URL: https://www.ncbi.nlm.nih.gov/books/NBK545201/. Click or tap if you trust this link." w:history="1">
        <w:r w:rsidRPr="00276404">
          <w:rPr>
            <w:rStyle w:val="Hyperlink"/>
            <w:rFonts w:ascii="Arial" w:hAnsi="Arial" w:cs="Arial"/>
            <w:sz w:val="22"/>
            <w:szCs w:val="22"/>
          </w:rPr>
          <w:t>https://www.ncbi.nlm.nih.gov/books</w:t>
        </w:r>
        <w:r w:rsidRPr="00276404">
          <w:rPr>
            <w:rStyle w:val="Hyperlink"/>
            <w:rFonts w:ascii="Arial" w:hAnsi="Arial" w:cs="Arial"/>
            <w:sz w:val="22"/>
            <w:szCs w:val="22"/>
          </w:rPr>
          <w:t>/</w:t>
        </w:r>
        <w:r w:rsidRPr="00276404">
          <w:rPr>
            <w:rStyle w:val="Hyperlink"/>
            <w:rFonts w:ascii="Arial" w:hAnsi="Arial" w:cs="Arial"/>
            <w:sz w:val="22"/>
            <w:szCs w:val="22"/>
          </w:rPr>
          <w:t>NBK545201/</w:t>
        </w:r>
      </w:hyperlink>
      <w:r w:rsidRPr="00276404">
        <w:rPr>
          <w:rFonts w:ascii="Arial" w:hAnsi="Arial" w:cs="Arial"/>
          <w:sz w:val="22"/>
          <w:szCs w:val="22"/>
        </w:rPr>
        <w:t xml:space="preserve"> (Accessed: 1</w:t>
      </w:r>
      <w:r w:rsidR="007E0F3F">
        <w:rPr>
          <w:rFonts w:ascii="Arial" w:hAnsi="Arial" w:cs="Arial"/>
          <w:sz w:val="22"/>
          <w:szCs w:val="22"/>
        </w:rPr>
        <w:t>8</w:t>
      </w:r>
      <w:r w:rsidRPr="00276404">
        <w:rPr>
          <w:rFonts w:ascii="Arial" w:hAnsi="Arial" w:cs="Arial"/>
          <w:sz w:val="22"/>
          <w:szCs w:val="22"/>
        </w:rPr>
        <w:t xml:space="preserve"> October 2026).</w:t>
      </w:r>
    </w:p>
    <w:p w14:paraId="6B885E8B" w14:textId="33E82B3A" w:rsidR="00276404" w:rsidRDefault="00276404" w:rsidP="00276404">
      <w:pPr>
        <w:spacing w:line="360" w:lineRule="auto"/>
        <w:jc w:val="both"/>
        <w:rPr>
          <w:rFonts w:ascii="Arial" w:hAnsi="Arial" w:cs="Arial"/>
          <w:sz w:val="22"/>
          <w:szCs w:val="22"/>
        </w:rPr>
      </w:pPr>
      <w:r w:rsidRPr="00276404">
        <w:rPr>
          <w:rFonts w:ascii="Arial" w:hAnsi="Arial" w:cs="Arial"/>
          <w:sz w:val="22"/>
          <w:szCs w:val="22"/>
        </w:rPr>
        <w:t xml:space="preserve">National Institute for Health and Care Excellence (NICE) (2026) </w:t>
      </w:r>
      <w:r w:rsidRPr="001B74FB">
        <w:rPr>
          <w:rFonts w:ascii="Arial" w:hAnsi="Arial" w:cs="Arial"/>
          <w:i/>
          <w:iCs/>
          <w:sz w:val="22"/>
          <w:szCs w:val="22"/>
        </w:rPr>
        <w:t xml:space="preserve">Type 2 diabetes in adults: management. </w:t>
      </w:r>
      <w:r w:rsidRPr="00276404">
        <w:rPr>
          <w:rFonts w:ascii="Arial" w:hAnsi="Arial" w:cs="Arial"/>
          <w:sz w:val="22"/>
          <w:szCs w:val="22"/>
        </w:rPr>
        <w:t xml:space="preserve">NICE guideline NG28. Available at: </w:t>
      </w:r>
      <w:hyperlink r:id="rId16" w:history="1">
        <w:r w:rsidR="00A42AB1" w:rsidRPr="009204B7">
          <w:rPr>
            <w:rStyle w:val="Hyperlink"/>
            <w:rFonts w:ascii="Arial" w:hAnsi="Arial" w:cs="Arial"/>
            <w:sz w:val="22"/>
            <w:szCs w:val="22"/>
          </w:rPr>
          <w:t>https://www.nice.org</w:t>
        </w:r>
        <w:r w:rsidR="00A42AB1" w:rsidRPr="009204B7">
          <w:rPr>
            <w:rStyle w:val="Hyperlink"/>
            <w:rFonts w:ascii="Arial" w:hAnsi="Arial" w:cs="Arial"/>
            <w:sz w:val="22"/>
            <w:szCs w:val="22"/>
          </w:rPr>
          <w:t>.</w:t>
        </w:r>
        <w:r w:rsidR="00A42AB1" w:rsidRPr="009204B7">
          <w:rPr>
            <w:rStyle w:val="Hyperlink"/>
            <w:rFonts w:ascii="Arial" w:hAnsi="Arial" w:cs="Arial"/>
            <w:sz w:val="22"/>
            <w:szCs w:val="22"/>
          </w:rPr>
          <w:t>uk/guidance/ng28</w:t>
        </w:r>
      </w:hyperlink>
      <w:r w:rsidR="00A42AB1">
        <w:rPr>
          <w:rFonts w:ascii="Arial" w:hAnsi="Arial" w:cs="Arial"/>
          <w:sz w:val="22"/>
          <w:szCs w:val="22"/>
        </w:rPr>
        <w:t xml:space="preserve"> </w:t>
      </w:r>
      <w:r w:rsidRPr="00276404">
        <w:rPr>
          <w:rFonts w:ascii="Arial" w:hAnsi="Arial" w:cs="Arial"/>
          <w:sz w:val="22"/>
          <w:szCs w:val="22"/>
        </w:rPr>
        <w:t>(Accessed: 1</w:t>
      </w:r>
      <w:r w:rsidR="007E0F3F">
        <w:rPr>
          <w:rFonts w:ascii="Arial" w:hAnsi="Arial" w:cs="Arial"/>
          <w:sz w:val="22"/>
          <w:szCs w:val="22"/>
        </w:rPr>
        <w:t xml:space="preserve">9 </w:t>
      </w:r>
      <w:r w:rsidRPr="00276404">
        <w:rPr>
          <w:rFonts w:ascii="Arial" w:hAnsi="Arial" w:cs="Arial"/>
          <w:sz w:val="22"/>
          <w:szCs w:val="22"/>
        </w:rPr>
        <w:t>October 2026).</w:t>
      </w:r>
    </w:p>
    <w:p w14:paraId="6A7D025E" w14:textId="77777777" w:rsidR="00B943AA" w:rsidRDefault="00C35B0F" w:rsidP="00276404">
      <w:pPr>
        <w:spacing w:line="360" w:lineRule="auto"/>
        <w:jc w:val="both"/>
        <w:rPr>
          <w:rFonts w:ascii="Arial" w:hAnsi="Arial" w:cs="Arial"/>
          <w:sz w:val="22"/>
          <w:szCs w:val="22"/>
        </w:rPr>
      </w:pPr>
      <w:r>
        <w:rPr>
          <w:rFonts w:ascii="Arial" w:hAnsi="Arial" w:cs="Arial"/>
          <w:sz w:val="22"/>
          <w:szCs w:val="22"/>
        </w:rPr>
        <w:t>NHS</w:t>
      </w:r>
      <w:r w:rsidR="00B943AA">
        <w:rPr>
          <w:rFonts w:ascii="Arial" w:hAnsi="Arial" w:cs="Arial"/>
          <w:sz w:val="22"/>
          <w:szCs w:val="22"/>
        </w:rPr>
        <w:t xml:space="preserve"> </w:t>
      </w:r>
      <w:r>
        <w:rPr>
          <w:rFonts w:ascii="Arial" w:hAnsi="Arial" w:cs="Arial"/>
          <w:sz w:val="22"/>
          <w:szCs w:val="22"/>
        </w:rPr>
        <w:t xml:space="preserve">(2024) </w:t>
      </w:r>
      <w:r>
        <w:rPr>
          <w:rFonts w:ascii="Arial" w:hAnsi="Arial" w:cs="Arial"/>
          <w:i/>
          <w:iCs/>
          <w:sz w:val="22"/>
          <w:szCs w:val="22"/>
        </w:rPr>
        <w:t>Physical activity guidelines for adults age</w:t>
      </w:r>
      <w:r w:rsidR="00B943AA">
        <w:rPr>
          <w:rFonts w:ascii="Arial" w:hAnsi="Arial" w:cs="Arial"/>
          <w:i/>
          <w:iCs/>
          <w:sz w:val="22"/>
          <w:szCs w:val="22"/>
        </w:rPr>
        <w:t>d</w:t>
      </w:r>
      <w:r>
        <w:rPr>
          <w:rFonts w:ascii="Arial" w:hAnsi="Arial" w:cs="Arial"/>
          <w:i/>
          <w:iCs/>
          <w:sz w:val="22"/>
          <w:szCs w:val="22"/>
        </w:rPr>
        <w:t xml:space="preserve"> 19 to 64. </w:t>
      </w:r>
      <w:r w:rsidRPr="00C35B0F">
        <w:rPr>
          <w:rFonts w:ascii="Arial" w:hAnsi="Arial" w:cs="Arial"/>
          <w:sz w:val="22"/>
          <w:szCs w:val="22"/>
        </w:rPr>
        <w:t>Available at:</w:t>
      </w:r>
      <w:r>
        <w:rPr>
          <w:rFonts w:ascii="Arial" w:hAnsi="Arial" w:cs="Arial"/>
          <w:sz w:val="22"/>
          <w:szCs w:val="22"/>
        </w:rPr>
        <w:t xml:space="preserve"> </w:t>
      </w:r>
      <w:hyperlink r:id="rId17" w:history="1">
        <w:r w:rsidRPr="009204B7">
          <w:rPr>
            <w:rStyle w:val="Hyperlink"/>
            <w:rFonts w:ascii="Arial" w:hAnsi="Arial" w:cs="Arial"/>
            <w:sz w:val="22"/>
            <w:szCs w:val="22"/>
          </w:rPr>
          <w:t>https://www.nhs.uk/live-well/exercis</w:t>
        </w:r>
        <w:r w:rsidRPr="009204B7">
          <w:rPr>
            <w:rStyle w:val="Hyperlink"/>
            <w:rFonts w:ascii="Arial" w:hAnsi="Arial" w:cs="Arial"/>
            <w:sz w:val="22"/>
            <w:szCs w:val="22"/>
          </w:rPr>
          <w:t>e</w:t>
        </w:r>
        <w:r w:rsidRPr="009204B7">
          <w:rPr>
            <w:rStyle w:val="Hyperlink"/>
            <w:rFonts w:ascii="Arial" w:hAnsi="Arial" w:cs="Arial"/>
            <w:sz w:val="22"/>
            <w:szCs w:val="22"/>
          </w:rPr>
          <w:t>/physical-activity-guidelines-for-adults-aged-19-to-64</w:t>
        </w:r>
      </w:hyperlink>
      <w:r>
        <w:rPr>
          <w:rFonts w:ascii="Arial" w:hAnsi="Arial" w:cs="Arial"/>
          <w:sz w:val="22"/>
          <w:szCs w:val="22"/>
        </w:rPr>
        <w:t xml:space="preserve"> (Accessed: 24 October 2026)</w:t>
      </w:r>
      <w:r w:rsidR="007E5A7C">
        <w:rPr>
          <w:rFonts w:ascii="Arial" w:hAnsi="Arial" w:cs="Arial"/>
          <w:sz w:val="22"/>
          <w:szCs w:val="22"/>
        </w:rPr>
        <w:t>.</w:t>
      </w:r>
    </w:p>
    <w:p w14:paraId="4E7A2ED0" w14:textId="2209BBF9" w:rsidR="00276404" w:rsidRPr="00B943AA" w:rsidRDefault="00C35B0F" w:rsidP="00276404">
      <w:pPr>
        <w:spacing w:line="360" w:lineRule="auto"/>
        <w:jc w:val="both"/>
        <w:rPr>
          <w:rFonts w:ascii="Arial" w:hAnsi="Arial" w:cs="Arial"/>
          <w:sz w:val="22"/>
          <w:szCs w:val="22"/>
        </w:rPr>
      </w:pPr>
      <w:r>
        <w:rPr>
          <w:rFonts w:ascii="Arial" w:hAnsi="Arial" w:cs="Arial"/>
          <w:i/>
          <w:iCs/>
          <w:sz w:val="22"/>
          <w:szCs w:val="22"/>
        </w:rPr>
        <w:t xml:space="preserve"> </w:t>
      </w:r>
      <w:r w:rsidR="00276404" w:rsidRPr="00276404">
        <w:rPr>
          <w:rFonts w:ascii="Arial" w:hAnsi="Arial" w:cs="Arial"/>
          <w:sz w:val="22"/>
          <w:szCs w:val="22"/>
        </w:rPr>
        <w:t>NHS (202</w:t>
      </w:r>
      <w:r w:rsidR="00451D44">
        <w:rPr>
          <w:rFonts w:ascii="Arial" w:hAnsi="Arial" w:cs="Arial"/>
          <w:sz w:val="22"/>
          <w:szCs w:val="22"/>
        </w:rPr>
        <w:t>5)</w:t>
      </w:r>
      <w:r w:rsidR="00276404" w:rsidRPr="00276404">
        <w:rPr>
          <w:rFonts w:ascii="Arial" w:hAnsi="Arial" w:cs="Arial"/>
          <w:sz w:val="22"/>
          <w:szCs w:val="22"/>
        </w:rPr>
        <w:t xml:space="preserve"> </w:t>
      </w:r>
      <w:r w:rsidR="00276404" w:rsidRPr="001B74FB">
        <w:rPr>
          <w:rFonts w:ascii="Arial" w:hAnsi="Arial" w:cs="Arial"/>
          <w:i/>
          <w:iCs/>
          <w:sz w:val="22"/>
          <w:szCs w:val="22"/>
        </w:rPr>
        <w:t>Treatment for type 2 diabetes</w:t>
      </w:r>
      <w:r w:rsidR="00276404" w:rsidRPr="00276404">
        <w:rPr>
          <w:rFonts w:ascii="Arial" w:hAnsi="Arial" w:cs="Arial"/>
          <w:sz w:val="22"/>
          <w:szCs w:val="22"/>
        </w:rPr>
        <w:t xml:space="preserve">. Available at: </w:t>
      </w:r>
      <w:hyperlink r:id="rId18" w:history="1">
        <w:r w:rsidRPr="009204B7">
          <w:rPr>
            <w:rStyle w:val="Hyperlink"/>
            <w:rFonts w:ascii="Arial" w:hAnsi="Arial" w:cs="Arial"/>
            <w:sz w:val="22"/>
            <w:szCs w:val="22"/>
          </w:rPr>
          <w:t>https://www.nhs.uk/conditions/type-2-diabetes/treat</w:t>
        </w:r>
        <w:r w:rsidRPr="009204B7">
          <w:rPr>
            <w:rStyle w:val="Hyperlink"/>
            <w:rFonts w:ascii="Arial" w:hAnsi="Arial" w:cs="Arial"/>
            <w:sz w:val="22"/>
            <w:szCs w:val="22"/>
          </w:rPr>
          <w:t>m</w:t>
        </w:r>
        <w:r w:rsidRPr="009204B7">
          <w:rPr>
            <w:rStyle w:val="Hyperlink"/>
            <w:rFonts w:ascii="Arial" w:hAnsi="Arial" w:cs="Arial"/>
            <w:sz w:val="22"/>
            <w:szCs w:val="22"/>
          </w:rPr>
          <w:t>ent</w:t>
        </w:r>
      </w:hyperlink>
      <w:r>
        <w:rPr>
          <w:rFonts w:ascii="Arial" w:hAnsi="Arial" w:cs="Arial"/>
          <w:sz w:val="22"/>
          <w:szCs w:val="22"/>
        </w:rPr>
        <w:t xml:space="preserve"> (</w:t>
      </w:r>
      <w:r w:rsidR="00276404" w:rsidRPr="00276404">
        <w:rPr>
          <w:rFonts w:ascii="Arial" w:hAnsi="Arial" w:cs="Arial"/>
          <w:sz w:val="22"/>
          <w:szCs w:val="22"/>
        </w:rPr>
        <w:t xml:space="preserve">Accessed: </w:t>
      </w:r>
      <w:r w:rsidR="00451D44">
        <w:rPr>
          <w:rFonts w:ascii="Arial" w:hAnsi="Arial" w:cs="Arial"/>
          <w:sz w:val="22"/>
          <w:szCs w:val="22"/>
        </w:rPr>
        <w:t>24</w:t>
      </w:r>
      <w:r w:rsidR="00276404" w:rsidRPr="00276404">
        <w:rPr>
          <w:rFonts w:ascii="Arial" w:hAnsi="Arial" w:cs="Arial"/>
          <w:sz w:val="22"/>
          <w:szCs w:val="22"/>
        </w:rPr>
        <w:t xml:space="preserve"> October 2026).</w:t>
      </w:r>
    </w:p>
    <w:p w14:paraId="26B3907B" w14:textId="77777777" w:rsidR="00276404" w:rsidRPr="00276404" w:rsidRDefault="00276404" w:rsidP="00276404">
      <w:pPr>
        <w:spacing w:line="360" w:lineRule="auto"/>
        <w:jc w:val="both"/>
        <w:rPr>
          <w:rFonts w:ascii="Arial" w:hAnsi="Arial" w:cs="Arial"/>
          <w:sz w:val="22"/>
          <w:szCs w:val="22"/>
        </w:rPr>
      </w:pPr>
      <w:r w:rsidRPr="00276404">
        <w:rPr>
          <w:rFonts w:ascii="Arial" w:hAnsi="Arial" w:cs="Arial"/>
          <w:sz w:val="22"/>
          <w:szCs w:val="22"/>
        </w:rPr>
        <w:t xml:space="preserve">Rix, I., Nexøe-Larsen, C., Bergmann, N.C., Lund, A. and Knop, F.K. (2019) ‘Glucagon physiology’. In: Feingold, K.R. </w:t>
      </w:r>
      <w:r w:rsidRPr="00146604">
        <w:rPr>
          <w:rFonts w:ascii="Arial" w:hAnsi="Arial" w:cs="Arial"/>
          <w:i/>
          <w:iCs/>
          <w:sz w:val="22"/>
          <w:szCs w:val="22"/>
        </w:rPr>
        <w:t>et al.</w:t>
      </w:r>
      <w:r w:rsidRPr="00276404">
        <w:rPr>
          <w:rFonts w:ascii="Arial" w:hAnsi="Arial" w:cs="Arial"/>
          <w:sz w:val="22"/>
          <w:szCs w:val="22"/>
        </w:rPr>
        <w:t xml:space="preserve"> (eds.) </w:t>
      </w:r>
      <w:r w:rsidRPr="001B74FB">
        <w:rPr>
          <w:rFonts w:ascii="Arial" w:hAnsi="Arial" w:cs="Arial"/>
          <w:i/>
          <w:iCs/>
          <w:sz w:val="22"/>
          <w:szCs w:val="22"/>
        </w:rPr>
        <w:t>Endotext</w:t>
      </w:r>
      <w:r w:rsidRPr="00276404">
        <w:rPr>
          <w:rFonts w:ascii="Arial" w:hAnsi="Arial" w:cs="Arial"/>
          <w:sz w:val="22"/>
          <w:szCs w:val="22"/>
        </w:rPr>
        <w:t xml:space="preserve"> [Internet]. South Dartmouth (MA): </w:t>
      </w:r>
      <w:r w:rsidRPr="00276404">
        <w:rPr>
          <w:rFonts w:ascii="Arial" w:hAnsi="Arial" w:cs="Arial"/>
          <w:sz w:val="22"/>
          <w:szCs w:val="22"/>
        </w:rPr>
        <w:lastRenderedPageBreak/>
        <w:t xml:space="preserve">MDText.com, Inc. Available at: </w:t>
      </w:r>
      <w:hyperlink r:id="rId19" w:tgtFrame="_blank" w:tooltip="Original URL: https://www.ncbi.nlm.nih.gov/books/NBK279127/. Click or tap if you trust this link." w:history="1">
        <w:r w:rsidRPr="00276404">
          <w:rPr>
            <w:rStyle w:val="Hyperlink"/>
            <w:rFonts w:ascii="Arial" w:hAnsi="Arial" w:cs="Arial"/>
            <w:sz w:val="22"/>
            <w:szCs w:val="22"/>
          </w:rPr>
          <w:t>https://www.ncbi.nlm.nih.gov/b</w:t>
        </w:r>
        <w:r w:rsidRPr="00276404">
          <w:rPr>
            <w:rStyle w:val="Hyperlink"/>
            <w:rFonts w:ascii="Arial" w:hAnsi="Arial" w:cs="Arial"/>
            <w:sz w:val="22"/>
            <w:szCs w:val="22"/>
          </w:rPr>
          <w:t>o</w:t>
        </w:r>
        <w:r w:rsidRPr="00276404">
          <w:rPr>
            <w:rStyle w:val="Hyperlink"/>
            <w:rFonts w:ascii="Arial" w:hAnsi="Arial" w:cs="Arial"/>
            <w:sz w:val="22"/>
            <w:szCs w:val="22"/>
          </w:rPr>
          <w:t>oks/NBK279127/</w:t>
        </w:r>
      </w:hyperlink>
      <w:r w:rsidRPr="00276404">
        <w:rPr>
          <w:rFonts w:ascii="Arial" w:hAnsi="Arial" w:cs="Arial"/>
          <w:sz w:val="22"/>
          <w:szCs w:val="22"/>
        </w:rPr>
        <w:t xml:space="preserve"> (Accessed: 21 October 2026).</w:t>
      </w:r>
    </w:p>
    <w:p w14:paraId="7A836C00" w14:textId="04CB4255" w:rsidR="00276404" w:rsidRPr="00276404" w:rsidRDefault="00276404" w:rsidP="00276404">
      <w:pPr>
        <w:spacing w:line="360" w:lineRule="auto"/>
        <w:jc w:val="both"/>
        <w:rPr>
          <w:rFonts w:ascii="Arial" w:hAnsi="Arial" w:cs="Arial"/>
          <w:sz w:val="22"/>
          <w:szCs w:val="22"/>
        </w:rPr>
      </w:pPr>
      <w:r w:rsidRPr="00276404">
        <w:rPr>
          <w:rFonts w:ascii="Arial" w:hAnsi="Arial" w:cs="Arial"/>
          <w:sz w:val="22"/>
          <w:szCs w:val="22"/>
        </w:rPr>
        <w:t xml:space="preserve">World Health Organization (2026) </w:t>
      </w:r>
      <w:r w:rsidRPr="00276404">
        <w:rPr>
          <w:rFonts w:ascii="Arial" w:hAnsi="Arial" w:cs="Arial"/>
          <w:i/>
          <w:iCs/>
          <w:sz w:val="22"/>
          <w:szCs w:val="22"/>
        </w:rPr>
        <w:t>Diabetes</w:t>
      </w:r>
      <w:r w:rsidRPr="00276404">
        <w:rPr>
          <w:rFonts w:ascii="Arial" w:hAnsi="Arial" w:cs="Arial"/>
          <w:sz w:val="22"/>
          <w:szCs w:val="22"/>
        </w:rPr>
        <w:t xml:space="preserve">. Available at: </w:t>
      </w:r>
      <w:hyperlink r:id="rId20" w:tgtFrame="_blank" w:tooltip="Original URL: https://www.who.int/news-room/questions-and-answers/item/diabetes. Click or tap if you trust this link." w:history="1">
        <w:r w:rsidRPr="00276404">
          <w:rPr>
            <w:rStyle w:val="Hyperlink"/>
            <w:rFonts w:ascii="Arial" w:hAnsi="Arial" w:cs="Arial"/>
            <w:sz w:val="22"/>
            <w:szCs w:val="22"/>
          </w:rPr>
          <w:t>https://www.who.int/news-room/questions-and-answers/item/dia</w:t>
        </w:r>
        <w:r w:rsidRPr="00276404">
          <w:rPr>
            <w:rStyle w:val="Hyperlink"/>
            <w:rFonts w:ascii="Arial" w:hAnsi="Arial" w:cs="Arial"/>
            <w:sz w:val="22"/>
            <w:szCs w:val="22"/>
          </w:rPr>
          <w:t>b</w:t>
        </w:r>
        <w:r w:rsidRPr="00276404">
          <w:rPr>
            <w:rStyle w:val="Hyperlink"/>
            <w:rFonts w:ascii="Arial" w:hAnsi="Arial" w:cs="Arial"/>
            <w:sz w:val="22"/>
            <w:szCs w:val="22"/>
          </w:rPr>
          <w:t>etes</w:t>
        </w:r>
      </w:hyperlink>
      <w:r w:rsidRPr="00276404">
        <w:rPr>
          <w:rFonts w:ascii="Arial" w:hAnsi="Arial" w:cs="Arial"/>
          <w:sz w:val="22"/>
          <w:szCs w:val="22"/>
        </w:rPr>
        <w:t xml:space="preserve"> (Accessed: 1</w:t>
      </w:r>
      <w:r w:rsidR="007E0F3F">
        <w:rPr>
          <w:rFonts w:ascii="Arial" w:hAnsi="Arial" w:cs="Arial"/>
          <w:sz w:val="22"/>
          <w:szCs w:val="22"/>
        </w:rPr>
        <w:t>7</w:t>
      </w:r>
      <w:r w:rsidRPr="00276404">
        <w:rPr>
          <w:rFonts w:ascii="Arial" w:hAnsi="Arial" w:cs="Arial"/>
          <w:sz w:val="22"/>
          <w:szCs w:val="22"/>
        </w:rPr>
        <w:t xml:space="preserve"> October 2026).</w:t>
      </w:r>
    </w:p>
    <w:p w14:paraId="48FA75C5" w14:textId="77777777" w:rsidR="00A036C3" w:rsidRPr="00A036C3" w:rsidRDefault="00A036C3" w:rsidP="00870315">
      <w:pPr>
        <w:spacing w:line="360" w:lineRule="auto"/>
        <w:jc w:val="both"/>
        <w:rPr>
          <w:rFonts w:ascii="Arial" w:hAnsi="Arial" w:cs="Arial"/>
          <w:sz w:val="22"/>
          <w:szCs w:val="22"/>
        </w:rPr>
      </w:pPr>
    </w:p>
    <w:sectPr w:rsidR="00A036C3" w:rsidRPr="00A036C3" w:rsidSect="003E0C7B">
      <w:footerReference w:type="default" r:id="rId21"/>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7A3C5" w14:textId="77777777" w:rsidR="00DB5E6B" w:rsidRDefault="00DB5E6B" w:rsidP="00A21BA3">
      <w:pPr>
        <w:spacing w:after="0" w:line="240" w:lineRule="auto"/>
      </w:pPr>
      <w:r>
        <w:separator/>
      </w:r>
    </w:p>
  </w:endnote>
  <w:endnote w:type="continuationSeparator" w:id="0">
    <w:p w14:paraId="6D8DF947" w14:textId="77777777" w:rsidR="00DB5E6B" w:rsidRDefault="00DB5E6B" w:rsidP="00A21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7427260"/>
      <w:docPartObj>
        <w:docPartGallery w:val="Page Numbers (Bottom of Page)"/>
        <w:docPartUnique/>
      </w:docPartObj>
    </w:sdtPr>
    <w:sdtContent>
      <w:p w14:paraId="67A04131" w14:textId="1F293D61" w:rsidR="00A21BA3" w:rsidRDefault="00A21BA3" w:rsidP="00A21BA3">
        <w:pPr>
          <w:pStyle w:val="Footer"/>
          <w:jc w:val="right"/>
        </w:pPr>
        <w:r>
          <w:fldChar w:fldCharType="begin"/>
        </w:r>
        <w:r>
          <w:instrText>PAGE   \* MERGEFORMAT</w:instrText>
        </w:r>
        <w:r>
          <w:fldChar w:fldCharType="separate"/>
        </w:r>
        <w:r>
          <w:t>2</w:t>
        </w:r>
        <w:r>
          <w:fldChar w:fldCharType="end"/>
        </w:r>
      </w:p>
    </w:sdtContent>
  </w:sdt>
  <w:p w14:paraId="365EEA4B" w14:textId="77777777" w:rsidR="00A21BA3" w:rsidRDefault="00A21B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20D3F" w14:textId="77777777" w:rsidR="00DB5E6B" w:rsidRDefault="00DB5E6B" w:rsidP="00A21BA3">
      <w:pPr>
        <w:spacing w:after="0" w:line="240" w:lineRule="auto"/>
      </w:pPr>
      <w:r>
        <w:separator/>
      </w:r>
    </w:p>
  </w:footnote>
  <w:footnote w:type="continuationSeparator" w:id="0">
    <w:p w14:paraId="0FD60DDD" w14:textId="77777777" w:rsidR="00DB5E6B" w:rsidRDefault="00DB5E6B" w:rsidP="00A21B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20268603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943478E"/>
    <w:rsid w:val="0000229A"/>
    <w:rsid w:val="00026059"/>
    <w:rsid w:val="00044047"/>
    <w:rsid w:val="00053337"/>
    <w:rsid w:val="00081AFF"/>
    <w:rsid w:val="0013375D"/>
    <w:rsid w:val="00146604"/>
    <w:rsid w:val="00170CB6"/>
    <w:rsid w:val="001821FC"/>
    <w:rsid w:val="001B74FB"/>
    <w:rsid w:val="001C15E3"/>
    <w:rsid w:val="001D142D"/>
    <w:rsid w:val="001E0EC4"/>
    <w:rsid w:val="00220783"/>
    <w:rsid w:val="00262A1B"/>
    <w:rsid w:val="00276404"/>
    <w:rsid w:val="002A0370"/>
    <w:rsid w:val="002F7664"/>
    <w:rsid w:val="003170EA"/>
    <w:rsid w:val="003E0C7B"/>
    <w:rsid w:val="00446B14"/>
    <w:rsid w:val="00451D44"/>
    <w:rsid w:val="0056485C"/>
    <w:rsid w:val="00564B93"/>
    <w:rsid w:val="00570A1D"/>
    <w:rsid w:val="005A4901"/>
    <w:rsid w:val="005B1723"/>
    <w:rsid w:val="005B2F49"/>
    <w:rsid w:val="005F2AA2"/>
    <w:rsid w:val="00651A61"/>
    <w:rsid w:val="00675171"/>
    <w:rsid w:val="00697C64"/>
    <w:rsid w:val="006C73C0"/>
    <w:rsid w:val="006D1DB0"/>
    <w:rsid w:val="006F7928"/>
    <w:rsid w:val="0074595A"/>
    <w:rsid w:val="007651C6"/>
    <w:rsid w:val="007B0027"/>
    <w:rsid w:val="007E0E70"/>
    <w:rsid w:val="007E0F3F"/>
    <w:rsid w:val="007E5A7C"/>
    <w:rsid w:val="008370E2"/>
    <w:rsid w:val="00845413"/>
    <w:rsid w:val="00851234"/>
    <w:rsid w:val="00861006"/>
    <w:rsid w:val="00870315"/>
    <w:rsid w:val="00874359"/>
    <w:rsid w:val="008A3613"/>
    <w:rsid w:val="008C4DCA"/>
    <w:rsid w:val="00915AF5"/>
    <w:rsid w:val="00972602"/>
    <w:rsid w:val="009D3F43"/>
    <w:rsid w:val="009E221F"/>
    <w:rsid w:val="00A036C3"/>
    <w:rsid w:val="00A21BA3"/>
    <w:rsid w:val="00A42AB1"/>
    <w:rsid w:val="00AE70FB"/>
    <w:rsid w:val="00B02AA3"/>
    <w:rsid w:val="00B41CD5"/>
    <w:rsid w:val="00B943AA"/>
    <w:rsid w:val="00BB26FC"/>
    <w:rsid w:val="00BD65FD"/>
    <w:rsid w:val="00C060CE"/>
    <w:rsid w:val="00C34EC2"/>
    <w:rsid w:val="00C35B0F"/>
    <w:rsid w:val="00C40374"/>
    <w:rsid w:val="00CA02CE"/>
    <w:rsid w:val="00D2771E"/>
    <w:rsid w:val="00D7211E"/>
    <w:rsid w:val="00D85D56"/>
    <w:rsid w:val="00DB4B01"/>
    <w:rsid w:val="00DB586B"/>
    <w:rsid w:val="00DB5E6B"/>
    <w:rsid w:val="00DD371E"/>
    <w:rsid w:val="00E068C4"/>
    <w:rsid w:val="00E168F1"/>
    <w:rsid w:val="00E21B90"/>
    <w:rsid w:val="00E955C2"/>
    <w:rsid w:val="00EB6065"/>
    <w:rsid w:val="00F104F7"/>
    <w:rsid w:val="00F160EC"/>
    <w:rsid w:val="00F3108D"/>
    <w:rsid w:val="00F51457"/>
    <w:rsid w:val="00F53974"/>
    <w:rsid w:val="00F83955"/>
    <w:rsid w:val="00FA12BC"/>
    <w:rsid w:val="00FE26AB"/>
    <w:rsid w:val="00FF6845"/>
    <w:rsid w:val="59434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37D20"/>
  <w15:chartTrackingRefBased/>
  <w15:docId w15:val="{0C32E8D1-5CC5-43FF-A601-A9F32CA3A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2A1B"/>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E0C7B"/>
    <w:pPr>
      <w:spacing w:after="0" w:line="240" w:lineRule="auto"/>
    </w:pPr>
    <w:rPr>
      <w:sz w:val="22"/>
      <w:szCs w:val="22"/>
      <w:lang w:eastAsia="en-GB"/>
    </w:rPr>
  </w:style>
  <w:style w:type="character" w:customStyle="1" w:styleId="NoSpacingChar">
    <w:name w:val="No Spacing Char"/>
    <w:basedOn w:val="DefaultParagraphFont"/>
    <w:link w:val="NoSpacing"/>
    <w:uiPriority w:val="1"/>
    <w:rsid w:val="003E0C7B"/>
    <w:rPr>
      <w:sz w:val="22"/>
      <w:szCs w:val="22"/>
      <w:lang w:eastAsia="en-GB"/>
    </w:rPr>
  </w:style>
  <w:style w:type="character" w:styleId="Hyperlink">
    <w:name w:val="Hyperlink"/>
    <w:basedOn w:val="DefaultParagraphFont"/>
    <w:uiPriority w:val="99"/>
    <w:unhideWhenUsed/>
    <w:rsid w:val="00A036C3"/>
    <w:rPr>
      <w:color w:val="467886" w:themeColor="hyperlink"/>
      <w:u w:val="single"/>
    </w:rPr>
  </w:style>
  <w:style w:type="character" w:styleId="UnresolvedMention">
    <w:name w:val="Unresolved Mention"/>
    <w:basedOn w:val="DefaultParagraphFont"/>
    <w:uiPriority w:val="99"/>
    <w:semiHidden/>
    <w:unhideWhenUsed/>
    <w:rsid w:val="00A036C3"/>
    <w:rPr>
      <w:color w:val="605E5C"/>
      <w:shd w:val="clear" w:color="auto" w:fill="E1DFDD"/>
    </w:rPr>
  </w:style>
  <w:style w:type="character" w:styleId="FollowedHyperlink">
    <w:name w:val="FollowedHyperlink"/>
    <w:basedOn w:val="DefaultParagraphFont"/>
    <w:uiPriority w:val="99"/>
    <w:semiHidden/>
    <w:unhideWhenUsed/>
    <w:rsid w:val="00A036C3"/>
    <w:rPr>
      <w:color w:val="96607D" w:themeColor="followedHyperlink"/>
      <w:u w:val="single"/>
    </w:rPr>
  </w:style>
  <w:style w:type="paragraph" w:styleId="Header">
    <w:name w:val="header"/>
    <w:basedOn w:val="Normal"/>
    <w:link w:val="HeaderChar"/>
    <w:uiPriority w:val="99"/>
    <w:unhideWhenUsed/>
    <w:rsid w:val="00A21B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1BA3"/>
  </w:style>
  <w:style w:type="paragraph" w:styleId="Footer">
    <w:name w:val="footer"/>
    <w:basedOn w:val="Normal"/>
    <w:link w:val="FooterChar"/>
    <w:uiPriority w:val="99"/>
    <w:unhideWhenUsed/>
    <w:rsid w:val="00A21B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1BA3"/>
  </w:style>
  <w:style w:type="character" w:customStyle="1" w:styleId="ListParagraphChar">
    <w:name w:val="List Paragraph Char"/>
    <w:link w:val="ListParagraph"/>
    <w:uiPriority w:val="34"/>
    <w:locked/>
    <w:rsid w:val="005B1723"/>
    <w:rPr>
      <w:lang w:eastAsia="en-GB"/>
    </w:rPr>
  </w:style>
  <w:style w:type="paragraph" w:styleId="ListParagraph">
    <w:name w:val="List Paragraph"/>
    <w:basedOn w:val="Normal"/>
    <w:link w:val="ListParagraphChar"/>
    <w:uiPriority w:val="34"/>
    <w:qFormat/>
    <w:rsid w:val="005B1723"/>
    <w:pPr>
      <w:spacing w:after="0" w:line="240" w:lineRule="auto"/>
      <w:ind w:left="720"/>
      <w:contextualSpacing/>
    </w:pPr>
    <w:rPr>
      <w:lang w:eastAsia="en-GB"/>
    </w:rPr>
  </w:style>
  <w:style w:type="character" w:customStyle="1" w:styleId="Heading1Char">
    <w:name w:val="Heading 1 Char"/>
    <w:basedOn w:val="DefaultParagraphFont"/>
    <w:link w:val="Heading1"/>
    <w:uiPriority w:val="9"/>
    <w:rsid w:val="00262A1B"/>
    <w:rPr>
      <w:rFonts w:asciiTheme="majorHAnsi" w:eastAsiaTheme="majorEastAsia" w:hAnsiTheme="majorHAnsi" w:cstheme="majorBidi"/>
      <w:color w:val="0F4761" w:themeColor="accent1" w:themeShade="BF"/>
      <w:sz w:val="32"/>
      <w:szCs w:val="32"/>
    </w:rPr>
  </w:style>
  <w:style w:type="paragraph" w:styleId="TOCHeading">
    <w:name w:val="TOC Heading"/>
    <w:basedOn w:val="Heading1"/>
    <w:next w:val="Normal"/>
    <w:uiPriority w:val="39"/>
    <w:unhideWhenUsed/>
    <w:qFormat/>
    <w:rsid w:val="00262A1B"/>
    <w:pPr>
      <w:spacing w:line="259" w:lineRule="auto"/>
      <w:outlineLvl w:val="9"/>
    </w:pPr>
    <w:rPr>
      <w:lang w:eastAsia="en-GB"/>
    </w:rPr>
  </w:style>
  <w:style w:type="paragraph" w:styleId="TOC1">
    <w:name w:val="toc 1"/>
    <w:basedOn w:val="Normal"/>
    <w:next w:val="Normal"/>
    <w:autoRedefine/>
    <w:uiPriority w:val="39"/>
    <w:unhideWhenUsed/>
    <w:rsid w:val="00262A1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ur01.safelinks.protection.outlook.com/?url=https%3A%2F%2Fwww.diabetes.org.uk%2Fliving-with-diabetes%2Feating%2Fi-have-type-2-diabetes&amp;data=05%7C02%7C2412969%40student.uwtsd.ac.uk%7C2b2fabb2e8b646d84e0e08df300de4d1%7C4e0f11f9046e45059cb8db2152311e21%7C0%7C0%7C639282508378238105%7CUnknown%7CTWFpbGZsb3d8eyJFbXB0eU1hcGkiOnRydWUsIlYiOiIwLjAuMDAwMCIsIlAiOiJXaW4zMiIsIkFOIjoiTWFpbCIsIldUIjoyfQ%3D%3D%7C0%7C%7C%7C&amp;sdata=Cx52S37dOxJrz718wC0xzlqS0gB5zZY%2BjqGSjnAWXJw%3D&amp;reserved=0" TargetMode="External"/><Relationship Id="rId18" Type="http://schemas.openxmlformats.org/officeDocument/2006/relationships/hyperlink" Target="https://www.nhs.uk/conditions/type-2-diabetes/treatment"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diabetes.org.uk/about-diabetes/type-2-diabetes/diabetes-risk-factors" TargetMode="External"/><Relationship Id="rId17" Type="http://schemas.openxmlformats.org/officeDocument/2006/relationships/hyperlink" Target="https://www.nhs.uk/live-well/exercise/physical-activity-guidelines-for-adults-aged-19-to-64" TargetMode="External"/><Relationship Id="rId2" Type="http://schemas.openxmlformats.org/officeDocument/2006/relationships/customXml" Target="../customXml/item2.xml"/><Relationship Id="rId16" Type="http://schemas.openxmlformats.org/officeDocument/2006/relationships/hyperlink" Target="https://www.nice.org.uk/guidance/ng28" TargetMode="External"/><Relationship Id="rId20" Type="http://schemas.openxmlformats.org/officeDocument/2006/relationships/hyperlink" Target="https://eur01.safelinks.protection.outlook.com/?url=https%3A%2F%2Fwww.who.int%2Fnews-room%2Fquestions-and-answers%2Fitem%2Fdiabetes&amp;data=05%7C02%7C2412969%40student.uwtsd.ac.uk%7C2b2fabb2e8b646d84e0e08df300de4d1%7C4e0f11f9046e45059cb8db2152311e21%7C0%7C0%7C639282508378424897%7CUnknown%7CTWFpbGZsb3d8eyJFbXB0eU1hcGkiOnRydWUsIlYiOiIwLjAuMDAwMCIsIlAiOiJXaW4zMiIsIkFOIjoiTWFpbCIsIldUIjoyfQ%3D%3D%7C0%7C%7C%7C&amp;sdata=5AxI9fR9QTgAKUFUeCMSas6R5%2FAZiTTn%2FKOOc2GMbkY%3D&amp;reserved=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openstax.org/books/biology-2e/pages/7-chapter-summary"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eur01.safelinks.protection.outlook.com/?url=https%3A%2F%2Fwww.ncbi.nlm.nih.gov%2Fbooks%2FNBK545201%2F&amp;data=05%7C02%7C2412969%40student.uwtsd.ac.uk%7C2b2fabb2e8b646d84e0e08df300de4d1%7C4e0f11f9046e45059cb8db2152311e21%7C0%7C0%7C639282508378291477%7CUnknown%7CTWFpbGZsb3d8eyJFbXB0eU1hcGkiOnRydWUsIlYiOiIwLjAuMDAwMCIsIlAiOiJXaW4zMiIsIkFOIjoiTWFpbCIsIldUIjoyfQ%3D%3D%7C0%7C%7C%7C&amp;sdata=SujVYAAQ9hLWViIzaKcZZzEu0k9A7K%2BYbzfbhOpzU0A%3D&amp;reserved=0" TargetMode="External"/><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s://eur01.safelinks.protection.outlook.com/?url=https%3A%2F%2Fwww.ncbi.nlm.nih.gov%2Fbooks%2FNBK279127%2F&amp;data=05%7C02%7C2412969%40student.uwtsd.ac.uk%7C2b2fabb2e8b646d84e0e08df300de4d1%7C4e0f11f9046e45059cb8db2152311e21%7C0%7C0%7C639282508378400827%7CUnknown%7CTWFpbGZsb3d8eyJFbXB0eU1hcGkiOnRydWUsIlYiOiIwLjAuMDAwMCIsIlAiOiJXaW4zMiIsIkFOIjoiTWFpbCIsIldUIjoyfQ%3D%3D%7C0%7C%7C%7C&amp;sdata=GC%2FnxlVpnTZZfHKJ9wcds6nLPiUSkEuakys24MIdOQI%3D&amp;reserved=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016/j.jmb.2020.01.004"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F81F6E8DFEE4F4EA3B0C127469E89E2"/>
        <w:category>
          <w:name w:val="General"/>
          <w:gallery w:val="placeholder"/>
        </w:category>
        <w:types>
          <w:type w:val="bbPlcHdr"/>
        </w:types>
        <w:behaviors>
          <w:behavior w:val="content"/>
        </w:behaviors>
        <w:guid w:val="{B2EEB4EB-04A6-4EA4-9F93-C5A5C7025CFC}"/>
      </w:docPartPr>
      <w:docPartBody>
        <w:p w:rsidR="00DE7B20" w:rsidRDefault="00F75325" w:rsidP="00F75325">
          <w:pPr>
            <w:pStyle w:val="EF81F6E8DFEE4F4EA3B0C127469E89E2"/>
          </w:pPr>
          <w:r>
            <w:rPr>
              <w:rFonts w:asciiTheme="majorHAnsi" w:eastAsiaTheme="majorEastAsia" w:hAnsiTheme="majorHAnsi" w:cstheme="majorBidi"/>
              <w:caps/>
              <w:color w:val="156082" w:themeColor="accent1"/>
              <w:sz w:val="80"/>
              <w:szCs w:val="80"/>
            </w:rPr>
            <w:t>[Document title]</w:t>
          </w:r>
        </w:p>
      </w:docPartBody>
    </w:docPart>
    <w:docPart>
      <w:docPartPr>
        <w:name w:val="5C3139FD46A843299EF714E2A9A60074"/>
        <w:category>
          <w:name w:val="General"/>
          <w:gallery w:val="placeholder"/>
        </w:category>
        <w:types>
          <w:type w:val="bbPlcHdr"/>
        </w:types>
        <w:behaviors>
          <w:behavior w:val="content"/>
        </w:behaviors>
        <w:guid w:val="{7DEA0C98-CA33-4092-90EE-FD801843D8A6}"/>
      </w:docPartPr>
      <w:docPartBody>
        <w:p w:rsidR="00DE7B20" w:rsidRDefault="00F75325" w:rsidP="00F75325">
          <w:pPr>
            <w:pStyle w:val="5C3139FD46A843299EF714E2A9A60074"/>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325"/>
    <w:rsid w:val="00570A1D"/>
    <w:rsid w:val="009B2323"/>
    <w:rsid w:val="00B16964"/>
    <w:rsid w:val="00C060CE"/>
    <w:rsid w:val="00DE7B20"/>
    <w:rsid w:val="00F75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F81F6E8DFEE4F4EA3B0C127469E89E2">
    <w:name w:val="EF81F6E8DFEE4F4EA3B0C127469E89E2"/>
    <w:rsid w:val="00F75325"/>
  </w:style>
  <w:style w:type="paragraph" w:customStyle="1" w:styleId="5C3139FD46A843299EF714E2A9A60074">
    <w:name w:val="5C3139FD46A843299EF714E2A9A60074"/>
    <w:rsid w:val="00F753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2026-10-25T00:00:00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F86D71-6956-43E2-8D44-20327F92C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2832</Words>
  <Characters>16148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module name: introduction to physiology</vt:lpstr>
    </vt:vector>
  </TitlesOfParts>
  <Company/>
  <LinksUpToDate>false</LinksUpToDate>
  <CharactersWithSpaces>18943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name: introduction to physiology</dc:title>
  <dc:subject>Module Code: BMHP5023_BIRM</dc:subject>
  <dc:creator>Nico)</dc:creator>
  <cp:keywords/>
  <dc:description/>
  <cp:lastModifiedBy>Nicolette Franchesta Ramsay (2412969)</cp:lastModifiedBy>
  <cp:revision>29</cp:revision>
  <dcterms:created xsi:type="dcterms:W3CDTF">2026-10-07T15:47:00Z</dcterms:created>
  <dcterms:modified xsi:type="dcterms:W3CDTF">2026-10-25T09:13:00Z</dcterms:modified>
</cp:coreProperties>
</file>