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075F9A4E"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041AA9">
        <w:rPr>
          <w:rFonts w:ascii="Arial" w:hAnsi="Arial" w:cs="Arial"/>
          <w:szCs w:val="24"/>
        </w:rPr>
        <w:t>\</w:t>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51127D3E"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F32ED4">
        <w:rPr>
          <w:rFonts w:ascii="Arial" w:hAnsi="Arial" w:cs="Arial"/>
          <w:sz w:val="28"/>
          <w:szCs w:val="28"/>
          <w:lang w:val="nl-NL"/>
        </w:rPr>
        <w:t xml:space="preserve"> Monica Noncoro Nchama</w:t>
      </w:r>
    </w:p>
    <w:p w14:paraId="18D88AE2" w14:textId="0F44186C"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F32ED4">
        <w:rPr>
          <w:rFonts w:ascii="Arial" w:hAnsi="Arial" w:cs="Arial"/>
          <w:sz w:val="28"/>
          <w:szCs w:val="28"/>
          <w:lang w:val="nl-NL"/>
        </w:rPr>
        <w:t xml:space="preserve"> 2311679</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634562B1"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F32ED4">
        <w:rPr>
          <w:rFonts w:ascii="Arial" w:hAnsi="Arial" w:cs="Arial"/>
          <w:sz w:val="28"/>
          <w:szCs w:val="28"/>
          <w:lang w:val="nl-NL"/>
        </w:rPr>
        <w:t xml:space="preserve">Changemakers: Building </w:t>
      </w:r>
      <w:proofErr w:type="spellStart"/>
      <w:r w:rsidR="00F32ED4">
        <w:rPr>
          <w:rFonts w:ascii="Arial" w:hAnsi="Arial" w:cs="Arial"/>
          <w:sz w:val="28"/>
          <w:szCs w:val="28"/>
          <w:lang w:val="nl-NL"/>
        </w:rPr>
        <w:t>Your</w:t>
      </w:r>
      <w:proofErr w:type="spellEnd"/>
      <w:r w:rsidR="00F32ED4">
        <w:rPr>
          <w:rFonts w:ascii="Arial" w:hAnsi="Arial" w:cs="Arial"/>
          <w:sz w:val="28"/>
          <w:szCs w:val="28"/>
          <w:lang w:val="nl-NL"/>
        </w:rPr>
        <w:t xml:space="preserve"> Personal Brand </w:t>
      </w:r>
      <w:proofErr w:type="spellStart"/>
      <w:r w:rsidR="00F32ED4">
        <w:rPr>
          <w:rFonts w:ascii="Arial" w:hAnsi="Arial" w:cs="Arial"/>
          <w:sz w:val="28"/>
          <w:szCs w:val="28"/>
          <w:lang w:val="nl-NL"/>
        </w:rPr>
        <w:t>for</w:t>
      </w:r>
      <w:proofErr w:type="spellEnd"/>
      <w:r w:rsidR="00F32ED4">
        <w:rPr>
          <w:rFonts w:ascii="Arial" w:hAnsi="Arial" w:cs="Arial"/>
          <w:sz w:val="28"/>
          <w:szCs w:val="28"/>
          <w:lang w:val="nl-NL"/>
        </w:rPr>
        <w:t xml:space="preserve"> </w:t>
      </w:r>
      <w:proofErr w:type="spellStart"/>
      <w:r w:rsidR="00F32ED4">
        <w:rPr>
          <w:rFonts w:ascii="Arial" w:hAnsi="Arial" w:cs="Arial"/>
          <w:sz w:val="28"/>
          <w:szCs w:val="28"/>
          <w:lang w:val="nl-NL"/>
        </w:rPr>
        <w:t>Sustainable</w:t>
      </w:r>
      <w:proofErr w:type="spellEnd"/>
      <w:r w:rsidR="00F32ED4">
        <w:rPr>
          <w:rFonts w:ascii="Arial" w:hAnsi="Arial" w:cs="Arial"/>
          <w:sz w:val="28"/>
          <w:szCs w:val="28"/>
          <w:lang w:val="nl-NL"/>
        </w:rPr>
        <w:t xml:space="preserve"> </w:t>
      </w:r>
      <w:proofErr w:type="spellStart"/>
      <w:r w:rsidR="00F32ED4">
        <w:rPr>
          <w:rFonts w:ascii="Arial" w:hAnsi="Arial" w:cs="Arial"/>
          <w:sz w:val="28"/>
          <w:szCs w:val="28"/>
          <w:lang w:val="nl-NL"/>
        </w:rPr>
        <w:t>Employment</w:t>
      </w:r>
      <w:proofErr w:type="spellEnd"/>
    </w:p>
    <w:p w14:paraId="43BABE73" w14:textId="77777777" w:rsidR="0064794A" w:rsidRPr="008C7D17"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p w14:paraId="157E1FF8" w14:textId="77777777" w:rsidR="00C96593" w:rsidRDefault="00C96593" w:rsidP="008C7D17">
      <w:pPr>
        <w:spacing w:before="100" w:beforeAutospacing="1" w:after="100" w:afterAutospacing="1" w:line="240" w:lineRule="auto"/>
        <w:rPr>
          <w:rFonts w:ascii="Arial" w:eastAsia="Times New Roman" w:hAnsi="Arial" w:cs="Arial"/>
          <w:color w:val="000000"/>
          <w:szCs w:val="24"/>
          <w:lang w:eastAsia="en-GB"/>
        </w:rPr>
      </w:pPr>
    </w:p>
    <w:p w14:paraId="7B322BD0" w14:textId="1DA77B66" w:rsidR="008C7D17" w:rsidRPr="008C7D17" w:rsidRDefault="008C7D17" w:rsidP="008C7D17">
      <w:pPr>
        <w:spacing w:after="0" w:line="240" w:lineRule="auto"/>
        <w:rPr>
          <w:rFonts w:eastAsia="Times New Roman" w:cs="Times New Roman"/>
          <w:szCs w:val="24"/>
          <w:lang w:eastAsia="en-GB"/>
        </w:rPr>
      </w:pPr>
    </w:p>
    <w:p w14:paraId="634ACFFA" w14:textId="79EAB38B" w:rsidR="008C7D17" w:rsidRDefault="008C7D17" w:rsidP="008C7D17">
      <w:pPr>
        <w:spacing w:after="0" w:line="240" w:lineRule="auto"/>
        <w:rPr>
          <w:rFonts w:eastAsia="Times New Roman" w:cs="Times New Roman"/>
          <w:szCs w:val="24"/>
          <w:lang w:eastAsia="en-GB"/>
        </w:rPr>
      </w:pPr>
    </w:p>
    <w:p w14:paraId="05F5CF32" w14:textId="77777777" w:rsidR="006E5DBD" w:rsidRDefault="006E5DBD" w:rsidP="008C7D17">
      <w:pPr>
        <w:spacing w:after="0" w:line="240" w:lineRule="auto"/>
        <w:rPr>
          <w:rFonts w:eastAsia="Times New Roman" w:cs="Times New Roman"/>
          <w:szCs w:val="24"/>
          <w:lang w:eastAsia="en-GB"/>
        </w:rPr>
      </w:pPr>
    </w:p>
    <w:p w14:paraId="0E2D2DAB" w14:textId="77777777" w:rsidR="006E5DBD" w:rsidRDefault="006E5DBD" w:rsidP="008C7D17">
      <w:pPr>
        <w:spacing w:after="0" w:line="240" w:lineRule="auto"/>
        <w:rPr>
          <w:rFonts w:eastAsia="Times New Roman" w:cs="Times New Roman"/>
          <w:szCs w:val="24"/>
          <w:lang w:eastAsia="en-GB"/>
        </w:rPr>
      </w:pPr>
    </w:p>
    <w:p w14:paraId="22682E97" w14:textId="4F159FB8" w:rsidR="008C7D17" w:rsidRPr="008C7D17" w:rsidRDefault="008C7D17" w:rsidP="008C7D17">
      <w:pPr>
        <w:spacing w:after="0" w:line="240" w:lineRule="auto"/>
        <w:rPr>
          <w:rFonts w:eastAsia="Times New Roman" w:cs="Times New Roman"/>
          <w:szCs w:val="24"/>
          <w:lang w:eastAsia="en-GB"/>
        </w:rPr>
      </w:pPr>
    </w:p>
    <w:p w14:paraId="5D29F62E" w14:textId="77777777" w:rsidR="008C7D17"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0B3FF152" w14:textId="77777777" w:rsidR="008C7D17"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002DD7A6" w14:textId="77777777" w:rsidR="008C7D17"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705360B7" w14:textId="77777777" w:rsidR="008C7D17"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40090764" w14:textId="77777777" w:rsidR="00F32ED4" w:rsidRDefault="00F32ED4" w:rsidP="005910C2">
      <w:pPr>
        <w:spacing w:line="360" w:lineRule="auto"/>
        <w:jc w:val="both"/>
        <w:rPr>
          <w:rFonts w:ascii="-webkit-standard" w:hAnsi="-webkit-standard"/>
          <w:color w:val="000000"/>
          <w:sz w:val="27"/>
          <w:szCs w:val="27"/>
        </w:rPr>
      </w:pPr>
    </w:p>
    <w:p w14:paraId="3FE2240B" w14:textId="77777777" w:rsidR="00F32ED4" w:rsidRDefault="00F32ED4" w:rsidP="005910C2">
      <w:pPr>
        <w:spacing w:line="360" w:lineRule="auto"/>
        <w:jc w:val="both"/>
        <w:rPr>
          <w:rFonts w:ascii="-webkit-standard" w:hAnsi="-webkit-standard"/>
          <w:color w:val="000000"/>
          <w:sz w:val="27"/>
          <w:szCs w:val="27"/>
        </w:rPr>
      </w:pPr>
    </w:p>
    <w:p w14:paraId="1005A390" w14:textId="77777777" w:rsidR="00F32ED4" w:rsidRDefault="00F32ED4" w:rsidP="005910C2">
      <w:pPr>
        <w:spacing w:line="360" w:lineRule="auto"/>
        <w:jc w:val="both"/>
        <w:rPr>
          <w:rFonts w:ascii="-webkit-standard" w:hAnsi="-webkit-standard"/>
          <w:color w:val="000000"/>
          <w:sz w:val="27"/>
          <w:szCs w:val="27"/>
        </w:rPr>
      </w:pPr>
    </w:p>
    <w:p w14:paraId="699EE986" w14:textId="77777777" w:rsidR="00F32ED4" w:rsidRDefault="00F32ED4" w:rsidP="005910C2">
      <w:pPr>
        <w:spacing w:line="360" w:lineRule="auto"/>
        <w:jc w:val="both"/>
        <w:rPr>
          <w:rFonts w:ascii="-webkit-standard" w:hAnsi="-webkit-standard"/>
          <w:color w:val="000000"/>
          <w:sz w:val="27"/>
          <w:szCs w:val="27"/>
        </w:rPr>
      </w:pPr>
    </w:p>
    <w:p w14:paraId="7FF5B597" w14:textId="43608A1A" w:rsidR="006F04E3" w:rsidRDefault="00F32ED4" w:rsidP="00F32ED4">
      <w:pPr>
        <w:spacing w:line="360" w:lineRule="auto"/>
        <w:rPr>
          <w:rFonts w:ascii="Arial" w:hAnsi="Arial" w:cs="Arial"/>
          <w:b/>
          <w:bCs/>
          <w:color w:val="000000"/>
          <w:szCs w:val="24"/>
        </w:rPr>
      </w:pPr>
      <w:r w:rsidRPr="00F32ED4">
        <w:rPr>
          <w:rFonts w:ascii="Arial" w:hAnsi="Arial" w:cs="Arial"/>
          <w:b/>
          <w:bCs/>
          <w:color w:val="000000"/>
          <w:szCs w:val="24"/>
        </w:rPr>
        <w:lastRenderedPageBreak/>
        <w:t>Introduction</w:t>
      </w:r>
    </w:p>
    <w:p w14:paraId="6E2C1A40" w14:textId="77777777" w:rsidR="00F32ED4" w:rsidRPr="00F32ED4" w:rsidRDefault="00F32ED4" w:rsidP="00F32ED4">
      <w:pPr>
        <w:pStyle w:val="NormalWeb"/>
        <w:rPr>
          <w:rFonts w:ascii="Arial" w:hAnsi="Arial" w:cs="Arial"/>
          <w:color w:val="000000"/>
          <w:sz w:val="22"/>
          <w:szCs w:val="22"/>
        </w:rPr>
      </w:pPr>
      <w:r w:rsidRPr="00F32ED4">
        <w:rPr>
          <w:rFonts w:ascii="Arial" w:hAnsi="Arial" w:cs="Arial"/>
          <w:color w:val="000000"/>
          <w:sz w:val="22"/>
          <w:szCs w:val="22"/>
        </w:rPr>
        <w:t>This module,</w:t>
      </w:r>
      <w:r w:rsidRPr="00F32ED4">
        <w:rPr>
          <w:rStyle w:val="apple-converted-space"/>
          <w:rFonts w:ascii="Arial" w:hAnsi="Arial" w:cs="Arial"/>
          <w:color w:val="000000"/>
          <w:sz w:val="22"/>
          <w:szCs w:val="22"/>
        </w:rPr>
        <w:t> </w:t>
      </w:r>
      <w:r w:rsidRPr="00F32ED4">
        <w:rPr>
          <w:rStyle w:val="Emphasis"/>
          <w:rFonts w:ascii="Arial" w:hAnsi="Arial" w:cs="Arial"/>
          <w:b/>
          <w:bCs/>
          <w:color w:val="000000"/>
          <w:sz w:val="22"/>
          <w:szCs w:val="22"/>
        </w:rPr>
        <w:t>Changemakers: Building Your Personal Brand for Sustainable Employment</w:t>
      </w:r>
      <w:r w:rsidRPr="00F32ED4">
        <w:rPr>
          <w:rFonts w:ascii="Arial" w:hAnsi="Arial" w:cs="Arial"/>
          <w:color w:val="000000"/>
          <w:sz w:val="22"/>
          <w:szCs w:val="22"/>
        </w:rPr>
        <w:t>, has helped me understand different ideas that are important for my future in health and social care. Before starting the module, I did not think too much about personal branding, cultural awareness, opportunities, or wellbeing. I mainly focused on passing my modules. But through the four units, I realised that building a professional identity is something that happens gradually and requires reflection.</w:t>
      </w:r>
    </w:p>
    <w:p w14:paraId="2CF7EBDB" w14:textId="77777777" w:rsidR="00F32ED4" w:rsidRPr="00F32ED4" w:rsidRDefault="00F32ED4" w:rsidP="00F32ED4">
      <w:pPr>
        <w:pStyle w:val="NormalWeb"/>
        <w:rPr>
          <w:rFonts w:ascii="Arial" w:hAnsi="Arial" w:cs="Arial"/>
          <w:color w:val="000000"/>
          <w:sz w:val="22"/>
          <w:szCs w:val="22"/>
        </w:rPr>
      </w:pPr>
      <w:r w:rsidRPr="00F32ED4">
        <w:rPr>
          <w:rFonts w:ascii="Arial" w:hAnsi="Arial" w:cs="Arial"/>
          <w:color w:val="000000"/>
          <w:sz w:val="22"/>
          <w:szCs w:val="22"/>
        </w:rPr>
        <w:t>In this portfolio, I talk about what I learned from each unit and how it relates to health and social care. Since I had issues accessing the Moodle forums, I included personal reflections instead of screenshots. The reflections are based on what we covered in class and my own understanding of the topics. Overall, this assignment helped me think more seriously about what kind of professional I want to be and what skills I need to develop to be successful in the sector.</w:t>
      </w:r>
    </w:p>
    <w:p w14:paraId="5AF853D0" w14:textId="77777777" w:rsidR="00F32ED4" w:rsidRPr="00F32ED4" w:rsidRDefault="00F32ED4" w:rsidP="00F32ED4">
      <w:pPr>
        <w:pStyle w:val="NormalWeb"/>
        <w:rPr>
          <w:rFonts w:asciiTheme="minorBidi" w:hAnsiTheme="minorBidi" w:cstheme="minorBidi"/>
          <w:b/>
          <w:bCs/>
          <w:color w:val="000000"/>
        </w:rPr>
      </w:pPr>
    </w:p>
    <w:p w14:paraId="35C9F28B" w14:textId="6B10D68E" w:rsidR="00F32ED4" w:rsidRDefault="00F32ED4" w:rsidP="00F32ED4">
      <w:pPr>
        <w:pStyle w:val="NormalWeb"/>
        <w:rPr>
          <w:rFonts w:asciiTheme="minorBidi" w:hAnsiTheme="minorBidi" w:cstheme="minorBidi"/>
          <w:b/>
          <w:bCs/>
          <w:color w:val="000000"/>
        </w:rPr>
      </w:pPr>
      <w:r w:rsidRPr="00F32ED4">
        <w:rPr>
          <w:rFonts w:asciiTheme="minorBidi" w:hAnsiTheme="minorBidi" w:cstheme="minorBidi"/>
          <w:b/>
          <w:bCs/>
          <w:color w:val="000000"/>
        </w:rPr>
        <w:t>Unit 1: Brand You</w:t>
      </w:r>
    </w:p>
    <w:p w14:paraId="31D6A7A4"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Unit 1 focused on personal branding and self-awareness. At first, I felt unsure because I never really thought of myself as a “brand.” However, through the activities and class discussions, I realised that personal branding is basically how I present myself to others, especially in professional environments like health and social care.</w:t>
      </w:r>
    </w:p>
    <w:p w14:paraId="12EA12A7"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One of the tools that helped me understand myself better was the Johari Window (Luft &amp; Ingham, 1955). This model explains that there are things we know about ourselves and things others know that we might not be aware of. When I reflected on this, I noticed that sometimes I underestimate my strengths, like communication and empathy, but other people have told me I’m good at those things. On the other hand, I realised that I tend to get nervous when speaking in groups, which is part of my “hidden” area that I need to work on.</w:t>
      </w:r>
    </w:p>
    <w:p w14:paraId="38DA3C80"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We also looked at values and strengths, which I explored using a simple SWOT analysis. My strengths included patience, empathy, and being reliable. My weaknesses included confidence and sometimes avoiding leadership roles. I realised these weaknesses could affect how others see me as a professional. Using Goffman’s (1959) impression management idea, I started thinking more about how I come across in placements or group work.</w:t>
      </w:r>
    </w:p>
    <w:p w14:paraId="274FDE4E"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Since I couldn’t access the forum activity, I reflected instead on what we discussed in class about professional identity. I learned that in health and social care, your personal brand must align with professional behaviour, ethical practice, and respect for others. It's not about trying to look perfect online, but about being consistent, trustworthy, and reflective.</w:t>
      </w:r>
    </w:p>
    <w:p w14:paraId="3E102E14" w14:textId="77777777" w:rsid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Overall, Unit 1 helped me understand myself better. I learned that personal branding starts from knowing who I am, what I value, and what kind of professional I want to be in the future.</w:t>
      </w:r>
    </w:p>
    <w:p w14:paraId="7B6EA522" w14:textId="77777777" w:rsid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Another important learning point from Unit 1 was realising how personal experiences shape the way we present ourselves professionally. When I thought more about my past roles, group projects, and even personal challenges, I understood that these moments influenced the qualities that make up my professional identity today. For example, overcoming difficult situations helped me develop resilience, which is something employers value in health and social care. I also learned that personal branding is not fixed; it changes as I grow and gain</w:t>
      </w:r>
    </w:p>
    <w:p w14:paraId="736551E5" w14:textId="02D9DFE2" w:rsid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lastRenderedPageBreak/>
        <w:t>new experiences. This made me feel less pressured to “have everything figured out” and more focused on continuous improvement</w:t>
      </w:r>
      <w:r>
        <w:rPr>
          <w:rFonts w:ascii="-webkit-standard" w:hAnsi="-webkit-standard"/>
          <w:color w:val="000000"/>
          <w:sz w:val="27"/>
          <w:szCs w:val="27"/>
        </w:rPr>
        <w:t>.</w:t>
      </w:r>
    </w:p>
    <w:p w14:paraId="65E79C1D" w14:textId="77777777" w:rsidR="00F32ED4" w:rsidRDefault="00F32ED4" w:rsidP="00F32ED4">
      <w:pPr>
        <w:pStyle w:val="NormalWeb"/>
        <w:rPr>
          <w:rFonts w:asciiTheme="minorBidi" w:hAnsiTheme="minorBidi" w:cstheme="minorBidi"/>
          <w:color w:val="000000"/>
          <w:sz w:val="22"/>
          <w:szCs w:val="22"/>
        </w:rPr>
      </w:pPr>
    </w:p>
    <w:p w14:paraId="6F488120" w14:textId="77777777" w:rsidR="00F32ED4" w:rsidRDefault="00F32ED4" w:rsidP="00F32ED4">
      <w:pPr>
        <w:pStyle w:val="NormalWeb"/>
        <w:rPr>
          <w:rFonts w:asciiTheme="minorBidi" w:hAnsiTheme="minorBidi" w:cstheme="minorBidi"/>
          <w:color w:val="000000"/>
          <w:sz w:val="22"/>
          <w:szCs w:val="22"/>
        </w:rPr>
      </w:pPr>
    </w:p>
    <w:p w14:paraId="369CF07B" w14:textId="77777777" w:rsidR="00F32ED4" w:rsidRDefault="00F32ED4" w:rsidP="00F32ED4">
      <w:pPr>
        <w:pStyle w:val="NormalWeb"/>
        <w:rPr>
          <w:rFonts w:asciiTheme="minorBidi" w:hAnsiTheme="minorBidi" w:cstheme="minorBidi"/>
          <w:color w:val="000000"/>
          <w:sz w:val="22"/>
          <w:szCs w:val="22"/>
        </w:rPr>
      </w:pPr>
    </w:p>
    <w:p w14:paraId="66F08AD3" w14:textId="452D6D41" w:rsidR="00F32ED4" w:rsidRPr="00F32ED4" w:rsidRDefault="00F32ED4" w:rsidP="00F32ED4">
      <w:pPr>
        <w:pStyle w:val="NormalWeb"/>
        <w:rPr>
          <w:rFonts w:asciiTheme="minorBidi" w:hAnsiTheme="minorBidi" w:cstheme="minorBidi"/>
          <w:b/>
          <w:bCs/>
          <w:color w:val="000000"/>
        </w:rPr>
      </w:pPr>
      <w:r w:rsidRPr="00F32ED4">
        <w:rPr>
          <w:rFonts w:asciiTheme="minorBidi" w:hAnsiTheme="minorBidi" w:cstheme="minorBidi"/>
          <w:b/>
          <w:bCs/>
          <w:color w:val="000000"/>
        </w:rPr>
        <w:t>Unit 2: It’s a Small World</w:t>
      </w:r>
    </w:p>
    <w:p w14:paraId="08F011B4"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 xml:space="preserve">Unit 2 focused on cultural competence and global perspectives. At first, I thought cultural competence was just about respecting people from different backgrounds, but I realised it is more complex. The health and social care sector in the UK </w:t>
      </w:r>
      <w:proofErr w:type="gramStart"/>
      <w:r w:rsidRPr="00F32ED4">
        <w:rPr>
          <w:rFonts w:asciiTheme="minorBidi" w:hAnsiTheme="minorBidi" w:cstheme="minorBidi"/>
          <w:color w:val="000000"/>
          <w:sz w:val="22"/>
          <w:szCs w:val="22"/>
        </w:rPr>
        <w:t>is</w:t>
      </w:r>
      <w:proofErr w:type="gramEnd"/>
      <w:r w:rsidRPr="00F32ED4">
        <w:rPr>
          <w:rFonts w:asciiTheme="minorBidi" w:hAnsiTheme="minorBidi" w:cstheme="minorBidi"/>
          <w:color w:val="000000"/>
          <w:sz w:val="22"/>
          <w:szCs w:val="22"/>
        </w:rPr>
        <w:t xml:space="preserve"> extremely diverse, so being culturally competent is essential.</w:t>
      </w:r>
    </w:p>
    <w:p w14:paraId="7CE3CBA0"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We learned about Campinha-Bacote’s (2002) model of cultural competence, which includes awareness, knowledge, skills, encounters, and desire. Reflecting on this model made me understand that cultural competence is something you build over time. For example, I might think I am open-minded, but I still need more cultural encounters to challenge my assumptions. This is especially important when working with service users who may have different beliefs or expectations.</w:t>
      </w:r>
    </w:p>
    <w:p w14:paraId="4A07C3E4"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Although I couldn’t see the Moodle forum, I reflected on what we covered in class about globalisation. We talked about how healthcare systems are connected across countries. For example, many health and social care workers in the UK come from abroad, which means workplaces often have mixed cultures. This can be positive because it brings different experiences, but it can also create misunderstandings if communication is not clear.</w:t>
      </w:r>
    </w:p>
    <w:p w14:paraId="26F2EAF4"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 xml:space="preserve">Hofstede’s Cultural Dimensions Theory (1980) also helped me understand how people from different cultures behave differently. For example, some cultures value direct communication, while others prefer a more indirect style. Thinking about this helped me realise that being culturally competent is not only about knowing facts about other </w:t>
      </w:r>
      <w:proofErr w:type="gramStart"/>
      <w:r w:rsidRPr="00F32ED4">
        <w:rPr>
          <w:rFonts w:asciiTheme="minorBidi" w:hAnsiTheme="minorBidi" w:cstheme="minorBidi"/>
          <w:color w:val="000000"/>
          <w:sz w:val="22"/>
          <w:szCs w:val="22"/>
        </w:rPr>
        <w:t>cultures, but</w:t>
      </w:r>
      <w:proofErr w:type="gramEnd"/>
      <w:r w:rsidRPr="00F32ED4">
        <w:rPr>
          <w:rFonts w:asciiTheme="minorBidi" w:hAnsiTheme="minorBidi" w:cstheme="minorBidi"/>
          <w:color w:val="000000"/>
          <w:sz w:val="22"/>
          <w:szCs w:val="22"/>
        </w:rPr>
        <w:t xml:space="preserve"> adapting my behaviour depending on the person I am working with.</w:t>
      </w:r>
    </w:p>
    <w:p w14:paraId="502C6669" w14:textId="548DF9EA" w:rsid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This unit helped me see that global awareness is part of my professional identity. It reminded me that cultural competence supports safeguarding, equality, and anti-discriminatory practice. I now understand that cultural sensitivity is not optional</w:t>
      </w:r>
      <w:r>
        <w:rPr>
          <w:rFonts w:asciiTheme="minorBidi" w:hAnsiTheme="minorBidi" w:cstheme="minorBidi"/>
          <w:color w:val="000000"/>
          <w:sz w:val="22"/>
          <w:szCs w:val="22"/>
        </w:rPr>
        <w:t xml:space="preserve"> </w:t>
      </w:r>
      <w:r w:rsidRPr="00F32ED4">
        <w:rPr>
          <w:rFonts w:asciiTheme="minorBidi" w:hAnsiTheme="minorBidi" w:cstheme="minorBidi"/>
          <w:color w:val="000000"/>
          <w:sz w:val="22"/>
          <w:szCs w:val="22"/>
        </w:rPr>
        <w:t>it is a key part of delivering person-centred care.</w:t>
      </w:r>
    </w:p>
    <w:p w14:paraId="41C5DE24" w14:textId="4D499DB4" w:rsid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Another key insight from Unit 2 was understanding how small behaviours can make a big difference in supporting cultural competence. For example, taking time to ask someone how they prefer to be addressed or trying to understand their communication style can help avoid misunderstandings. I also realised that global awareness goes beyond just knowing facts about other cultures. It includes being aware of global health issues, migration patterns, and how political or economic events affect people who come to the UK. This made me think more about the responsibility that health and social care workers have in providing fair and respectful care to everyone.</w:t>
      </w:r>
    </w:p>
    <w:p w14:paraId="5B5E9BAB" w14:textId="77777777" w:rsidR="00F32ED4" w:rsidRPr="00F32ED4" w:rsidRDefault="00F32ED4" w:rsidP="00F32ED4">
      <w:pPr>
        <w:pStyle w:val="NormalWeb"/>
        <w:rPr>
          <w:rFonts w:asciiTheme="minorBidi" w:hAnsiTheme="minorBidi" w:cstheme="minorBidi"/>
          <w:color w:val="000000"/>
          <w:sz w:val="22"/>
          <w:szCs w:val="22"/>
        </w:rPr>
      </w:pPr>
    </w:p>
    <w:p w14:paraId="64D389AC" w14:textId="77777777" w:rsidR="00F32ED4" w:rsidRDefault="00F32ED4" w:rsidP="00F32ED4">
      <w:pPr>
        <w:pStyle w:val="NormalWeb"/>
        <w:rPr>
          <w:rFonts w:asciiTheme="minorBidi" w:hAnsiTheme="minorBidi" w:cstheme="minorBidi"/>
          <w:color w:val="000000"/>
          <w:sz w:val="22"/>
          <w:szCs w:val="22"/>
        </w:rPr>
      </w:pPr>
    </w:p>
    <w:p w14:paraId="46B7524A" w14:textId="07B5275B" w:rsidR="00F32ED4" w:rsidRDefault="00F32ED4" w:rsidP="00F32ED4">
      <w:pPr>
        <w:pStyle w:val="NormalWeb"/>
        <w:rPr>
          <w:rFonts w:asciiTheme="minorBidi" w:hAnsiTheme="minorBidi" w:cstheme="minorBidi"/>
          <w:b/>
          <w:bCs/>
          <w:color w:val="000000"/>
        </w:rPr>
      </w:pPr>
      <w:r w:rsidRPr="00F32ED4">
        <w:rPr>
          <w:rFonts w:asciiTheme="minorBidi" w:hAnsiTheme="minorBidi" w:cstheme="minorBidi"/>
          <w:b/>
          <w:bCs/>
          <w:color w:val="000000"/>
        </w:rPr>
        <w:lastRenderedPageBreak/>
        <w:t>Unit 3: Opportunity Knocks</w:t>
      </w:r>
    </w:p>
    <w:p w14:paraId="172AB300"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Unit 3 helped me understand how to recognise and make use of opportunities for my future career. Before this module, I usually waited for opportunities to appear rather than actively looking for them. This unit encouraged me to think differently.</w:t>
      </w:r>
    </w:p>
    <w:p w14:paraId="5C21B562"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One activity asked us to create goals using the SMART framework (Doran, 1981). This was helpful because I often set goals that are too general, like “improve my communication.” When I applied the SMART criteria, I changed it into something clearer, like: “I will attend one communication workshop and practice active listening during group work for the next eight weeks.” This made the goal more realistic.</w:t>
      </w:r>
    </w:p>
    <w:p w14:paraId="14384BCB"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Another concept that helped me reflect was Gibbs’ (1988) Reflective Cycle. I used it to think about a past group project where I felt overwhelmed. Reflecting on what happened made me realise that I need to communicate earlier when I feel stuck instead of keeping it to myself. This is something I can apply in future placements or jobs.</w:t>
      </w:r>
    </w:p>
    <w:p w14:paraId="4EC06065"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I couldn’t access the forum for this unit either, but I reflected on the topic: how to identify opportunities. I learned that opportunities are not just big events like getting a job. They can be smaller things, like talking to a professional after a lecture, volunteering in the community, or improving a skill. Savickas’ (2005) Career Construction Theory explains that people build their careers through choices and actions over time. This helped me see that I need to be more proactive in shaping my future.</w:t>
      </w:r>
    </w:p>
    <w:p w14:paraId="453EDEA1" w14:textId="4412E027" w:rsid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Unit 3 taught me that opportunity is often linked to confidence. If I wait for things to happen, I might miss out. But if I take small steps</w:t>
      </w:r>
      <w:r>
        <w:rPr>
          <w:rFonts w:asciiTheme="minorBidi" w:hAnsiTheme="minorBidi" w:cstheme="minorBidi"/>
          <w:color w:val="000000"/>
          <w:sz w:val="22"/>
          <w:szCs w:val="22"/>
        </w:rPr>
        <w:t xml:space="preserve"> </w:t>
      </w:r>
      <w:r w:rsidRPr="00F32ED4">
        <w:rPr>
          <w:rFonts w:asciiTheme="minorBidi" w:hAnsiTheme="minorBidi" w:cstheme="minorBidi"/>
          <w:color w:val="000000"/>
          <w:sz w:val="22"/>
          <w:szCs w:val="22"/>
        </w:rPr>
        <w:t>like networking, attending workshops, or asking for feedback</w:t>
      </w:r>
      <w:r>
        <w:rPr>
          <w:rFonts w:asciiTheme="minorBidi" w:hAnsiTheme="minorBidi" w:cstheme="minorBidi"/>
          <w:color w:val="000000"/>
          <w:sz w:val="22"/>
          <w:szCs w:val="22"/>
        </w:rPr>
        <w:t xml:space="preserve"> </w:t>
      </w:r>
      <w:r w:rsidRPr="00F32ED4">
        <w:rPr>
          <w:rFonts w:asciiTheme="minorBidi" w:hAnsiTheme="minorBidi" w:cstheme="minorBidi"/>
          <w:color w:val="000000"/>
          <w:sz w:val="22"/>
          <w:szCs w:val="22"/>
        </w:rPr>
        <w:t>I can create my own opportunities.</w:t>
      </w:r>
    </w:p>
    <w:p w14:paraId="6BB5560F" w14:textId="1F6D9D95" w:rsid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Another thing that stood out to me in this unit was how opportunities can sometimes come from unexpected places. For example, a simple conversation with a classmate or tutor can lead to useful advice or even a chance to join a project. Reflecting on this made me realise that I need to be more open and active in engaging with people. I also learned that keeping a record of achievements and feedback is helpful when applying for jobs or updating my CV. Thinking this way made me see my education not just as something to complete, but as something to build my future on.</w:t>
      </w:r>
    </w:p>
    <w:p w14:paraId="172E1083" w14:textId="77777777" w:rsidR="00F32ED4" w:rsidRPr="00F32ED4" w:rsidRDefault="00F32ED4" w:rsidP="00F32ED4">
      <w:pPr>
        <w:pStyle w:val="NormalWeb"/>
        <w:rPr>
          <w:rFonts w:asciiTheme="minorBidi" w:hAnsiTheme="minorBidi" w:cstheme="minorBidi"/>
          <w:color w:val="000000"/>
          <w:sz w:val="22"/>
          <w:szCs w:val="22"/>
        </w:rPr>
      </w:pPr>
    </w:p>
    <w:p w14:paraId="3814184E" w14:textId="3A0A803B" w:rsidR="00F32ED4" w:rsidRPr="00F32ED4" w:rsidRDefault="00F32ED4" w:rsidP="00F32ED4">
      <w:pPr>
        <w:pStyle w:val="NormalWeb"/>
        <w:rPr>
          <w:rFonts w:asciiTheme="minorBidi" w:hAnsiTheme="minorBidi" w:cstheme="minorBidi"/>
          <w:b/>
          <w:bCs/>
          <w:color w:val="000000"/>
        </w:rPr>
      </w:pPr>
      <w:r w:rsidRPr="00F32ED4">
        <w:rPr>
          <w:rFonts w:asciiTheme="minorBidi" w:hAnsiTheme="minorBidi" w:cstheme="minorBidi"/>
          <w:b/>
          <w:bCs/>
          <w:color w:val="000000"/>
        </w:rPr>
        <w:t>Unit 4: The Pursuit of Happiness</w:t>
      </w:r>
    </w:p>
    <w:p w14:paraId="44421786"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Unit 4 focused on wellbeing, resilience, emotional intelligence, and work–life balance. These concepts are essential for sustaining a meaningful and long-term career in health and social care, a sector known for its emotional demands and high-pressure environments.</w:t>
      </w:r>
    </w:p>
    <w:p w14:paraId="368D5163"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One of the key models explored in this unit was Seligman’s (2011)</w:t>
      </w:r>
      <w:r w:rsidRPr="00F32ED4">
        <w:rPr>
          <w:rStyle w:val="apple-converted-space"/>
          <w:rFonts w:asciiTheme="minorBidi" w:hAnsiTheme="minorBidi" w:cstheme="minorBidi"/>
          <w:color w:val="000000"/>
          <w:sz w:val="22"/>
          <w:szCs w:val="22"/>
        </w:rPr>
        <w:t> </w:t>
      </w:r>
      <w:r w:rsidRPr="00F32ED4">
        <w:rPr>
          <w:rStyle w:val="Strong"/>
          <w:rFonts w:asciiTheme="minorBidi" w:hAnsiTheme="minorBidi" w:cstheme="minorBidi"/>
          <w:color w:val="000000"/>
          <w:sz w:val="22"/>
          <w:szCs w:val="22"/>
        </w:rPr>
        <w:t>PERMA model</w:t>
      </w:r>
      <w:r w:rsidRPr="00F32ED4">
        <w:rPr>
          <w:rFonts w:asciiTheme="minorBidi" w:hAnsiTheme="minorBidi" w:cstheme="minorBidi"/>
          <w:color w:val="000000"/>
          <w:sz w:val="22"/>
          <w:szCs w:val="22"/>
        </w:rPr>
        <w:t xml:space="preserve">, which identifies five components of wellbeing: Positive emotions, Engagement, Relationships, Meaning, and Accomplishment. Reflecting on this model allowed me to evaluate my current wellbeing and identify areas for improvement. For example, I realised that I need to create healthier boundaries between work, study, and personal life </w:t>
      </w:r>
      <w:proofErr w:type="gramStart"/>
      <w:r w:rsidRPr="00F32ED4">
        <w:rPr>
          <w:rFonts w:asciiTheme="minorBidi" w:hAnsiTheme="minorBidi" w:cstheme="minorBidi"/>
          <w:color w:val="000000"/>
          <w:sz w:val="22"/>
          <w:szCs w:val="22"/>
        </w:rPr>
        <w:t>in order to</w:t>
      </w:r>
      <w:proofErr w:type="gramEnd"/>
      <w:r w:rsidRPr="00F32ED4">
        <w:rPr>
          <w:rFonts w:asciiTheme="minorBidi" w:hAnsiTheme="minorBidi" w:cstheme="minorBidi"/>
          <w:color w:val="000000"/>
          <w:sz w:val="22"/>
          <w:szCs w:val="22"/>
        </w:rPr>
        <w:t xml:space="preserve"> maintain motivation and emotional stability.</w:t>
      </w:r>
    </w:p>
    <w:p w14:paraId="66781768" w14:textId="7D8C3B72"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 xml:space="preserve">The unit also emphasised the importance of emotional intelligence, using Goleman’s (1995) framework of self-awareness, self-regulation, motivation, empathy, and social skills. </w:t>
      </w:r>
      <w:r w:rsidRPr="00F32ED4">
        <w:rPr>
          <w:rFonts w:asciiTheme="minorBidi" w:hAnsiTheme="minorBidi" w:cstheme="minorBidi"/>
          <w:color w:val="000000"/>
          <w:sz w:val="22"/>
          <w:szCs w:val="22"/>
        </w:rPr>
        <w:lastRenderedPageBreak/>
        <w:t>Reflecting on my emotional intelligence helped me identify that while I am strong in empathy and motivation, I need to continue improving self-regulation</w:t>
      </w:r>
      <w:r>
        <w:rPr>
          <w:rFonts w:asciiTheme="minorBidi" w:hAnsiTheme="minorBidi" w:cstheme="minorBidi"/>
          <w:color w:val="000000"/>
          <w:sz w:val="22"/>
          <w:szCs w:val="22"/>
        </w:rPr>
        <w:t xml:space="preserve"> </w:t>
      </w:r>
      <w:r w:rsidRPr="00F32ED4">
        <w:rPr>
          <w:rFonts w:asciiTheme="minorBidi" w:hAnsiTheme="minorBidi" w:cstheme="minorBidi"/>
          <w:color w:val="000000"/>
          <w:sz w:val="22"/>
          <w:szCs w:val="22"/>
        </w:rPr>
        <w:t>particularly in stressful situations. Developing emotional intelligence is essential for safely supporting service users, managing conflict, and working effectively in multidisciplinary teams.</w:t>
      </w:r>
    </w:p>
    <w:p w14:paraId="2826E5D2"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Resilience theory (Richardson, 2002) further emphasised that setbacks are opportunities for growth. Through the wellbeing activities, I learned practical resilience strategies such as mindfulness, reflective journaling, and assertive communication. These strategies support burnout prevention, which is particularly important within health and social care, where emotional labour can be high.</w:t>
      </w:r>
    </w:p>
    <w:p w14:paraId="774B787C" w14:textId="3ED9D8ED"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Although the Moodle forum was unavailable, I reflected on the unit’s main theme: how wellbeing influences employability. I realised that wellbeing is not separate from professional identity</w:t>
      </w:r>
      <w:r>
        <w:rPr>
          <w:rFonts w:asciiTheme="minorBidi" w:hAnsiTheme="minorBidi" w:cstheme="minorBidi"/>
          <w:color w:val="000000"/>
          <w:sz w:val="22"/>
          <w:szCs w:val="22"/>
        </w:rPr>
        <w:t xml:space="preserve"> </w:t>
      </w:r>
      <w:r w:rsidRPr="00F32ED4">
        <w:rPr>
          <w:rFonts w:asciiTheme="minorBidi" w:hAnsiTheme="minorBidi" w:cstheme="minorBidi"/>
          <w:color w:val="000000"/>
          <w:sz w:val="22"/>
          <w:szCs w:val="22"/>
        </w:rPr>
        <w:t>it is deeply interconnected. Practitioners who prioritise their mental and emotional health are more capable of delivering safe, compassionate, and effective care. Likewise, employers increasingly value resilience, adaptability, and emotional intelligence as essential competencies.</w:t>
      </w:r>
    </w:p>
    <w:p w14:paraId="255A2D07" w14:textId="77777777" w:rsid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Overall, Unit 4 highlighted that sustainable employment in health and social care requires a balance between professional excellence and personal wellbeing. This unit reinforced the idea that looking after oneself is a professional responsibility.</w:t>
      </w:r>
    </w:p>
    <w:p w14:paraId="2D3A31DF" w14:textId="375AED22"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Another reflection I had in this unit was about how important routine and self-discipline are for maintaining wellbeing. I noticed that when I organise my time better</w:t>
      </w:r>
      <w:r>
        <w:rPr>
          <w:rFonts w:asciiTheme="minorBidi" w:hAnsiTheme="minorBidi" w:cstheme="minorBidi"/>
          <w:color w:val="000000"/>
          <w:sz w:val="22"/>
          <w:szCs w:val="22"/>
        </w:rPr>
        <w:t xml:space="preserve"> </w:t>
      </w:r>
      <w:r w:rsidRPr="00F32ED4">
        <w:rPr>
          <w:rFonts w:asciiTheme="minorBidi" w:hAnsiTheme="minorBidi" w:cstheme="minorBidi"/>
          <w:color w:val="000000"/>
          <w:sz w:val="22"/>
          <w:szCs w:val="22"/>
        </w:rPr>
        <w:t xml:space="preserve">even small things like planning my week or taking regular </w:t>
      </w:r>
      <w:proofErr w:type="gramStart"/>
      <w:r w:rsidRPr="00F32ED4">
        <w:rPr>
          <w:rFonts w:asciiTheme="minorBidi" w:hAnsiTheme="minorBidi" w:cstheme="minorBidi"/>
          <w:color w:val="000000"/>
          <w:sz w:val="22"/>
          <w:szCs w:val="22"/>
        </w:rPr>
        <w:t>breaks</w:t>
      </w:r>
      <w:proofErr w:type="gramEnd"/>
      <w:r>
        <w:rPr>
          <w:rFonts w:asciiTheme="minorBidi" w:hAnsiTheme="minorBidi" w:cstheme="minorBidi"/>
          <w:color w:val="000000"/>
          <w:sz w:val="22"/>
          <w:szCs w:val="22"/>
        </w:rPr>
        <w:t xml:space="preserve"> </w:t>
      </w:r>
      <w:r w:rsidRPr="00F32ED4">
        <w:rPr>
          <w:rFonts w:asciiTheme="minorBidi" w:hAnsiTheme="minorBidi" w:cstheme="minorBidi"/>
          <w:color w:val="000000"/>
          <w:sz w:val="22"/>
          <w:szCs w:val="22"/>
        </w:rPr>
        <w:t xml:space="preserve">I feel more balanced and less stressed. This is important because stress can affect how well we care for others. I also learned that wellbeing does not mean being happy all the </w:t>
      </w:r>
      <w:proofErr w:type="gramStart"/>
      <w:r w:rsidRPr="00F32ED4">
        <w:rPr>
          <w:rFonts w:asciiTheme="minorBidi" w:hAnsiTheme="minorBidi" w:cstheme="minorBidi"/>
          <w:color w:val="000000"/>
          <w:sz w:val="22"/>
          <w:szCs w:val="22"/>
        </w:rPr>
        <w:t>time, but</w:t>
      </w:r>
      <w:proofErr w:type="gramEnd"/>
      <w:r w:rsidRPr="00F32ED4">
        <w:rPr>
          <w:rFonts w:asciiTheme="minorBidi" w:hAnsiTheme="minorBidi" w:cstheme="minorBidi"/>
          <w:color w:val="000000"/>
          <w:sz w:val="22"/>
          <w:szCs w:val="22"/>
        </w:rPr>
        <w:t xml:space="preserve"> being able to cope with challenges in a healthy way. Understanding this made me feel more prepared for the emotional side of working in health and social care.</w:t>
      </w:r>
    </w:p>
    <w:p w14:paraId="33B15E7A" w14:textId="77777777" w:rsidR="00F32ED4" w:rsidRDefault="00F32ED4" w:rsidP="00F32ED4">
      <w:pPr>
        <w:pStyle w:val="NormalWeb"/>
        <w:rPr>
          <w:rFonts w:asciiTheme="minorBidi" w:hAnsiTheme="minorBidi" w:cstheme="minorBidi"/>
          <w:color w:val="000000"/>
          <w:sz w:val="22"/>
          <w:szCs w:val="22"/>
        </w:rPr>
      </w:pPr>
    </w:p>
    <w:p w14:paraId="3F240DFC" w14:textId="77777777" w:rsidR="00F32ED4" w:rsidRPr="00F32ED4" w:rsidRDefault="00F32ED4" w:rsidP="00F32ED4">
      <w:pPr>
        <w:pStyle w:val="NormalWeb"/>
        <w:rPr>
          <w:rFonts w:asciiTheme="minorBidi" w:hAnsiTheme="minorBidi" w:cstheme="minorBidi"/>
          <w:color w:val="000000"/>
          <w:sz w:val="22"/>
          <w:szCs w:val="22"/>
        </w:rPr>
      </w:pPr>
    </w:p>
    <w:p w14:paraId="0A713111" w14:textId="097B4AED" w:rsidR="00F32ED4" w:rsidRPr="00F32ED4" w:rsidRDefault="00F32ED4" w:rsidP="00F32ED4">
      <w:pPr>
        <w:pStyle w:val="NormalWeb"/>
        <w:rPr>
          <w:rFonts w:asciiTheme="minorBidi" w:hAnsiTheme="minorBidi" w:cstheme="minorBidi"/>
          <w:b/>
          <w:bCs/>
          <w:color w:val="000000"/>
        </w:rPr>
      </w:pPr>
      <w:r w:rsidRPr="00F32ED4">
        <w:rPr>
          <w:rFonts w:asciiTheme="minorBidi" w:hAnsiTheme="minorBidi" w:cstheme="minorBidi"/>
          <w:b/>
          <w:bCs/>
          <w:color w:val="000000"/>
        </w:rPr>
        <w:t>Conclusion</w:t>
      </w:r>
    </w:p>
    <w:p w14:paraId="5AD0BAA3" w14:textId="0436843E"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This portfolio has demonstrated how the four units collectively contributed to my personal and professional development. Through critical engagement with theories, reflections, and module concepts, I developed a deeper understanding of personal branding, global awareness, career planning, and wellbeing</w:t>
      </w:r>
      <w:r>
        <w:rPr>
          <w:rFonts w:asciiTheme="minorBidi" w:hAnsiTheme="minorBidi" w:cstheme="minorBidi"/>
          <w:color w:val="000000"/>
          <w:sz w:val="22"/>
          <w:szCs w:val="22"/>
        </w:rPr>
        <w:t xml:space="preserve"> </w:t>
      </w:r>
      <w:r w:rsidRPr="00F32ED4">
        <w:rPr>
          <w:rFonts w:asciiTheme="minorBidi" w:hAnsiTheme="minorBidi" w:cstheme="minorBidi"/>
          <w:color w:val="000000"/>
          <w:sz w:val="22"/>
          <w:szCs w:val="22"/>
        </w:rPr>
        <w:t>each essential for sustainable employment in health and social care.</w:t>
      </w:r>
    </w:p>
    <w:p w14:paraId="37068DD5" w14:textId="77777777" w:rsid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Unit 1 strengthened my self-awareness and professional identity. Unit 2 emphasised cultural competence and global perspectives, highlighting diversity as a core element of care. Unit 3 taught me to recognise and pursue opportunities through strategic planning and reflective practice. Unit 4 reinforced the importance of wellbeing and emotional intelligence in sustaining a meaningful and resilient career.</w:t>
      </w:r>
    </w:p>
    <w:p w14:paraId="319EEE7C" w14:textId="6707F31D" w:rsid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Overall, the module equipped me with the reflective tools, theoretical foundations, and personal insights required to develop a strong, values-based professional identity. These skills will support my long-term career development and enable me to contribute effectively and ethically within the health and social care sector.</w:t>
      </w:r>
    </w:p>
    <w:p w14:paraId="593CA566" w14:textId="77777777" w:rsidR="00F32ED4" w:rsidRDefault="00F32ED4" w:rsidP="00F32ED4">
      <w:pPr>
        <w:pStyle w:val="NormalWeb"/>
        <w:rPr>
          <w:rFonts w:asciiTheme="minorBidi" w:hAnsiTheme="minorBidi" w:cstheme="minorBidi"/>
          <w:color w:val="000000"/>
          <w:sz w:val="22"/>
          <w:szCs w:val="22"/>
        </w:rPr>
      </w:pPr>
    </w:p>
    <w:p w14:paraId="14F8B1D0" w14:textId="77777777" w:rsidR="00F32ED4" w:rsidRDefault="00F32ED4" w:rsidP="00F32ED4">
      <w:pPr>
        <w:pStyle w:val="NormalWeb"/>
        <w:rPr>
          <w:rFonts w:asciiTheme="minorBidi" w:hAnsiTheme="minorBidi" w:cstheme="minorBidi"/>
          <w:color w:val="000000"/>
          <w:sz w:val="22"/>
          <w:szCs w:val="22"/>
        </w:rPr>
      </w:pPr>
    </w:p>
    <w:p w14:paraId="7B5F1009" w14:textId="77777777" w:rsidR="00F32ED4" w:rsidRPr="00F32ED4" w:rsidRDefault="00F32ED4" w:rsidP="00F32ED4">
      <w:pPr>
        <w:pStyle w:val="NormalWeb"/>
        <w:rPr>
          <w:rFonts w:asciiTheme="minorBidi" w:hAnsiTheme="minorBidi" w:cstheme="minorBidi"/>
          <w:b/>
          <w:bCs/>
          <w:color w:val="000000"/>
        </w:rPr>
      </w:pPr>
    </w:p>
    <w:p w14:paraId="0DCDCF65" w14:textId="53BB3FE3" w:rsidR="00F32ED4" w:rsidRDefault="00F32ED4" w:rsidP="00F32ED4">
      <w:pPr>
        <w:pStyle w:val="NormalWeb"/>
        <w:rPr>
          <w:rFonts w:asciiTheme="minorBidi" w:hAnsiTheme="minorBidi" w:cstheme="minorBidi"/>
          <w:b/>
          <w:bCs/>
          <w:color w:val="000000"/>
        </w:rPr>
      </w:pPr>
      <w:r w:rsidRPr="00F32ED4">
        <w:rPr>
          <w:rFonts w:asciiTheme="minorBidi" w:hAnsiTheme="minorBidi" w:cstheme="minorBidi"/>
          <w:b/>
          <w:bCs/>
          <w:color w:val="000000"/>
        </w:rPr>
        <w:t>References</w:t>
      </w:r>
    </w:p>
    <w:p w14:paraId="42348AF1"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Campinha-Bacote, J. (2002) ‘The Process of Cultural Competence in the Delivery of Healthcare Services’,</w:t>
      </w:r>
      <w:r w:rsidRPr="00F32ED4">
        <w:rPr>
          <w:rStyle w:val="apple-converted-space"/>
          <w:rFonts w:asciiTheme="minorBidi" w:hAnsiTheme="minorBidi" w:cstheme="minorBidi"/>
          <w:color w:val="000000"/>
          <w:sz w:val="22"/>
          <w:szCs w:val="22"/>
        </w:rPr>
        <w:t> </w:t>
      </w:r>
      <w:r w:rsidRPr="00F32ED4">
        <w:rPr>
          <w:rStyle w:val="Emphasis"/>
          <w:rFonts w:asciiTheme="minorBidi" w:hAnsiTheme="minorBidi" w:cstheme="minorBidi"/>
          <w:color w:val="000000"/>
          <w:sz w:val="22"/>
          <w:szCs w:val="22"/>
        </w:rPr>
        <w:t>Journal of Transcultural Nursing</w:t>
      </w:r>
      <w:r w:rsidRPr="00F32ED4">
        <w:rPr>
          <w:rFonts w:asciiTheme="minorBidi" w:hAnsiTheme="minorBidi" w:cstheme="minorBidi"/>
          <w:color w:val="000000"/>
          <w:sz w:val="22"/>
          <w:szCs w:val="22"/>
        </w:rPr>
        <w:t>, 13(3), pp. 181–184.</w:t>
      </w:r>
    </w:p>
    <w:p w14:paraId="74C32214"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Doran, G. (1981) ‘There’s a S.M.A.R.T. way to write management’s goals and objectives’,</w:t>
      </w:r>
      <w:r w:rsidRPr="00F32ED4">
        <w:rPr>
          <w:rStyle w:val="apple-converted-space"/>
          <w:rFonts w:asciiTheme="minorBidi" w:hAnsiTheme="minorBidi" w:cstheme="minorBidi"/>
          <w:color w:val="000000"/>
          <w:sz w:val="22"/>
          <w:szCs w:val="22"/>
        </w:rPr>
        <w:t> </w:t>
      </w:r>
      <w:r w:rsidRPr="00F32ED4">
        <w:rPr>
          <w:rStyle w:val="Emphasis"/>
          <w:rFonts w:asciiTheme="minorBidi" w:hAnsiTheme="minorBidi" w:cstheme="minorBidi"/>
          <w:color w:val="000000"/>
          <w:sz w:val="22"/>
          <w:szCs w:val="22"/>
        </w:rPr>
        <w:t>Management Review</w:t>
      </w:r>
      <w:r w:rsidRPr="00F32ED4">
        <w:rPr>
          <w:rFonts w:asciiTheme="minorBidi" w:hAnsiTheme="minorBidi" w:cstheme="minorBidi"/>
          <w:color w:val="000000"/>
          <w:sz w:val="22"/>
          <w:szCs w:val="22"/>
        </w:rPr>
        <w:t>, 70(11), pp. 35–36.</w:t>
      </w:r>
    </w:p>
    <w:p w14:paraId="7CFF53FF"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Gibbs, G. (1988)</w:t>
      </w:r>
      <w:r w:rsidRPr="00F32ED4">
        <w:rPr>
          <w:rStyle w:val="apple-converted-space"/>
          <w:rFonts w:asciiTheme="minorBidi" w:hAnsiTheme="minorBidi" w:cstheme="minorBidi"/>
          <w:color w:val="000000"/>
          <w:sz w:val="22"/>
          <w:szCs w:val="22"/>
        </w:rPr>
        <w:t> </w:t>
      </w:r>
      <w:r w:rsidRPr="00F32ED4">
        <w:rPr>
          <w:rStyle w:val="Emphasis"/>
          <w:rFonts w:asciiTheme="minorBidi" w:hAnsiTheme="minorBidi" w:cstheme="minorBidi"/>
          <w:color w:val="000000"/>
          <w:sz w:val="22"/>
          <w:szCs w:val="22"/>
        </w:rPr>
        <w:t>Learning by Doing: A Guide to Teaching and Learning Methods</w:t>
      </w:r>
      <w:r w:rsidRPr="00F32ED4">
        <w:rPr>
          <w:rFonts w:asciiTheme="minorBidi" w:hAnsiTheme="minorBidi" w:cstheme="minorBidi"/>
          <w:color w:val="000000"/>
          <w:sz w:val="22"/>
          <w:szCs w:val="22"/>
        </w:rPr>
        <w:t>. Oxford: Oxford Polytechnic.</w:t>
      </w:r>
    </w:p>
    <w:p w14:paraId="6A464BB4"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Goffman, E. (1959)</w:t>
      </w:r>
      <w:r w:rsidRPr="00F32ED4">
        <w:rPr>
          <w:rStyle w:val="apple-converted-space"/>
          <w:rFonts w:asciiTheme="minorBidi" w:hAnsiTheme="minorBidi" w:cstheme="minorBidi"/>
          <w:color w:val="000000"/>
          <w:sz w:val="22"/>
          <w:szCs w:val="22"/>
        </w:rPr>
        <w:t> </w:t>
      </w:r>
      <w:r w:rsidRPr="00F32ED4">
        <w:rPr>
          <w:rStyle w:val="Emphasis"/>
          <w:rFonts w:asciiTheme="minorBidi" w:hAnsiTheme="minorBidi" w:cstheme="minorBidi"/>
          <w:color w:val="000000"/>
          <w:sz w:val="22"/>
          <w:szCs w:val="22"/>
        </w:rPr>
        <w:t>The Presentation of Self in Everyday Life</w:t>
      </w:r>
      <w:r w:rsidRPr="00F32ED4">
        <w:rPr>
          <w:rFonts w:asciiTheme="minorBidi" w:hAnsiTheme="minorBidi" w:cstheme="minorBidi"/>
          <w:color w:val="000000"/>
          <w:sz w:val="22"/>
          <w:szCs w:val="22"/>
        </w:rPr>
        <w:t>. New York: Anchor Books.</w:t>
      </w:r>
    </w:p>
    <w:p w14:paraId="25D33227"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Goleman, D. (1995)</w:t>
      </w:r>
      <w:r w:rsidRPr="00F32ED4">
        <w:rPr>
          <w:rStyle w:val="apple-converted-space"/>
          <w:rFonts w:asciiTheme="minorBidi" w:hAnsiTheme="minorBidi" w:cstheme="minorBidi"/>
          <w:color w:val="000000"/>
          <w:sz w:val="22"/>
          <w:szCs w:val="22"/>
        </w:rPr>
        <w:t> </w:t>
      </w:r>
      <w:r w:rsidRPr="00F32ED4">
        <w:rPr>
          <w:rStyle w:val="Emphasis"/>
          <w:rFonts w:asciiTheme="minorBidi" w:hAnsiTheme="minorBidi" w:cstheme="minorBidi"/>
          <w:color w:val="000000"/>
          <w:sz w:val="22"/>
          <w:szCs w:val="22"/>
        </w:rPr>
        <w:t>Emotional Intelligence</w:t>
      </w:r>
      <w:r w:rsidRPr="00F32ED4">
        <w:rPr>
          <w:rFonts w:asciiTheme="minorBidi" w:hAnsiTheme="minorBidi" w:cstheme="minorBidi"/>
          <w:color w:val="000000"/>
          <w:sz w:val="22"/>
          <w:szCs w:val="22"/>
        </w:rPr>
        <w:t>. New York: Bantam Books.</w:t>
      </w:r>
    </w:p>
    <w:p w14:paraId="3237BC04"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Hofstede, G. (1980)</w:t>
      </w:r>
      <w:r w:rsidRPr="00F32ED4">
        <w:rPr>
          <w:rStyle w:val="apple-converted-space"/>
          <w:rFonts w:asciiTheme="minorBidi" w:hAnsiTheme="minorBidi" w:cstheme="minorBidi"/>
          <w:color w:val="000000"/>
          <w:sz w:val="22"/>
          <w:szCs w:val="22"/>
        </w:rPr>
        <w:t> </w:t>
      </w:r>
      <w:r w:rsidRPr="00F32ED4">
        <w:rPr>
          <w:rStyle w:val="Emphasis"/>
          <w:rFonts w:asciiTheme="minorBidi" w:hAnsiTheme="minorBidi" w:cstheme="minorBidi"/>
          <w:color w:val="000000"/>
          <w:sz w:val="22"/>
          <w:szCs w:val="22"/>
        </w:rPr>
        <w:t>Culture’s Consequences: International Differences in Work-Related Values</w:t>
      </w:r>
      <w:r w:rsidRPr="00F32ED4">
        <w:rPr>
          <w:rFonts w:asciiTheme="minorBidi" w:hAnsiTheme="minorBidi" w:cstheme="minorBidi"/>
          <w:color w:val="000000"/>
          <w:sz w:val="22"/>
          <w:szCs w:val="22"/>
        </w:rPr>
        <w:t>. Beverly Hills, CA: Sage.</w:t>
      </w:r>
    </w:p>
    <w:p w14:paraId="1F34A19F"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Luft, J. and Ingham, H. (1955) ‘The Johari Window: A Graphic Model of Interpersonal Awareness’. University of California.</w:t>
      </w:r>
    </w:p>
    <w:p w14:paraId="41292522"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Richardson, G. (2002) ‘The Metatheory of Resilience and Resiliency’,</w:t>
      </w:r>
      <w:r w:rsidRPr="00F32ED4">
        <w:rPr>
          <w:rStyle w:val="apple-converted-space"/>
          <w:rFonts w:asciiTheme="minorBidi" w:hAnsiTheme="minorBidi" w:cstheme="minorBidi"/>
          <w:color w:val="000000"/>
          <w:sz w:val="22"/>
          <w:szCs w:val="22"/>
        </w:rPr>
        <w:t> </w:t>
      </w:r>
      <w:r w:rsidRPr="00F32ED4">
        <w:rPr>
          <w:rStyle w:val="Emphasis"/>
          <w:rFonts w:asciiTheme="minorBidi" w:hAnsiTheme="minorBidi" w:cstheme="minorBidi"/>
          <w:color w:val="000000"/>
          <w:sz w:val="22"/>
          <w:szCs w:val="22"/>
        </w:rPr>
        <w:t>Journal of Clinical Psychology</w:t>
      </w:r>
      <w:r w:rsidRPr="00F32ED4">
        <w:rPr>
          <w:rFonts w:asciiTheme="minorBidi" w:hAnsiTheme="minorBidi" w:cstheme="minorBidi"/>
          <w:color w:val="000000"/>
          <w:sz w:val="22"/>
          <w:szCs w:val="22"/>
        </w:rPr>
        <w:t>, 58(3), pp. 307–321.</w:t>
      </w:r>
    </w:p>
    <w:p w14:paraId="6282510E"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Savickas, M. (2005) ‘The Theory and Practice of Career Construction’, in Brown, S. &amp; Lent, R. (eds.)</w:t>
      </w:r>
      <w:r w:rsidRPr="00F32ED4">
        <w:rPr>
          <w:rStyle w:val="apple-converted-space"/>
          <w:rFonts w:asciiTheme="minorBidi" w:hAnsiTheme="minorBidi" w:cstheme="minorBidi"/>
          <w:color w:val="000000"/>
          <w:sz w:val="22"/>
          <w:szCs w:val="22"/>
        </w:rPr>
        <w:t> </w:t>
      </w:r>
      <w:r w:rsidRPr="00F32ED4">
        <w:rPr>
          <w:rStyle w:val="Emphasis"/>
          <w:rFonts w:asciiTheme="minorBidi" w:hAnsiTheme="minorBidi" w:cstheme="minorBidi"/>
          <w:color w:val="000000"/>
          <w:sz w:val="22"/>
          <w:szCs w:val="22"/>
        </w:rPr>
        <w:t>Career Development and Counselling: Putting Theory and Research to Work</w:t>
      </w:r>
      <w:r w:rsidRPr="00F32ED4">
        <w:rPr>
          <w:rFonts w:asciiTheme="minorBidi" w:hAnsiTheme="minorBidi" w:cstheme="minorBidi"/>
          <w:color w:val="000000"/>
          <w:sz w:val="22"/>
          <w:szCs w:val="22"/>
        </w:rPr>
        <w:t>. Hoboken, NJ: Wiley, pp. 42–70.</w:t>
      </w:r>
    </w:p>
    <w:p w14:paraId="3C6C7FC5" w14:textId="77777777" w:rsidR="00F32ED4" w:rsidRPr="00F32ED4" w:rsidRDefault="00F32ED4" w:rsidP="00F32ED4">
      <w:pPr>
        <w:pStyle w:val="NormalWeb"/>
        <w:rPr>
          <w:rFonts w:asciiTheme="minorBidi" w:hAnsiTheme="minorBidi" w:cstheme="minorBidi"/>
          <w:color w:val="000000"/>
          <w:sz w:val="22"/>
          <w:szCs w:val="22"/>
        </w:rPr>
      </w:pPr>
      <w:r w:rsidRPr="00F32ED4">
        <w:rPr>
          <w:rFonts w:asciiTheme="minorBidi" w:hAnsiTheme="minorBidi" w:cstheme="minorBidi"/>
          <w:color w:val="000000"/>
          <w:sz w:val="22"/>
          <w:szCs w:val="22"/>
        </w:rPr>
        <w:t>Seligman, M. (2011)</w:t>
      </w:r>
      <w:r w:rsidRPr="00F32ED4">
        <w:rPr>
          <w:rStyle w:val="apple-converted-space"/>
          <w:rFonts w:asciiTheme="minorBidi" w:hAnsiTheme="minorBidi" w:cstheme="minorBidi"/>
          <w:color w:val="000000"/>
          <w:sz w:val="22"/>
          <w:szCs w:val="22"/>
        </w:rPr>
        <w:t> </w:t>
      </w:r>
      <w:r w:rsidRPr="00F32ED4">
        <w:rPr>
          <w:rStyle w:val="Emphasis"/>
          <w:rFonts w:asciiTheme="minorBidi" w:hAnsiTheme="minorBidi" w:cstheme="minorBidi"/>
          <w:color w:val="000000"/>
          <w:sz w:val="22"/>
          <w:szCs w:val="22"/>
        </w:rPr>
        <w:t>Flourish: A Visionary New Understanding of Happiness and Well-being</w:t>
      </w:r>
      <w:r w:rsidRPr="00F32ED4">
        <w:rPr>
          <w:rFonts w:asciiTheme="minorBidi" w:hAnsiTheme="minorBidi" w:cstheme="minorBidi"/>
          <w:color w:val="000000"/>
          <w:sz w:val="22"/>
          <w:szCs w:val="22"/>
        </w:rPr>
        <w:t>. New York: Free Press.</w:t>
      </w:r>
    </w:p>
    <w:p w14:paraId="5CCA9877" w14:textId="77777777" w:rsidR="00F32ED4" w:rsidRPr="00F32ED4" w:rsidRDefault="00F32ED4" w:rsidP="00F32ED4">
      <w:pPr>
        <w:spacing w:line="360" w:lineRule="auto"/>
        <w:rPr>
          <w:rFonts w:ascii="Arial" w:hAnsi="Arial" w:cs="Arial"/>
          <w:b/>
          <w:bCs/>
          <w:color w:val="000000" w:themeColor="text1"/>
          <w:szCs w:val="24"/>
        </w:rPr>
      </w:pPr>
    </w:p>
    <w:sectPr w:rsidR="00F32ED4" w:rsidRPr="00F32E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F5BCA" w14:textId="77777777" w:rsidR="00784049" w:rsidRDefault="00784049" w:rsidP="00B21FE6">
      <w:pPr>
        <w:spacing w:after="0" w:line="240" w:lineRule="auto"/>
      </w:pPr>
      <w:r>
        <w:separator/>
      </w:r>
    </w:p>
  </w:endnote>
  <w:endnote w:type="continuationSeparator" w:id="0">
    <w:p w14:paraId="34FCD846" w14:textId="77777777" w:rsidR="00784049" w:rsidRDefault="00784049"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01546" w14:textId="77777777" w:rsidR="00784049" w:rsidRDefault="00784049" w:rsidP="00B21FE6">
      <w:pPr>
        <w:spacing w:after="0" w:line="240" w:lineRule="auto"/>
      </w:pPr>
      <w:r>
        <w:separator/>
      </w:r>
    </w:p>
  </w:footnote>
  <w:footnote w:type="continuationSeparator" w:id="0">
    <w:p w14:paraId="525542DD" w14:textId="77777777" w:rsidR="00784049" w:rsidRDefault="00784049"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571E5"/>
    <w:multiLevelType w:val="hybridMultilevel"/>
    <w:tmpl w:val="6D583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D04DB"/>
    <w:multiLevelType w:val="hybridMultilevel"/>
    <w:tmpl w:val="886A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667BF"/>
    <w:multiLevelType w:val="hybridMultilevel"/>
    <w:tmpl w:val="CD6C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776892"/>
    <w:multiLevelType w:val="hybridMultilevel"/>
    <w:tmpl w:val="DE0E8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900440"/>
    <w:multiLevelType w:val="hybridMultilevel"/>
    <w:tmpl w:val="7E0E8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D710A"/>
    <w:multiLevelType w:val="hybridMultilevel"/>
    <w:tmpl w:val="6F2696BC"/>
    <w:lvl w:ilvl="0" w:tplc="E0F6F4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7F00EA"/>
    <w:multiLevelType w:val="hybridMultilevel"/>
    <w:tmpl w:val="82BAAF4C"/>
    <w:lvl w:ilvl="0" w:tplc="8D2AF83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7"/>
  </w:num>
  <w:num w:numId="2" w16cid:durableId="201140407">
    <w:abstractNumId w:val="1"/>
  </w:num>
  <w:num w:numId="3" w16cid:durableId="490028398">
    <w:abstractNumId w:val="0"/>
  </w:num>
  <w:num w:numId="4" w16cid:durableId="350911784">
    <w:abstractNumId w:val="2"/>
  </w:num>
  <w:num w:numId="5" w16cid:durableId="1021708163">
    <w:abstractNumId w:val="8"/>
  </w:num>
  <w:num w:numId="6" w16cid:durableId="302197862">
    <w:abstractNumId w:val="3"/>
  </w:num>
  <w:num w:numId="7" w16cid:durableId="941111500">
    <w:abstractNumId w:val="5"/>
  </w:num>
  <w:num w:numId="8" w16cid:durableId="103231191">
    <w:abstractNumId w:val="6"/>
  </w:num>
  <w:num w:numId="9" w16cid:durableId="1691249834">
    <w:abstractNumId w:val="4"/>
  </w:num>
  <w:num w:numId="10" w16cid:durableId="896088536">
    <w:abstractNumId w:val="10"/>
  </w:num>
  <w:num w:numId="11" w16cid:durableId="7431412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273BC"/>
    <w:rsid w:val="000351C2"/>
    <w:rsid w:val="00041AA9"/>
    <w:rsid w:val="00047A57"/>
    <w:rsid w:val="000A0AEE"/>
    <w:rsid w:val="001333C2"/>
    <w:rsid w:val="001D345E"/>
    <w:rsid w:val="0020701E"/>
    <w:rsid w:val="00216C9D"/>
    <w:rsid w:val="00220640"/>
    <w:rsid w:val="002A2710"/>
    <w:rsid w:val="002D39BD"/>
    <w:rsid w:val="002E4A72"/>
    <w:rsid w:val="00307912"/>
    <w:rsid w:val="00317E3D"/>
    <w:rsid w:val="00350430"/>
    <w:rsid w:val="00355EA9"/>
    <w:rsid w:val="003E4EF8"/>
    <w:rsid w:val="004A0214"/>
    <w:rsid w:val="004F6AC3"/>
    <w:rsid w:val="0052652B"/>
    <w:rsid w:val="00530399"/>
    <w:rsid w:val="00531EB3"/>
    <w:rsid w:val="0058218C"/>
    <w:rsid w:val="005910C2"/>
    <w:rsid w:val="00594FAC"/>
    <w:rsid w:val="0064794A"/>
    <w:rsid w:val="006524ED"/>
    <w:rsid w:val="006D2F2D"/>
    <w:rsid w:val="006E1FF9"/>
    <w:rsid w:val="006E5DBD"/>
    <w:rsid w:val="006F04E3"/>
    <w:rsid w:val="00784049"/>
    <w:rsid w:val="00785886"/>
    <w:rsid w:val="007F3A6A"/>
    <w:rsid w:val="00806006"/>
    <w:rsid w:val="00821FD2"/>
    <w:rsid w:val="00823383"/>
    <w:rsid w:val="00823BE5"/>
    <w:rsid w:val="008C7D17"/>
    <w:rsid w:val="008F6D4B"/>
    <w:rsid w:val="00971B12"/>
    <w:rsid w:val="00994D2E"/>
    <w:rsid w:val="009A3B21"/>
    <w:rsid w:val="009A509B"/>
    <w:rsid w:val="009B6819"/>
    <w:rsid w:val="009D026B"/>
    <w:rsid w:val="009D7F37"/>
    <w:rsid w:val="00A5293D"/>
    <w:rsid w:val="00AF3981"/>
    <w:rsid w:val="00B00FFC"/>
    <w:rsid w:val="00B21FE6"/>
    <w:rsid w:val="00BC79FE"/>
    <w:rsid w:val="00C558B0"/>
    <w:rsid w:val="00C62606"/>
    <w:rsid w:val="00C96593"/>
    <w:rsid w:val="00CF2E66"/>
    <w:rsid w:val="00D231D2"/>
    <w:rsid w:val="00D545BA"/>
    <w:rsid w:val="00D6052E"/>
    <w:rsid w:val="00DB253E"/>
    <w:rsid w:val="00E81204"/>
    <w:rsid w:val="00EE4FDB"/>
    <w:rsid w:val="00F32ED4"/>
    <w:rsid w:val="00F751D8"/>
    <w:rsid w:val="00F81510"/>
    <w:rsid w:val="00F9316D"/>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C965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C7D17"/>
    <w:pPr>
      <w:spacing w:before="100" w:beforeAutospacing="1" w:after="100" w:afterAutospacing="1" w:line="240" w:lineRule="auto"/>
      <w:outlineLvl w:val="1"/>
    </w:pPr>
    <w:rPr>
      <w:rFonts w:eastAsia="Times New Roman" w:cs="Times New Roman"/>
      <w:b/>
      <w:bCs/>
      <w:sz w:val="36"/>
      <w:szCs w:val="36"/>
      <w:lang w:eastAsia="en-GB"/>
    </w:rPr>
  </w:style>
  <w:style w:type="paragraph" w:styleId="Heading3">
    <w:name w:val="heading 3"/>
    <w:basedOn w:val="Normal"/>
    <w:link w:val="Heading3Char"/>
    <w:uiPriority w:val="9"/>
    <w:qFormat/>
    <w:rsid w:val="008C7D17"/>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821FD2"/>
    <w:pPr>
      <w:spacing w:before="100" w:beforeAutospacing="1" w:after="100" w:afterAutospacing="1" w:line="240" w:lineRule="auto"/>
    </w:pPr>
    <w:rPr>
      <w:rFonts w:eastAsia="Times New Roman" w:cs="Times New Roman"/>
      <w:szCs w:val="24"/>
      <w:lang w:eastAsia="en-GB"/>
    </w:rPr>
  </w:style>
  <w:style w:type="character" w:styleId="Strong">
    <w:name w:val="Strong"/>
    <w:uiPriority w:val="22"/>
    <w:qFormat/>
    <w:rsid w:val="00821FD2"/>
    <w:rPr>
      <w:b/>
      <w:bCs/>
    </w:rPr>
  </w:style>
  <w:style w:type="character" w:customStyle="1" w:styleId="Heading2Char">
    <w:name w:val="Heading 2 Char"/>
    <w:basedOn w:val="DefaultParagraphFont"/>
    <w:link w:val="Heading2"/>
    <w:uiPriority w:val="9"/>
    <w:rsid w:val="008C7D1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C7D17"/>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8C7D17"/>
  </w:style>
  <w:style w:type="character" w:styleId="Emphasis">
    <w:name w:val="Emphasis"/>
    <w:basedOn w:val="DefaultParagraphFont"/>
    <w:uiPriority w:val="20"/>
    <w:qFormat/>
    <w:rsid w:val="008C7D17"/>
    <w:rPr>
      <w:i/>
      <w:iCs/>
    </w:rPr>
  </w:style>
  <w:style w:type="paragraph" w:styleId="NoSpacing">
    <w:name w:val="No Spacing"/>
    <w:uiPriority w:val="1"/>
    <w:qFormat/>
    <w:rsid w:val="008C7D17"/>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C96593"/>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C96593"/>
    <w:pPr>
      <w:spacing w:after="200" w:line="240" w:lineRule="auto"/>
    </w:pPr>
    <w:rPr>
      <w:rFonts w:asciiTheme="minorHAnsi" w:hAnsiTheme="minorHAnsi"/>
      <w:i/>
      <w:iCs/>
      <w:color w:val="44546A" w:themeColor="text2"/>
      <w:sz w:val="18"/>
      <w:szCs w:val="18"/>
      <w:lang w:val="en-US"/>
    </w:rPr>
  </w:style>
  <w:style w:type="table" w:styleId="TableGrid">
    <w:name w:val="Table Grid"/>
    <w:basedOn w:val="TableNormal"/>
    <w:uiPriority w:val="39"/>
    <w:rsid w:val="00647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0301">
      <w:bodyDiv w:val="1"/>
      <w:marLeft w:val="0"/>
      <w:marRight w:val="0"/>
      <w:marTop w:val="0"/>
      <w:marBottom w:val="0"/>
      <w:divBdr>
        <w:top w:val="none" w:sz="0" w:space="0" w:color="auto"/>
        <w:left w:val="none" w:sz="0" w:space="0" w:color="auto"/>
        <w:bottom w:val="none" w:sz="0" w:space="0" w:color="auto"/>
        <w:right w:val="none" w:sz="0" w:space="0" w:color="auto"/>
      </w:divBdr>
    </w:div>
    <w:div w:id="182408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2087</Words>
  <Characters>11896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monica kellys kellys</cp:lastModifiedBy>
  <cp:revision>2</cp:revision>
  <dcterms:created xsi:type="dcterms:W3CDTF">2025-12-05T13:29:00Z</dcterms:created>
  <dcterms:modified xsi:type="dcterms:W3CDTF">2025-12-05T13:29:00Z</dcterms:modified>
</cp:coreProperties>
</file>