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CA0D7" w14:textId="77777777" w:rsidR="00AB7A2F" w:rsidRDefault="00AB7A2F">
      <w:pPr>
        <w:shd w:val="clear" w:color="auto" w:fill="151517"/>
        <w:spacing w:before="480" w:after="480" w:line="420" w:lineRule="atLeast"/>
        <w:rPr>
          <w:rFonts w:ascii="Segoe UI" w:eastAsia="Times New Roman" w:hAnsi="Segoe UI" w:cs="Segoe UI"/>
          <w:color w:val="F9FAFB"/>
        </w:rPr>
      </w:pPr>
      <w:r>
        <w:rPr>
          <w:rFonts w:ascii="Segoe UI" w:eastAsia="Times New Roman" w:hAnsi="Segoe UI" w:cs="Segoe UI"/>
          <w:noProof/>
          <w:color w:val="F9FAFB"/>
        </w:rPr>
        <mc:AlternateContent>
          <mc:Choice Requires="wps">
            <w:drawing>
              <wp:inline distT="0" distB="0" distL="0" distR="0" wp14:anchorId="19217827" wp14:editId="46675FC0">
                <wp:extent cx="5943600" cy="4445"/>
                <wp:effectExtent l="0" t="31750" r="0" b="36830"/>
                <wp:docPr id="94735571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0" cy="9525"/>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991DF53" id="Rectangle 1" o:spid="_x0000_s1026" style="width:468pt;height:.35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" filled="f">
                <w10:anchorlock/>
              </v:rect>
            </w:pict>
          </mc:Fallback>
        </mc:AlternateContent>
      </w:r>
    </w:p>
    <w:p w14:paraId="47B31DB7" w14:textId="77777777" w:rsidR="00AB7A2F" w:rsidRDefault="00AB7A2F">
      <w:pPr>
        <w:pStyle w:val="Heading2"/>
        <w:shd w:val="clear" w:color="auto" w:fill="151517"/>
        <w:spacing w:before="480" w:after="240" w:line="480" w:lineRule="atLeast"/>
        <w:rPr>
          <w:rFonts w:ascii="Segoe UI" w:eastAsia="Times New Roman" w:hAnsi="Segoe UI" w:cs="Segoe UI"/>
          <w:color w:val="F9FAFB"/>
          <w:sz w:val="33"/>
          <w:szCs w:val="33"/>
        </w:rPr>
      </w:pPr>
      <w:r>
        <w:rPr>
          <w:rFonts w:ascii="Segoe UI" w:eastAsia="Times New Roman" w:hAnsi="Segoe UI" w:cs="Segoe UI"/>
          <w:color w:val="F9FAFB"/>
          <w:sz w:val="33"/>
          <w:szCs w:val="33"/>
        </w:rPr>
        <w:t>Trend Commentary</w:t>
      </w:r>
    </w:p>
    <w:p w14:paraId="3D87C581" w14:textId="77777777" w:rsidR="00AB7A2F" w:rsidRDefault="00AB7A2F">
      <w:pPr>
        <w:pStyle w:val="Heading3"/>
        <w:shd w:val="clear" w:color="auto" w:fill="151517"/>
        <w:spacing w:before="480" w:after="240" w:line="450" w:lineRule="atLeast"/>
        <w:rPr>
          <w:rFonts w:ascii="Segoe UI" w:eastAsia="Times New Roman" w:hAnsi="Segoe UI" w:cs="Segoe UI"/>
          <w:color w:val="F9FAFB"/>
          <w:sz w:val="30"/>
          <w:szCs w:val="30"/>
        </w:rPr>
      </w:pPr>
      <w:r>
        <w:rPr>
          <w:rFonts w:ascii="Segoe UI" w:eastAsia="Times New Roman" w:hAnsi="Segoe UI" w:cs="Segoe UI"/>
          <w:color w:val="F9FAFB"/>
          <w:sz w:val="30"/>
          <w:szCs w:val="30"/>
        </w:rPr>
        <w:t>Profitability</w:t>
      </w:r>
    </w:p>
    <w:p w14:paraId="1CB0BF68" w14:textId="77777777" w:rsidR="00AB7A2F" w:rsidRDefault="00AB7A2F">
      <w:pPr>
        <w:pStyle w:val="ds-markdown-paragraph"/>
        <w:numPr>
          <w:ilvl w:val="0"/>
          <w:numId w:val="3"/>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Gross margin</w:t>
      </w:r>
      <w:r>
        <w:rPr>
          <w:rFonts w:ascii="Segoe UI" w:hAnsi="Segoe UI" w:cs="Segoe UI"/>
          <w:color w:val="F9FAFB"/>
        </w:rPr>
        <w:t> remained exceptionally high and stable (~94–95%) throughout the period, reflecting the asset</w:t>
      </w:r>
      <w:r>
        <w:rPr>
          <w:rFonts w:ascii="Segoe UI" w:hAnsi="Segoe UI" w:cs="Segoe UI"/>
          <w:color w:val="F9FAFB"/>
        </w:rPr>
        <w:noBreakHyphen/>
        <w:t>light, fee</w:t>
      </w:r>
      <w:r>
        <w:rPr>
          <w:rFonts w:ascii="Segoe UI" w:hAnsi="Segoe UI" w:cs="Segoe UI"/>
          <w:color w:val="F9FAFB"/>
        </w:rPr>
        <w:noBreakHyphen/>
        <w:t>based business model where direct owned/leased costs are a small fraction of total revenue.</w:t>
      </w:r>
    </w:p>
    <w:p w14:paraId="43ABAE94" w14:textId="77777777" w:rsidR="00AB7A2F" w:rsidRDefault="00AB7A2F">
      <w:pPr>
        <w:pStyle w:val="ds-markdown-paragraph"/>
        <w:numPr>
          <w:ilvl w:val="0"/>
          <w:numId w:val="3"/>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Operating and net margins</w:t>
      </w:r>
      <w:r>
        <w:rPr>
          <w:rFonts w:ascii="Segoe UI" w:hAnsi="Segoe UI" w:cs="Segoe UI"/>
          <w:color w:val="F9FAFB"/>
        </w:rPr>
        <w:t> rebounded sharply from the pandemic-hit 2020 (0.8% and -2.5%, respectively) as travel recovered, peaking in 2022–2023 (16.7% operating, 13.0% net). In 2024, both margins softened slightly (15.0% and 9.5%) due to higher general/administrative costs and increased interest expense, even as total revenues grew.</w:t>
      </w:r>
    </w:p>
    <w:p w14:paraId="2C554DA4" w14:textId="77777777" w:rsidR="00AB7A2F" w:rsidRDefault="00AB7A2F">
      <w:pPr>
        <w:pStyle w:val="ds-markdown-paragraph"/>
        <w:numPr>
          <w:ilvl w:val="0"/>
          <w:numId w:val="3"/>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ROA</w:t>
      </w:r>
      <w:r>
        <w:rPr>
          <w:rFonts w:ascii="Segoe UI" w:hAnsi="Segoe UI" w:cs="Segoe UI"/>
          <w:color w:val="F9FAFB"/>
        </w:rPr>
        <w:t> improved from -1.1% to a peak of 12.0% in 2023, then dipped to 9.1% in 2024. </w:t>
      </w:r>
      <w:r>
        <w:rPr>
          <w:rStyle w:val="Strong"/>
          <w:rFonts w:ascii="Segoe UI" w:hAnsi="Segoe UI" w:cs="Segoe UI"/>
          <w:color w:val="F9FAFB"/>
        </w:rPr>
        <w:t>ROE</w:t>
      </w:r>
      <w:r>
        <w:rPr>
          <w:rFonts w:ascii="Segoe UI" w:hAnsi="Segoe UI" w:cs="Segoe UI"/>
          <w:color w:val="F9FAFB"/>
        </w:rPr>
        <w:t> is volatile and distorted by negative equity in 2023–2024 (see leverage commentary), making it less meaningful in those years.</w:t>
      </w:r>
    </w:p>
    <w:p w14:paraId="5F90594E" w14:textId="77777777" w:rsidR="00AB7A2F" w:rsidRDefault="00AB7A2F">
      <w:pPr>
        <w:pStyle w:val="Heading3"/>
        <w:shd w:val="clear" w:color="auto" w:fill="151517"/>
        <w:spacing w:before="480" w:after="240" w:line="450" w:lineRule="atLeast"/>
        <w:rPr>
          <w:rFonts w:ascii="Segoe UI" w:eastAsia="Times New Roman" w:hAnsi="Segoe UI" w:cs="Segoe UI"/>
          <w:color w:val="F9FAFB"/>
          <w:sz w:val="30"/>
          <w:szCs w:val="30"/>
        </w:rPr>
      </w:pPr>
      <w:r>
        <w:rPr>
          <w:rFonts w:ascii="Segoe UI" w:eastAsia="Times New Roman" w:hAnsi="Segoe UI" w:cs="Segoe UI"/>
          <w:color w:val="F9FAFB"/>
          <w:sz w:val="30"/>
          <w:szCs w:val="30"/>
        </w:rPr>
        <w:t>Liquidity</w:t>
      </w:r>
    </w:p>
    <w:p w14:paraId="3FBEDF2D" w14:textId="77777777" w:rsidR="00AB7A2F" w:rsidRDefault="00AB7A2F">
      <w:pPr>
        <w:pStyle w:val="ds-markdown-paragraph"/>
        <w:numPr>
          <w:ilvl w:val="0"/>
          <w:numId w:val="4"/>
        </w:numPr>
        <w:shd w:val="clear" w:color="auto" w:fill="151517"/>
        <w:spacing w:before="0" w:beforeAutospacing="0" w:after="0" w:afterAutospacing="0" w:line="420" w:lineRule="atLeast"/>
        <w:rPr>
          <w:rFonts w:ascii="Segoe UI" w:hAnsi="Segoe UI" w:cs="Segoe UI"/>
          <w:color w:val="F9FAFB"/>
        </w:rPr>
      </w:pPr>
      <w:r>
        <w:rPr>
          <w:rFonts w:ascii="Segoe UI" w:hAnsi="Segoe UI" w:cs="Segoe UI"/>
          <w:color w:val="F9FAFB"/>
        </w:rPr>
        <w:t>All three liquidity ratios (</w:t>
      </w:r>
      <w:r>
        <w:rPr>
          <w:rStyle w:val="Strong"/>
          <w:rFonts w:ascii="Segoe UI" w:hAnsi="Segoe UI" w:cs="Segoe UI"/>
          <w:color w:val="F9FAFB"/>
        </w:rPr>
        <w:t>current, quick, cash</w:t>
      </w:r>
      <w:r>
        <w:rPr>
          <w:rFonts w:ascii="Segoe UI" w:hAnsi="Segoe UI" w:cs="Segoe UI"/>
          <w:color w:val="F9FAFB"/>
        </w:rPr>
        <w:t>) are consistently below 1.0, indicating that current liabilities substantially exceed current assets. This is typical for Marriott because a large portion of current liabilities is the </w:t>
      </w:r>
      <w:r>
        <w:rPr>
          <w:rStyle w:val="Strong"/>
          <w:rFonts w:ascii="Segoe UI" w:hAnsi="Segoe UI" w:cs="Segoe UI"/>
          <w:color w:val="F9FAFB"/>
        </w:rPr>
        <w:t>guest loyalty program liability</w:t>
      </w:r>
      <w:r>
        <w:rPr>
          <w:rFonts w:ascii="Segoe UI" w:hAnsi="Segoe UI" w:cs="Segoe UI"/>
          <w:color w:val="F9FAFB"/>
        </w:rPr>
        <w:t> (a non</w:t>
      </w:r>
      <w:r>
        <w:rPr>
          <w:rFonts w:ascii="Segoe UI" w:hAnsi="Segoe UI" w:cs="Segoe UI"/>
          <w:color w:val="F9FAFB"/>
        </w:rPr>
        <w:noBreakHyphen/>
        <w:t>cash operating liability) and short</w:t>
      </w:r>
      <w:r>
        <w:rPr>
          <w:rFonts w:ascii="Segoe UI" w:hAnsi="Segoe UI" w:cs="Segoe UI"/>
          <w:color w:val="F9FAFB"/>
        </w:rPr>
        <w:noBreakHyphen/>
        <w:t>term debt. The cash ratio is especially thin, never exceeding 0.22, meaning the company relies heavily on operating cash flow rather than cash reserves to meet short</w:t>
      </w:r>
      <w:r>
        <w:rPr>
          <w:rFonts w:ascii="Segoe UI" w:hAnsi="Segoe UI" w:cs="Segoe UI"/>
          <w:color w:val="F9FAFB"/>
        </w:rPr>
        <w:noBreakHyphen/>
        <w:t>term obligations.</w:t>
      </w:r>
    </w:p>
    <w:p w14:paraId="18849306" w14:textId="77777777" w:rsidR="00AB7A2F" w:rsidRDefault="00AB7A2F">
      <w:pPr>
        <w:pStyle w:val="Heading3"/>
        <w:shd w:val="clear" w:color="auto" w:fill="151517"/>
        <w:spacing w:before="480" w:after="240" w:line="450" w:lineRule="atLeast"/>
        <w:rPr>
          <w:rFonts w:ascii="Segoe UI" w:eastAsia="Times New Roman" w:hAnsi="Segoe UI" w:cs="Segoe UI"/>
          <w:color w:val="F9FAFB"/>
          <w:sz w:val="30"/>
          <w:szCs w:val="30"/>
        </w:rPr>
      </w:pPr>
      <w:r>
        <w:rPr>
          <w:rFonts w:ascii="Segoe UI" w:eastAsia="Times New Roman" w:hAnsi="Segoe UI" w:cs="Segoe UI"/>
          <w:color w:val="F9FAFB"/>
          <w:sz w:val="30"/>
          <w:szCs w:val="30"/>
        </w:rPr>
        <w:lastRenderedPageBreak/>
        <w:t>Efficiency</w:t>
      </w:r>
    </w:p>
    <w:p w14:paraId="31090035" w14:textId="77777777" w:rsidR="00AB7A2F" w:rsidRDefault="00AB7A2F">
      <w:pPr>
        <w:pStyle w:val="ds-markdown-paragraph"/>
        <w:numPr>
          <w:ilvl w:val="0"/>
          <w:numId w:val="5"/>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Asset turnover</w:t>
      </w:r>
      <w:r>
        <w:rPr>
          <w:rFonts w:ascii="Segoe UI" w:hAnsi="Segoe UI" w:cs="Segoe UI"/>
          <w:color w:val="F9FAFB"/>
        </w:rPr>
        <w:t> nearly doubled from 0.43x in 2020 to 0.96x in 2024, showing that Marriott generated significantly more revenue per dollar of assets as business volumes recovered and assets were used more productively.</w:t>
      </w:r>
    </w:p>
    <w:p w14:paraId="4159BF7B" w14:textId="77777777" w:rsidR="00AB7A2F" w:rsidRDefault="00AB7A2F">
      <w:pPr>
        <w:pStyle w:val="ds-markdown-paragraph"/>
        <w:numPr>
          <w:ilvl w:val="0"/>
          <w:numId w:val="5"/>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Fixed asset turnover</w:t>
      </w:r>
      <w:r>
        <w:rPr>
          <w:rFonts w:ascii="Segoe UI" w:hAnsi="Segoe UI" w:cs="Segoe UI"/>
          <w:color w:val="F9FAFB"/>
        </w:rPr>
        <w:t> followed a similar trajectory, rising from 6.98x to 15.00x in 2023, before a slight drop to 13.69x in 2024—still reflecting highly efficient use of property and equipment.</w:t>
      </w:r>
    </w:p>
    <w:p w14:paraId="2B139D70" w14:textId="77777777" w:rsidR="00AB7A2F" w:rsidRDefault="00AB7A2F">
      <w:pPr>
        <w:pStyle w:val="Heading3"/>
        <w:shd w:val="clear" w:color="auto" w:fill="151517"/>
        <w:spacing w:before="480" w:after="240" w:line="450" w:lineRule="atLeast"/>
        <w:rPr>
          <w:rFonts w:ascii="Segoe UI" w:eastAsia="Times New Roman" w:hAnsi="Segoe UI" w:cs="Segoe UI"/>
          <w:color w:val="F9FAFB"/>
          <w:sz w:val="30"/>
          <w:szCs w:val="30"/>
        </w:rPr>
      </w:pPr>
      <w:r>
        <w:rPr>
          <w:rFonts w:ascii="Segoe UI" w:eastAsia="Times New Roman" w:hAnsi="Segoe UI" w:cs="Segoe UI"/>
          <w:color w:val="F9FAFB"/>
          <w:sz w:val="30"/>
          <w:szCs w:val="30"/>
        </w:rPr>
        <w:t>Leverage</w:t>
      </w:r>
    </w:p>
    <w:p w14:paraId="2A8B9DAB" w14:textId="77777777" w:rsidR="00AB7A2F" w:rsidRDefault="00AB7A2F">
      <w:pPr>
        <w:pStyle w:val="ds-markdown-paragraph"/>
        <w:numPr>
          <w:ilvl w:val="0"/>
          <w:numId w:val="6"/>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Interest coverage</w:t>
      </w:r>
      <w:r>
        <w:rPr>
          <w:rFonts w:ascii="Segoe UI" w:hAnsi="Segoe UI" w:cs="Segoe UI"/>
          <w:color w:val="F9FAFB"/>
        </w:rPr>
        <w:t> improved dramatically from 0.19x (2020, where operating income barely covered interest) to a strong 8.59x in 2022. It has since declined to 5.42x in 2024 because of rising interest rates and additional debt issuance, but remains at a healthy level.</w:t>
      </w:r>
    </w:p>
    <w:p w14:paraId="492C63A4" w14:textId="77777777" w:rsidR="00AB7A2F" w:rsidRDefault="00AB7A2F">
      <w:pPr>
        <w:pStyle w:val="ds-markdown-paragraph"/>
        <w:numPr>
          <w:ilvl w:val="0"/>
          <w:numId w:val="6"/>
        </w:numPr>
        <w:shd w:val="clear" w:color="auto" w:fill="151517"/>
        <w:spacing w:before="0" w:beforeAutospacing="0" w:after="0" w:afterAutospacing="0" w:line="420" w:lineRule="atLeast"/>
        <w:rPr>
          <w:rFonts w:ascii="Segoe UI" w:hAnsi="Segoe UI" w:cs="Segoe UI"/>
          <w:color w:val="F9FAFB"/>
        </w:rPr>
      </w:pPr>
      <w:r>
        <w:rPr>
          <w:rStyle w:val="Strong"/>
          <w:rFonts w:ascii="Segoe UI" w:hAnsi="Segoe UI" w:cs="Segoe UI"/>
          <w:color w:val="F9FAFB"/>
        </w:rPr>
        <w:t>Debt/equity</w:t>
      </w:r>
      <w:r>
        <w:rPr>
          <w:rFonts w:ascii="Segoe UI" w:hAnsi="Segoe UI" w:cs="Segoe UI"/>
          <w:color w:val="F9FAFB"/>
        </w:rPr>
        <w:t> is highly distorted: equity turned negative in 2023 and 2024 due to massive treasury stock repurchases (over $3.7 billion each year), which overwhelmed retained earnings and pushed total stockholders’ equity into deficit. The 2023–2024 ratios (-38.64x and -9.75x) should be interpreted as a sign of aggressive shareholder returns via buybacks, not as a traditional “over</w:t>
      </w:r>
      <w:r>
        <w:rPr>
          <w:rFonts w:ascii="Segoe UI" w:hAnsi="Segoe UI" w:cs="Segoe UI"/>
          <w:color w:val="F9FAFB"/>
        </w:rPr>
        <w:noBreakHyphen/>
        <w:t>leveraged” signal—total assets still exceed total liabilities, and the company generates substantial operating income to service its debt.</w:t>
      </w:r>
    </w:p>
    <w:p w14:paraId="46F75F19" w14:textId="77777777" w:rsidR="00AB7A2F" w:rsidRDefault="00AB7A2F"/>
    <w:sectPr w:rsidR="00AB7A2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559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D544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8122D"/>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BF08A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7B4F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E71D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9994368">
    <w:abstractNumId w:val="2"/>
  </w:num>
  <w:num w:numId="2" w16cid:durableId="1936091134">
    <w:abstractNumId w:val="3"/>
  </w:num>
  <w:num w:numId="3" w16cid:durableId="823855723">
    <w:abstractNumId w:val="0"/>
  </w:num>
  <w:num w:numId="4" w16cid:durableId="1153332559">
    <w:abstractNumId w:val="5"/>
  </w:num>
  <w:num w:numId="5" w16cid:durableId="2054453778">
    <w:abstractNumId w:val="1"/>
  </w:num>
  <w:num w:numId="6" w16cid:durableId="1108297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A2F"/>
    <w:rsid w:val="007E79A6"/>
    <w:rsid w:val="00AB7A2F"/>
    <w:rsid w:val="00DC7D8D"/>
    <w:rsid w:val="00F230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5D14DC3"/>
  <w15:chartTrackingRefBased/>
  <w15:docId w15:val="{FD97AC00-75AC-0D42-8FDD-3258C606D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7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7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7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7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A2F"/>
    <w:rPr>
      <w:rFonts w:eastAsiaTheme="majorEastAsia" w:cstheme="majorBidi"/>
      <w:color w:val="272727" w:themeColor="text1" w:themeTint="D8"/>
    </w:rPr>
  </w:style>
  <w:style w:type="paragraph" w:styleId="Title">
    <w:name w:val="Title"/>
    <w:basedOn w:val="Normal"/>
    <w:next w:val="Normal"/>
    <w:link w:val="TitleChar"/>
    <w:uiPriority w:val="10"/>
    <w:qFormat/>
    <w:rsid w:val="00AB7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7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7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7A2F"/>
    <w:pPr>
      <w:spacing w:before="160"/>
      <w:jc w:val="center"/>
    </w:pPr>
    <w:rPr>
      <w:i/>
      <w:iCs/>
      <w:color w:val="404040" w:themeColor="text1" w:themeTint="BF"/>
    </w:rPr>
  </w:style>
  <w:style w:type="character" w:customStyle="1" w:styleId="QuoteChar">
    <w:name w:val="Quote Char"/>
    <w:basedOn w:val="DefaultParagraphFont"/>
    <w:link w:val="Quote"/>
    <w:uiPriority w:val="29"/>
    <w:rsid w:val="00AB7A2F"/>
    <w:rPr>
      <w:i/>
      <w:iCs/>
      <w:color w:val="404040" w:themeColor="text1" w:themeTint="BF"/>
    </w:rPr>
  </w:style>
  <w:style w:type="paragraph" w:styleId="ListParagraph">
    <w:name w:val="List Paragraph"/>
    <w:basedOn w:val="Normal"/>
    <w:uiPriority w:val="34"/>
    <w:qFormat/>
    <w:rsid w:val="00AB7A2F"/>
    <w:pPr>
      <w:ind w:left="720"/>
      <w:contextualSpacing/>
    </w:pPr>
  </w:style>
  <w:style w:type="character" w:styleId="IntenseEmphasis">
    <w:name w:val="Intense Emphasis"/>
    <w:basedOn w:val="DefaultParagraphFont"/>
    <w:uiPriority w:val="21"/>
    <w:qFormat/>
    <w:rsid w:val="00AB7A2F"/>
    <w:rPr>
      <w:i/>
      <w:iCs/>
      <w:color w:val="0F4761" w:themeColor="accent1" w:themeShade="BF"/>
    </w:rPr>
  </w:style>
  <w:style w:type="paragraph" w:styleId="IntenseQuote">
    <w:name w:val="Intense Quote"/>
    <w:basedOn w:val="Normal"/>
    <w:next w:val="Normal"/>
    <w:link w:val="IntenseQuoteChar"/>
    <w:uiPriority w:val="30"/>
    <w:qFormat/>
    <w:rsid w:val="00AB7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A2F"/>
    <w:rPr>
      <w:i/>
      <w:iCs/>
      <w:color w:val="0F4761" w:themeColor="accent1" w:themeShade="BF"/>
    </w:rPr>
  </w:style>
  <w:style w:type="character" w:styleId="IntenseReference">
    <w:name w:val="Intense Reference"/>
    <w:basedOn w:val="DefaultParagraphFont"/>
    <w:uiPriority w:val="32"/>
    <w:qFormat/>
    <w:rsid w:val="00AB7A2F"/>
    <w:rPr>
      <w:b/>
      <w:bCs/>
      <w:smallCaps/>
      <w:color w:val="0F4761" w:themeColor="accent1" w:themeShade="BF"/>
      <w:spacing w:val="5"/>
    </w:rPr>
  </w:style>
  <w:style w:type="paragraph" w:customStyle="1" w:styleId="ds-markdown-paragraph">
    <w:name w:val="ds-markdown-paragraph"/>
    <w:basedOn w:val="Normal"/>
    <w:rsid w:val="00AB7A2F"/>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AB7A2F"/>
    <w:rPr>
      <w:b/>
      <w:bCs/>
    </w:rPr>
  </w:style>
  <w:style w:type="character" w:styleId="Emphasis">
    <w:name w:val="Emphasis"/>
    <w:basedOn w:val="DefaultParagraphFont"/>
    <w:uiPriority w:val="20"/>
    <w:qFormat/>
    <w:rsid w:val="00AB7A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374</Words>
  <Characters>2138</Characters>
  <Application>Microsoft Office Word</Application>
  <DocSecurity>0</DocSecurity>
  <Lines>17</Lines>
  <Paragraphs>5</Paragraphs>
  <ScaleCrop>false</ScaleCrop>
  <Company/>
  <LinksUpToDate>false</LinksUpToDate>
  <CharactersWithSpaces>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 Snehalkumar Patel (2543699)</dc:creator>
  <cp:keywords/>
  <dc:description/>
  <cp:lastModifiedBy>Krish Snehalkumar Patel (2543699)</cp:lastModifiedBy>
  <cp:revision>2</cp:revision>
  <dcterms:created xsi:type="dcterms:W3CDTF">2026-07-24T15:37:00Z</dcterms:created>
  <dcterms:modified xsi:type="dcterms:W3CDTF">2026-07-24T15:37:00Z</dcterms:modified>
</cp:coreProperties>
</file>