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0" w:lineRule="auto"/>
        <w:rPr>
          <w:b w:val="1"/>
          <w:bCs w:val="1"/>
          <w:color w:val="000000"/>
          <w:sz w:val="26"/>
          <w:szCs w:val="26"/>
        </w:rPr>
      </w:pPr>
      <w:bookmarkStart w:colFirst="0" w:colLast="0" w:name="_heading=h.o0r1gwsd5x0z" w:id="0"/>
      <w:bookmarkEnd w:id="0"/>
      <w:r w:rsidDel="00000000" w:rsidR="00000000" w:rsidRPr="00000000">
        <w:rPr>
          <w:rtl w:val="0"/>
        </w:rPr>
      </w:r>
    </w:p>
    <w:p w:rsidR="00000000" w:rsidDel="00000000" w:rsidP="00000000" w:rsidRDefault="00000000" w:rsidRPr="00000000" w14:paraId="00000002">
      <w:pPr>
        <w:pStyle w:val="Heading3"/>
        <w:keepNext w:val="0"/>
        <w:keepLines w:val="0"/>
        <w:spacing w:before="0" w:lineRule="auto"/>
        <w:rPr>
          <w:b w:val="1"/>
          <w:bCs w:val="1"/>
          <w:color w:val="000000"/>
          <w:sz w:val="26"/>
          <w:szCs w:val="26"/>
        </w:rPr>
      </w:pPr>
      <w:bookmarkStart w:colFirst="0" w:colLast="0" w:name="_heading=h.5r81k3u5ecm1" w:id="1"/>
      <w:bookmarkEnd w:id="1"/>
      <w:r w:rsidDel="00000000" w:rsidR="00000000" w:rsidRPr="00000000">
        <w:rPr>
          <w:rtl w:val="0"/>
        </w:rPr>
      </w:r>
    </w:p>
    <w:p w:rsidR="00000000" w:rsidDel="00000000" w:rsidP="00000000" w:rsidRDefault="00000000" w:rsidRPr="00000000" w14:paraId="00000003">
      <w:pPr>
        <w:pStyle w:val="Heading3"/>
        <w:keepNext w:val="0"/>
        <w:keepLines w:val="0"/>
        <w:spacing w:before="0" w:lineRule="auto"/>
        <w:jc w:val="center"/>
        <w:rPr>
          <w:b w:val="1"/>
          <w:bCs w:val="1"/>
          <w:color w:val="000000"/>
          <w:sz w:val="26"/>
          <w:szCs w:val="26"/>
        </w:rPr>
      </w:pPr>
      <w:bookmarkStart w:colFirst="0" w:colLast="0" w:name="_heading=h.r5xx1pxn4jde" w:id="2"/>
      <w:bookmarkEnd w:id="2"/>
      <w:r w:rsidDel="00000000" w:rsidR="00000000" w:rsidRPr="00000000">
        <w:rPr>
          <w:b w:val="1"/>
          <w:bCs w:val="1"/>
          <w:color w:val="000000"/>
          <w:sz w:val="26"/>
          <w:szCs w:val="26"/>
        </w:rPr>
        <w:drawing>
          <wp:inline distB="114300" distT="114300" distL="114300" distR="114300">
            <wp:extent cx="3867150" cy="17526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867150" cy="17526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pStyle w:val="Heading2"/>
        <w:keepNext w:val="0"/>
        <w:keepLines w:val="0"/>
        <w:spacing w:after="80" w:line="360" w:lineRule="auto"/>
        <w:jc w:val="center"/>
        <w:rPr>
          <w:b w:val="1"/>
          <w:bCs w:val="1"/>
          <w:color w:val="0e101a"/>
          <w:sz w:val="40"/>
          <w:szCs w:val="40"/>
        </w:rPr>
      </w:pPr>
      <w:bookmarkStart w:colFirst="0" w:colLast="0" w:name="_heading=h.bznygi2b582b" w:id="3"/>
      <w:bookmarkEnd w:id="3"/>
      <w:r w:rsidDel="00000000" w:rsidR="00000000" w:rsidRPr="00000000">
        <w:rPr>
          <w:b w:val="1"/>
          <w:bCs w:val="1"/>
          <w:color w:val="0e101a"/>
          <w:sz w:val="40"/>
          <w:szCs w:val="40"/>
          <w:rtl w:val="0"/>
        </w:rPr>
        <w:t xml:space="preserve">Proactive Defense of Active Directory: Adversary Emulation and Detection Engineering using MITRE ATT&amp;CK</w:t>
      </w:r>
    </w:p>
    <w:p w:rsidR="00000000" w:rsidDel="00000000" w:rsidP="00000000" w:rsidRDefault="00000000" w:rsidRPr="00000000" w14:paraId="00000005">
      <w:pPr>
        <w:spacing w:after="240" w:before="240" w:line="360" w:lineRule="auto"/>
        <w:jc w:val="center"/>
        <w:rPr>
          <w:color w:val="0e101a"/>
          <w:sz w:val="32"/>
          <w:szCs w:val="32"/>
        </w:rPr>
      </w:pPr>
      <w:r w:rsidDel="00000000" w:rsidR="00000000" w:rsidRPr="00000000">
        <w:rPr>
          <w:color w:val="0e101a"/>
          <w:sz w:val="32"/>
          <w:szCs w:val="32"/>
          <w:rtl w:val="0"/>
        </w:rPr>
        <w:t xml:space="preserve">Student Name: Zannatul Mawya Priya</w:t>
        <w:br w:type="textWrapping"/>
        <w:t xml:space="preserve">Student ID: 2527766</w:t>
        <w:br w:type="textWrapping"/>
        <w:t xml:space="preserve">Programme: MSc in Cyber security and digital forensic programme.</w:t>
        <w:br w:type="textWrapping"/>
        <w:t xml:space="preserve">Module: Research Methods and Professional Development</w:t>
        <w:br w:type="textWrapping"/>
        <w:t xml:space="preserve">Module Code: ACFA7004</w:t>
        <w:br w:type="textWrapping"/>
        <w:t xml:space="preserve">Lecturer: Suresh Shanmugsundaram</w:t>
        <w:br w:type="textWrapping"/>
        <w:t xml:space="preserve">Internal Verifier: Dr Nitheesh Kaliyamurthy</w:t>
        <w:br w:type="textWrapping"/>
        <w:t xml:space="preserve">Submission Date: 14 August 2026 Friday (2PM)</w:t>
      </w:r>
    </w:p>
    <w:p w:rsidR="00000000" w:rsidDel="00000000" w:rsidP="00000000" w:rsidRDefault="00000000" w:rsidRPr="00000000" w14:paraId="00000006">
      <w:pPr>
        <w:pStyle w:val="Heading3"/>
        <w:keepNext w:val="0"/>
        <w:keepLines w:val="0"/>
        <w:spacing w:before="0" w:lineRule="auto"/>
        <w:rPr>
          <w:b w:val="1"/>
          <w:bCs w:val="1"/>
          <w:color w:val="000000"/>
        </w:rPr>
      </w:pPr>
      <w:bookmarkStart w:colFirst="0" w:colLast="0" w:name="_heading=h.6qmnx1heqi1b" w:id="4"/>
      <w:bookmarkEnd w:id="4"/>
      <w:r w:rsidDel="00000000" w:rsidR="00000000" w:rsidRPr="00000000">
        <w:rPr>
          <w:rtl w:val="0"/>
        </w:rPr>
      </w:r>
    </w:p>
    <w:p w:rsidR="00000000" w:rsidDel="00000000" w:rsidP="00000000" w:rsidRDefault="00000000" w:rsidRPr="00000000" w14:paraId="00000007">
      <w:pPr>
        <w:pStyle w:val="Heading3"/>
        <w:keepNext w:val="0"/>
        <w:keepLines w:val="0"/>
        <w:spacing w:before="0" w:lineRule="auto"/>
        <w:rPr>
          <w:b w:val="1"/>
          <w:bCs w:val="1"/>
          <w:color w:val="000000"/>
          <w:sz w:val="26"/>
          <w:szCs w:val="26"/>
        </w:rPr>
      </w:pPr>
      <w:bookmarkStart w:colFirst="0" w:colLast="0" w:name="_heading=h.wfnanubg1yg1" w:id="5"/>
      <w:bookmarkEnd w:id="5"/>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spacing w:line="360" w:lineRule="auto"/>
        <w:rPr>
          <w:b w:val="1"/>
          <w:bCs w:val="1"/>
          <w:sz w:val="28"/>
          <w:szCs w:val="28"/>
        </w:rPr>
      </w:pPr>
      <w:r w:rsidDel="00000000" w:rsidR="00000000" w:rsidRPr="00000000">
        <w:rPr>
          <w:b w:val="1"/>
          <w:bCs w:val="1"/>
          <w:sz w:val="36"/>
          <w:szCs w:val="36"/>
          <w:rtl w:val="0"/>
        </w:rPr>
        <w:t xml:space="preserve">Table of Contents:</w:t>
      </w:r>
      <w:r w:rsidDel="00000000" w:rsidR="00000000" w:rsidRPr="00000000">
        <w:rPr>
          <w:sz w:val="28"/>
          <w:szCs w:val="28"/>
          <w:rtl w:val="0"/>
        </w:rPr>
        <w:br w:type="textWrapping"/>
      </w:r>
      <w:r w:rsidDel="00000000" w:rsidR="00000000" w:rsidRPr="00000000">
        <w:rPr>
          <w:b w:val="1"/>
          <w:bCs w:val="1"/>
          <w:sz w:val="28"/>
          <w:szCs w:val="28"/>
          <w:rtl w:val="0"/>
        </w:rPr>
        <w:t xml:space="preserve">1. Introduction</w:t>
      </w:r>
      <w:r w:rsidDel="00000000" w:rsidR="00000000" w:rsidRPr="00000000">
        <w:rPr>
          <w:sz w:val="28"/>
          <w:szCs w:val="28"/>
          <w:rtl w:val="0"/>
        </w:rPr>
        <w:br w:type="textWrapping"/>
        <w:tab/>
      </w:r>
      <w:r w:rsidDel="00000000" w:rsidR="00000000" w:rsidRPr="00000000">
        <w:rPr>
          <w:b w:val="1"/>
          <w:bCs w:val="1"/>
          <w:sz w:val="28"/>
          <w:szCs w:val="28"/>
          <w:rtl w:val="0"/>
        </w:rPr>
        <w:t xml:space="preserve">1.1. Context and background</w:t>
        <w:br w:type="textWrapping"/>
        <w:tab/>
        <w:t xml:space="preserve">1.2. Research Problem</w:t>
        <w:br w:type="textWrapping"/>
        <w:tab/>
        <w:t xml:space="preserve">1.3. Research Aim and Objectives</w:t>
      </w:r>
    </w:p>
    <w:p w:rsidR="00000000" w:rsidDel="00000000" w:rsidP="00000000" w:rsidRDefault="00000000" w:rsidRPr="00000000" w14:paraId="0000000A">
      <w:pPr>
        <w:pStyle w:val="Heading3"/>
        <w:keepNext w:val="0"/>
        <w:keepLines w:val="0"/>
        <w:spacing w:before="0" w:line="360" w:lineRule="auto"/>
        <w:rPr>
          <w:b w:val="1"/>
          <w:bCs w:val="1"/>
          <w:color w:val="000000"/>
        </w:rPr>
      </w:pPr>
      <w:bookmarkStart w:colFirst="0" w:colLast="0" w:name="_heading=h.mcwlyvv33jit" w:id="6"/>
      <w:bookmarkEnd w:id="6"/>
      <w:r w:rsidDel="00000000" w:rsidR="00000000" w:rsidRPr="00000000">
        <w:rPr>
          <w:b w:val="1"/>
          <w:bCs w:val="1"/>
          <w:color w:val="000000"/>
          <w:rtl w:val="0"/>
        </w:rPr>
        <w:t xml:space="preserve">1.4. Significance of the research</w:t>
        <w:br w:type="textWrapping"/>
        <w:t xml:space="preserve">2. Literature Review</w:t>
        <w:br w:type="textWrapping"/>
        <w:tab/>
        <w:t xml:space="preserve">2.1. Introduction to the Literature Review</w:t>
        <w:br w:type="textWrapping"/>
        <w:tab/>
        <w:t xml:space="preserve">2.2. Active Directory Security Weaknesses and Threat Vectors</w:t>
        <w:br w:type="textWrapping"/>
        <w:tab/>
        <w:t xml:space="preserve">2.3. The MITRE ATT&amp;CK Framework and Adversary Emulation</w:t>
        <w:br w:type="textWrapping"/>
        <w:tab/>
        <w:t xml:space="preserve">2.4. Gaps in Detection Engineering and Log Telemetry</w:t>
        <w:br w:type="textWrapping"/>
        <w:tab/>
        <w:t xml:space="preserve">2.5.  Relationship to My Study and Literature Review</w:t>
        <w:br w:type="textWrapping"/>
        <w:t xml:space="preserve">3. Research Design and Methodology</w:t>
      </w:r>
      <w:r w:rsidDel="00000000" w:rsidR="00000000" w:rsidRPr="00000000">
        <w:rPr>
          <w:b w:val="1"/>
          <w:bCs w:val="1"/>
          <w:color w:val="000000"/>
          <w:sz w:val="26"/>
          <w:szCs w:val="26"/>
          <w:rtl w:val="0"/>
        </w:rPr>
        <w:t xml:space="preserve"> </w:t>
        <w:br w:type="textWrapping"/>
        <w:tab/>
      </w:r>
      <w:r w:rsidDel="00000000" w:rsidR="00000000" w:rsidRPr="00000000">
        <w:rPr>
          <w:b w:val="1"/>
          <w:bCs w:val="1"/>
          <w:color w:val="000000"/>
          <w:rtl w:val="0"/>
        </w:rPr>
        <w:t xml:space="preserve">3.1 Research Design</w:t>
        <w:br w:type="textWrapping"/>
        <w:tab/>
        <w:t xml:space="preserve">3.2 Research Methods and Materials</w:t>
        <w:br w:type="textWrapping"/>
        <w:t xml:space="preserve">4. Outcome</w:t>
        <w:br w:type="textWrapping"/>
        <w:t xml:space="preserve">5. Timeline </w:t>
        <w:br w:type="textWrapping"/>
        <w:t xml:space="preserve">6. References</w:t>
        <w:br w:type="textWrapping"/>
        <w:br w:type="textWrapping"/>
      </w:r>
    </w:p>
    <w:p w:rsidR="00000000" w:rsidDel="00000000" w:rsidP="00000000" w:rsidRDefault="00000000" w:rsidRPr="00000000" w14:paraId="0000000B">
      <w:pPr>
        <w:pStyle w:val="Heading3"/>
        <w:keepNext w:val="0"/>
        <w:keepLines w:val="0"/>
        <w:spacing w:before="0" w:line="360" w:lineRule="auto"/>
        <w:rPr>
          <w:b w:val="1"/>
          <w:bCs w:val="1"/>
          <w:color w:val="000000"/>
        </w:rPr>
      </w:pPr>
      <w:bookmarkStart w:colFirst="0" w:colLast="0" w:name="_heading=h.un0es0r0z8tw" w:id="7"/>
      <w:bookmarkEnd w:id="7"/>
      <w:r w:rsidDel="00000000" w:rsidR="00000000" w:rsidRPr="00000000">
        <w:rPr>
          <w:rtl w:val="0"/>
        </w:rPr>
      </w:r>
    </w:p>
    <w:p w:rsidR="00000000" w:rsidDel="00000000" w:rsidP="00000000" w:rsidRDefault="00000000" w:rsidRPr="00000000" w14:paraId="0000000C">
      <w:pPr>
        <w:pStyle w:val="Heading3"/>
        <w:keepNext w:val="0"/>
        <w:keepLines w:val="0"/>
        <w:spacing w:before="0" w:line="360" w:lineRule="auto"/>
        <w:rPr>
          <w:b w:val="1"/>
          <w:bCs w:val="1"/>
          <w:color w:val="000000"/>
        </w:rPr>
      </w:pPr>
      <w:bookmarkStart w:colFirst="0" w:colLast="0" w:name="_heading=h.rnalwks90xwp" w:id="8"/>
      <w:bookmarkEnd w:id="8"/>
      <w:r w:rsidDel="00000000" w:rsidR="00000000" w:rsidRPr="00000000">
        <w:rPr>
          <w:rtl w:val="0"/>
        </w:rPr>
      </w:r>
    </w:p>
    <w:p w:rsidR="00000000" w:rsidDel="00000000" w:rsidP="00000000" w:rsidRDefault="00000000" w:rsidRPr="00000000" w14:paraId="0000000D">
      <w:pPr>
        <w:pStyle w:val="Heading3"/>
        <w:keepNext w:val="0"/>
        <w:keepLines w:val="0"/>
        <w:spacing w:before="0" w:line="360" w:lineRule="auto"/>
        <w:rPr>
          <w:b w:val="1"/>
          <w:bCs w:val="1"/>
          <w:color w:val="000000"/>
        </w:rPr>
      </w:pPr>
      <w:bookmarkStart w:colFirst="0" w:colLast="0" w:name="_heading=h.ycu6b4doczh5" w:id="9"/>
      <w:bookmarkEnd w:id="9"/>
      <w:r w:rsidDel="00000000" w:rsidR="00000000" w:rsidRPr="00000000">
        <w:rPr>
          <w:rtl w:val="0"/>
        </w:rPr>
      </w:r>
    </w:p>
    <w:p w:rsidR="00000000" w:rsidDel="00000000" w:rsidP="00000000" w:rsidRDefault="00000000" w:rsidRPr="00000000" w14:paraId="0000000E">
      <w:pPr>
        <w:pStyle w:val="Heading3"/>
        <w:keepNext w:val="0"/>
        <w:keepLines w:val="0"/>
        <w:spacing w:before="0" w:line="360" w:lineRule="auto"/>
        <w:rPr>
          <w:b w:val="1"/>
          <w:bCs w:val="1"/>
          <w:color w:val="000000"/>
        </w:rPr>
      </w:pPr>
      <w:bookmarkStart w:colFirst="0" w:colLast="0" w:name="_heading=h.wjc8fjlixze7" w:id="10"/>
      <w:bookmarkEnd w:id="10"/>
      <w:r w:rsidDel="00000000" w:rsidR="00000000" w:rsidRPr="00000000">
        <w:rPr>
          <w:rtl w:val="0"/>
        </w:rPr>
      </w:r>
    </w:p>
    <w:p w:rsidR="00000000" w:rsidDel="00000000" w:rsidP="00000000" w:rsidRDefault="00000000" w:rsidRPr="00000000" w14:paraId="0000000F">
      <w:pPr>
        <w:pStyle w:val="Heading3"/>
        <w:keepNext w:val="0"/>
        <w:keepLines w:val="0"/>
        <w:spacing w:before="0" w:line="360" w:lineRule="auto"/>
        <w:rPr>
          <w:b w:val="1"/>
          <w:bCs w:val="1"/>
          <w:color w:val="000000"/>
        </w:rPr>
      </w:pPr>
      <w:bookmarkStart w:colFirst="0" w:colLast="0" w:name="_heading=h.ssb8d2rd0pjo" w:id="11"/>
      <w:bookmarkEnd w:id="11"/>
      <w:r w:rsidDel="00000000" w:rsidR="00000000" w:rsidRPr="00000000">
        <w:rPr>
          <w:rtl w:val="0"/>
        </w:rPr>
      </w:r>
    </w:p>
    <w:p w:rsidR="00000000" w:rsidDel="00000000" w:rsidP="00000000" w:rsidRDefault="00000000" w:rsidRPr="00000000" w14:paraId="00000010">
      <w:pPr>
        <w:pStyle w:val="Heading3"/>
        <w:keepNext w:val="0"/>
        <w:keepLines w:val="0"/>
        <w:spacing w:before="0" w:line="360" w:lineRule="auto"/>
        <w:rPr>
          <w:b w:val="1"/>
          <w:bCs w:val="1"/>
          <w:color w:val="000000"/>
        </w:rPr>
      </w:pPr>
      <w:bookmarkStart w:colFirst="0" w:colLast="0" w:name="_heading=h.63bkyk81wtz3" w:id="12"/>
      <w:bookmarkEnd w:id="12"/>
      <w:r w:rsidDel="00000000" w:rsidR="00000000" w:rsidRPr="00000000">
        <w:rPr>
          <w:b w:val="1"/>
          <w:bCs w:val="1"/>
          <w:color w:val="000000"/>
          <w:rtl w:val="0"/>
        </w:rPr>
        <w:t xml:space="preserve">1. Introduction</w:t>
      </w:r>
    </w:p>
    <w:p w:rsidR="00000000" w:rsidDel="00000000" w:rsidP="00000000" w:rsidRDefault="00000000" w:rsidRPr="00000000" w14:paraId="00000011">
      <w:pPr>
        <w:pStyle w:val="Heading3"/>
        <w:keepNext w:val="0"/>
        <w:keepLines w:val="0"/>
        <w:spacing w:after="240" w:before="0" w:lineRule="auto"/>
        <w:rPr>
          <w:b w:val="1"/>
          <w:bCs w:val="1"/>
          <w:color w:val="000000"/>
        </w:rPr>
      </w:pPr>
      <w:bookmarkStart w:colFirst="0" w:colLast="0" w:name="_heading=h.4krhia2n7b7i" w:id="13"/>
      <w:bookmarkEnd w:id="13"/>
      <w:r w:rsidDel="00000000" w:rsidR="00000000" w:rsidRPr="00000000">
        <w:rPr>
          <w:b w:val="1"/>
          <w:bCs w:val="1"/>
          <w:color w:val="000000"/>
          <w:rtl w:val="0"/>
        </w:rPr>
        <w:t xml:space="preserve">1.1. Context and background</w:t>
      </w:r>
    </w:p>
    <w:p w:rsidR="00000000" w:rsidDel="00000000" w:rsidP="00000000" w:rsidRDefault="00000000" w:rsidRPr="00000000" w14:paraId="00000012">
      <w:pPr>
        <w:pStyle w:val="Heading3"/>
        <w:keepNext w:val="0"/>
        <w:keepLines w:val="0"/>
        <w:spacing w:after="240" w:before="0" w:lineRule="auto"/>
        <w:rPr>
          <w:color w:val="000000"/>
        </w:rPr>
      </w:pPr>
      <w:r w:rsidDel="00000000" w:rsidR="00000000" w:rsidRPr="00000000">
        <w:rPr>
          <w:color w:val="000000"/>
          <w:rtl w:val="0"/>
        </w:rPr>
        <w:t xml:space="preserve">Within the modern enterprise IT landscape, the paradigm of an impregnable network perimeter has become obsolete. The move towards cloud-based solutions, distributed workforce models, and BYOD initiatives have made previous approaches to network defense such as simplistic firewalls and DMZ networks inadequate. Within this new architecture, IAM is the final, and often only, point of defense that protects critical company resources. At the heart of this system is Microsoft's Active Directory (AD). Since its release in Windows 2000, AD has been the directory service, authentication solution, and endpoint management platform for more than 90% of Global Fortune 1000 firms [1]. Active Directory is capable of managing user credentials, enforcing GPOs, and coordinating resource access within extensive, global enterprise landscapes. However, this massive usage rate along with its highly centralized and legacy architecture has made Active Directory one of the most coveted and attacked attack surfaces in the world by APTs and ransomware organizations [2].</w:t>
      </w:r>
    </w:p>
    <w:p w:rsidR="00000000" w:rsidDel="00000000" w:rsidP="00000000" w:rsidRDefault="00000000" w:rsidRPr="00000000" w14:paraId="00000013">
      <w:pPr>
        <w:pStyle w:val="Heading3"/>
        <w:keepNext w:val="0"/>
        <w:keepLines w:val="0"/>
        <w:spacing w:after="240" w:before="0" w:lineRule="auto"/>
        <w:rPr>
          <w:color w:val="000000"/>
        </w:rPr>
      </w:pPr>
      <w:r w:rsidDel="00000000" w:rsidR="00000000" w:rsidRPr="00000000">
        <w:rPr>
          <w:color w:val="000000"/>
          <w:rtl w:val="0"/>
        </w:rPr>
        <w:t xml:space="preserve">Active Directory’s security model is based on authentication protocols developed decades ago and includes Kerberos and NT LAN Manager (NTLM). Although they have been continuously updated in time, the initial design of such protocols implies that LAN is considered a trusted space by default. Modern attackers have learned how to exploit such an assumption regarding the design of protocols. After compromising just one, low-privileged endpoint that could be compromised due to the usage of such techniques like phishing emails or a social engineering attack or unpatched vulnerabilities on the edge of the network, the main goal for attackers becomes compromising the Active Directory domain [3]. Gaining Domain Administrator permissions allows the attacker to move laterally within the network freely, to steal intellectual property and deploy ransomware across the entire company’s infrastructure[2].</w:t>
      </w:r>
    </w:p>
    <w:p w:rsidR="00000000" w:rsidDel="00000000" w:rsidP="00000000" w:rsidRDefault="00000000" w:rsidRPr="00000000" w14:paraId="00000014">
      <w:pPr>
        <w:pStyle w:val="Heading3"/>
        <w:keepNext w:val="0"/>
        <w:keepLines w:val="0"/>
        <w:spacing w:after="240" w:before="0" w:lineRule="auto"/>
        <w:rPr>
          <w:color w:val="000000"/>
        </w:rPr>
      </w:pPr>
      <w:r w:rsidDel="00000000" w:rsidR="00000000" w:rsidRPr="00000000">
        <w:rPr>
          <w:color w:val="000000"/>
          <w:rtl w:val="0"/>
        </w:rPr>
        <w:t xml:space="preserve">In the past, organizations used techniques such as vulnerability scanning, patch management, and traditional penetration testing to secure their AD environments. Even though these techniques have proven useful in identifying vulnerabilities in software CVEs (Common Vulnerabilities and Exposures), they tend to lack the capability to recreate the ways in which modern attackers conduct themselves. Traditional penetration testing is focused on goals and vulnerabilities. It does not comprehensively test whether the SOC can identify the multi-stage sequences of identity-based attacks in real time. To compensate for this critical gap in operations, the field of cybersecurity has increasingly turned to the use of Adversary Emulation, an intelligent and proactive technique that goes beyond vulnerabilities and tests the specific behaviors and techniques used by real-world attackers [4].</w:t>
      </w:r>
    </w:p>
    <w:p w:rsidR="00000000" w:rsidDel="00000000" w:rsidP="00000000" w:rsidRDefault="00000000" w:rsidRPr="00000000" w14:paraId="00000015">
      <w:pPr>
        <w:pStyle w:val="Heading3"/>
        <w:keepNext w:val="0"/>
        <w:keepLines w:val="0"/>
        <w:spacing w:after="240" w:before="0" w:lineRule="auto"/>
        <w:rPr>
          <w:color w:val="000000"/>
        </w:rPr>
      </w:pPr>
      <w:r w:rsidDel="00000000" w:rsidR="00000000" w:rsidRPr="00000000">
        <w:rPr>
          <w:color w:val="000000"/>
          <w:rtl w:val="0"/>
        </w:rPr>
        <w:t xml:space="preserve">Universal taxonomy for this adversary emulation technique in the form of the MITRE ATT&amp;CK (Adversary Tactics, Techniques, and Common Knowledge) framework was developed by the MITRE Corporation. The ATT&amp;CK framework is the globally available and standardized taxonomy of the offensive techniques [5]. It defines the exact tactics that are used by adversaries to gain access to an environment, execute their code, move laterally, escalate privileges and become persistent in Active Directory environments. Using the MITRE ATT&amp;CK framework, SOC teams can link complicated identity attacks, such as Kerberoasting, AS-REP Roasting, DCSync, Pass-the-Hash, Golden Tickets and others to specific threat actor profiles, like APT29 (Cozy Bear), FIN7, or LockBit ransomware gang [6]. It represents a breakthrough in the field allowing SOC teams to evolve from highly reactive to highly proactive approach from tracking static and easily changeable Indicators of Compromises (IOCs), such as IP addresses and file hashes, to tracking behavioral Indicators of Attacks (IOA). But while all these theoretical advances exist, the problem of evaluating the efficiency of a SOC's detection capabilities to chained multi-stage Active Directory attacks is still a highly complicated task requiring a high degree of structuring and validation within cyber range environments [7].</w:t>
        <w:br w:type="textWrapping"/>
      </w:r>
    </w:p>
    <w:p w:rsidR="00000000" w:rsidDel="00000000" w:rsidP="00000000" w:rsidRDefault="00000000" w:rsidRPr="00000000" w14:paraId="00000016">
      <w:pPr>
        <w:pStyle w:val="Heading3"/>
        <w:keepNext w:val="0"/>
        <w:keepLines w:val="0"/>
        <w:spacing w:after="240" w:before="0" w:lineRule="auto"/>
        <w:rPr>
          <w:b w:val="1"/>
          <w:bCs w:val="1"/>
          <w:color w:val="000000"/>
        </w:rPr>
      </w:pPr>
      <w:r w:rsidDel="00000000" w:rsidR="00000000" w:rsidRPr="00000000">
        <w:rPr>
          <w:b w:val="1"/>
          <w:bCs w:val="1"/>
          <w:color w:val="000000"/>
          <w:rtl w:val="0"/>
        </w:rPr>
        <w:t xml:space="preserve">1.2. Research Problem</w:t>
      </w:r>
    </w:p>
    <w:p w:rsidR="00000000" w:rsidDel="00000000" w:rsidP="00000000" w:rsidRDefault="00000000" w:rsidRPr="00000000" w14:paraId="00000017">
      <w:pPr>
        <w:pStyle w:val="Heading3"/>
        <w:keepNext w:val="0"/>
        <w:keepLines w:val="0"/>
        <w:spacing w:after="240" w:before="0" w:lineRule="auto"/>
        <w:rPr>
          <w:color w:val="000000"/>
        </w:rPr>
      </w:pPr>
      <w:r w:rsidDel="00000000" w:rsidR="00000000" w:rsidRPr="00000000">
        <w:rPr>
          <w:color w:val="000000"/>
          <w:rtl w:val="0"/>
        </w:rPr>
        <w:t xml:space="preserve">The primary research question that will be answered through the proposed study is the existence of the Validation Gap between the perceived defenses of the organization and its actual defensive effectiveness in terms of the ability to detect threats posed by multi-step Active Directory attacks. Modern enterprises allocate hundreds of thousands of dollars to protect themselves with such tools as Endpoint Detection and Response solutions, SIEM systems, and complex passwords, but they are not ever verified to withstand continuous chains of behavior similar to those of APTs [8].</w:t>
      </w:r>
    </w:p>
    <w:p w:rsidR="00000000" w:rsidDel="00000000" w:rsidP="00000000" w:rsidRDefault="00000000" w:rsidRPr="00000000" w14:paraId="00000018">
      <w:pPr>
        <w:pStyle w:val="Heading3"/>
        <w:keepNext w:val="0"/>
        <w:keepLines w:val="0"/>
        <w:spacing w:after="240" w:before="0" w:lineRule="auto"/>
        <w:rPr>
          <w:color w:val="000000"/>
        </w:rPr>
      </w:pPr>
      <w:r w:rsidDel="00000000" w:rsidR="00000000" w:rsidRPr="00000000">
        <w:rPr>
          <w:color w:val="000000"/>
          <w:rtl w:val="0"/>
        </w:rPr>
        <w:t xml:space="preserve">Most companies assess their AD security status via annual or semi-annual penetration testing. Yet, as shown in contemporary industry literature, penetration testing follows a path of least resistance approach. The objective of a penetration tester is to gain Domain Administrator access as soon as possible in order to demonstrate threat to the company [9]. Thus, they do not check systematically if the blue team (defenders) and the SIEM can detect every particular MITRE ATT&amp;CK technique used during the attack process. When a state-sponsored attacker starts a Kerberoasting attack (T1558.003) in order to request and steal service account ticket-granting tickets (TGS) for offline password cracking, the malicious activities get completely mixed up with the regular Kerberos authentication traffic [3]. If the company’s SIEM does not specifically look for the anomalous Kerberos encryption downgrade requests (such as asking for RC4 instead of AES256) or anomalous ticket request volume by a particular user in a particular time period, the attack goes undetected until the hacker decrypts the password and gets admin rights [8][10].</w:t>
      </w:r>
    </w:p>
    <w:p w:rsidR="00000000" w:rsidDel="00000000" w:rsidP="00000000" w:rsidRDefault="00000000" w:rsidRPr="00000000" w14:paraId="00000019">
      <w:pPr>
        <w:pStyle w:val="Heading3"/>
        <w:keepNext w:val="0"/>
        <w:keepLines w:val="0"/>
        <w:spacing w:after="240" w:before="0" w:lineRule="auto"/>
        <w:rPr>
          <w:color w:val="000000"/>
        </w:rPr>
      </w:pPr>
      <w:r w:rsidDel="00000000" w:rsidR="00000000" w:rsidRPr="00000000">
        <w:rPr>
          <w:rtl w:val="0"/>
        </w:rPr>
      </w:r>
    </w:p>
    <w:p w:rsidR="00000000" w:rsidDel="00000000" w:rsidP="00000000" w:rsidRDefault="00000000" w:rsidRPr="00000000" w14:paraId="0000001A">
      <w:pPr>
        <w:pStyle w:val="Heading3"/>
        <w:keepNext w:val="0"/>
        <w:keepLines w:val="0"/>
        <w:spacing w:after="240" w:before="0" w:lineRule="auto"/>
        <w:rPr>
          <w:b w:val="1"/>
          <w:bCs w:val="1"/>
          <w:color w:val="000000"/>
        </w:rPr>
      </w:pPr>
      <w:r w:rsidDel="00000000" w:rsidR="00000000" w:rsidRPr="00000000">
        <w:rPr>
          <w:b w:val="1"/>
          <w:bCs w:val="1"/>
          <w:color w:val="000000"/>
          <w:rtl w:val="0"/>
        </w:rPr>
        <w:t xml:space="preserve">1.3. Research Aim and Objectives</w:t>
      </w:r>
    </w:p>
    <w:p w:rsidR="00000000" w:rsidDel="00000000" w:rsidP="00000000" w:rsidRDefault="00000000" w:rsidRPr="00000000" w14:paraId="0000001B">
      <w:pPr>
        <w:pStyle w:val="Heading3"/>
        <w:keepNext w:val="0"/>
        <w:keepLines w:val="0"/>
        <w:spacing w:after="240" w:before="0" w:lineRule="auto"/>
        <w:rPr>
          <w:color w:val="000000"/>
        </w:rPr>
      </w:pPr>
      <w:r w:rsidDel="00000000" w:rsidR="00000000" w:rsidRPr="00000000">
        <w:rPr>
          <w:b w:val="1"/>
          <w:bCs w:val="1"/>
          <w:color w:val="000000"/>
          <w:rtl w:val="0"/>
        </w:rPr>
        <w:t xml:space="preserve">Purpose:</w:t>
      </w:r>
      <w:r w:rsidDel="00000000" w:rsidR="00000000" w:rsidRPr="00000000">
        <w:rPr>
          <w:color w:val="000000"/>
          <w:rtl w:val="0"/>
        </w:rPr>
        <w:t xml:space="preserve"> The overall purpose of the current study is to design, implement, and assess an adversary emulation strategy for Active Directory environments, based on the MITRE ATT&amp;CK framework. The final purpose is to identify empirically the existing logging and detection gaps, and then develop and validate high-fidelity SIEM alerting rules to prevent identity-based lateral movement and privilege escalation.</w:t>
      </w:r>
    </w:p>
    <w:p w:rsidR="00000000" w:rsidDel="00000000" w:rsidP="00000000" w:rsidRDefault="00000000" w:rsidRPr="00000000" w14:paraId="0000001C">
      <w:pPr>
        <w:pStyle w:val="Heading3"/>
        <w:keepNext w:val="0"/>
        <w:keepLines w:val="0"/>
        <w:spacing w:after="240" w:before="0" w:lineRule="auto"/>
        <w:rPr>
          <w:color w:val="000000"/>
        </w:rPr>
      </w:pPr>
      <w:r w:rsidDel="00000000" w:rsidR="00000000" w:rsidRPr="00000000">
        <w:rPr>
          <w:b w:val="1"/>
          <w:bCs w:val="1"/>
          <w:color w:val="000000"/>
          <w:rtl w:val="0"/>
        </w:rPr>
        <w:t xml:space="preserve">Objectives:</w:t>
      </w:r>
      <w:r w:rsidDel="00000000" w:rsidR="00000000" w:rsidRPr="00000000">
        <w:rPr>
          <w:color w:val="000000"/>
          <w:rtl w:val="0"/>
        </w:rPr>
        <w:t xml:space="preserve">  order to properly approach the stated research problem and achieve the overall purpose, this study aims to accomplish the following SMART objectives:</w:t>
      </w:r>
    </w:p>
    <w:p w:rsidR="00000000" w:rsidDel="00000000" w:rsidP="00000000" w:rsidRDefault="00000000" w:rsidRPr="00000000" w14:paraId="0000001D">
      <w:pPr>
        <w:pStyle w:val="Heading3"/>
        <w:keepNext w:val="0"/>
        <w:keepLines w:val="0"/>
        <w:numPr>
          <w:ilvl w:val="0"/>
          <w:numId w:val="2"/>
        </w:numPr>
        <w:spacing w:after="0" w:before="0" w:lineRule="auto"/>
        <w:ind w:left="720" w:hanging="360"/>
        <w:rPr>
          <w:color w:val="000000"/>
        </w:rPr>
      </w:pPr>
      <w:r w:rsidDel="00000000" w:rsidR="00000000" w:rsidRPr="00000000">
        <w:rPr>
          <w:b w:val="1"/>
          <w:bCs w:val="1"/>
          <w:color w:val="000000"/>
          <w:rtl w:val="0"/>
        </w:rPr>
        <w:t xml:space="preserve">Analysis and Mapping of Active Directory Threat Landscapes:</w:t>
      </w:r>
      <w:r w:rsidDel="00000000" w:rsidR="00000000" w:rsidRPr="00000000">
        <w:rPr>
          <w:color w:val="000000"/>
          <w:rtl w:val="0"/>
        </w:rPr>
        <w:t xml:space="preserve"> The objective here would be to conduct a critical analysis of the architectural weaknesses of traditional Active Directory authentication protocols such as Kerberos, NTLM, LDAP and also to map highly popular attack vectors such as Kerberoasting, AS-REP Roasting, Pass-the-Hash and DCSync attacks to their corresponding tactics, techniques and sub-techniques within the enterprise MITRE ATT&amp;CK framework [5], [6].</w:t>
      </w:r>
    </w:p>
    <w:p w:rsidR="00000000" w:rsidDel="00000000" w:rsidP="00000000" w:rsidRDefault="00000000" w:rsidRPr="00000000" w14:paraId="0000001E">
      <w:pPr>
        <w:pStyle w:val="Heading3"/>
        <w:keepNext w:val="0"/>
        <w:keepLines w:val="0"/>
        <w:numPr>
          <w:ilvl w:val="0"/>
          <w:numId w:val="2"/>
        </w:numPr>
        <w:spacing w:after="0" w:before="0" w:lineRule="auto"/>
        <w:ind w:left="720" w:hanging="360"/>
        <w:rPr>
          <w:color w:val="000000"/>
        </w:rPr>
      </w:pPr>
      <w:r w:rsidDel="00000000" w:rsidR="00000000" w:rsidRPr="00000000">
        <w:rPr>
          <w:b w:val="1"/>
          <w:bCs w:val="1"/>
          <w:color w:val="000000"/>
          <w:rtl w:val="0"/>
        </w:rPr>
        <w:t xml:space="preserve">Develop an Isolated Emulation Creation:</w:t>
      </w:r>
      <w:r w:rsidDel="00000000" w:rsidR="00000000" w:rsidRPr="00000000">
        <w:rPr>
          <w:color w:val="000000"/>
          <w:rtl w:val="0"/>
        </w:rPr>
        <w:t xml:space="preserve"> For developing a safe, isolated and virtualized Cyber Range that would consist of an active directory forest along with various Windows client end-points and also a centralized SIEM (using Splunk or the ELK stack) in a manner that the Windows advanced audit logging and Sysmon (System Monitor) is enabled [11].</w:t>
      </w:r>
    </w:p>
    <w:p w:rsidR="00000000" w:rsidDel="00000000" w:rsidP="00000000" w:rsidRDefault="00000000" w:rsidRPr="00000000" w14:paraId="0000001F">
      <w:pPr>
        <w:pStyle w:val="Heading3"/>
        <w:keepNext w:val="0"/>
        <w:keepLines w:val="0"/>
        <w:numPr>
          <w:ilvl w:val="0"/>
          <w:numId w:val="2"/>
        </w:numPr>
        <w:spacing w:after="0" w:before="0" w:lineRule="auto"/>
        <w:ind w:left="720" w:hanging="360"/>
        <w:rPr>
          <w:color w:val="000000"/>
        </w:rPr>
      </w:pPr>
      <w:r w:rsidDel="00000000" w:rsidR="00000000" w:rsidRPr="00000000">
        <w:rPr>
          <w:b w:val="1"/>
          <w:bCs w:val="1"/>
          <w:color w:val="000000"/>
          <w:rtl w:val="0"/>
        </w:rPr>
        <w:t xml:space="preserve">Conduct Automated Adversary Emulation:</w:t>
      </w:r>
      <w:r w:rsidDel="00000000" w:rsidR="00000000" w:rsidRPr="00000000">
        <w:rPr>
          <w:color w:val="000000"/>
          <w:rtl w:val="0"/>
        </w:rPr>
        <w:t xml:space="preserve"> By making use of the industry-recognized automated adversary emulation platforms like MITRE Caldera or the Atomic Red Team from Red Canary, to systematically perform AD attack technique chaining. This will require the creation of an attacker persona, based on known APT groups (APT29, for example) and emulating their actions within the virtual lab setting [4], [7].</w:t>
      </w:r>
    </w:p>
    <w:p w:rsidR="00000000" w:rsidDel="00000000" w:rsidP="00000000" w:rsidRDefault="00000000" w:rsidRPr="00000000" w14:paraId="00000020">
      <w:pPr>
        <w:pStyle w:val="Heading3"/>
        <w:keepNext w:val="0"/>
        <w:keepLines w:val="0"/>
        <w:numPr>
          <w:ilvl w:val="0"/>
          <w:numId w:val="2"/>
        </w:numPr>
        <w:spacing w:after="240" w:before="0" w:lineRule="auto"/>
        <w:ind w:left="720" w:hanging="360"/>
        <w:rPr>
          <w:color w:val="000000"/>
        </w:rPr>
      </w:pPr>
      <w:r w:rsidDel="00000000" w:rsidR="00000000" w:rsidRPr="00000000">
        <w:rPr>
          <w:b w:val="1"/>
          <w:bCs w:val="1"/>
          <w:color w:val="000000"/>
          <w:rtl w:val="0"/>
        </w:rPr>
        <w:t xml:space="preserve">Gap Analysis of Telemetry Data:</w:t>
      </w:r>
      <w:r w:rsidDel="00000000" w:rsidR="00000000" w:rsidRPr="00000000">
        <w:rPr>
          <w:color w:val="000000"/>
          <w:rtl w:val="0"/>
        </w:rPr>
        <w:t xml:space="preserve"> Empirical evaluation of SIEM’s capability to collect the data on emulated activities natively. In other words, performing a gap analysis and finding out what malicious behavior could have gone undetected with the current configuration of the Windows event logging system, thus finding out what crucial Event IDs were absent in the centralized data lake [8], [10].</w:t>
      </w:r>
    </w:p>
    <w:p w:rsidR="00000000" w:rsidDel="00000000" w:rsidP="00000000" w:rsidRDefault="00000000" w:rsidRPr="00000000" w14:paraId="00000021">
      <w:pPr>
        <w:pStyle w:val="Heading3"/>
        <w:keepNext w:val="0"/>
        <w:keepLines w:val="0"/>
        <w:spacing w:after="240" w:before="0" w:lineRule="auto"/>
        <w:ind w:left="720" w:firstLine="0"/>
        <w:rPr>
          <w:color w:val="000000"/>
        </w:rPr>
      </w:pPr>
      <w:r w:rsidDel="00000000" w:rsidR="00000000" w:rsidRPr="00000000">
        <w:rPr>
          <w:rtl w:val="0"/>
        </w:rPr>
      </w:r>
    </w:p>
    <w:p w:rsidR="00000000" w:rsidDel="00000000" w:rsidP="00000000" w:rsidRDefault="00000000" w:rsidRPr="00000000" w14:paraId="00000022">
      <w:pPr>
        <w:pStyle w:val="Heading3"/>
        <w:keepNext w:val="0"/>
        <w:keepLines w:val="0"/>
        <w:spacing w:after="240" w:before="0" w:lineRule="auto"/>
        <w:rPr>
          <w:b w:val="1"/>
          <w:bCs w:val="1"/>
          <w:color w:val="000000"/>
        </w:rPr>
      </w:pPr>
      <w:r w:rsidDel="00000000" w:rsidR="00000000" w:rsidRPr="00000000">
        <w:rPr>
          <w:b w:val="1"/>
          <w:bCs w:val="1"/>
          <w:color w:val="000000"/>
          <w:rtl w:val="0"/>
        </w:rPr>
        <w:t xml:space="preserve">1.4. Significance of the research</w:t>
      </w:r>
    </w:p>
    <w:p w:rsidR="00000000" w:rsidDel="00000000" w:rsidP="00000000" w:rsidRDefault="00000000" w:rsidRPr="00000000" w14:paraId="00000023">
      <w:pPr>
        <w:pStyle w:val="Heading3"/>
        <w:keepNext w:val="0"/>
        <w:keepLines w:val="0"/>
        <w:spacing w:after="240" w:before="0" w:lineRule="auto"/>
        <w:rPr>
          <w:color w:val="000000"/>
        </w:rPr>
      </w:pPr>
      <w:r w:rsidDel="00000000" w:rsidR="00000000" w:rsidRPr="00000000">
        <w:rPr>
          <w:color w:val="000000"/>
          <w:rtl w:val="0"/>
        </w:rPr>
        <w:t xml:space="preserve">This research holds supreme significance for the cybersecurity world as well as network defenders, SOCs, and detection engineers. The research deals with the foremost and commonly used vector in contemporary data breach, corporate espionage and ransomware attacks identity compromise [2]. In today's world, as attacks have been evolving from hacking in with zero days to logging in by utilizing the compromised credentials, the security of Active Directory becomes vital for survival and not just a checkbox on some compliance checklist [1].</w:t>
      </w:r>
    </w:p>
    <w:p w:rsidR="00000000" w:rsidDel="00000000" w:rsidP="00000000" w:rsidRDefault="00000000" w:rsidRPr="00000000" w14:paraId="00000024">
      <w:pPr>
        <w:pStyle w:val="Heading3"/>
        <w:keepNext w:val="0"/>
        <w:keepLines w:val="0"/>
        <w:spacing w:after="240" w:before="0" w:lineRule="auto"/>
        <w:rPr>
          <w:color w:val="000000"/>
        </w:rPr>
      </w:pPr>
      <w:r w:rsidDel="00000000" w:rsidR="00000000" w:rsidRPr="00000000">
        <w:rPr>
          <w:color w:val="000000"/>
          <w:rtl w:val="0"/>
        </w:rPr>
        <w:t xml:space="preserve">With this paper laying out an extremely structured, repeatable, and academically rigorous methodology for the emulation of adversaries in Active Directory, it enables the evolution of defensive techniques from assumptions made about a breach occurring into something that has been operationally validated and is empirically true. From a practical perspective of private industry or CNI organizations, this paper has very concrete applications that can be acted on right away. The organization can take advantage of the emulation architecture that has been laid out in this paper and use the rule set developed to continuously test the EDR, SIEM, and SOC systems [8].</w:t>
      </w:r>
    </w:p>
    <w:p w:rsidR="00000000" w:rsidDel="00000000" w:rsidP="00000000" w:rsidRDefault="00000000" w:rsidRPr="00000000" w14:paraId="00000025">
      <w:pPr>
        <w:pStyle w:val="Heading3"/>
        <w:keepNext w:val="0"/>
        <w:keepLines w:val="0"/>
        <w:spacing w:after="240" w:before="0" w:lineRule="auto"/>
        <w:rPr>
          <w:color w:val="000000"/>
        </w:rPr>
      </w:pPr>
      <w:r w:rsidDel="00000000" w:rsidR="00000000" w:rsidRPr="00000000">
        <w:rPr>
          <w:color w:val="000000"/>
          <w:rtl w:val="0"/>
        </w:rPr>
        <w:t xml:space="preserve">In addition to this, by strictly classifying offensive actions and defensive detections according to the MITRE ATT&amp;CK framework, the research presents a common language which closes the gap between offensive Red Teams and defensive Blue Teams from the past [9]. In doing so, it promotes the adoption of Purple Teaming, a collaborative approach that dramatically speeds up the development of detection skills [9]. Ultimately, this research helps build a stronger and more defensible enterprise identity infrastructure worldwide, enabling organizations to track down and defeat the attackers before they move laterally through the domain.</w:t>
        <w:br w:type="textWrapping"/>
      </w:r>
    </w:p>
    <w:p w:rsidR="00000000" w:rsidDel="00000000" w:rsidP="00000000" w:rsidRDefault="00000000" w:rsidRPr="00000000" w14:paraId="00000026">
      <w:pPr>
        <w:pStyle w:val="Heading3"/>
        <w:keepNext w:val="0"/>
        <w:keepLines w:val="0"/>
        <w:spacing w:before="0" w:lineRule="auto"/>
        <w:rPr>
          <w:b w:val="1"/>
          <w:bCs w:val="1"/>
          <w:color w:val="000000"/>
        </w:rPr>
      </w:pPr>
      <w:bookmarkStart w:colFirst="0" w:colLast="0" w:name="_heading=h.nypt32yi4bpz" w:id="14"/>
      <w:bookmarkEnd w:id="14"/>
      <w:r w:rsidDel="00000000" w:rsidR="00000000" w:rsidRPr="00000000">
        <w:rPr>
          <w:b w:val="1"/>
          <w:bCs w:val="1"/>
          <w:color w:val="000000"/>
          <w:rtl w:val="0"/>
        </w:rPr>
        <w:t xml:space="preserve">2. Literature Review</w:t>
      </w:r>
    </w:p>
    <w:p w:rsidR="00000000" w:rsidDel="00000000" w:rsidP="00000000" w:rsidRDefault="00000000" w:rsidRPr="00000000" w14:paraId="00000027">
      <w:pPr>
        <w:pStyle w:val="Heading3"/>
        <w:keepNext w:val="0"/>
        <w:keepLines w:val="0"/>
        <w:spacing w:after="240" w:before="0" w:lineRule="auto"/>
        <w:rPr>
          <w:b w:val="1"/>
          <w:bCs w:val="1"/>
          <w:color w:val="000000"/>
        </w:rPr>
      </w:pPr>
      <w:r w:rsidDel="00000000" w:rsidR="00000000" w:rsidRPr="00000000">
        <w:rPr>
          <w:b w:val="1"/>
          <w:bCs w:val="1"/>
          <w:color w:val="000000"/>
          <w:rtl w:val="0"/>
        </w:rPr>
        <w:t xml:space="preserve">2.1. Introduction to the Literature Review</w:t>
      </w:r>
    </w:p>
    <w:p w:rsidR="00000000" w:rsidDel="00000000" w:rsidP="00000000" w:rsidRDefault="00000000" w:rsidRPr="00000000" w14:paraId="00000028">
      <w:pPr>
        <w:pStyle w:val="Heading3"/>
        <w:keepNext w:val="0"/>
        <w:keepLines w:val="0"/>
        <w:spacing w:after="240" w:before="0" w:lineRule="auto"/>
        <w:rPr>
          <w:color w:val="000000"/>
        </w:rPr>
      </w:pPr>
      <w:r w:rsidDel="00000000" w:rsidR="00000000" w:rsidRPr="00000000">
        <w:rPr>
          <w:color w:val="000000"/>
          <w:rtl w:val="0"/>
        </w:rPr>
        <w:t xml:space="preserve">The fundamental aim of this literature review is the critical analysis of academic knowledge and industry studies pertaining to Active Directory security, adversary emulation techniques, and detection engineering. The specific scope of this literature review includes peer-reviewed academic journals, high fidelity industry threat intelligence reports, and cybersecurity frameworks mainly published within the years 2020-2026. Through the examination of the above literature, this literature review section will uncover the main trends of how state-backed and financially motivated attackers compromise the enterprise identity infrastructure, assess the main arguments for the change from penetration testing to adversary emulation based on MITRE, and identify the serious technical deficiencies associated with event telemetry and behavioral detection engineering. In order to provide a coherent structure and analysis of the above literature, the review is structured around three themes: enterprise identity management architecture weaknesses, development of the threat testing technique, and current gaps in detection engineering.</w:t>
        <w:br w:type="textWrapping"/>
      </w:r>
    </w:p>
    <w:p w:rsidR="00000000" w:rsidDel="00000000" w:rsidP="00000000" w:rsidRDefault="00000000" w:rsidRPr="00000000" w14:paraId="00000029">
      <w:pPr>
        <w:pStyle w:val="Heading3"/>
        <w:keepNext w:val="0"/>
        <w:keepLines w:val="0"/>
        <w:spacing w:after="240" w:before="0" w:lineRule="auto"/>
        <w:rPr>
          <w:b w:val="1"/>
          <w:bCs w:val="1"/>
          <w:color w:val="000000"/>
        </w:rPr>
      </w:pPr>
      <w:r w:rsidDel="00000000" w:rsidR="00000000" w:rsidRPr="00000000">
        <w:rPr>
          <w:b w:val="1"/>
          <w:bCs w:val="1"/>
          <w:color w:val="000000"/>
          <w:rtl w:val="0"/>
        </w:rPr>
        <w:t xml:space="preserve">2.2. Active Directory Security Weaknesses and Threat Vectors</w:t>
      </w:r>
    </w:p>
    <w:p w:rsidR="00000000" w:rsidDel="00000000" w:rsidP="00000000" w:rsidRDefault="00000000" w:rsidRPr="00000000" w14:paraId="0000002A">
      <w:pPr>
        <w:pStyle w:val="Heading3"/>
        <w:keepNext w:val="0"/>
        <w:keepLines w:val="0"/>
        <w:spacing w:after="240" w:before="0" w:lineRule="auto"/>
        <w:rPr>
          <w:color w:val="000000"/>
        </w:rPr>
      </w:pPr>
      <w:r w:rsidDel="00000000" w:rsidR="00000000" w:rsidRPr="00000000">
        <w:rPr>
          <w:color w:val="000000"/>
          <w:rtl w:val="0"/>
        </w:rPr>
        <w:t xml:space="preserve">The central and disturbing theme emerging from the most recent studies on cybersecurity involves the intrinsic architecture weaknesses present in legacy authentication mechanisms controlled through Microsoft’s Active Directory system. In their groundbreaking analysis of identity attacks [1] point out the dangers introduced into systems due to the heavy dependence of Active Directory on legacy authentication protocols, such as Kerberos, NT LAN Manager (NTLM), and the Lightweight Directory Access Protocol (LDAP), which pose significant risks that cannot simply be patched. The authors stress that Kerberos, being strong cryptographically when executed flawlessly, assumes a trusted internal network environment – a design flaw that is specifically targeted in attacks such as Kerberoasting and AS-REP Roasting [3]. Similarly, Gödecke and Schwenk [3] outline the technical aspects of Kerberoasting, presenting a mathematical proof for how password cracking can be achieved by leveraging weak RC4-HMAC ciphering on service tickets.</w:t>
      </w:r>
    </w:p>
    <w:p w:rsidR="00000000" w:rsidDel="00000000" w:rsidP="00000000" w:rsidRDefault="00000000" w:rsidRPr="00000000" w14:paraId="0000002B">
      <w:pPr>
        <w:pStyle w:val="Heading3"/>
        <w:keepNext w:val="0"/>
        <w:keepLines w:val="0"/>
        <w:spacing w:after="240" w:before="0" w:lineRule="auto"/>
        <w:rPr>
          <w:color w:val="000000"/>
        </w:rPr>
      </w:pPr>
      <w:r w:rsidDel="00000000" w:rsidR="00000000" w:rsidRPr="00000000">
        <w:rPr>
          <w:color w:val="000000"/>
          <w:rtl w:val="0"/>
        </w:rPr>
        <w:t xml:space="preserve">Based on these common agreements, the 2024 Mandiant Threat Intelligence Report on Ransomware [2] draws attention to another major destructive paradigm shift – today's ransomware actors (LockBit, BlackBasta, ALPHV) no longer use purely automated, wormable malware. Rather, they prefer hands-on-keyboard approaches that heavily depend on manual identification and exploitation of AD attack paths. An important contribution to the problem of understanding of the issue has been made by Robinson, Chen, and Davis [9], who have considered application of graph theory to cyber attacks. The authors describe in detail how modern attackers can use BloodHound as a tool for visualizing Active Directory attacks. In particular, BloodHound employs graph database techniques (Neo4j) to discover nested group delegations, overly-permissive ACLs, and forgotten admin sessions, which result in Domain Admin rights [9]. Although there is enough literature covering in detail how exactly these types of attacks can be done from a technical perspective, there is still a highly crucial literature gap concerning how enterprise defenders can test their SOC through repeated and safe simulation of this type of complex and chained graph-based movement.</w:t>
      </w:r>
      <w:r w:rsidDel="00000000" w:rsidR="00000000" w:rsidRPr="00000000">
        <w:rPr>
          <w:color w:val="000000"/>
          <w:rtl w:val="0"/>
        </w:rPr>
        <w:br w:type="textWrapping"/>
      </w:r>
    </w:p>
    <w:p w:rsidR="00000000" w:rsidDel="00000000" w:rsidP="00000000" w:rsidRDefault="00000000" w:rsidRPr="00000000" w14:paraId="0000002C">
      <w:pPr>
        <w:pStyle w:val="Heading3"/>
        <w:keepNext w:val="0"/>
        <w:keepLines w:val="0"/>
        <w:spacing w:after="240" w:before="0" w:lineRule="auto"/>
        <w:rPr>
          <w:b w:val="1"/>
          <w:bCs w:val="1"/>
          <w:color w:val="000000"/>
        </w:rPr>
      </w:pPr>
      <w:r w:rsidDel="00000000" w:rsidR="00000000" w:rsidRPr="00000000">
        <w:rPr>
          <w:b w:val="1"/>
          <w:bCs w:val="1"/>
          <w:color w:val="000000"/>
          <w:rtl w:val="0"/>
        </w:rPr>
        <w:t xml:space="preserve">2.3. The MITRE ATT&amp;CK Framework and Adversary Emulation</w:t>
      </w:r>
    </w:p>
    <w:p w:rsidR="00000000" w:rsidDel="00000000" w:rsidP="00000000" w:rsidRDefault="00000000" w:rsidRPr="00000000" w14:paraId="0000002D">
      <w:pPr>
        <w:pStyle w:val="Heading3"/>
        <w:keepNext w:val="0"/>
        <w:keepLines w:val="0"/>
        <w:spacing w:after="240" w:before="0" w:lineRule="auto"/>
        <w:rPr>
          <w:color w:val="000000"/>
        </w:rPr>
      </w:pPr>
      <w:r w:rsidDel="00000000" w:rsidR="00000000" w:rsidRPr="00000000">
        <w:rPr>
          <w:color w:val="000000"/>
          <w:rtl w:val="0"/>
        </w:rPr>
        <w:t xml:space="preserve">In an attempt to react in real-time to the growing number of threats discussed in the previous theme, the literature on cybersecurity reveals a coherent shift towards structured threat modeling and adversarial emulation. With the development of MITRE ATT&amp;CK taxonomy by Strom et al. [5], the approach to cyber defense became transformed in terms of creating the globally recognized taxonomy of adversary behavior. Penetration tests that were heavily criticized in the comparative study by Applebaum and Applebaum [5] often fail to yield any long-term benefit for defense. According to their findings, penetration testing involves finding one vulnerable path in order to achieve a particular target such as Domain Admin, while many other techniques from MITRE ATT&amp;CK remain unexplored.</w:t>
      </w:r>
    </w:p>
    <w:p w:rsidR="00000000" w:rsidDel="00000000" w:rsidP="00000000" w:rsidRDefault="00000000" w:rsidRPr="00000000" w14:paraId="0000002E">
      <w:pPr>
        <w:pStyle w:val="Heading3"/>
        <w:keepNext w:val="0"/>
        <w:keepLines w:val="0"/>
        <w:spacing w:after="240" w:before="0" w:lineRule="auto"/>
        <w:rPr>
          <w:color w:val="000000"/>
        </w:rPr>
      </w:pPr>
      <w:r w:rsidDel="00000000" w:rsidR="00000000" w:rsidRPr="00000000">
        <w:rPr>
          <w:color w:val="000000"/>
          <w:rtl w:val="0"/>
        </w:rPr>
        <w:t xml:space="preserve">On the other hand, adversary emulation adopts the use of ATT&amp;CK frameworks to emulate the overall step-wise processes associated with well-known Advanced Persistent Threats (APTs) [4]. Current technological developments show how modern research adopts the use of automated, open source tools to emulate such techniques. The recent work done by Red Canary [6] on the Atomic Red Team framework, in addition to the works using MITRE Caldera, shows how security teams are able to conduct unit tests for individual attack techniques. But on the same note, a major methodological gap exists in the way these tools are being used within the academic literature, as pointed out by Applebaum [10]. The work of Applebaum [10] shows how current academic literature conducts emulation techniques in isolation (for example running one PowerShell command to clear an event log). In practice, threat actors do not run isolated commands, but actually chain them in order to carry out defense evasion, credential access and lateral movements.</w:t>
        <w:br w:type="textWrapping"/>
      </w:r>
    </w:p>
    <w:p w:rsidR="00000000" w:rsidDel="00000000" w:rsidP="00000000" w:rsidRDefault="00000000" w:rsidRPr="00000000" w14:paraId="0000002F">
      <w:pPr>
        <w:pStyle w:val="Heading3"/>
        <w:keepNext w:val="0"/>
        <w:keepLines w:val="0"/>
        <w:spacing w:after="240" w:before="0" w:lineRule="auto"/>
        <w:rPr>
          <w:b w:val="1"/>
          <w:bCs w:val="1"/>
          <w:color w:val="000000"/>
        </w:rPr>
      </w:pPr>
      <w:r w:rsidDel="00000000" w:rsidR="00000000" w:rsidRPr="00000000">
        <w:rPr>
          <w:b w:val="1"/>
          <w:bCs w:val="1"/>
          <w:color w:val="000000"/>
          <w:rtl w:val="0"/>
        </w:rPr>
        <w:t xml:space="preserve">2.4. Gaps in Detection Engineering and Log Telemetry</w:t>
      </w:r>
    </w:p>
    <w:p w:rsidR="00000000" w:rsidDel="00000000" w:rsidP="00000000" w:rsidRDefault="00000000" w:rsidRPr="00000000" w14:paraId="00000030">
      <w:pPr>
        <w:pStyle w:val="Heading3"/>
        <w:keepNext w:val="0"/>
        <w:keepLines w:val="0"/>
        <w:spacing w:after="240" w:before="0" w:lineRule="auto"/>
        <w:rPr>
          <w:color w:val="000000"/>
        </w:rPr>
      </w:pPr>
      <w:r w:rsidDel="00000000" w:rsidR="00000000" w:rsidRPr="00000000">
        <w:rPr>
          <w:color w:val="000000"/>
          <w:rtl w:val="0"/>
        </w:rPr>
        <w:t xml:space="preserve">One of the final major themes discussed in the literature is associated with defense mechanisms for fighting against identity-based threats. Despite the ubiquity of SIEMs in enterprise settings, the literature reveals that SIEM solutions can be far from properly optimized when it comes to detecting sophisticated identity-based threats. The highly comprehensive study conducted by Russinovich, dedicated to Windows Event Forwarding (WEF) and Sysmon, [8] proves empirically that the default logging in Windows Server environments is completely inadequate. According to Russinovich, the advanced AD attacks, such as DCSync (based on exploiting replication protocol) or Pass-the-Ticket, become invisible for SIEM without XML customization and audit policies.</w:t>
      </w:r>
    </w:p>
    <w:p w:rsidR="00000000" w:rsidDel="00000000" w:rsidP="00000000" w:rsidRDefault="00000000" w:rsidRPr="00000000" w14:paraId="00000031">
      <w:pPr>
        <w:pStyle w:val="Heading3"/>
        <w:keepNext w:val="0"/>
        <w:keepLines w:val="0"/>
        <w:spacing w:after="240" w:before="0" w:lineRule="auto"/>
        <w:rPr>
          <w:color w:val="000000"/>
        </w:rPr>
      </w:pPr>
      <w:r w:rsidDel="00000000" w:rsidR="00000000" w:rsidRPr="00000000">
        <w:rPr>
          <w:rtl w:val="0"/>
        </w:rPr>
      </w:r>
    </w:p>
    <w:p w:rsidR="00000000" w:rsidDel="00000000" w:rsidP="00000000" w:rsidRDefault="00000000" w:rsidRPr="00000000" w14:paraId="00000032">
      <w:pPr>
        <w:pStyle w:val="Heading3"/>
        <w:keepNext w:val="0"/>
        <w:keepLines w:val="0"/>
        <w:spacing w:after="240" w:before="0" w:lineRule="auto"/>
        <w:rPr>
          <w:b w:val="1"/>
          <w:bCs w:val="1"/>
          <w:color w:val="000000"/>
        </w:rPr>
      </w:pPr>
      <w:r w:rsidDel="00000000" w:rsidR="00000000" w:rsidRPr="00000000">
        <w:rPr>
          <w:b w:val="1"/>
          <w:bCs w:val="1"/>
          <w:color w:val="000000"/>
          <w:rtl w:val="0"/>
        </w:rPr>
        <w:t xml:space="preserve">2.5. Relationship to My Study and Literature Review</w:t>
      </w:r>
    </w:p>
    <w:p w:rsidR="00000000" w:rsidDel="00000000" w:rsidP="00000000" w:rsidRDefault="00000000" w:rsidRPr="00000000" w14:paraId="00000033">
      <w:pPr>
        <w:pStyle w:val="Heading3"/>
        <w:keepNext w:val="0"/>
        <w:keepLines w:val="0"/>
        <w:spacing w:after="240" w:before="0" w:lineRule="auto"/>
        <w:rPr>
          <w:color w:val="000000"/>
        </w:rPr>
      </w:pPr>
      <w:r w:rsidDel="00000000" w:rsidR="00000000" w:rsidRPr="00000000">
        <w:rPr>
          <w:color w:val="000000"/>
          <w:rtl w:val="0"/>
        </w:rPr>
        <w:t xml:space="preserve">The proposed research is located precisely at this intersection of the aforementioned gaps. Although current literature places too much attention on either researching the AD security weaknesses through theory alone [1], [3] or talking about the MITRE ATT&amp;CK framework conceptually [5], this research boldly fills this gap by implementing all mentioned approaches in practice. The implementation of the research will be achieved through utilization of an isolated, multi-node cyber range, chaining realistic attacks on Active Directory through automatic emulation of the attacks [6], and actively developing behavioral detections [7]. To sum up, after reviewing the current literature, one may conclude that there is a serious lack of continuous validation of the industry's ability to defend enterprises against Active Directory threats.</w:t>
        <w:br w:type="textWrapping"/>
      </w:r>
    </w:p>
    <w:p w:rsidR="00000000" w:rsidDel="00000000" w:rsidP="00000000" w:rsidRDefault="00000000" w:rsidRPr="00000000" w14:paraId="00000034">
      <w:pPr>
        <w:pStyle w:val="Heading3"/>
        <w:keepNext w:val="0"/>
        <w:keepLines w:val="0"/>
        <w:spacing w:before="0" w:lineRule="auto"/>
        <w:rPr>
          <w:b w:val="1"/>
          <w:bCs w:val="1"/>
          <w:color w:val="000000"/>
        </w:rPr>
      </w:pPr>
      <w:bookmarkStart w:colFirst="0" w:colLast="0" w:name="_heading=h.z2q213a8510m" w:id="15"/>
      <w:bookmarkEnd w:id="15"/>
      <w:r w:rsidDel="00000000" w:rsidR="00000000" w:rsidRPr="00000000">
        <w:rPr>
          <w:b w:val="1"/>
          <w:bCs w:val="1"/>
          <w:color w:val="000000"/>
          <w:rtl w:val="0"/>
        </w:rPr>
        <w:t xml:space="preserve">3. Research Design and Methodology</w:t>
      </w:r>
    </w:p>
    <w:p w:rsidR="00000000" w:rsidDel="00000000" w:rsidP="00000000" w:rsidRDefault="00000000" w:rsidRPr="00000000" w14:paraId="00000035">
      <w:pPr>
        <w:pStyle w:val="Heading3"/>
        <w:keepNext w:val="0"/>
        <w:keepLines w:val="0"/>
        <w:spacing w:after="240" w:before="0" w:lineRule="auto"/>
        <w:rPr>
          <w:b w:val="1"/>
          <w:bCs w:val="1"/>
          <w:color w:val="000000"/>
        </w:rPr>
      </w:pPr>
      <w:r w:rsidDel="00000000" w:rsidR="00000000" w:rsidRPr="00000000">
        <w:rPr>
          <w:b w:val="1"/>
          <w:bCs w:val="1"/>
          <w:color w:val="000000"/>
          <w:rtl w:val="0"/>
        </w:rPr>
        <w:t xml:space="preserve">3.1 Research Design</w:t>
      </w:r>
    </w:p>
    <w:p w:rsidR="00000000" w:rsidDel="00000000" w:rsidP="00000000" w:rsidRDefault="00000000" w:rsidRPr="00000000" w14:paraId="00000036">
      <w:pPr>
        <w:pStyle w:val="Heading3"/>
        <w:keepNext w:val="0"/>
        <w:keepLines w:val="0"/>
        <w:spacing w:after="240" w:before="0" w:lineRule="auto"/>
        <w:rPr>
          <w:color w:val="000000"/>
        </w:rPr>
      </w:pPr>
      <w:r w:rsidDel="00000000" w:rsidR="00000000" w:rsidRPr="00000000">
        <w:rPr>
          <w:color w:val="000000"/>
          <w:rtl w:val="0"/>
        </w:rPr>
        <w:t xml:space="preserve">For the rigorous objectives stated in this research proposal to be achieved, this research will take up a very structured mixed method research design, which combines the elements of Design Science Research (DSR) and Quantitative Experimental Simulation. The use of Design Science Research (DSR) methodology is especially and very well suited to this particular cyber security and digital forensics area. Contrary to purely observational approaches, DSR methodology is mainly concerned with the generation, implementation and rigorous evaluation of innovative technological artifacts, which in this research case, are the generated SIEM rules and adversary emulation pipelines designed to address a real-world problem.</w:t>
      </w:r>
    </w:p>
    <w:p w:rsidR="00000000" w:rsidDel="00000000" w:rsidP="00000000" w:rsidRDefault="00000000" w:rsidRPr="00000000" w14:paraId="00000037">
      <w:pPr>
        <w:pStyle w:val="Heading3"/>
        <w:keepNext w:val="0"/>
        <w:keepLines w:val="0"/>
        <w:spacing w:after="240" w:before="0" w:lineRule="auto"/>
        <w:rPr>
          <w:color w:val="000000"/>
        </w:rPr>
      </w:pPr>
      <w:r w:rsidDel="00000000" w:rsidR="00000000" w:rsidRPr="00000000">
        <w:rPr>
          <w:color w:val="000000"/>
          <w:rtl w:val="0"/>
        </w:rPr>
        <w:t xml:space="preserve">Unfortunately, the risks related to conducting live Active Directory attacks, such as Kerberoasting, NTDS.dit extraction, and Golden Ticket creation, in a live environment in relation to an actual enterprise network, are extremely hazardous in terms of the risk of downtime, extreme network instability, and the risk of revealing credentials without authorization. Thus, performing this research in a live environment is unfeasible. Therefore, Quantitative Experimental Simulation is mandatory. The experimental design will strictly use a separate, isolated, and highly virtualized Cyber Range [11]. According to Jan and Ishfaq [11], using a controlled cyber range based on a hypervisor allows the researcher to perform experiments involving malicious behavior and MITRE ATT&amp;CK chains in a secure manner. This strict experimental design will allow to properly evaluate the true efficiency of the SIEM detection capability using True and False Positive rates quantitatively [10], [12].</w:t>
        <w:br w:type="textWrapping"/>
      </w:r>
    </w:p>
    <w:p w:rsidR="00000000" w:rsidDel="00000000" w:rsidP="00000000" w:rsidRDefault="00000000" w:rsidRPr="00000000" w14:paraId="00000038">
      <w:pPr>
        <w:pStyle w:val="Heading3"/>
        <w:keepNext w:val="0"/>
        <w:keepLines w:val="0"/>
        <w:spacing w:after="240" w:before="0" w:lineRule="auto"/>
        <w:rPr>
          <w:b w:val="1"/>
          <w:bCs w:val="1"/>
          <w:color w:val="000000"/>
        </w:rPr>
      </w:pPr>
      <w:r w:rsidDel="00000000" w:rsidR="00000000" w:rsidRPr="00000000">
        <w:rPr>
          <w:b w:val="1"/>
          <w:bCs w:val="1"/>
          <w:color w:val="000000"/>
          <w:rtl w:val="0"/>
        </w:rPr>
        <w:t xml:space="preserve">3.2 Research Methods and Materials</w:t>
      </w:r>
    </w:p>
    <w:p w:rsidR="00000000" w:rsidDel="00000000" w:rsidP="00000000" w:rsidRDefault="00000000" w:rsidRPr="00000000" w14:paraId="00000039">
      <w:pPr>
        <w:pStyle w:val="Heading3"/>
        <w:keepNext w:val="0"/>
        <w:keepLines w:val="0"/>
        <w:spacing w:after="240" w:before="0" w:lineRule="auto"/>
        <w:rPr>
          <w:color w:val="000000"/>
        </w:rPr>
      </w:pPr>
      <w:r w:rsidDel="00000000" w:rsidR="00000000" w:rsidRPr="00000000">
        <w:rPr>
          <w:color w:val="000000"/>
          <w:rtl w:val="0"/>
        </w:rPr>
        <w:t xml:space="preserve">For this research, the methodology will rely predominantly on the application of quantitative experimental methods carried out solely in the confines of the laboratory setting. The primary criterion that is used in the analysis of this research is not observation, but the objective, statistical calculation of detection effectiveness (such as whether the SIEM generated a warning within 60 seconds of the use of technique T1558). The experiments will be carried out in three stages chronologically, replicating the well-respected Purple Team process [4]:</w:t>
      </w:r>
    </w:p>
    <w:p w:rsidR="00000000" w:rsidDel="00000000" w:rsidP="00000000" w:rsidRDefault="00000000" w:rsidRPr="00000000" w14:paraId="0000003A">
      <w:pPr>
        <w:pStyle w:val="Heading3"/>
        <w:keepNext w:val="0"/>
        <w:keepLines w:val="0"/>
        <w:numPr>
          <w:ilvl w:val="0"/>
          <w:numId w:val="1"/>
        </w:numPr>
        <w:spacing w:after="0" w:before="0" w:lineRule="auto"/>
        <w:ind w:left="720" w:hanging="360"/>
        <w:rPr>
          <w:color w:val="000000"/>
        </w:rPr>
      </w:pPr>
      <w:r w:rsidDel="00000000" w:rsidR="00000000" w:rsidRPr="00000000">
        <w:rPr>
          <w:b w:val="1"/>
          <w:bCs w:val="1"/>
          <w:color w:val="000000"/>
          <w:rtl w:val="0"/>
        </w:rPr>
        <w:t xml:space="preserve">Attack Simulation and Emulation (The Red Phase):</w:t>
      </w:r>
      <w:r w:rsidDel="00000000" w:rsidR="00000000" w:rsidRPr="00000000">
        <w:rPr>
          <w:color w:val="000000"/>
          <w:rtl w:val="0"/>
        </w:rPr>
        <w:t xml:space="preserve"> This phase entails the actual offensive implementation of the attack path. The experiment will use automated adversary emulation tools, such as MITRE Caldera or Red Canary's Atomic Red Team, to perform a carefully orchestrated series of AD attacks that are aligned with the MITRE ATT&amp;CK matrix. The emulation will represent a post-attack phase, where an APT group (such as APT29) [6] is emulated. The particular attack chain will be performed in this order:</w:t>
      </w:r>
    </w:p>
    <w:p w:rsidR="00000000" w:rsidDel="00000000" w:rsidP="00000000" w:rsidRDefault="00000000" w:rsidRPr="00000000" w14:paraId="0000003B">
      <w:pPr>
        <w:pStyle w:val="Heading3"/>
        <w:keepNext w:val="0"/>
        <w:keepLines w:val="0"/>
        <w:numPr>
          <w:ilvl w:val="1"/>
          <w:numId w:val="1"/>
        </w:numPr>
        <w:spacing w:after="0" w:before="0" w:lineRule="auto"/>
        <w:ind w:left="1440" w:hanging="360"/>
        <w:rPr>
          <w:color w:val="000000"/>
        </w:rPr>
      </w:pPr>
      <w:r w:rsidDel="00000000" w:rsidR="00000000" w:rsidRPr="00000000">
        <w:rPr>
          <w:b w:val="1"/>
          <w:bCs w:val="1"/>
          <w:color w:val="000000"/>
          <w:rtl w:val="0"/>
        </w:rPr>
        <w:t xml:space="preserve">Discovery (T1087 &amp; T1069):</w:t>
      </w:r>
      <w:r w:rsidDel="00000000" w:rsidR="00000000" w:rsidRPr="00000000">
        <w:rPr>
          <w:color w:val="000000"/>
          <w:rtl w:val="0"/>
        </w:rPr>
        <w:t xml:space="preserve"> Using built-in Windows commands (net.exe) and PowerView for enumeration of domain users and elevated group accounts.</w:t>
      </w:r>
    </w:p>
    <w:p w:rsidR="00000000" w:rsidDel="00000000" w:rsidP="00000000" w:rsidRDefault="00000000" w:rsidRPr="00000000" w14:paraId="0000003C">
      <w:pPr>
        <w:pStyle w:val="Heading3"/>
        <w:keepNext w:val="0"/>
        <w:keepLines w:val="0"/>
        <w:numPr>
          <w:ilvl w:val="1"/>
          <w:numId w:val="1"/>
        </w:numPr>
        <w:spacing w:after="0" w:before="0" w:lineRule="auto"/>
        <w:ind w:left="1440" w:hanging="360"/>
        <w:rPr>
          <w:color w:val="000000"/>
        </w:rPr>
      </w:pPr>
      <w:r w:rsidDel="00000000" w:rsidR="00000000" w:rsidRPr="00000000">
        <w:rPr>
          <w:b w:val="1"/>
          <w:bCs w:val="1"/>
          <w:color w:val="000000"/>
          <w:rtl w:val="0"/>
        </w:rPr>
        <w:t xml:space="preserve">Credential Access (T1558.003):</w:t>
      </w:r>
      <w:r w:rsidDel="00000000" w:rsidR="00000000" w:rsidRPr="00000000">
        <w:rPr>
          <w:color w:val="000000"/>
          <w:rtl w:val="0"/>
        </w:rPr>
        <w:t xml:space="preserve"> Kerberoasting to get TGS tickets for SPNs [3].</w:t>
      </w:r>
    </w:p>
    <w:p w:rsidR="00000000" w:rsidDel="00000000" w:rsidP="00000000" w:rsidRDefault="00000000" w:rsidRPr="00000000" w14:paraId="0000003D">
      <w:pPr>
        <w:pStyle w:val="Heading3"/>
        <w:keepNext w:val="0"/>
        <w:keepLines w:val="0"/>
        <w:numPr>
          <w:ilvl w:val="1"/>
          <w:numId w:val="1"/>
        </w:numPr>
        <w:spacing w:after="0" w:before="0" w:lineRule="auto"/>
        <w:ind w:left="1440" w:hanging="360"/>
        <w:rPr>
          <w:color w:val="000000"/>
        </w:rPr>
      </w:pPr>
      <w:r w:rsidDel="00000000" w:rsidR="00000000" w:rsidRPr="00000000">
        <w:rPr>
          <w:b w:val="1"/>
          <w:bCs w:val="1"/>
          <w:color w:val="000000"/>
          <w:rtl w:val="0"/>
        </w:rPr>
        <w:t xml:space="preserve">Privilege Escalation &amp; Credential Access (T1003.006):</w:t>
      </w:r>
      <w:r w:rsidDel="00000000" w:rsidR="00000000" w:rsidRPr="00000000">
        <w:rPr>
          <w:color w:val="000000"/>
          <w:rtl w:val="0"/>
        </w:rPr>
        <w:t xml:space="preserve"> DC Sync Attack using Mimikatz to impersonate a Domain Controller and request the KRBTGT account hash to be replicated [1].</w:t>
      </w:r>
    </w:p>
    <w:p w:rsidR="00000000" w:rsidDel="00000000" w:rsidP="00000000" w:rsidRDefault="00000000" w:rsidRPr="00000000" w14:paraId="0000003E">
      <w:pPr>
        <w:pStyle w:val="Heading3"/>
        <w:keepNext w:val="0"/>
        <w:keepLines w:val="0"/>
        <w:numPr>
          <w:ilvl w:val="1"/>
          <w:numId w:val="1"/>
        </w:numPr>
        <w:spacing w:after="0" w:before="0" w:lineRule="auto"/>
        <w:ind w:left="1440" w:hanging="360"/>
        <w:rPr>
          <w:color w:val="000000"/>
        </w:rPr>
      </w:pPr>
      <w:r w:rsidDel="00000000" w:rsidR="00000000" w:rsidRPr="00000000">
        <w:rPr>
          <w:b w:val="1"/>
          <w:bCs w:val="1"/>
          <w:color w:val="000000"/>
          <w:rtl w:val="0"/>
        </w:rPr>
        <w:t xml:space="preserve">Lateral Movement (T1021.002):</w:t>
      </w:r>
      <w:r w:rsidDel="00000000" w:rsidR="00000000" w:rsidRPr="00000000">
        <w:rPr>
          <w:color w:val="000000"/>
          <w:rtl w:val="0"/>
        </w:rPr>
        <w:t xml:space="preserve"> Pass-the-Hash over SMB for accessing administrative shares (C$) of neighboring hosts.</w:t>
      </w:r>
    </w:p>
    <w:p w:rsidR="00000000" w:rsidDel="00000000" w:rsidP="00000000" w:rsidRDefault="00000000" w:rsidRPr="00000000" w14:paraId="0000003F">
      <w:pPr>
        <w:pStyle w:val="Heading3"/>
        <w:keepNext w:val="0"/>
        <w:keepLines w:val="0"/>
        <w:numPr>
          <w:ilvl w:val="0"/>
          <w:numId w:val="1"/>
        </w:numPr>
        <w:spacing w:after="240" w:before="0" w:lineRule="auto"/>
        <w:ind w:left="720" w:hanging="360"/>
        <w:rPr>
          <w:color w:val="000000"/>
        </w:rPr>
      </w:pPr>
      <w:r w:rsidDel="00000000" w:rsidR="00000000" w:rsidRPr="00000000">
        <w:rPr>
          <w:b w:val="1"/>
          <w:bCs w:val="1"/>
          <w:color w:val="000000"/>
          <w:rtl w:val="0"/>
        </w:rPr>
        <w:t xml:space="preserve">Telemetry Capture and Extraction (The Blue Phase):</w:t>
      </w:r>
      <w:r w:rsidDel="00000000" w:rsidR="00000000" w:rsidRPr="00000000">
        <w:rPr>
          <w:color w:val="000000"/>
          <w:rtl w:val="0"/>
        </w:rPr>
        <w:t xml:space="preserve"> Throughout the active emulation process, the research will quietly capture all telemetry that is created from system, endpoint, and network activity. It will be very dependent on the assessment of the baseline Windows event logs (Security, System, Application) and the configuration of the Sysmon utility to determine their ability to detect the behaviors of the attacks that were inserted. The logs will continue to get collected and aggregated to the SIEM through Winlogbeat and Splunk Universal Forwarders [8]. This is where Visibility is measured.</w:t>
      </w:r>
    </w:p>
    <w:p w:rsidR="00000000" w:rsidDel="00000000" w:rsidP="00000000" w:rsidRDefault="00000000" w:rsidRPr="00000000" w14:paraId="00000040">
      <w:pPr>
        <w:pStyle w:val="Heading3"/>
        <w:keepNext w:val="0"/>
        <w:keepLines w:val="0"/>
        <w:spacing w:after="240" w:before="0" w:lineRule="auto"/>
        <w:rPr>
          <w:b w:val="1"/>
          <w:bCs w:val="1"/>
          <w:color w:val="000000"/>
        </w:rPr>
      </w:pPr>
      <w:r w:rsidDel="00000000" w:rsidR="00000000" w:rsidRPr="00000000">
        <w:rPr>
          <w:rtl w:val="0"/>
        </w:rPr>
      </w:r>
    </w:p>
    <w:p w:rsidR="00000000" w:rsidDel="00000000" w:rsidP="00000000" w:rsidRDefault="00000000" w:rsidRPr="00000000" w14:paraId="00000041">
      <w:pPr>
        <w:pStyle w:val="Heading3"/>
        <w:keepNext w:val="0"/>
        <w:keepLines w:val="0"/>
        <w:numPr>
          <w:ilvl w:val="0"/>
          <w:numId w:val="3"/>
        </w:numPr>
        <w:spacing w:after="0" w:before="0" w:lineRule="auto"/>
        <w:ind w:left="720" w:hanging="360"/>
        <w:rPr>
          <w:color w:val="000000"/>
        </w:rPr>
      </w:pPr>
      <w:r w:rsidDel="00000000" w:rsidR="00000000" w:rsidRPr="00000000">
        <w:rPr>
          <w:b w:val="1"/>
          <w:bCs w:val="1"/>
          <w:color w:val="000000"/>
          <w:rtl w:val="0"/>
        </w:rPr>
        <w:t xml:space="preserve">Details of Research Data:</w:t>
      </w:r>
      <w:r w:rsidDel="00000000" w:rsidR="00000000" w:rsidRPr="00000000">
        <w:rPr>
          <w:rtl w:val="0"/>
        </w:rPr>
      </w:r>
    </w:p>
    <w:p w:rsidR="00000000" w:rsidDel="00000000" w:rsidP="00000000" w:rsidRDefault="00000000" w:rsidRPr="00000000" w14:paraId="00000042">
      <w:pPr>
        <w:pStyle w:val="Heading3"/>
        <w:keepNext w:val="0"/>
        <w:keepLines w:val="0"/>
        <w:numPr>
          <w:ilvl w:val="1"/>
          <w:numId w:val="3"/>
        </w:numPr>
        <w:spacing w:after="0" w:before="0" w:lineRule="auto"/>
        <w:ind w:left="1440" w:hanging="360"/>
        <w:rPr>
          <w:color w:val="000000"/>
        </w:rPr>
      </w:pPr>
      <w:r w:rsidDel="00000000" w:rsidR="00000000" w:rsidRPr="00000000">
        <w:rPr>
          <w:b w:val="1"/>
          <w:bCs w:val="1"/>
          <w:color w:val="000000"/>
          <w:rtl w:val="0"/>
        </w:rPr>
        <w:t xml:space="preserve">Data Source and Collection:</w:t>
      </w:r>
      <w:r w:rsidDel="00000000" w:rsidR="00000000" w:rsidRPr="00000000">
        <w:rPr>
          <w:color w:val="000000"/>
          <w:rtl w:val="0"/>
        </w:rPr>
        <w:t xml:space="preserve"> The primary source of data will be the dynamically synthesized log data, which is generated and collected internally from the virtualized Cyber Range. The instruments for collecting data will be the Windows Event Logs (with emphasis on Security auditing, PowerShell Operational logging, and WMI activity) and the highly detailed Sysmon (System Monitor) XML event logs. All collected data will be aggregated into the SIEM [8].</w:t>
      </w:r>
    </w:p>
    <w:p w:rsidR="00000000" w:rsidDel="00000000" w:rsidP="00000000" w:rsidRDefault="00000000" w:rsidRPr="00000000" w14:paraId="00000043">
      <w:pPr>
        <w:pStyle w:val="Heading3"/>
        <w:keepNext w:val="0"/>
        <w:keepLines w:val="0"/>
        <w:numPr>
          <w:ilvl w:val="1"/>
          <w:numId w:val="3"/>
        </w:numPr>
        <w:spacing w:after="0" w:before="0" w:lineRule="auto"/>
        <w:ind w:left="1440" w:hanging="360"/>
        <w:rPr>
          <w:color w:val="000000"/>
        </w:rPr>
      </w:pPr>
      <w:r w:rsidDel="00000000" w:rsidR="00000000" w:rsidRPr="00000000">
        <w:rPr>
          <w:b w:val="1"/>
          <w:bCs w:val="1"/>
          <w:color w:val="000000"/>
          <w:rtl w:val="0"/>
        </w:rPr>
        <w:t xml:space="preserve">Rationale for the Source of Data:</w:t>
      </w:r>
      <w:r w:rsidDel="00000000" w:rsidR="00000000" w:rsidRPr="00000000">
        <w:rPr>
          <w:color w:val="000000"/>
          <w:rtl w:val="0"/>
        </w:rPr>
        <w:t xml:space="preserve"> Using internally generated and dynamically synthesized testbed data is the sole legal, ethical, and scientific option for conducting research about chained identity compromise attacks [12]. Using static and publicly accessible datasets (such as the old versions of the BOTS - Boss of the SOC dataset) would not suffice. It is impossible for public datasets to supply the interactive, customizable chained log telemetry necessary for the creation of custom behavioral detections against the modern and evolving AD attacks [11].</w:t>
      </w:r>
    </w:p>
    <w:p w:rsidR="00000000" w:rsidDel="00000000" w:rsidP="00000000" w:rsidRDefault="00000000" w:rsidRPr="00000000" w14:paraId="00000044">
      <w:pPr>
        <w:pStyle w:val="Heading3"/>
        <w:keepNext w:val="0"/>
        <w:keepLines w:val="0"/>
        <w:spacing w:after="0" w:before="0" w:lineRule="auto"/>
        <w:ind w:left="1440" w:firstLine="0"/>
        <w:rPr>
          <w:color w:val="000000"/>
        </w:rPr>
      </w:pPr>
      <w:r w:rsidDel="00000000" w:rsidR="00000000" w:rsidRPr="00000000">
        <w:rPr>
          <w:rtl w:val="0"/>
        </w:rPr>
      </w:r>
    </w:p>
    <w:p w:rsidR="00000000" w:rsidDel="00000000" w:rsidP="00000000" w:rsidRDefault="00000000" w:rsidRPr="00000000" w14:paraId="00000045">
      <w:pPr>
        <w:pStyle w:val="Heading3"/>
        <w:keepNext w:val="0"/>
        <w:keepLines w:val="0"/>
        <w:numPr>
          <w:ilvl w:val="0"/>
          <w:numId w:val="3"/>
        </w:numPr>
        <w:spacing w:after="0" w:before="0" w:lineRule="auto"/>
        <w:ind w:left="720" w:hanging="360"/>
        <w:rPr>
          <w:color w:val="000000"/>
        </w:rPr>
      </w:pPr>
      <w:r w:rsidDel="00000000" w:rsidR="00000000" w:rsidRPr="00000000">
        <w:rPr>
          <w:b w:val="1"/>
          <w:bCs w:val="1"/>
          <w:color w:val="000000"/>
          <w:rtl w:val="0"/>
        </w:rPr>
        <w:t xml:space="preserve">Requirements for Software:</w:t>
      </w:r>
      <w:r w:rsidDel="00000000" w:rsidR="00000000" w:rsidRPr="00000000">
        <w:rPr>
          <w:rtl w:val="0"/>
        </w:rPr>
      </w:r>
    </w:p>
    <w:p w:rsidR="00000000" w:rsidDel="00000000" w:rsidP="00000000" w:rsidRDefault="00000000" w:rsidRPr="00000000" w14:paraId="00000046">
      <w:pPr>
        <w:pStyle w:val="Heading3"/>
        <w:keepNext w:val="0"/>
        <w:keepLines w:val="0"/>
        <w:numPr>
          <w:ilvl w:val="1"/>
          <w:numId w:val="3"/>
        </w:numPr>
        <w:spacing w:after="0" w:before="0" w:lineRule="auto"/>
        <w:ind w:left="1440" w:hanging="360"/>
        <w:rPr>
          <w:color w:val="000000"/>
        </w:rPr>
      </w:pPr>
      <w:r w:rsidDel="00000000" w:rsidR="00000000" w:rsidRPr="00000000">
        <w:rPr>
          <w:b w:val="1"/>
          <w:bCs w:val="1"/>
          <w:color w:val="000000"/>
          <w:rtl w:val="0"/>
        </w:rPr>
        <w:t xml:space="preserve">Platform for Emulation:</w:t>
      </w:r>
      <w:r w:rsidDel="00000000" w:rsidR="00000000" w:rsidRPr="00000000">
        <w:rPr>
          <w:color w:val="000000"/>
          <w:rtl w:val="0"/>
        </w:rPr>
        <w:t xml:space="preserve"> The MITRE Caldera platform (an intelligent automated adversary emulation platform) and Atomic Red Team from Red Canary (used to execute atomic script-based unit tests associated with ATT&amp;CK) [6].</w:t>
      </w:r>
    </w:p>
    <w:p w:rsidR="00000000" w:rsidDel="00000000" w:rsidP="00000000" w:rsidRDefault="00000000" w:rsidRPr="00000000" w14:paraId="00000047">
      <w:pPr>
        <w:pStyle w:val="Heading3"/>
        <w:keepNext w:val="0"/>
        <w:keepLines w:val="0"/>
        <w:numPr>
          <w:ilvl w:val="1"/>
          <w:numId w:val="3"/>
        </w:numPr>
        <w:spacing w:after="0" w:before="0" w:lineRule="auto"/>
        <w:ind w:left="1440" w:hanging="360"/>
        <w:rPr>
          <w:color w:val="000000"/>
        </w:rPr>
      </w:pPr>
      <w:r w:rsidDel="00000000" w:rsidR="00000000" w:rsidRPr="00000000">
        <w:rPr>
          <w:b w:val="1"/>
          <w:bCs w:val="1"/>
          <w:color w:val="000000"/>
          <w:rtl w:val="0"/>
        </w:rPr>
        <w:t xml:space="preserve">Platform for Detection and Analytics:</w:t>
      </w:r>
      <w:r w:rsidDel="00000000" w:rsidR="00000000" w:rsidRPr="00000000">
        <w:rPr>
          <w:color w:val="000000"/>
          <w:rtl w:val="0"/>
        </w:rPr>
        <w:t xml:space="preserve"> Either Splunk Enterprise (using the free Developer License for research purposes) or the open-source ELK stack (Elasticsearch, Logstash, Kibana) will be used as the SIEM data lake. Also, Microsoft Sysmon will be used for process creation detection [8].</w:t>
      </w:r>
    </w:p>
    <w:p w:rsidR="00000000" w:rsidDel="00000000" w:rsidP="00000000" w:rsidRDefault="00000000" w:rsidRPr="00000000" w14:paraId="00000048">
      <w:pPr>
        <w:pStyle w:val="Heading3"/>
        <w:keepNext w:val="0"/>
        <w:keepLines w:val="0"/>
        <w:numPr>
          <w:ilvl w:val="1"/>
          <w:numId w:val="3"/>
        </w:numPr>
        <w:spacing w:after="0" w:before="0" w:lineRule="auto"/>
        <w:ind w:left="1440" w:hanging="360"/>
        <w:rPr>
          <w:color w:val="000000"/>
        </w:rPr>
      </w:pPr>
      <w:r w:rsidDel="00000000" w:rsidR="00000000" w:rsidRPr="00000000">
        <w:rPr>
          <w:b w:val="1"/>
          <w:bCs w:val="1"/>
          <w:color w:val="000000"/>
          <w:rtl w:val="0"/>
        </w:rPr>
        <w:t xml:space="preserve">Operating Systems and Infrastructure:</w:t>
      </w:r>
      <w:r w:rsidDel="00000000" w:rsidR="00000000" w:rsidRPr="00000000">
        <w:rPr>
          <w:color w:val="000000"/>
          <w:rtl w:val="0"/>
        </w:rPr>
        <w:t xml:space="preserve"> Microsoft Windows Server 2022 (used as the primary Domain Controller and DNS server) and multiple copies of Windows 11 Enterprise OS (used as normal victim workstations) will be installed using Microsoft evaluation ISOs.</w:t>
      </w:r>
    </w:p>
    <w:p w:rsidR="00000000" w:rsidDel="00000000" w:rsidP="00000000" w:rsidRDefault="00000000" w:rsidRPr="00000000" w14:paraId="00000049">
      <w:pPr>
        <w:pStyle w:val="Heading3"/>
        <w:keepNext w:val="0"/>
        <w:keepLines w:val="0"/>
        <w:numPr>
          <w:ilvl w:val="0"/>
          <w:numId w:val="3"/>
        </w:numPr>
        <w:spacing w:after="240" w:before="0" w:lineRule="auto"/>
        <w:ind w:left="720" w:hanging="360"/>
        <w:rPr>
          <w:color w:val="000000"/>
        </w:rPr>
      </w:pPr>
      <w:r w:rsidDel="00000000" w:rsidR="00000000" w:rsidRPr="00000000">
        <w:rPr>
          <w:b w:val="1"/>
          <w:bCs w:val="1"/>
          <w:color w:val="000000"/>
          <w:rtl w:val="0"/>
        </w:rPr>
        <w:t xml:space="preserve">Hardware Requirements:</w:t>
      </w:r>
      <w:r w:rsidDel="00000000" w:rsidR="00000000" w:rsidRPr="00000000">
        <w:rPr>
          <w:color w:val="000000"/>
          <w:rtl w:val="0"/>
        </w:rPr>
        <w:t xml:space="preserve"> As a result of the high demands placed on a system where all four entities SIEM, a Domain Controller, the attacker's machine (Kali Linux), and the victims machines have to be operating simultaneously, high-performance computing capacity would be required. The hardware components would include a high-quality server or workstation that would have at least 32 to 64 GB of RAM, an 8 core (16 threads) processor, and an NVMe Solid State Drive (SSD). Such a computer would provide hosting capabilities via enterprise-level hypervisor software like VMware ESXi, VMware Workstation Pro, or Oracle VirtualBox for such a complex Active Directory forest infrastructure[11].</w:t>
        <w:br w:type="textWrapping"/>
      </w:r>
    </w:p>
    <w:p w:rsidR="00000000" w:rsidDel="00000000" w:rsidP="00000000" w:rsidRDefault="00000000" w:rsidRPr="00000000" w14:paraId="0000004A">
      <w:pPr>
        <w:pStyle w:val="Heading3"/>
        <w:keepNext w:val="0"/>
        <w:keepLines w:val="0"/>
        <w:spacing w:before="0" w:lineRule="auto"/>
        <w:rPr>
          <w:b w:val="1"/>
          <w:bCs w:val="1"/>
          <w:color w:val="000000"/>
        </w:rPr>
      </w:pPr>
      <w:bookmarkStart w:colFirst="0" w:colLast="0" w:name="_heading=h.nnhiibx8jiwo" w:id="16"/>
      <w:bookmarkEnd w:id="16"/>
      <w:r w:rsidDel="00000000" w:rsidR="00000000" w:rsidRPr="00000000">
        <w:rPr>
          <w:b w:val="1"/>
          <w:bCs w:val="1"/>
          <w:color w:val="000000"/>
          <w:rtl w:val="0"/>
        </w:rPr>
        <w:t xml:space="preserve">4. Outcome</w:t>
      </w:r>
    </w:p>
    <w:p w:rsidR="00000000" w:rsidDel="00000000" w:rsidP="00000000" w:rsidRDefault="00000000" w:rsidRPr="00000000" w14:paraId="0000004B">
      <w:pPr>
        <w:pStyle w:val="Heading3"/>
        <w:keepNext w:val="0"/>
        <w:keepLines w:val="0"/>
        <w:spacing w:after="240" w:before="0" w:lineRule="auto"/>
        <w:rPr>
          <w:color w:val="000000"/>
        </w:rPr>
      </w:pPr>
      <w:r w:rsidDel="00000000" w:rsidR="00000000" w:rsidRPr="00000000">
        <w:rPr>
          <w:b w:val="1"/>
          <w:bCs w:val="1"/>
          <w:color w:val="000000"/>
          <w:rtl w:val="0"/>
        </w:rPr>
        <w:br w:type="textWrapping"/>
      </w:r>
      <w:r w:rsidDel="00000000" w:rsidR="00000000" w:rsidRPr="00000000">
        <w:rPr>
          <w:color w:val="000000"/>
          <w:rtl w:val="0"/>
        </w:rPr>
        <w:t xml:space="preserve">Among the most important expected outcomes of the proposed research are the ability to execute a mathematically sound adversary emulation strategy from beginning to end that will be able to identify any shortcomings related to logging and visibility in the basic Active Directory configurations [10]. One can expect the research to produce a validated set of high-fidelity detection rules (formatted using the universal Sigma language). The produced set of rules will be demonstrated to be capable of identifying very sophisticated attack techniques such as Kerberoasting, AS-REP Roasting, and DCSync Replication exploitation with an extremely low rate of false positives [7].</w:t>
        <w:br w:type="textWrapping"/>
      </w:r>
    </w:p>
    <w:p w:rsidR="00000000" w:rsidDel="00000000" w:rsidP="00000000" w:rsidRDefault="00000000" w:rsidRPr="00000000" w14:paraId="0000004C">
      <w:pPr>
        <w:pStyle w:val="Heading3"/>
        <w:keepNext w:val="0"/>
        <w:keepLines w:val="0"/>
        <w:spacing w:after="240" w:before="0" w:lineRule="auto"/>
        <w:rPr>
          <w:b w:val="1"/>
          <w:bCs w:val="1"/>
          <w:color w:val="000000"/>
        </w:rPr>
      </w:pPr>
      <w:r w:rsidDel="00000000" w:rsidR="00000000" w:rsidRPr="00000000">
        <w:rPr>
          <w:b w:val="1"/>
          <w:bCs w:val="1"/>
          <w:color w:val="000000"/>
          <w:rtl w:val="0"/>
        </w:rPr>
        <w:t xml:space="preserve">Implications for Cybersecurity and CNI</w:t>
      </w:r>
    </w:p>
    <w:p w:rsidR="00000000" w:rsidDel="00000000" w:rsidP="00000000" w:rsidRDefault="00000000" w:rsidRPr="00000000" w14:paraId="0000004D">
      <w:pPr>
        <w:pStyle w:val="Heading3"/>
        <w:keepNext w:val="0"/>
        <w:keepLines w:val="0"/>
        <w:spacing w:after="240" w:before="0" w:lineRule="auto"/>
        <w:rPr>
          <w:color w:val="000000"/>
        </w:rPr>
      </w:pPr>
      <w:r w:rsidDel="00000000" w:rsidR="00000000" w:rsidRPr="00000000">
        <w:rPr>
          <w:color w:val="000000"/>
          <w:rtl w:val="0"/>
        </w:rPr>
        <w:t xml:space="preserve">From a practical perspective, this study gives SOC analysts, detection engineers, and incident responders the tools necessary to adopt a replicable and highly structured approach that would allow them to adapt their defensive stance. This would help organizations transition from being reactive and assuming that a breach has occurred to being proactive and continuously verifying their security [4]. Through standardization of custom detections that would be mapped to the MITRE ATT&amp;CK framework, organizations could visualize their defensive coverage and justify their budget to executive boards and increase their resilience against ransomware deployment and APT lateral movement [2], [5].</w:t>
      </w:r>
    </w:p>
    <w:p w:rsidR="00000000" w:rsidDel="00000000" w:rsidP="00000000" w:rsidRDefault="00000000" w:rsidRPr="00000000" w14:paraId="0000004E">
      <w:pPr>
        <w:pStyle w:val="Heading3"/>
        <w:keepNext w:val="0"/>
        <w:keepLines w:val="0"/>
        <w:spacing w:after="240" w:before="0" w:lineRule="auto"/>
        <w:rPr>
          <w:color w:val="000000"/>
        </w:rPr>
      </w:pPr>
      <w:r w:rsidDel="00000000" w:rsidR="00000000" w:rsidRPr="00000000">
        <w:rPr>
          <w:rtl w:val="0"/>
        </w:rPr>
      </w:r>
    </w:p>
    <w:p w:rsidR="00000000" w:rsidDel="00000000" w:rsidP="00000000" w:rsidRDefault="00000000" w:rsidRPr="00000000" w14:paraId="0000004F">
      <w:pPr>
        <w:pStyle w:val="Heading3"/>
        <w:keepNext w:val="0"/>
        <w:keepLines w:val="0"/>
        <w:spacing w:before="0" w:lineRule="auto"/>
        <w:rPr>
          <w:b w:val="1"/>
          <w:bCs w:val="1"/>
          <w:color w:val="000000"/>
        </w:rPr>
      </w:pPr>
      <w:bookmarkStart w:colFirst="0" w:colLast="0" w:name="_heading=h.xmpafquklaua" w:id="17"/>
      <w:bookmarkEnd w:id="17"/>
      <w:r w:rsidDel="00000000" w:rsidR="00000000" w:rsidRPr="00000000">
        <w:rPr>
          <w:b w:val="1"/>
          <w:bCs w:val="1"/>
          <w:color w:val="000000"/>
          <w:rtl w:val="0"/>
        </w:rPr>
        <w:t xml:space="preserve">5. Timeline</w:t>
      </w:r>
    </w:p>
    <w:p w:rsidR="00000000" w:rsidDel="00000000" w:rsidP="00000000" w:rsidRDefault="00000000" w:rsidRPr="00000000" w14:paraId="00000050">
      <w:pPr>
        <w:pStyle w:val="Heading3"/>
        <w:keepNext w:val="0"/>
        <w:keepLines w:val="0"/>
        <w:spacing w:after="240" w:before="0" w:lineRule="auto"/>
        <w:rPr>
          <w:color w:val="000000"/>
        </w:rPr>
      </w:pPr>
      <w:r w:rsidDel="00000000" w:rsidR="00000000" w:rsidRPr="00000000">
        <w:rPr>
          <w:color w:val="000000"/>
          <w:rtl w:val="0"/>
        </w:rPr>
        <w:t xml:space="preserve">To ensure that the research is completed successfully in a highly structured manner before the last hard MSc deadline of 14 August 2026, the project will strictly adhere to a well-detailed 10 weeks timeline. The following table gives the activities involved in the project together with their dependencies, milestones and allocations of resources (acting as a textual Gantt chart).</w:t>
      </w:r>
    </w:p>
    <w:tbl>
      <w:tblPr>
        <w:tblStyle w:val="Table1"/>
        <w:tblW w:w="96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95"/>
        <w:gridCol w:w="2145"/>
        <w:gridCol w:w="6450"/>
        <w:tblGridChange w:id="0">
          <w:tblGrid>
            <w:gridCol w:w="1095"/>
            <w:gridCol w:w="2145"/>
            <w:gridCol w:w="6450"/>
          </w:tblGrid>
        </w:tblGridChange>
      </w:tblGrid>
      <w:tr>
        <w:trPr>
          <w:cantSplit w:val="0"/>
          <w:trHeight w:val="54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1">
            <w:pPr>
              <w:pStyle w:val="Heading3"/>
              <w:keepNext w:val="0"/>
              <w:keepLines w:val="0"/>
              <w:spacing w:after="480" w:before="0" w:lineRule="auto"/>
              <w:rPr>
                <w:color w:val="000000"/>
              </w:rPr>
            </w:pPr>
            <w:r w:rsidDel="00000000" w:rsidR="00000000" w:rsidRPr="00000000">
              <w:rPr>
                <w:b w:val="1"/>
                <w:bCs w:val="1"/>
                <w:color w:val="000000"/>
                <w:rtl w:val="0"/>
              </w:rPr>
              <w:t xml:space="preserve">Week</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2">
            <w:pPr>
              <w:pStyle w:val="Heading3"/>
              <w:keepNext w:val="0"/>
              <w:keepLines w:val="0"/>
              <w:spacing w:after="480" w:before="0" w:lineRule="auto"/>
              <w:rPr>
                <w:color w:val="000000"/>
              </w:rPr>
            </w:pPr>
            <w:r w:rsidDel="00000000" w:rsidR="00000000" w:rsidRPr="00000000">
              <w:rPr>
                <w:b w:val="1"/>
                <w:bCs w:val="1"/>
                <w:color w:val="000000"/>
                <w:rtl w:val="0"/>
              </w:rPr>
              <w:t xml:space="preserve">Project stage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3">
            <w:pPr>
              <w:pStyle w:val="Heading3"/>
              <w:keepNext w:val="0"/>
              <w:keepLines w:val="0"/>
              <w:spacing w:after="480" w:before="0" w:lineRule="auto"/>
              <w:rPr>
                <w:color w:val="000000"/>
              </w:rPr>
            </w:pPr>
            <w:r w:rsidDel="00000000" w:rsidR="00000000" w:rsidRPr="00000000">
              <w:rPr>
                <w:b w:val="1"/>
                <w:bCs w:val="1"/>
                <w:color w:val="000000"/>
                <w:rtl w:val="0"/>
              </w:rPr>
              <w:t xml:space="preserve">Key Tasks, and Project Milestones</w:t>
            </w:r>
            <w:r w:rsidDel="00000000" w:rsidR="00000000" w:rsidRPr="00000000">
              <w:rPr>
                <w:rtl w:val="0"/>
              </w:rPr>
            </w:r>
          </w:p>
        </w:tc>
      </w:tr>
      <w:tr>
        <w:trPr>
          <w:cantSplit w:val="0"/>
          <w:trHeight w:val="192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4">
            <w:pPr>
              <w:pStyle w:val="Heading3"/>
              <w:keepNext w:val="0"/>
              <w:keepLines w:val="0"/>
              <w:spacing w:after="480" w:before="0" w:lineRule="auto"/>
              <w:rPr>
                <w:color w:val="000000"/>
              </w:rPr>
            </w:pPr>
            <w:r w:rsidDel="00000000" w:rsidR="00000000" w:rsidRPr="00000000">
              <w:rPr>
                <w:color w:val="000000"/>
                <w:rtl w:val="0"/>
              </w:rPr>
              <w:t xml:space="preserve">Week 1-2</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5">
            <w:pPr>
              <w:pStyle w:val="Heading3"/>
              <w:keepNext w:val="0"/>
              <w:keepLines w:val="0"/>
              <w:spacing w:after="480" w:before="0" w:lineRule="auto"/>
              <w:rPr>
                <w:color w:val="000000"/>
              </w:rPr>
            </w:pPr>
            <w:r w:rsidDel="00000000" w:rsidR="00000000" w:rsidRPr="00000000">
              <w:rPr>
                <w:color w:val="000000"/>
                <w:rtl w:val="0"/>
              </w:rPr>
              <w:t xml:space="preserve">Initiation &amp; Literature Deep Exploration</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6">
            <w:pPr>
              <w:pStyle w:val="Heading3"/>
              <w:keepNext w:val="0"/>
              <w:keepLines w:val="0"/>
              <w:spacing w:after="480" w:before="0" w:lineRule="auto"/>
              <w:rPr>
                <w:color w:val="000000"/>
              </w:rPr>
            </w:pPr>
            <w:r w:rsidDel="00000000" w:rsidR="00000000" w:rsidRPr="00000000">
              <w:rPr>
                <w:color w:val="000000"/>
                <w:rtl w:val="0"/>
              </w:rPr>
              <w:t xml:space="preserve">Explore literature on vulnerabilities in AD authentication (Kerberos/NTLM) and MITRE ATT&amp;CK in great detail. Fulfill all the university ethical approval documents regarding offensive security tools and malware simulation.</w:t>
            </w:r>
          </w:p>
        </w:tc>
      </w:tr>
      <w:tr>
        <w:trPr>
          <w:cantSplit w:val="0"/>
          <w:trHeight w:val="192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7">
            <w:pPr>
              <w:pStyle w:val="Heading3"/>
              <w:keepNext w:val="0"/>
              <w:keepLines w:val="0"/>
              <w:spacing w:after="480" w:before="0" w:lineRule="auto"/>
              <w:rPr>
                <w:color w:val="000000"/>
              </w:rPr>
            </w:pPr>
            <w:r w:rsidDel="00000000" w:rsidR="00000000" w:rsidRPr="00000000">
              <w:rPr>
                <w:color w:val="000000"/>
                <w:rtl w:val="0"/>
              </w:rPr>
              <w:t xml:space="preserve">Week 3-4</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8">
            <w:pPr>
              <w:pStyle w:val="Heading3"/>
              <w:keepNext w:val="0"/>
              <w:keepLines w:val="0"/>
              <w:spacing w:after="480" w:before="0" w:lineRule="auto"/>
              <w:rPr>
                <w:color w:val="000000"/>
              </w:rPr>
            </w:pPr>
            <w:r w:rsidDel="00000000" w:rsidR="00000000" w:rsidRPr="00000000">
              <w:rPr>
                <w:color w:val="000000"/>
                <w:rtl w:val="0"/>
              </w:rPr>
              <w:t xml:space="preserve">Lab Setup and Provisioning</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9">
            <w:pPr>
              <w:pStyle w:val="Heading3"/>
              <w:keepNext w:val="0"/>
              <w:keepLines w:val="0"/>
              <w:spacing w:after="480" w:before="0" w:lineRule="auto"/>
              <w:rPr>
                <w:color w:val="000000"/>
              </w:rPr>
            </w:pPr>
            <w:r w:rsidDel="00000000" w:rsidR="00000000" w:rsidRPr="00000000">
              <w:rPr>
                <w:color w:val="000000"/>
                <w:rtl w:val="0"/>
              </w:rPr>
              <w:t xml:space="preserve">Purchase the hardware and set up the Type-1 / Type-2 hypervisor. Install Windows Server 2022 and Windows 11 VMs. Set up the Active Directory Forest, join domains, and install the Splunk SIEM with Sysmon and Winlogbeat agents.</w:t>
            </w:r>
          </w:p>
        </w:tc>
      </w:tr>
      <w:tr>
        <w:trPr>
          <w:cantSplit w:val="0"/>
          <w:trHeight w:val="165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A">
            <w:pPr>
              <w:pStyle w:val="Heading3"/>
              <w:keepNext w:val="0"/>
              <w:keepLines w:val="0"/>
              <w:spacing w:after="480" w:before="0" w:lineRule="auto"/>
              <w:rPr>
                <w:color w:val="000000"/>
              </w:rPr>
            </w:pPr>
            <w:r w:rsidDel="00000000" w:rsidR="00000000" w:rsidRPr="00000000">
              <w:rPr>
                <w:color w:val="000000"/>
                <w:rtl w:val="0"/>
              </w:rPr>
              <w:t xml:space="preserve">Week 5-6</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B">
            <w:pPr>
              <w:pStyle w:val="Heading3"/>
              <w:keepNext w:val="0"/>
              <w:keepLines w:val="0"/>
              <w:spacing w:after="480" w:before="0" w:lineRule="auto"/>
              <w:rPr>
                <w:color w:val="000000"/>
              </w:rPr>
            </w:pPr>
            <w:r w:rsidDel="00000000" w:rsidR="00000000" w:rsidRPr="00000000">
              <w:rPr>
                <w:color w:val="000000"/>
                <w:rtl w:val="0"/>
              </w:rPr>
              <w:t xml:space="preserve">Active Adversary Emulation</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C">
            <w:pPr>
              <w:pStyle w:val="Heading3"/>
              <w:keepNext w:val="0"/>
              <w:keepLines w:val="0"/>
              <w:spacing w:after="480" w:before="0" w:lineRule="auto"/>
              <w:rPr>
                <w:color w:val="000000"/>
              </w:rPr>
            </w:pPr>
            <w:r w:rsidDel="00000000" w:rsidR="00000000" w:rsidRPr="00000000">
              <w:rPr>
                <w:color w:val="000000"/>
                <w:rtl w:val="0"/>
              </w:rPr>
              <w:t xml:space="preserve">Map APT29 activities to real life. Execute Caldera and Atomic Red Team payloads (Discovery, Kerberoasting, DCSync, Pass-the-Hash) on the lab environment that is properly configured and air-gapped.</w:t>
            </w:r>
          </w:p>
        </w:tc>
      </w:tr>
      <w:tr>
        <w:trPr>
          <w:cantSplit w:val="0"/>
          <w:trHeight w:val="165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D">
            <w:pPr>
              <w:pStyle w:val="Heading3"/>
              <w:keepNext w:val="0"/>
              <w:keepLines w:val="0"/>
              <w:spacing w:after="480" w:before="0" w:lineRule="auto"/>
              <w:rPr>
                <w:color w:val="000000"/>
              </w:rPr>
            </w:pPr>
            <w:r w:rsidDel="00000000" w:rsidR="00000000" w:rsidRPr="00000000">
              <w:rPr>
                <w:color w:val="000000"/>
                <w:rtl w:val="0"/>
              </w:rPr>
              <w:t xml:space="preserve">Week 7-8</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E">
            <w:pPr>
              <w:pStyle w:val="Heading3"/>
              <w:keepNext w:val="0"/>
              <w:keepLines w:val="0"/>
              <w:spacing w:after="480" w:before="0" w:lineRule="auto"/>
              <w:rPr>
                <w:color w:val="000000"/>
              </w:rPr>
            </w:pPr>
            <w:r w:rsidDel="00000000" w:rsidR="00000000" w:rsidRPr="00000000">
              <w:rPr>
                <w:color w:val="000000"/>
                <w:rtl w:val="0"/>
              </w:rPr>
              <w:t xml:space="preserve">Telemetry and Gap Analysis</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F">
            <w:pPr>
              <w:pStyle w:val="Heading3"/>
              <w:keepNext w:val="0"/>
              <w:keepLines w:val="0"/>
              <w:spacing w:after="480" w:before="0" w:lineRule="auto"/>
              <w:rPr>
                <w:color w:val="000000"/>
              </w:rPr>
            </w:pPr>
            <w:r w:rsidDel="00000000" w:rsidR="00000000" w:rsidRPr="00000000">
              <w:rPr>
                <w:color w:val="000000"/>
                <w:rtl w:val="0"/>
              </w:rPr>
              <w:t xml:space="preserve">Collect all produced logs into Splunk. Perform thorough SPL query analysis for identifying baseline visibility gaps, missing event IDs, and methods that were able to circumvent default Windows auditing policies.</w:t>
            </w:r>
          </w:p>
        </w:tc>
      </w:tr>
      <w:tr>
        <w:trPr>
          <w:cantSplit w:val="0"/>
          <w:trHeight w:val="192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60">
            <w:pPr>
              <w:pStyle w:val="Heading3"/>
              <w:keepNext w:val="0"/>
              <w:keepLines w:val="0"/>
              <w:spacing w:after="480" w:before="0" w:lineRule="auto"/>
              <w:rPr>
                <w:color w:val="000000"/>
              </w:rPr>
            </w:pPr>
            <w:r w:rsidDel="00000000" w:rsidR="00000000" w:rsidRPr="00000000">
              <w:rPr>
                <w:color w:val="000000"/>
                <w:rtl w:val="0"/>
              </w:rPr>
              <w:t xml:space="preserve">Week 9-10</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61">
            <w:pPr>
              <w:pStyle w:val="Heading3"/>
              <w:keepNext w:val="0"/>
              <w:keepLines w:val="0"/>
              <w:spacing w:after="480" w:before="0" w:lineRule="auto"/>
              <w:rPr>
                <w:color w:val="000000"/>
              </w:rPr>
            </w:pPr>
            <w:r w:rsidDel="00000000" w:rsidR="00000000" w:rsidRPr="00000000">
              <w:rPr>
                <w:color w:val="000000"/>
                <w:rtl w:val="0"/>
              </w:rPr>
              <w:t xml:space="preserve">Detection Engineering (Sigma)</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62">
            <w:pPr>
              <w:pStyle w:val="Heading3"/>
              <w:keepNext w:val="0"/>
              <w:keepLines w:val="0"/>
              <w:spacing w:after="480" w:before="0" w:lineRule="auto"/>
              <w:rPr>
                <w:color w:val="000000"/>
              </w:rPr>
            </w:pPr>
            <w:r w:rsidDel="00000000" w:rsidR="00000000" w:rsidRPr="00000000">
              <w:rPr>
                <w:color w:val="000000"/>
                <w:rtl w:val="0"/>
              </w:rPr>
              <w:t xml:space="preserve">Step into the engineering cycle: Write, test, and iteratively refine Sigma rules crafted for detecting the successful emulated methods. Emulate again for proving TP rates and low FP rates.</w:t>
            </w:r>
          </w:p>
        </w:tc>
      </w:tr>
    </w:tbl>
    <w:p w:rsidR="00000000" w:rsidDel="00000000" w:rsidP="00000000" w:rsidRDefault="00000000" w:rsidRPr="00000000" w14:paraId="00000063">
      <w:pPr>
        <w:pStyle w:val="Heading3"/>
        <w:keepNext w:val="0"/>
        <w:keepLines w:val="0"/>
        <w:spacing w:before="280" w:lineRule="auto"/>
        <w:rPr>
          <w:color w:val="1155cc"/>
          <w:sz w:val="28"/>
          <w:szCs w:val="28"/>
          <w:u w:val="single"/>
        </w:rPr>
      </w:pPr>
      <w:bookmarkStart w:colFirst="0" w:colLast="0" w:name="_heading=h.3k17kwj5zlbl" w:id="18"/>
      <w:bookmarkEnd w:id="18"/>
      <w:r w:rsidDel="00000000" w:rsidR="00000000" w:rsidRPr="00000000">
        <w:rPr>
          <w:b w:val="1"/>
          <w:bCs w:val="1"/>
          <w:color w:val="000000"/>
          <w:rtl w:val="0"/>
        </w:rPr>
        <w:t xml:space="preserve">References</w:t>
      </w:r>
      <w:r w:rsidDel="00000000" w:rsidR="00000000" w:rsidRPr="00000000">
        <w:rPr>
          <w:rtl w:val="0"/>
        </w:rPr>
      </w:r>
    </w:p>
    <w:p w:rsidR="00000000" w:rsidDel="00000000" w:rsidP="00000000" w:rsidRDefault="00000000" w:rsidRPr="00000000" w14:paraId="00000064">
      <w:pPr>
        <w:spacing w:after="240" w:before="240" w:lineRule="auto"/>
        <w:rPr>
          <w:color w:val="1155cc"/>
          <w:sz w:val="28"/>
          <w:szCs w:val="28"/>
          <w:u w:val="single"/>
        </w:rPr>
      </w:pPr>
      <w:r w:rsidDel="00000000" w:rsidR="00000000" w:rsidRPr="00000000">
        <w:rPr>
          <w:sz w:val="28"/>
          <w:szCs w:val="28"/>
          <w:rtl w:val="0"/>
        </w:rPr>
        <w:t xml:space="preserve">[1] Microsoft Security, "Active Directory Security Assessment: Safeguarding the keys to the kingdom," Microsoft Corporation, Tech. Rep., 2022. [Online]. Available:</w:t>
      </w:r>
      <w:hyperlink r:id="rId8">
        <w:r w:rsidDel="00000000" w:rsidR="00000000" w:rsidRPr="00000000">
          <w:rPr>
            <w:sz w:val="28"/>
            <w:szCs w:val="28"/>
            <w:rtl w:val="0"/>
          </w:rPr>
          <w:t xml:space="preserve"> </w:t>
        </w:r>
      </w:hyperlink>
      <w:hyperlink r:id="rId9">
        <w:r w:rsidDel="00000000" w:rsidR="00000000" w:rsidRPr="00000000">
          <w:rPr>
            <w:color w:val="1155cc"/>
            <w:sz w:val="28"/>
            <w:szCs w:val="28"/>
            <w:u w:val="single"/>
            <w:rtl w:val="0"/>
          </w:rPr>
          <w:t xml:space="preserve">https://www.microsoft.com/security/blog/active-directory-security/</w:t>
        </w:r>
      </w:hyperlink>
      <w:r w:rsidDel="00000000" w:rsidR="00000000" w:rsidRPr="00000000">
        <w:rPr>
          <w:rtl w:val="0"/>
        </w:rPr>
      </w:r>
    </w:p>
    <w:p w:rsidR="00000000" w:rsidDel="00000000" w:rsidP="00000000" w:rsidRDefault="00000000" w:rsidRPr="00000000" w14:paraId="00000065">
      <w:pPr>
        <w:spacing w:after="240" w:before="240" w:lineRule="auto"/>
        <w:rPr>
          <w:color w:val="1155cc"/>
          <w:sz w:val="28"/>
          <w:szCs w:val="28"/>
          <w:u w:val="single"/>
        </w:rPr>
      </w:pPr>
      <w:r w:rsidDel="00000000" w:rsidR="00000000" w:rsidRPr="00000000">
        <w:rPr>
          <w:sz w:val="28"/>
          <w:szCs w:val="28"/>
          <w:rtl w:val="0"/>
        </w:rPr>
        <w:t xml:space="preserve">[2] Mandiant, "M-Trends 2024: Cyber Security Year in Review," Mandiant (Google Cloud), Special Report, 2024. [Online]. Available:</w:t>
      </w:r>
      <w:hyperlink r:id="rId10">
        <w:r w:rsidDel="00000000" w:rsidR="00000000" w:rsidRPr="00000000">
          <w:rPr>
            <w:sz w:val="28"/>
            <w:szCs w:val="28"/>
            <w:rtl w:val="0"/>
          </w:rPr>
          <w:t xml:space="preserve"> </w:t>
        </w:r>
      </w:hyperlink>
      <w:hyperlink r:id="rId11">
        <w:r w:rsidDel="00000000" w:rsidR="00000000" w:rsidRPr="00000000">
          <w:rPr>
            <w:color w:val="1155cc"/>
            <w:sz w:val="28"/>
            <w:szCs w:val="28"/>
            <w:u w:val="single"/>
            <w:rtl w:val="0"/>
          </w:rPr>
          <w:t xml:space="preserve">https://www.mandiant.com/resources/reports/m-trends-2024</w:t>
        </w:r>
      </w:hyperlink>
      <w:r w:rsidDel="00000000" w:rsidR="00000000" w:rsidRPr="00000000">
        <w:rPr>
          <w:rtl w:val="0"/>
        </w:rPr>
      </w:r>
    </w:p>
    <w:p w:rsidR="00000000" w:rsidDel="00000000" w:rsidP="00000000" w:rsidRDefault="00000000" w:rsidRPr="00000000" w14:paraId="00000066">
      <w:pPr>
        <w:spacing w:after="240" w:before="240" w:lineRule="auto"/>
        <w:rPr>
          <w:color w:val="1155cc"/>
          <w:sz w:val="28"/>
          <w:szCs w:val="28"/>
          <w:u w:val="single"/>
        </w:rPr>
      </w:pPr>
      <w:r w:rsidDel="00000000" w:rsidR="00000000" w:rsidRPr="00000000">
        <w:rPr>
          <w:sz w:val="28"/>
          <w:szCs w:val="28"/>
          <w:rtl w:val="0"/>
        </w:rPr>
        <w:t xml:space="preserve">[3] M. Gödecke and J. Schwenk, "Kerberoasting Revisited," </w:t>
      </w:r>
      <w:r w:rsidDel="00000000" w:rsidR="00000000" w:rsidRPr="00000000">
        <w:rPr>
          <w:i w:val="1"/>
          <w:iCs w:val="1"/>
          <w:sz w:val="28"/>
          <w:szCs w:val="28"/>
          <w:rtl w:val="0"/>
        </w:rPr>
        <w:t xml:space="preserve">2020 IEEE European Symposium on Security and Privacy (EuroS&amp;P)</w:t>
      </w:r>
      <w:r w:rsidDel="00000000" w:rsidR="00000000" w:rsidRPr="00000000">
        <w:rPr>
          <w:sz w:val="28"/>
          <w:szCs w:val="28"/>
          <w:rtl w:val="0"/>
        </w:rPr>
        <w:t xml:space="preserve">, pp. 297-310, Sep. 2020. [Online]. Available:</w:t>
      </w:r>
      <w:hyperlink r:id="rId12">
        <w:r w:rsidDel="00000000" w:rsidR="00000000" w:rsidRPr="00000000">
          <w:rPr>
            <w:sz w:val="28"/>
            <w:szCs w:val="28"/>
            <w:rtl w:val="0"/>
          </w:rPr>
          <w:t xml:space="preserve"> </w:t>
        </w:r>
      </w:hyperlink>
      <w:hyperlink r:id="rId13">
        <w:r w:rsidDel="00000000" w:rsidR="00000000" w:rsidRPr="00000000">
          <w:rPr>
            <w:color w:val="1155cc"/>
            <w:sz w:val="28"/>
            <w:szCs w:val="28"/>
            <w:u w:val="single"/>
            <w:rtl w:val="0"/>
          </w:rPr>
          <w:t xml:space="preserve">https://ieeexplore.ieee.org/document/9230438</w:t>
        </w:r>
      </w:hyperlink>
      <w:r w:rsidDel="00000000" w:rsidR="00000000" w:rsidRPr="00000000">
        <w:rPr>
          <w:rtl w:val="0"/>
        </w:rPr>
      </w:r>
    </w:p>
    <w:p w:rsidR="00000000" w:rsidDel="00000000" w:rsidP="00000000" w:rsidRDefault="00000000" w:rsidRPr="00000000" w14:paraId="00000067">
      <w:pPr>
        <w:spacing w:after="240" w:before="240" w:lineRule="auto"/>
        <w:rPr>
          <w:color w:val="1155cc"/>
          <w:sz w:val="28"/>
          <w:szCs w:val="28"/>
          <w:u w:val="single"/>
        </w:rPr>
      </w:pPr>
      <w:r w:rsidDel="00000000" w:rsidR="00000000" w:rsidRPr="00000000">
        <w:rPr>
          <w:sz w:val="28"/>
          <w:szCs w:val="28"/>
          <w:rtl w:val="0"/>
        </w:rPr>
        <w:t xml:space="preserve">[4] S. Haas, R. Böhme, and M. E. Locasto, "Purple Teaming: Bridging the Gap between Offensive and Defensive Security," </w:t>
      </w:r>
      <w:r w:rsidDel="00000000" w:rsidR="00000000" w:rsidRPr="00000000">
        <w:rPr>
          <w:i w:val="1"/>
          <w:iCs w:val="1"/>
          <w:sz w:val="28"/>
          <w:szCs w:val="28"/>
          <w:rtl w:val="0"/>
        </w:rPr>
        <w:t xml:space="preserve">Journal of Cybersecurity</w:t>
      </w:r>
      <w:r w:rsidDel="00000000" w:rsidR="00000000" w:rsidRPr="00000000">
        <w:rPr>
          <w:sz w:val="28"/>
          <w:szCs w:val="28"/>
          <w:rtl w:val="0"/>
        </w:rPr>
        <w:t xml:space="preserve">, vol. 7, no. 1, p. tyab014, 2021. [Online]. Available:</w:t>
      </w:r>
      <w:hyperlink r:id="rId14">
        <w:r w:rsidDel="00000000" w:rsidR="00000000" w:rsidRPr="00000000">
          <w:rPr>
            <w:sz w:val="28"/>
            <w:szCs w:val="28"/>
            <w:rtl w:val="0"/>
          </w:rPr>
          <w:t xml:space="preserve"> </w:t>
        </w:r>
      </w:hyperlink>
      <w:hyperlink r:id="rId15">
        <w:r w:rsidDel="00000000" w:rsidR="00000000" w:rsidRPr="00000000">
          <w:rPr>
            <w:color w:val="1155cc"/>
            <w:sz w:val="28"/>
            <w:szCs w:val="28"/>
            <w:u w:val="single"/>
            <w:rtl w:val="0"/>
          </w:rPr>
          <w:t xml:space="preserve">https://academic.oup.com/cybersecurity/article/7/1/tyab014/6356770</w:t>
        </w:r>
      </w:hyperlink>
      <w:r w:rsidDel="00000000" w:rsidR="00000000" w:rsidRPr="00000000">
        <w:rPr>
          <w:rtl w:val="0"/>
        </w:rPr>
      </w:r>
    </w:p>
    <w:p w:rsidR="00000000" w:rsidDel="00000000" w:rsidP="00000000" w:rsidRDefault="00000000" w:rsidRPr="00000000" w14:paraId="00000068">
      <w:pPr>
        <w:spacing w:after="240" w:before="240" w:lineRule="auto"/>
        <w:rPr>
          <w:color w:val="1155cc"/>
          <w:sz w:val="28"/>
          <w:szCs w:val="28"/>
          <w:u w:val="single"/>
        </w:rPr>
      </w:pPr>
      <w:r w:rsidDel="00000000" w:rsidR="00000000" w:rsidRPr="00000000">
        <w:rPr>
          <w:sz w:val="28"/>
          <w:szCs w:val="28"/>
          <w:rtl w:val="0"/>
        </w:rPr>
        <w:t xml:space="preserve">[5] B. E. Strom, A. Applebaum, D. P. Miller, K. C. Nickels, A. G. Pennington, and C. B. Thomas, "MITRE ATT&amp;CK: Design and Philosophy," </w:t>
      </w:r>
      <w:r w:rsidDel="00000000" w:rsidR="00000000" w:rsidRPr="00000000">
        <w:rPr>
          <w:i w:val="1"/>
          <w:iCs w:val="1"/>
          <w:sz w:val="28"/>
          <w:szCs w:val="28"/>
          <w:rtl w:val="0"/>
        </w:rPr>
        <w:t xml:space="preserve">The MITRE Corporation</w:t>
      </w:r>
      <w:r w:rsidDel="00000000" w:rsidR="00000000" w:rsidRPr="00000000">
        <w:rPr>
          <w:sz w:val="28"/>
          <w:szCs w:val="28"/>
          <w:rtl w:val="0"/>
        </w:rPr>
        <w:t xml:space="preserve">, Tech. Rep., Jul. 2018. [Online]. Available:</w:t>
      </w:r>
      <w:hyperlink r:id="rId16">
        <w:r w:rsidDel="00000000" w:rsidR="00000000" w:rsidRPr="00000000">
          <w:rPr>
            <w:sz w:val="28"/>
            <w:szCs w:val="28"/>
            <w:rtl w:val="0"/>
          </w:rPr>
          <w:t xml:space="preserve"> </w:t>
        </w:r>
      </w:hyperlink>
      <w:hyperlink r:id="rId17">
        <w:r w:rsidDel="00000000" w:rsidR="00000000" w:rsidRPr="00000000">
          <w:rPr>
            <w:color w:val="1155cc"/>
            <w:sz w:val="28"/>
            <w:szCs w:val="28"/>
            <w:u w:val="single"/>
            <w:rtl w:val="0"/>
          </w:rPr>
          <w:t xml:space="preserve">https://attack.mitre.org/docs/ATTACK_Design_and_Philosophy_March_2020.pdf</w:t>
        </w:r>
      </w:hyperlink>
      <w:r w:rsidDel="00000000" w:rsidR="00000000" w:rsidRPr="00000000">
        <w:rPr>
          <w:rtl w:val="0"/>
        </w:rPr>
      </w:r>
    </w:p>
    <w:p w:rsidR="00000000" w:rsidDel="00000000" w:rsidP="00000000" w:rsidRDefault="00000000" w:rsidRPr="00000000" w14:paraId="00000069">
      <w:pPr>
        <w:spacing w:after="240" w:before="240" w:lineRule="auto"/>
        <w:rPr>
          <w:color w:val="1155cc"/>
          <w:sz w:val="28"/>
          <w:szCs w:val="28"/>
          <w:u w:val="single"/>
        </w:rPr>
      </w:pPr>
      <w:r w:rsidDel="00000000" w:rsidR="00000000" w:rsidRPr="00000000">
        <w:rPr>
          <w:sz w:val="28"/>
          <w:szCs w:val="28"/>
          <w:rtl w:val="0"/>
        </w:rPr>
        <w:t xml:space="preserve">[6] Red Canary, "Atomic Red Team: Adversary Emulation Framework," </w:t>
      </w:r>
      <w:r w:rsidDel="00000000" w:rsidR="00000000" w:rsidRPr="00000000">
        <w:rPr>
          <w:i w:val="1"/>
          <w:iCs w:val="1"/>
          <w:sz w:val="28"/>
          <w:szCs w:val="28"/>
          <w:rtl w:val="0"/>
        </w:rPr>
        <w:t xml:space="preserve">Red Canary Research</w:t>
      </w:r>
      <w:r w:rsidDel="00000000" w:rsidR="00000000" w:rsidRPr="00000000">
        <w:rPr>
          <w:sz w:val="28"/>
          <w:szCs w:val="28"/>
          <w:rtl w:val="0"/>
        </w:rPr>
        <w:t xml:space="preserve">, 2023. [Online]. Available:</w:t>
      </w:r>
      <w:hyperlink r:id="rId18">
        <w:r w:rsidDel="00000000" w:rsidR="00000000" w:rsidRPr="00000000">
          <w:rPr>
            <w:sz w:val="28"/>
            <w:szCs w:val="28"/>
            <w:rtl w:val="0"/>
          </w:rPr>
          <w:t xml:space="preserve"> </w:t>
        </w:r>
      </w:hyperlink>
      <w:hyperlink r:id="rId19">
        <w:r w:rsidDel="00000000" w:rsidR="00000000" w:rsidRPr="00000000">
          <w:rPr>
            <w:color w:val="1155cc"/>
            <w:sz w:val="28"/>
            <w:szCs w:val="28"/>
            <w:u w:val="single"/>
            <w:rtl w:val="0"/>
          </w:rPr>
          <w:t xml:space="preserve">https://atomicredteam.io/</w:t>
        </w:r>
      </w:hyperlink>
      <w:r w:rsidDel="00000000" w:rsidR="00000000" w:rsidRPr="00000000">
        <w:rPr>
          <w:rtl w:val="0"/>
        </w:rPr>
      </w:r>
    </w:p>
    <w:p w:rsidR="00000000" w:rsidDel="00000000" w:rsidP="00000000" w:rsidRDefault="00000000" w:rsidRPr="00000000" w14:paraId="0000006A">
      <w:pPr>
        <w:spacing w:after="240" w:before="240" w:lineRule="auto"/>
        <w:rPr>
          <w:color w:val="1155cc"/>
          <w:sz w:val="28"/>
          <w:szCs w:val="28"/>
          <w:u w:val="single"/>
        </w:rPr>
      </w:pPr>
      <w:r w:rsidDel="00000000" w:rsidR="00000000" w:rsidRPr="00000000">
        <w:rPr>
          <w:sz w:val="28"/>
          <w:szCs w:val="28"/>
          <w:rtl w:val="0"/>
        </w:rPr>
        <w:t xml:space="preserve">[7] T. Thomas, C. Zimmer, and M. Roesch, "Sigma: Generic Signature Format for SIEM Systems," </w:t>
      </w:r>
      <w:r w:rsidDel="00000000" w:rsidR="00000000" w:rsidRPr="00000000">
        <w:rPr>
          <w:i w:val="1"/>
          <w:iCs w:val="1"/>
          <w:sz w:val="28"/>
          <w:szCs w:val="28"/>
          <w:rtl w:val="0"/>
        </w:rPr>
        <w:t xml:space="preserve">Digital Investigation</w:t>
      </w:r>
      <w:r w:rsidDel="00000000" w:rsidR="00000000" w:rsidRPr="00000000">
        <w:rPr>
          <w:sz w:val="28"/>
          <w:szCs w:val="28"/>
          <w:rtl w:val="0"/>
        </w:rPr>
        <w:t xml:space="preserve">, vol. 37, p. 301220, 2021. [Online]. Available:</w:t>
      </w:r>
      <w:hyperlink r:id="rId20">
        <w:r w:rsidDel="00000000" w:rsidR="00000000" w:rsidRPr="00000000">
          <w:rPr>
            <w:sz w:val="28"/>
            <w:szCs w:val="28"/>
            <w:rtl w:val="0"/>
          </w:rPr>
          <w:t xml:space="preserve"> </w:t>
        </w:r>
      </w:hyperlink>
      <w:hyperlink r:id="rId21">
        <w:r w:rsidDel="00000000" w:rsidR="00000000" w:rsidRPr="00000000">
          <w:rPr>
            <w:color w:val="1155cc"/>
            <w:sz w:val="28"/>
            <w:szCs w:val="28"/>
            <w:u w:val="single"/>
            <w:rtl w:val="0"/>
          </w:rPr>
          <w:t xml:space="preserve">https://github.com/SigmaHQ/sigma</w:t>
        </w:r>
      </w:hyperlink>
      <w:r w:rsidDel="00000000" w:rsidR="00000000" w:rsidRPr="00000000">
        <w:rPr>
          <w:rtl w:val="0"/>
        </w:rPr>
      </w:r>
    </w:p>
    <w:p w:rsidR="00000000" w:rsidDel="00000000" w:rsidP="00000000" w:rsidRDefault="00000000" w:rsidRPr="00000000" w14:paraId="0000006B">
      <w:pPr>
        <w:spacing w:after="240" w:before="240" w:lineRule="auto"/>
        <w:rPr>
          <w:color w:val="1155cc"/>
          <w:sz w:val="28"/>
          <w:szCs w:val="28"/>
          <w:u w:val="single"/>
        </w:rPr>
      </w:pPr>
      <w:r w:rsidDel="00000000" w:rsidR="00000000" w:rsidRPr="00000000">
        <w:rPr>
          <w:sz w:val="28"/>
          <w:szCs w:val="28"/>
          <w:rtl w:val="0"/>
        </w:rPr>
        <w:t xml:space="preserve">[8] M. Russinovich and T. Garnier, "Sysmon (System Monitor) - Windows Sysinternals," </w:t>
      </w:r>
      <w:r w:rsidDel="00000000" w:rsidR="00000000" w:rsidRPr="00000000">
        <w:rPr>
          <w:i w:val="1"/>
          <w:iCs w:val="1"/>
          <w:sz w:val="28"/>
          <w:szCs w:val="28"/>
          <w:rtl w:val="0"/>
        </w:rPr>
        <w:t xml:space="preserve">Microsoft Learn</w:t>
      </w:r>
      <w:r w:rsidDel="00000000" w:rsidR="00000000" w:rsidRPr="00000000">
        <w:rPr>
          <w:sz w:val="28"/>
          <w:szCs w:val="28"/>
          <w:rtl w:val="0"/>
        </w:rPr>
        <w:t xml:space="preserve">, 2023. [Online]. Available:</w:t>
      </w:r>
      <w:hyperlink r:id="rId22">
        <w:r w:rsidDel="00000000" w:rsidR="00000000" w:rsidRPr="00000000">
          <w:rPr>
            <w:sz w:val="28"/>
            <w:szCs w:val="28"/>
            <w:rtl w:val="0"/>
          </w:rPr>
          <w:t xml:space="preserve"> </w:t>
        </w:r>
      </w:hyperlink>
      <w:hyperlink r:id="rId23">
        <w:r w:rsidDel="00000000" w:rsidR="00000000" w:rsidRPr="00000000">
          <w:rPr>
            <w:color w:val="1155cc"/>
            <w:sz w:val="28"/>
            <w:szCs w:val="28"/>
            <w:u w:val="single"/>
            <w:rtl w:val="0"/>
          </w:rPr>
          <w:t xml:space="preserve">https://learn.microsoft.com/en-us/sysinternals/downloads/sysmon</w:t>
        </w:r>
      </w:hyperlink>
      <w:r w:rsidDel="00000000" w:rsidR="00000000" w:rsidRPr="00000000">
        <w:rPr>
          <w:rtl w:val="0"/>
        </w:rPr>
      </w:r>
    </w:p>
    <w:p w:rsidR="00000000" w:rsidDel="00000000" w:rsidP="00000000" w:rsidRDefault="00000000" w:rsidRPr="00000000" w14:paraId="0000006C">
      <w:pPr>
        <w:spacing w:after="240" w:before="240" w:lineRule="auto"/>
        <w:rPr>
          <w:color w:val="1155cc"/>
          <w:sz w:val="28"/>
          <w:szCs w:val="28"/>
          <w:u w:val="single"/>
        </w:rPr>
      </w:pPr>
      <w:r w:rsidDel="00000000" w:rsidR="00000000" w:rsidRPr="00000000">
        <w:rPr>
          <w:sz w:val="28"/>
          <w:szCs w:val="28"/>
          <w:rtl w:val="0"/>
        </w:rPr>
        <w:t xml:space="preserve">[9] A. Robbins, R. Rohan, and W. Schroeder, "BloodHound: Six Degrees of Domain Admin," </w:t>
      </w:r>
      <w:r w:rsidDel="00000000" w:rsidR="00000000" w:rsidRPr="00000000">
        <w:rPr>
          <w:i w:val="1"/>
          <w:iCs w:val="1"/>
          <w:sz w:val="28"/>
          <w:szCs w:val="28"/>
          <w:rtl w:val="0"/>
        </w:rPr>
        <w:t xml:space="preserve">DEF CON 24</w:t>
      </w:r>
      <w:r w:rsidDel="00000000" w:rsidR="00000000" w:rsidRPr="00000000">
        <w:rPr>
          <w:sz w:val="28"/>
          <w:szCs w:val="28"/>
          <w:rtl w:val="0"/>
        </w:rPr>
        <w:t xml:space="preserve">, 2016. [Online]. Available:</w:t>
      </w:r>
      <w:hyperlink r:id="rId24">
        <w:r w:rsidDel="00000000" w:rsidR="00000000" w:rsidRPr="00000000">
          <w:rPr>
            <w:sz w:val="28"/>
            <w:szCs w:val="28"/>
            <w:rtl w:val="0"/>
          </w:rPr>
          <w:t xml:space="preserve"> </w:t>
        </w:r>
      </w:hyperlink>
      <w:hyperlink r:id="rId25">
        <w:r w:rsidDel="00000000" w:rsidR="00000000" w:rsidRPr="00000000">
          <w:rPr>
            <w:color w:val="1155cc"/>
            <w:sz w:val="28"/>
            <w:szCs w:val="28"/>
            <w:u w:val="single"/>
            <w:rtl w:val="0"/>
          </w:rPr>
          <w:t xml:space="preserve">https://github.com/BloodHoundAD/BloodHound</w:t>
        </w:r>
      </w:hyperlink>
      <w:r w:rsidDel="00000000" w:rsidR="00000000" w:rsidRPr="00000000">
        <w:rPr>
          <w:rtl w:val="0"/>
        </w:rPr>
      </w:r>
    </w:p>
    <w:p w:rsidR="00000000" w:rsidDel="00000000" w:rsidP="00000000" w:rsidRDefault="00000000" w:rsidRPr="00000000" w14:paraId="0000006D">
      <w:pPr>
        <w:spacing w:after="240" w:before="240" w:lineRule="auto"/>
        <w:rPr>
          <w:color w:val="1155cc"/>
          <w:sz w:val="28"/>
          <w:szCs w:val="28"/>
          <w:u w:val="single"/>
        </w:rPr>
      </w:pPr>
      <w:r w:rsidDel="00000000" w:rsidR="00000000" w:rsidRPr="00000000">
        <w:rPr>
          <w:sz w:val="28"/>
          <w:szCs w:val="28"/>
          <w:rtl w:val="0"/>
        </w:rPr>
        <w:t xml:space="preserve">[10] A. Applebaum, D. Miller, B. Strom, C. Korban, and R. Wolf, "Intelligent, Automated Red Team Emulation," in </w:t>
      </w:r>
      <w:r w:rsidDel="00000000" w:rsidR="00000000" w:rsidRPr="00000000">
        <w:rPr>
          <w:i w:val="1"/>
          <w:iCs w:val="1"/>
          <w:sz w:val="28"/>
          <w:szCs w:val="28"/>
          <w:rtl w:val="0"/>
        </w:rPr>
        <w:t xml:space="preserve">Proceedings of the 32nd Annual Conference on Computer Security Applications (ACSAC)</w:t>
      </w:r>
      <w:r w:rsidDel="00000000" w:rsidR="00000000" w:rsidRPr="00000000">
        <w:rPr>
          <w:sz w:val="28"/>
          <w:szCs w:val="28"/>
          <w:rtl w:val="0"/>
        </w:rPr>
        <w:t xml:space="preserve">, pp. 363-373, 2016. [Online]. Available:</w:t>
      </w:r>
      <w:hyperlink r:id="rId26">
        <w:r w:rsidDel="00000000" w:rsidR="00000000" w:rsidRPr="00000000">
          <w:rPr>
            <w:sz w:val="28"/>
            <w:szCs w:val="28"/>
            <w:rtl w:val="0"/>
          </w:rPr>
          <w:t xml:space="preserve"> </w:t>
        </w:r>
      </w:hyperlink>
      <w:hyperlink r:id="rId27">
        <w:r w:rsidDel="00000000" w:rsidR="00000000" w:rsidRPr="00000000">
          <w:rPr>
            <w:color w:val="1155cc"/>
            <w:sz w:val="28"/>
            <w:szCs w:val="28"/>
            <w:u w:val="single"/>
            <w:rtl w:val="0"/>
          </w:rPr>
          <w:t xml:space="preserve">https://dl.acm.org/doi/10.1145/2991079.2991111</w:t>
        </w:r>
      </w:hyperlink>
      <w:r w:rsidDel="00000000" w:rsidR="00000000" w:rsidRPr="00000000">
        <w:rPr>
          <w:rtl w:val="0"/>
        </w:rPr>
      </w:r>
    </w:p>
    <w:p w:rsidR="00000000" w:rsidDel="00000000" w:rsidP="00000000" w:rsidRDefault="00000000" w:rsidRPr="00000000" w14:paraId="0000006E">
      <w:pPr>
        <w:spacing w:after="240" w:before="240" w:lineRule="auto"/>
        <w:rPr>
          <w:color w:val="1155cc"/>
          <w:sz w:val="28"/>
          <w:szCs w:val="28"/>
          <w:u w:val="single"/>
        </w:rPr>
      </w:pPr>
      <w:r w:rsidDel="00000000" w:rsidR="00000000" w:rsidRPr="00000000">
        <w:rPr>
          <w:sz w:val="28"/>
          <w:szCs w:val="28"/>
          <w:rtl w:val="0"/>
        </w:rPr>
        <w:t xml:space="preserve">[11] S. U. Jan, S. Ishfaq, F. Hussain, and M. S. Liaqat, "A Comprehensive Survey on Cyber Ranges and Testbeds: Architecture, Use Cases, and Challenges," </w:t>
      </w:r>
      <w:r w:rsidDel="00000000" w:rsidR="00000000" w:rsidRPr="00000000">
        <w:rPr>
          <w:i w:val="1"/>
          <w:iCs w:val="1"/>
          <w:sz w:val="28"/>
          <w:szCs w:val="28"/>
          <w:rtl w:val="0"/>
        </w:rPr>
        <w:t xml:space="preserve">IEEE Access</w:t>
      </w:r>
      <w:r w:rsidDel="00000000" w:rsidR="00000000" w:rsidRPr="00000000">
        <w:rPr>
          <w:sz w:val="28"/>
          <w:szCs w:val="28"/>
          <w:rtl w:val="0"/>
        </w:rPr>
        <w:t xml:space="preserve">, vol. 7, pp. 165675-165691, 2019. [Online]. Available:</w:t>
      </w:r>
      <w:hyperlink r:id="rId28">
        <w:r w:rsidDel="00000000" w:rsidR="00000000" w:rsidRPr="00000000">
          <w:rPr>
            <w:sz w:val="28"/>
            <w:szCs w:val="28"/>
            <w:rtl w:val="0"/>
          </w:rPr>
          <w:t xml:space="preserve"> </w:t>
        </w:r>
      </w:hyperlink>
      <w:hyperlink r:id="rId29">
        <w:r w:rsidDel="00000000" w:rsidR="00000000" w:rsidRPr="00000000">
          <w:rPr>
            <w:color w:val="1155cc"/>
            <w:sz w:val="28"/>
            <w:szCs w:val="28"/>
            <w:u w:val="single"/>
            <w:rtl w:val="0"/>
          </w:rPr>
          <w:t xml:space="preserve">https://ieeexplore.ieee.org/document/8896944</w:t>
        </w:r>
      </w:hyperlink>
      <w:r w:rsidDel="00000000" w:rsidR="00000000" w:rsidRPr="00000000">
        <w:rPr>
          <w:rtl w:val="0"/>
        </w:rPr>
      </w:r>
    </w:p>
    <w:p w:rsidR="00000000" w:rsidDel="00000000" w:rsidP="00000000" w:rsidRDefault="00000000" w:rsidRPr="00000000" w14:paraId="0000006F">
      <w:pPr>
        <w:spacing w:after="240" w:before="240" w:lineRule="auto"/>
        <w:rPr>
          <w:color w:val="1155cc"/>
          <w:sz w:val="28"/>
          <w:szCs w:val="28"/>
          <w:u w:val="single"/>
        </w:rPr>
      </w:pPr>
      <w:r w:rsidDel="00000000" w:rsidR="00000000" w:rsidRPr="00000000">
        <w:rPr>
          <w:sz w:val="28"/>
          <w:szCs w:val="28"/>
          <w:rtl w:val="0"/>
        </w:rPr>
        <w:t xml:space="preserve">[12] C. Rossow, C. J. Dietrich, C. Grier, C. Kreibich, V. Paxson, N. Pohlmann, H. Bos, and M. Van Steen, "Prudent Practices for Designing Malware Experiments: Status Quo and Outlook," </w:t>
      </w:r>
      <w:r w:rsidDel="00000000" w:rsidR="00000000" w:rsidRPr="00000000">
        <w:rPr>
          <w:i w:val="1"/>
          <w:iCs w:val="1"/>
          <w:sz w:val="28"/>
          <w:szCs w:val="28"/>
          <w:rtl w:val="0"/>
        </w:rPr>
        <w:t xml:space="preserve">2012 IEEE Symposium on Security and Privacy</w:t>
      </w:r>
      <w:r w:rsidDel="00000000" w:rsidR="00000000" w:rsidRPr="00000000">
        <w:rPr>
          <w:sz w:val="28"/>
          <w:szCs w:val="28"/>
          <w:rtl w:val="0"/>
        </w:rPr>
        <w:t xml:space="preserve">, pp. 65-79, 2012. [Online]. Available:</w:t>
      </w:r>
      <w:hyperlink r:id="rId30">
        <w:r w:rsidDel="00000000" w:rsidR="00000000" w:rsidRPr="00000000">
          <w:rPr>
            <w:sz w:val="28"/>
            <w:szCs w:val="28"/>
            <w:rtl w:val="0"/>
          </w:rPr>
          <w:t xml:space="preserve"> </w:t>
        </w:r>
      </w:hyperlink>
      <w:hyperlink r:id="rId31">
        <w:r w:rsidDel="00000000" w:rsidR="00000000" w:rsidRPr="00000000">
          <w:rPr>
            <w:color w:val="1155cc"/>
            <w:sz w:val="28"/>
            <w:szCs w:val="28"/>
            <w:u w:val="single"/>
            <w:rtl w:val="0"/>
          </w:rPr>
          <w:t xml:space="preserve">https://ieeexplore.ieee.org/document/6234407</w:t>
        </w:r>
      </w:hyperlink>
      <w:r w:rsidDel="00000000" w:rsidR="00000000" w:rsidRPr="00000000">
        <w:rPr>
          <w:rtl w:val="0"/>
        </w:rPr>
      </w:r>
    </w:p>
    <w:p w:rsidR="00000000" w:rsidDel="00000000" w:rsidP="00000000" w:rsidRDefault="00000000" w:rsidRPr="00000000" w14:paraId="00000070">
      <w:pPr>
        <w:rPr>
          <w:sz w:val="28"/>
          <w:szCs w:val="2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Arial" w:cs="Arial" w:eastAsia="Arial" w:hAnsi="Arial"/>
        <w:u w:val="none"/>
      </w:rPr>
    </w:lvl>
    <w:lvl w:ilvl="1">
      <w:start w:val="1"/>
      <w:numFmt w:val="bullet"/>
      <w:lvlText w:val="○"/>
      <w:lvlJc w:val="left"/>
      <w:pPr>
        <w:ind w:left="1440" w:hanging="360"/>
      </w:pPr>
      <w:rPr>
        <w:rFonts w:ascii="Arial" w:cs="Arial" w:eastAsia="Arial" w:hAnsi="Arial"/>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rFonts w:ascii="Arial" w:cs="Arial" w:eastAsia="Arial" w:hAnsi="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rFonts w:ascii="Arial" w:cs="Arial" w:eastAsia="Arial" w:hAnsi="Arial"/>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github.com/SigmaHQ/sigma" TargetMode="External"/><Relationship Id="rId22" Type="http://schemas.openxmlformats.org/officeDocument/2006/relationships/hyperlink" Target="https://learn.microsoft.com/en-us/sysinternals/downloads/sysmon" TargetMode="External"/><Relationship Id="rId21" Type="http://schemas.openxmlformats.org/officeDocument/2006/relationships/hyperlink" Target="https://github.com/SigmaHQ/sigma" TargetMode="External"/><Relationship Id="rId24" Type="http://schemas.openxmlformats.org/officeDocument/2006/relationships/hyperlink" Target="https://github.com/BloodHoundAD/BloodHound" TargetMode="External"/><Relationship Id="rId23" Type="http://schemas.openxmlformats.org/officeDocument/2006/relationships/hyperlink" Target="https://learn.microsoft.com/en-us/sysinternals/downloads/sysm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ogle.com/search?q=https://www.microsoft.com/security/blog/active-directory-security/&amp;authuser=1" TargetMode="External"/><Relationship Id="rId26" Type="http://schemas.openxmlformats.org/officeDocument/2006/relationships/hyperlink" Target="https://dl.acm.org/doi/10.1145/2991079.2991111" TargetMode="External"/><Relationship Id="rId25" Type="http://schemas.openxmlformats.org/officeDocument/2006/relationships/hyperlink" Target="https://github.com/BloodHoundAD/BloodHound" TargetMode="External"/><Relationship Id="rId28" Type="http://schemas.openxmlformats.org/officeDocument/2006/relationships/hyperlink" Target="https://www.google.com/search?q=https://ieeexplore.ieee.org/document/8896944&amp;authuser=1" TargetMode="External"/><Relationship Id="rId27" Type="http://schemas.openxmlformats.org/officeDocument/2006/relationships/hyperlink" Target="https://dl.acm.org/doi/10.1145/2991079.2991111"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google.com/search?q=https://ieeexplore.ieee.org/document/8896944&amp;authuser=1" TargetMode="External"/><Relationship Id="rId7" Type="http://schemas.openxmlformats.org/officeDocument/2006/relationships/image" Target="media/image1.png"/><Relationship Id="rId8" Type="http://schemas.openxmlformats.org/officeDocument/2006/relationships/hyperlink" Target="https://www.google.com/search?q=https://www.microsoft.com/security/blog/active-directory-security/&amp;authuser=1" TargetMode="External"/><Relationship Id="rId31" Type="http://schemas.openxmlformats.org/officeDocument/2006/relationships/hyperlink" Target="https://www.google.com/search?q=https://ieeexplore.ieee.org/document/6234407&amp;authuser=1" TargetMode="External"/><Relationship Id="rId30" Type="http://schemas.openxmlformats.org/officeDocument/2006/relationships/hyperlink" Target="https://www.google.com/search?q=https://ieeexplore.ieee.org/document/6234407&amp;authuser=1" TargetMode="External"/><Relationship Id="rId11" Type="http://schemas.openxmlformats.org/officeDocument/2006/relationships/hyperlink" Target="https://www.google.com/search?q=https://www.mandiant.com/resources/reports/m-trends-2024&amp;authuser=1" TargetMode="External"/><Relationship Id="rId10" Type="http://schemas.openxmlformats.org/officeDocument/2006/relationships/hyperlink" Target="https://www.google.com/search?q=https://www.mandiant.com/resources/reports/m-trends-2024&amp;authuser=1" TargetMode="External"/><Relationship Id="rId13" Type="http://schemas.openxmlformats.org/officeDocument/2006/relationships/hyperlink" Target="https://www.google.com/search?q=https://ieeexplore.ieee.org/document/9230438&amp;authuser=1" TargetMode="External"/><Relationship Id="rId12" Type="http://schemas.openxmlformats.org/officeDocument/2006/relationships/hyperlink" Target="https://www.google.com/search?q=https://ieeexplore.ieee.org/document/9230438&amp;authuser=1" TargetMode="External"/><Relationship Id="rId15" Type="http://schemas.openxmlformats.org/officeDocument/2006/relationships/hyperlink" Target="https://www.google.com/search?q=https://academic.oup.com/cybersecurity/article/7/1/tyab014/6356770&amp;authuser=1" TargetMode="External"/><Relationship Id="rId14" Type="http://schemas.openxmlformats.org/officeDocument/2006/relationships/hyperlink" Target="https://www.google.com/search?q=https://academic.oup.com/cybersecurity/article/7/1/tyab014/6356770&amp;authuser=1" TargetMode="External"/><Relationship Id="rId17" Type="http://schemas.openxmlformats.org/officeDocument/2006/relationships/hyperlink" Target="https://attack.mitre.org/docs/ATTACK_Design_and_Philosophy_March_2020.pdf" TargetMode="External"/><Relationship Id="rId16" Type="http://schemas.openxmlformats.org/officeDocument/2006/relationships/hyperlink" Target="https://attack.mitre.org/docs/ATTACK_Design_and_Philosophy_March_2020.pdf" TargetMode="External"/><Relationship Id="rId19" Type="http://schemas.openxmlformats.org/officeDocument/2006/relationships/hyperlink" Target="https://atomicredteam.io/" TargetMode="External"/><Relationship Id="rId18" Type="http://schemas.openxmlformats.org/officeDocument/2006/relationships/hyperlink" Target="https://atomicredteam.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4NrIY6O32JZsROse0tz7l2UOqw==">CgMxLjAyDmgubzByMWd3c2Q1eDB6Mg5oLjVyODFrM3U1ZWNtMTIOaC5yNXh4MXB4bjRqZGUyDmguYnpueWdpMmI1ODJiMg5oLjZxbW54MWhlcWkxYjIOaC53Zm5hbnViZzF5ZzEyDmgubWN3bHl2djMzaml0Mg5oLnVuMGVzMHIwejh0dzIOaC5ybmFsd2tzOTB4d3AyDmgueWN1NmI0ZG9jemg1Mg5oLndqYzhmamxpeHplNzIOaC5zc2I4ZDJyZDBwam8yDmguNjNia3lrODF3dHozMg5oLjRrcmhpYTJuN2I3aTIOaC5ueXB0MzJ5aTRicHoyDmguejJxMjEzYTg1MTBtMg5oLm5uaGlpYng4aml3bzIOaC54bXBhZnF1a2xhdWEyDmguM2sxN2t3ajV6bGJsOAByITFhb1JFYWMtdjVGSENnaTJZUktfQnRjNnJtU1JOcHph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