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F8F34" w14:textId="77777777" w:rsidR="000F1035" w:rsidRDefault="000F1035" w:rsidP="000F1035">
      <w:pPr>
        <w:jc w:val="center"/>
      </w:pPr>
      <w:r w:rsidRPr="00836543">
        <w:rPr>
          <w:noProof/>
        </w:rPr>
        <w:drawing>
          <wp:inline distT="0" distB="0" distL="0" distR="0" wp14:anchorId="6E749797" wp14:editId="09E86A87">
            <wp:extent cx="1844200" cy="739204"/>
            <wp:effectExtent l="0" t="0" r="3810" b="3810"/>
            <wp:docPr id="413185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185098" name=""/>
                    <pic:cNvPicPr/>
                  </pic:nvPicPr>
                  <pic:blipFill>
                    <a:blip r:embed="rId7"/>
                    <a:stretch>
                      <a:fillRect/>
                    </a:stretch>
                  </pic:blipFill>
                  <pic:spPr>
                    <a:xfrm>
                      <a:off x="0" y="0"/>
                      <a:ext cx="1844200" cy="739204"/>
                    </a:xfrm>
                    <a:prstGeom prst="rect">
                      <a:avLst/>
                    </a:prstGeom>
                  </pic:spPr>
                </pic:pic>
              </a:graphicData>
            </a:graphic>
          </wp:inline>
        </w:drawing>
      </w:r>
    </w:p>
    <w:p w14:paraId="50D585AC" w14:textId="77777777" w:rsidR="000F1035" w:rsidRDefault="000F1035" w:rsidP="000F1035">
      <w:pPr>
        <w:jc w:val="center"/>
        <w:rPr>
          <w:b/>
          <w:bCs/>
          <w:sz w:val="52"/>
          <w:szCs w:val="52"/>
        </w:rPr>
      </w:pPr>
    </w:p>
    <w:p w14:paraId="2A75F1C6" w14:textId="77777777" w:rsidR="000F1035" w:rsidRDefault="000F1035" w:rsidP="000F1035">
      <w:pPr>
        <w:jc w:val="center"/>
        <w:rPr>
          <w:b/>
          <w:bCs/>
          <w:sz w:val="52"/>
          <w:szCs w:val="52"/>
        </w:rPr>
      </w:pPr>
    </w:p>
    <w:p w14:paraId="09C90E0D" w14:textId="77777777" w:rsidR="000F1035" w:rsidRPr="00836543" w:rsidRDefault="000F1035" w:rsidP="000F1035">
      <w:pPr>
        <w:jc w:val="center"/>
        <w:rPr>
          <w:b/>
          <w:bCs/>
          <w:sz w:val="52"/>
          <w:szCs w:val="52"/>
        </w:rPr>
      </w:pPr>
      <w:r w:rsidRPr="00836543">
        <w:rPr>
          <w:b/>
          <w:bCs/>
          <w:sz w:val="52"/>
          <w:szCs w:val="52"/>
        </w:rPr>
        <w:t>International Business Communications</w:t>
      </w:r>
    </w:p>
    <w:p w14:paraId="012CC964" w14:textId="77777777" w:rsidR="000F1035" w:rsidRDefault="000F1035" w:rsidP="000F1035">
      <w:pPr>
        <w:jc w:val="center"/>
        <w:rPr>
          <w:b/>
          <w:bCs/>
          <w:sz w:val="52"/>
          <w:szCs w:val="52"/>
        </w:rPr>
      </w:pPr>
      <w:r w:rsidRPr="00836543">
        <w:rPr>
          <w:b/>
          <w:bCs/>
          <w:sz w:val="52"/>
          <w:szCs w:val="52"/>
        </w:rPr>
        <w:t>LCBB6001</w:t>
      </w:r>
    </w:p>
    <w:p w14:paraId="2E36AB70" w14:textId="7A643413" w:rsidR="000F1035" w:rsidRDefault="00522F1A" w:rsidP="000F1035">
      <w:pPr>
        <w:jc w:val="center"/>
        <w:rPr>
          <w:b/>
          <w:bCs/>
          <w:sz w:val="52"/>
          <w:szCs w:val="52"/>
        </w:rPr>
      </w:pPr>
      <w:r>
        <w:rPr>
          <w:b/>
          <w:bCs/>
          <w:sz w:val="52"/>
          <w:szCs w:val="52"/>
        </w:rPr>
        <w:t xml:space="preserve">ASSESSMENT </w:t>
      </w:r>
      <w:r w:rsidR="008A0A0B">
        <w:rPr>
          <w:b/>
          <w:bCs/>
          <w:sz w:val="52"/>
          <w:szCs w:val="52"/>
        </w:rPr>
        <w:t>1</w:t>
      </w:r>
    </w:p>
    <w:p w14:paraId="5BAC3EB6" w14:textId="77777777" w:rsidR="00AB2C49" w:rsidRDefault="00AB2C49" w:rsidP="000F1035">
      <w:pPr>
        <w:jc w:val="center"/>
        <w:rPr>
          <w:b/>
          <w:bCs/>
          <w:sz w:val="52"/>
          <w:szCs w:val="52"/>
        </w:rPr>
      </w:pPr>
    </w:p>
    <w:p w14:paraId="025BC4AE" w14:textId="77777777" w:rsidR="000F1035" w:rsidRDefault="000F1035" w:rsidP="000F1035">
      <w:pPr>
        <w:jc w:val="center"/>
        <w:rPr>
          <w:b/>
          <w:bCs/>
          <w:sz w:val="52"/>
          <w:szCs w:val="52"/>
        </w:rPr>
      </w:pPr>
    </w:p>
    <w:p w14:paraId="0DBFC66F" w14:textId="77777777" w:rsidR="000F1035" w:rsidRDefault="000F1035" w:rsidP="000F1035">
      <w:pPr>
        <w:jc w:val="center"/>
        <w:rPr>
          <w:b/>
          <w:bCs/>
          <w:sz w:val="52"/>
          <w:szCs w:val="52"/>
        </w:rPr>
      </w:pPr>
    </w:p>
    <w:p w14:paraId="112C38FA" w14:textId="77777777" w:rsidR="000F1035" w:rsidRDefault="000F1035" w:rsidP="000F1035">
      <w:pPr>
        <w:jc w:val="center"/>
        <w:rPr>
          <w:b/>
          <w:bCs/>
          <w:sz w:val="52"/>
          <w:szCs w:val="52"/>
        </w:rPr>
      </w:pPr>
    </w:p>
    <w:p w14:paraId="689283D4" w14:textId="35A5C605" w:rsidR="000F1035" w:rsidRPr="00186FE0" w:rsidRDefault="000F1035" w:rsidP="000F1035">
      <w:pPr>
        <w:jc w:val="center"/>
        <w:rPr>
          <w:b/>
          <w:bCs/>
          <w:sz w:val="32"/>
          <w:szCs w:val="32"/>
        </w:rPr>
      </w:pPr>
      <w:r w:rsidRPr="00186FE0">
        <w:rPr>
          <w:b/>
          <w:bCs/>
          <w:sz w:val="32"/>
          <w:szCs w:val="32"/>
        </w:rPr>
        <w:t xml:space="preserve">Student </w:t>
      </w:r>
      <w:r w:rsidR="006F628F" w:rsidRPr="00186FE0">
        <w:rPr>
          <w:b/>
          <w:bCs/>
          <w:sz w:val="32"/>
          <w:szCs w:val="32"/>
        </w:rPr>
        <w:t>Name:</w:t>
      </w:r>
      <w:r w:rsidR="006F628F">
        <w:rPr>
          <w:b/>
          <w:bCs/>
          <w:sz w:val="32"/>
          <w:szCs w:val="32"/>
        </w:rPr>
        <w:t xml:space="preserve"> Ralitsa</w:t>
      </w:r>
      <w:r w:rsidR="00E970E7">
        <w:rPr>
          <w:b/>
          <w:bCs/>
          <w:sz w:val="32"/>
          <w:szCs w:val="32"/>
        </w:rPr>
        <w:t xml:space="preserve"> </w:t>
      </w:r>
      <w:r w:rsidR="006F628F">
        <w:rPr>
          <w:b/>
          <w:bCs/>
          <w:sz w:val="32"/>
          <w:szCs w:val="32"/>
        </w:rPr>
        <w:t xml:space="preserve">Yordanova </w:t>
      </w:r>
    </w:p>
    <w:p w14:paraId="57D85CA1" w14:textId="7FAC0F35" w:rsidR="000F1035" w:rsidRPr="00186FE0" w:rsidRDefault="000F1035" w:rsidP="000F1035">
      <w:pPr>
        <w:jc w:val="center"/>
        <w:rPr>
          <w:b/>
          <w:bCs/>
          <w:sz w:val="32"/>
          <w:szCs w:val="32"/>
        </w:rPr>
      </w:pPr>
      <w:r w:rsidRPr="00186FE0">
        <w:rPr>
          <w:b/>
          <w:bCs/>
          <w:sz w:val="32"/>
          <w:szCs w:val="32"/>
        </w:rPr>
        <w:t>Student Id:</w:t>
      </w:r>
      <w:r w:rsidR="006F628F">
        <w:rPr>
          <w:b/>
          <w:bCs/>
          <w:sz w:val="32"/>
          <w:szCs w:val="32"/>
        </w:rPr>
        <w:t xml:space="preserve"> 2023562</w:t>
      </w:r>
    </w:p>
    <w:p w14:paraId="22667158" w14:textId="59FFCB89" w:rsidR="000F1035" w:rsidRPr="00186FE0" w:rsidRDefault="000F1035" w:rsidP="000F1035">
      <w:pPr>
        <w:jc w:val="center"/>
        <w:rPr>
          <w:b/>
          <w:bCs/>
          <w:sz w:val="32"/>
          <w:szCs w:val="32"/>
        </w:rPr>
      </w:pPr>
      <w:r w:rsidRPr="00186FE0">
        <w:rPr>
          <w:b/>
          <w:bCs/>
          <w:sz w:val="32"/>
          <w:szCs w:val="32"/>
        </w:rPr>
        <w:t xml:space="preserve">Module </w:t>
      </w:r>
      <w:r w:rsidR="00EE2AB7">
        <w:rPr>
          <w:b/>
          <w:bCs/>
          <w:sz w:val="32"/>
          <w:szCs w:val="32"/>
        </w:rPr>
        <w:t xml:space="preserve">Lecture: </w:t>
      </w:r>
      <w:r w:rsidR="0038431D">
        <w:rPr>
          <w:b/>
          <w:bCs/>
          <w:sz w:val="32"/>
          <w:szCs w:val="32"/>
        </w:rPr>
        <w:t>Ri</w:t>
      </w:r>
      <w:r w:rsidR="00F714E7">
        <w:rPr>
          <w:b/>
          <w:bCs/>
          <w:sz w:val="32"/>
          <w:szCs w:val="32"/>
        </w:rPr>
        <w:t>az Bhatti</w:t>
      </w:r>
    </w:p>
    <w:p w14:paraId="5D1ECC04" w14:textId="0EC39150" w:rsidR="000F1035" w:rsidRDefault="000F1035" w:rsidP="000F1035"/>
    <w:p w14:paraId="01859D28" w14:textId="77777777" w:rsidR="000F1035" w:rsidRDefault="000F1035" w:rsidP="00D154CD">
      <w:pPr>
        <w:pStyle w:val="Heading1"/>
        <w:jc w:val="center"/>
        <w:rPr>
          <w:rFonts w:cs="Times New Roman"/>
          <w:sz w:val="24"/>
          <w:szCs w:val="24"/>
        </w:rPr>
      </w:pPr>
      <w:r w:rsidRPr="002531C8">
        <w:rPr>
          <w:rFonts w:cs="Times New Roman"/>
          <w:sz w:val="24"/>
          <w:szCs w:val="24"/>
        </w:rPr>
        <w:lastRenderedPageBreak/>
        <w:t>A Report for Ceviche on Line Managers' Role in Fostering an Inclusive Environment in UK-Based Business Operations</w:t>
      </w:r>
    </w:p>
    <w:p w14:paraId="7E059932" w14:textId="00B59036" w:rsidR="00D154CD" w:rsidRPr="00D154CD" w:rsidRDefault="00D154CD" w:rsidP="00D154CD">
      <w:pPr>
        <w:rPr>
          <w:lang w:eastAsia="ko-KR"/>
        </w:rPr>
      </w:pPr>
      <w:r>
        <w:rPr>
          <w:lang w:eastAsia="ko-KR"/>
        </w:rPr>
        <w:t>Introduction:</w:t>
      </w:r>
    </w:p>
    <w:p w14:paraId="7DEAC9FD" w14:textId="0E140767" w:rsidR="000F1035" w:rsidRPr="002531C8" w:rsidRDefault="000F1035" w:rsidP="000F1035">
      <w:pPr>
        <w:rPr>
          <w:rFonts w:cs="Times New Roman"/>
          <w:szCs w:val="24"/>
        </w:rPr>
      </w:pPr>
      <w:r w:rsidRPr="002531C8">
        <w:rPr>
          <w:rFonts w:cs="Times New Roman"/>
          <w:szCs w:val="24"/>
        </w:rPr>
        <w:t xml:space="preserve">With its inviting atmosphere and kind staff, this </w:t>
      </w:r>
      <w:r w:rsidR="00321DE9" w:rsidRPr="002531C8">
        <w:rPr>
          <w:rFonts w:cs="Times New Roman"/>
          <w:szCs w:val="24"/>
        </w:rPr>
        <w:t>appealing</w:t>
      </w:r>
      <w:r w:rsidRPr="002531C8">
        <w:rPr>
          <w:rFonts w:cs="Times New Roman"/>
          <w:szCs w:val="24"/>
        </w:rPr>
        <w:t xml:space="preserve"> </w:t>
      </w:r>
      <w:r w:rsidR="00321DE9" w:rsidRPr="002531C8">
        <w:rPr>
          <w:rFonts w:cs="Times New Roman"/>
          <w:szCs w:val="24"/>
        </w:rPr>
        <w:t>restaurant</w:t>
      </w:r>
      <w:r w:rsidRPr="002531C8">
        <w:rPr>
          <w:rFonts w:cs="Times New Roman"/>
          <w:szCs w:val="24"/>
        </w:rPr>
        <w:t xml:space="preserve"> has gained popularity among foodies wanting a taste for Peru. A wide audience, including both residents and tourists from outside, seeks out Ceviche, a restaurant in a busy neighbourhood, in search of an outstanding eating experience. To guarantee comprehension, cooperation, and an organization's overall performance in a workforce of varied backgrounds, effective communication is essential (Ahamad, et al., 2022). Ceviche, a multi-cultural restaurant in the UK, encounters a number of communication challenges that obstruct productive worker relationships. The purpose of this part of the research is to identify and analyse these obstacles, such as language difficulties, problems with nonverbal communication, and misunderstandings resulting from cultural variations in Ceviche's particular context. By recognising and removing these obstacles, initiatives may be established to improve communication and foster an inclusive workplace where staff members can flourish and work together amicably (Feitosa et al., 2022). Ceviche may improve its communication procedures and foster intercultural understanding among its varied staff by acknowledging the effects of communication obstacles and the significance of removing them.</w:t>
      </w:r>
    </w:p>
    <w:p w14:paraId="3353F389" w14:textId="77777777" w:rsidR="000F1035" w:rsidRPr="002531C8" w:rsidRDefault="000F1035" w:rsidP="000F1035">
      <w:pPr>
        <w:rPr>
          <w:rFonts w:cs="Times New Roman"/>
          <w:b/>
          <w:bCs/>
          <w:szCs w:val="24"/>
        </w:rPr>
      </w:pPr>
      <w:r w:rsidRPr="002531C8">
        <w:rPr>
          <w:rFonts w:cs="Times New Roman"/>
          <w:b/>
          <w:bCs/>
          <w:szCs w:val="24"/>
        </w:rPr>
        <w:t>An inclusive introduction to the context of British business communications:</w:t>
      </w:r>
    </w:p>
    <w:p w14:paraId="36B2A11E" w14:textId="77777777" w:rsidR="000F1035" w:rsidRPr="002531C8" w:rsidRDefault="000F1035" w:rsidP="000F1035">
      <w:pPr>
        <w:rPr>
          <w:rFonts w:cs="Times New Roman"/>
          <w:szCs w:val="24"/>
        </w:rPr>
      </w:pPr>
      <w:r w:rsidRPr="002531C8">
        <w:rPr>
          <w:rFonts w:cs="Times New Roman"/>
          <w:szCs w:val="24"/>
        </w:rPr>
        <w:t xml:space="preserve">Business communications are essential to creating a welcoming and productive workplace environment in the United Kingdom. The UK takes great pleasure in its vibrant multicultural heritage, where people from many origins bring their own viewpoints, abilities, and perspectives to the success of organisations. The inclusiveness of British culture has influenced how companies function and communicate there. British business communications are known for their cultural variety. The UK has a long history of immigration from throughout the world and has assimilated many different cultures, customs, and languages. As people from different racial, ethnic, and national backgrounds work together in the workforce, this diversity is mirrored in that setting. As a consequence, companies in the UK, like the modest restaurant Ceviche, understand how crucial it is to embrace and celebrate diverse cultures in order to foster an inclusive work environment. Another crucial component of British corporate communications is inclusivity (Kaliannan et al., 2023). The UK has come a long way in appreciating the value of diversity in the workplace. Inclusive practises include appreciating </w:t>
      </w:r>
      <w:r w:rsidRPr="002531C8">
        <w:rPr>
          <w:rFonts w:cs="Times New Roman"/>
          <w:szCs w:val="24"/>
        </w:rPr>
        <w:lastRenderedPageBreak/>
        <w:t>and accepting differences, ensuring that everyone feels valued and included, and granting equitable access to opportunities and resources. As a company with operations in the UK, Ceviche is dedicated to fostering a workplace environment that values the contributions of people from different backgrounds.</w:t>
      </w:r>
    </w:p>
    <w:p w14:paraId="7DDBC746" w14:textId="77777777" w:rsidR="000F1035" w:rsidRPr="002531C8" w:rsidRDefault="000F1035" w:rsidP="000F1035">
      <w:pPr>
        <w:rPr>
          <w:rFonts w:cs="Times New Roman"/>
          <w:b/>
          <w:bCs/>
          <w:szCs w:val="24"/>
        </w:rPr>
      </w:pPr>
      <w:r w:rsidRPr="002531C8">
        <w:rPr>
          <w:rFonts w:cs="Times New Roman"/>
          <w:b/>
          <w:bCs/>
          <w:szCs w:val="24"/>
        </w:rPr>
        <w:t>A brief introduction to Ceviche:</w:t>
      </w:r>
    </w:p>
    <w:p w14:paraId="7378BE4A" w14:textId="77777777" w:rsidR="000F1035" w:rsidRPr="002531C8" w:rsidRDefault="000F1035" w:rsidP="000F1035">
      <w:pPr>
        <w:rPr>
          <w:rFonts w:cs="Times New Roman"/>
          <w:szCs w:val="24"/>
        </w:rPr>
      </w:pPr>
      <w:r w:rsidRPr="002531C8">
        <w:rPr>
          <w:rFonts w:cs="Times New Roman"/>
          <w:szCs w:val="24"/>
        </w:rPr>
        <w:t>Ceviche, a charming small-scale restaurant tucked away in the centre in the United Kingdom, provides a delicious culinary experience prompted by the colourful flavours of Peru. Ceviche has established a space for itself in the UK food scene with its beautiful menu featuring the craft of ceviche along with other traditional Peruvian delights. Ceviche is a small staff, but it has a skilled group of people that are enthusiastic about what they do. With employees from different racial and cultural origins, Ceviche's team represents the multicultural makeup of the UK. Since there are so many different viewpoints, tastes, and concepts represented by this variety, ceviche is a symbol of inclusion. A small work atmosphere and close-knit connections are made possible by the size of the Ceviche team (Berlowitz et al., 2022). From cooks to wait staff, the team members develop close relationships that facilitate effective communication and a common goal. They communicate with clients in a pleasant and kind way thanks to their collective attitude.</w:t>
      </w:r>
    </w:p>
    <w:p w14:paraId="7A291271" w14:textId="77777777" w:rsidR="000F1035" w:rsidRPr="002531C8" w:rsidRDefault="000F1035" w:rsidP="000F1035">
      <w:pPr>
        <w:rPr>
          <w:rFonts w:cs="Times New Roman"/>
          <w:szCs w:val="24"/>
        </w:rPr>
      </w:pPr>
      <w:r w:rsidRPr="002531C8">
        <w:rPr>
          <w:rFonts w:cs="Times New Roman"/>
          <w:szCs w:val="24"/>
        </w:rPr>
        <w:t>Given the diversity of Ceviche's workforce, inclusive communication techniques are essential to fostering productive cooperation and mutual understanding. Recognising the diversity of ethnic backgrounds on the team, Ceviche works to close any potential communication barriers. Ceviche strives to create an atmosphere whereby everyone feels heard and understood by cultivating cultural sensitivity, encouraging listening actively, and encouraging clarity in communication. Another crucial component of British corporate communications is inclusivity (Samašonok et al., 2023). The UK has come a long way in appreciating the value of diversity in the workplace. Inclusive practises include appreciating and accepting differences, ensuring that everyone feels valued and included, and granting equitable access to opportunities and resources. As a company with operations in the UK, Ceviche is dedicated to fostering a workplace environment that values the contributions of people from different backgrounds.</w:t>
      </w:r>
    </w:p>
    <w:p w14:paraId="14B5791B" w14:textId="77777777" w:rsidR="000F1035" w:rsidRPr="002531C8" w:rsidRDefault="000F1035" w:rsidP="000F1035">
      <w:pPr>
        <w:rPr>
          <w:rFonts w:cs="Times New Roman"/>
          <w:b/>
          <w:bCs/>
          <w:szCs w:val="24"/>
        </w:rPr>
      </w:pPr>
      <w:r w:rsidRPr="002531C8">
        <w:rPr>
          <w:rFonts w:cs="Times New Roman"/>
          <w:b/>
          <w:bCs/>
          <w:szCs w:val="24"/>
        </w:rPr>
        <w:t>Application of theories of international and intercultural communication in the UK context:</w:t>
      </w:r>
    </w:p>
    <w:p w14:paraId="10F3C49F" w14:textId="77777777" w:rsidR="000F1035" w:rsidRPr="002531C8" w:rsidRDefault="000F1035" w:rsidP="000F1035">
      <w:pPr>
        <w:rPr>
          <w:rFonts w:cs="Times New Roman"/>
          <w:szCs w:val="24"/>
        </w:rPr>
      </w:pPr>
      <w:r w:rsidRPr="002531C8">
        <w:rPr>
          <w:rFonts w:cs="Times New Roman"/>
          <w:szCs w:val="24"/>
        </w:rPr>
        <w:t xml:space="preserve">With its inviting atmosphere and kind staff, this charming eatery has gained popularity among foodies wanting a taste for Peru. A wide audience, including both residents and tourists from </w:t>
      </w:r>
      <w:r w:rsidRPr="002531C8">
        <w:rPr>
          <w:rFonts w:cs="Times New Roman"/>
          <w:szCs w:val="24"/>
        </w:rPr>
        <w:lastRenderedPageBreak/>
        <w:t xml:space="preserve">outside, seeks out Ceviche, a restaurant in a busy neighbourhood, in search of an outstanding eating experience. Theories of intercultural and international communication are particularly helpful in the UK setting for negotiating cultural subtleties and creating successful communication practises inside companies like Ceviche. The use of theories like Hofstede, Samovar, as well as Jandt helps improve cross-cultural communication and foster pleasant workplace connections. In terms of power distance, individuality against collectivism, masculinity against femininity, uncertainty avoidance, or long-term versus short-term orientation, Hofstede's cultural aspects theory provides a framework for understanding cultural variations. By applying this theory to Ceviche, an organisation is better equipped to understand and respect the various cultural expectations and behaviours of its staff and clients. For instance, by encouraging open communication routes and including staff in decision-making processes, Ceviche may build an inclusive workplace with the aid of a better knowledge of power distance. The importance of verbal and nonverbal clues in cross-cultural encounters is highlighted by Samovar's idea of cultural communication styles. Depending on their ethnic origins, the varied personnel of Ceviche may have distinct communication techniques (Sengupta-Irving et al., 2021). The efficiency of communication can be improved by being aware of these variances. For instance, line managers at Ceviche may be prompted to give clear instructions while being considerate of staff members who might not feel comfortable voicing their concerns out loud after realising that some cultures value indirect communication. According to Jandt's intercultural communication theory, it is crucial to modify communication tactics in order to cross cultural divides. This idea may be used by Ceviche to create training courses and seminars that encourage cultural competency among its staff (Fuster, et al.,2023). Ceviche may improve cooperation, lessen misunderstandings, and build an inclusive workplace by giving employees the resources they need to comprehend and respect various cultural traditions. With its inviting atmosphere and kind staff, this charming eatery has gained popularity among foodies wanting a taste for Peru. A wide audience, including both residents and tourists from outside, seeks out Ceviche, a restaurant in a busy neighbourhood, in search of an outstanding eating experience (García, 2021). Moreover, these theories may be modified to meet the particular cultural dynamics as play within Ceviche, taking into account the range of backgrounds present in the UK workforce. Ceviche may foster an atmosphere that embraces variety and encourages cross-cultural cooperation by acknowledging and appreciating the distinctive viewpoints and contributions of people from various cultural backgrounds. By putting these ideas into practise, Ceviche may overcome possible communication obstacles including language difficulties, nonverbal misunderstandings, and disparate communication </w:t>
      </w:r>
      <w:r w:rsidRPr="002531C8">
        <w:rPr>
          <w:rFonts w:cs="Times New Roman"/>
          <w:szCs w:val="24"/>
        </w:rPr>
        <w:lastRenderedPageBreak/>
        <w:t>standards. Line managers at Ceviche may foster a welcoming atmosphere where all staff members feel appreciated and understood by implementing cultural sensitivity throughout their communication practises. This will boost productivity and foster a positive work environment.</w:t>
      </w:r>
    </w:p>
    <w:p w14:paraId="72CAC9FF" w14:textId="77777777" w:rsidR="000F1035" w:rsidRPr="002531C8" w:rsidRDefault="000F1035" w:rsidP="000F1035">
      <w:pPr>
        <w:rPr>
          <w:rFonts w:cs="Times New Roman"/>
          <w:b/>
          <w:bCs/>
          <w:szCs w:val="24"/>
        </w:rPr>
      </w:pPr>
      <w:r w:rsidRPr="002531C8">
        <w:rPr>
          <w:rFonts w:cs="Times New Roman"/>
          <w:b/>
          <w:bCs/>
          <w:szCs w:val="24"/>
        </w:rPr>
        <w:t>Critical evaluation of cultural sensitivity when doing business in the UK:</w:t>
      </w:r>
    </w:p>
    <w:p w14:paraId="68B42B5A" w14:textId="77777777" w:rsidR="000F1035" w:rsidRPr="002531C8" w:rsidRDefault="000F1035" w:rsidP="000F1035">
      <w:pPr>
        <w:rPr>
          <w:rFonts w:cs="Times New Roman"/>
          <w:szCs w:val="24"/>
        </w:rPr>
      </w:pPr>
      <w:r w:rsidRPr="002531C8">
        <w:rPr>
          <w:rFonts w:cs="Times New Roman"/>
          <w:szCs w:val="24"/>
        </w:rPr>
        <w:t xml:space="preserve">With its inviting atmosphere and kind staff, this charming eatery has gained popularity among foodies wanting a taste for Peru. A wide audience, including both residents and tourists from outside, seeks out Ceviche, a restaurant in a busy neighbourhood, in search of an outstanding eating experience (García, 2021). In the culturally varied United Kingdom, cultural awareness is crucial while conducting business. Analysis of the relevance of cultural sensitivity along with its influence on promoting inclusion in the UK workforce, as demonstrated by companies like Ceviche, is crucial. Businesses may foster a culture that celebrates diversity and fosters successful communication by being aware of and accepting cultural differences. With a diverse tapestry of nationalities, beliefs, and customs, the UK is a melting pot of cultures. For businesses that operate throughout the UK, acknowledging this variety is essential because it enables a deeper knowledge of the requirements and viewpoints of their staff. To promote an inclusive workplace, for instance, Ceviche must take into account the cultural histories of its multiracial staff. Organisations are prevented from making assumptions or generalisations based on stereotypes by cultural sensitivity. It promotes tolerance and the desire to absorb knowledge from many cultural viewpoints (Firdaus, et al., 2020). Businesses may actively foster an inclusive atmosphere that values the individual contributions made by each employee by critically assessing their own prejudices and assumptions. Promoting cultural awareness for Ceviche could entail educating staff members about various cultural practises, beliefs, or communication styles through training programmes. Relevant examples emphasise the value of cultural awareness even more. For instance, by acknowledging the importance of religious vacations or festivals, businesses might make accommodations for their workers' religious practises, fostering an environment that values diversity and inclusion (Foster and Foster, 2019). Recognising how cultural origins impact communication patterns aids in removing potential barriers to communication in the workplace. For instance, some workers could choose direct communication while others would favour indirect or more subtle methods. Businesses must implement a comprehensive strategy for cultural sensitivity in light of the different backgrounds of the UK workforce. This requires appreciating and acknowledging variations in ethnicity, racial or religious and other factors. Businesses like Ceviche can access a plethora of concepts, viewpoints, and creative solutions that result from the blending of many cultural </w:t>
      </w:r>
      <w:r w:rsidRPr="002531C8">
        <w:rPr>
          <w:rFonts w:cs="Times New Roman"/>
          <w:szCs w:val="24"/>
        </w:rPr>
        <w:lastRenderedPageBreak/>
        <w:t>backgrounds by embracing cultural diversity. When companies actively work to understand and meet the requirements of their employees, inclusivity is encouraged. Businesses may increase employee morale, engagement, even productivity by fostering an atmosphere where employees feel free to express their cultural identities. For Ceviche, this would entail putting in place inclusive recruiting procedures, a policy of zero tolerance for discrimination, and making sure that workers' opinions are valued and heard (Corrales-Øverlid, et al., 2021).</w:t>
      </w:r>
    </w:p>
    <w:p w14:paraId="62F0154D" w14:textId="77777777" w:rsidR="000F1035" w:rsidRPr="002531C8" w:rsidRDefault="000F1035" w:rsidP="000F1035">
      <w:pPr>
        <w:rPr>
          <w:rFonts w:cs="Times New Roman"/>
          <w:b/>
          <w:bCs/>
          <w:szCs w:val="24"/>
        </w:rPr>
      </w:pPr>
      <w:r w:rsidRPr="002531C8">
        <w:rPr>
          <w:rFonts w:cs="Times New Roman"/>
          <w:b/>
          <w:bCs/>
          <w:szCs w:val="24"/>
        </w:rPr>
        <w:t>Communication barriers experienced by a diverse workforce in the UK context:</w:t>
      </w:r>
    </w:p>
    <w:p w14:paraId="2F6E239C" w14:textId="79CCA266" w:rsidR="000F1035" w:rsidRDefault="000F1035" w:rsidP="000F1035">
      <w:pPr>
        <w:rPr>
          <w:rFonts w:cs="Times New Roman"/>
          <w:szCs w:val="24"/>
        </w:rPr>
      </w:pPr>
      <w:r w:rsidRPr="002531C8">
        <w:rPr>
          <w:rFonts w:cs="Times New Roman"/>
          <w:szCs w:val="24"/>
        </w:rPr>
        <w:t>With its inviting atmosphere and kind staff, this charming eatery has gained popularity among foodies wanting a taste for Pe</w:t>
      </w:r>
      <w:r w:rsidR="007D13A2">
        <w:rPr>
          <w:rFonts w:cs="Times New Roman"/>
          <w:szCs w:val="24"/>
        </w:rPr>
        <w:t xml:space="preserve"> </w:t>
      </w:r>
      <w:r w:rsidRPr="002531C8">
        <w:rPr>
          <w:rFonts w:cs="Times New Roman"/>
          <w:szCs w:val="24"/>
        </w:rPr>
        <w:t xml:space="preserve">Communication mistakes and misinterpretations can result from cultural differences. Conflicting cultural conventions, attitudes, and communication patterns might hinder productive professional interactions. For instance, certain cultures may favour direct communication while others may choose subtle or nuanced methods. These distinctions may cause misunderstandings, uncertainty, or even offence. Through promoting open communication, providing a secure environment for addressing cultural differences, and providing cultural sensitivity training, ceviche may help workers become more culturally competent. One of the main communication difficulties in a varied workforce is language problems. Employees from various language origins could struggle to communicate or comprehend one another. Such as a non-native English speaker can have trouble with vocabulary and pronunciation, which could cause miscommunication. Ceviche can handle this by putting in place language-training programmes, offering resources for translation, or encouraging internal language-exchange efforts among staff members. The use of nonverbal communication might sometimes be difficult. Body language, facial emotions, and gestures are all subject to different conventions and interpretations in different cultures. A gesture that is considered kind in a particular society may be disrespectful in another. Employees at Ceviche may accidentally transmit conflicting messages or misread nonverbal cues due to their varied backgrounds. Promoting cultural sensitivity and awareness can improve collaboration by assisting staff members in comprehending and adjusting to various non-verbal communication idioms. Communication mistakes and misinterpretations can result from cultural differences. Conflicting cultural conventions, attitudes, and communication patterns might hinder productive professional interactions (Aririguzoh, 2022). For instance, certain cultures may favour direct communication while others may choose subtle or nuanced methods. These distinctions may cause misunderstandings, uncertainty, or even offence. Through promoting open communication, providing a secure environment for addressing cultural differences, and </w:t>
      </w:r>
      <w:r w:rsidRPr="002531C8">
        <w:rPr>
          <w:rFonts w:cs="Times New Roman"/>
          <w:szCs w:val="24"/>
        </w:rPr>
        <w:lastRenderedPageBreak/>
        <w:t>providing cultural sensitivity training, ceviche may help workers become more culturally competent.</w:t>
      </w:r>
      <w:r w:rsidR="00D154CD">
        <w:rPr>
          <w:rFonts w:cs="Times New Roman"/>
          <w:szCs w:val="24"/>
        </w:rPr>
        <w:t xml:space="preserve"> </w:t>
      </w:r>
      <w:r w:rsidRPr="002531C8">
        <w:rPr>
          <w:rFonts w:cs="Times New Roman"/>
          <w:szCs w:val="24"/>
        </w:rPr>
        <w:t>With its inviting atmosphere and kind staff, this charming eatery has gained popularity among foodies wanting a taste for Peru. A wide audience, including both residents and tourists from outside, seeks out Ceviche, a restaurant in a busy neighbourhood, in search of an outstanding eating experience. A varied workforce may also face difficulties due to various communication styles including high-context and low-context communication (Kittopoomwong and Salamzadeh, 2023.). People may believe that others have the same prior knowledge in high-context societies, where communication depends significantly on context and common understanding, which can result in misinterpretation. By fostering clarity, active listening, and giving staff members the chance to ask questions when necessary, Ceviche can combat this. Ceviche may use tactics like establishing a culture of trust and inclusion, supporting efficient feedback processes, and encouraging transparent and open communication channels to get through these communication hurdles. Also, fostering cross-cultural interactions, encouraging awareness of various cultural norms or communication styles, and providing chances for team-building exercises can aid in bridging communication gaps and improve cooperation.</w:t>
      </w:r>
    </w:p>
    <w:p w14:paraId="374AF140" w14:textId="4C956162" w:rsidR="00D154CD" w:rsidRPr="002531C8" w:rsidRDefault="00D154CD" w:rsidP="000F1035">
      <w:pPr>
        <w:rPr>
          <w:rFonts w:cs="Times New Roman"/>
          <w:szCs w:val="24"/>
        </w:rPr>
      </w:pPr>
      <w:r>
        <w:rPr>
          <w:rFonts w:cs="Times New Roman"/>
          <w:szCs w:val="24"/>
        </w:rPr>
        <w:t>Conclusion:</w:t>
      </w:r>
    </w:p>
    <w:p w14:paraId="2F58DC15" w14:textId="19C5DA26" w:rsidR="000F1035" w:rsidRPr="002531C8" w:rsidRDefault="000F1035" w:rsidP="000F1035">
      <w:pPr>
        <w:rPr>
          <w:rFonts w:cs="Times New Roman"/>
          <w:szCs w:val="24"/>
        </w:rPr>
      </w:pPr>
      <w:r w:rsidRPr="002531C8">
        <w:rPr>
          <w:rFonts w:cs="Times New Roman"/>
          <w:szCs w:val="24"/>
        </w:rPr>
        <w:t>Various communication obstacles affect Ceviche's varied workforce in the UK, which can make it difficult for employees to engage productively. Understanding and teamwork among employees can be hampered by language limitations, difficulties with nonverbal communication, and misunderstandings resulting from cultural differences (Savu, 2019). However, Ceviche may promote effective communication and develop a welcoming atmosphere for employees by putting methods to overcome these hurdles into place, which include language training, culturally sensitive programmes, and encouraging open and transparent lines of communication. Ceviche may break down communication barriers and improve cross-cultural understanding by emphasising the value of cultural awareness, open communication, and respect for other communication methods. By making these steps, Ceviche can foster a productive workplace where workers from all backgrounds may provide their special skills, viewpoints, and experiences in support of the company's success.</w:t>
      </w:r>
    </w:p>
    <w:p w14:paraId="7EFFE53F" w14:textId="77777777" w:rsidR="000F1035" w:rsidRPr="002531C8" w:rsidRDefault="000F1035" w:rsidP="000F1035">
      <w:pPr>
        <w:rPr>
          <w:rFonts w:cs="Times New Roman"/>
          <w:szCs w:val="24"/>
        </w:rPr>
      </w:pPr>
      <w:r w:rsidRPr="002531C8">
        <w:rPr>
          <w:rFonts w:cs="Times New Roman"/>
          <w:szCs w:val="24"/>
        </w:rPr>
        <w:br w:type="page"/>
      </w:r>
    </w:p>
    <w:p w14:paraId="3A0A9700" w14:textId="77777777" w:rsidR="000F1035" w:rsidRPr="002531C8" w:rsidRDefault="000F1035" w:rsidP="000F1035">
      <w:pPr>
        <w:pStyle w:val="Heading1"/>
        <w:rPr>
          <w:rFonts w:cs="Times New Roman"/>
          <w:sz w:val="24"/>
          <w:szCs w:val="24"/>
        </w:rPr>
      </w:pPr>
      <w:r w:rsidRPr="002531C8">
        <w:rPr>
          <w:rFonts w:cs="Times New Roman"/>
          <w:sz w:val="24"/>
          <w:szCs w:val="24"/>
        </w:rPr>
        <w:lastRenderedPageBreak/>
        <w:t xml:space="preserve">Reference </w:t>
      </w:r>
    </w:p>
    <w:p w14:paraId="16B001CD" w14:textId="74D2A9F5" w:rsidR="000F1035" w:rsidRPr="000F1035" w:rsidRDefault="000F1035" w:rsidP="000F1035">
      <w:pPr>
        <w:ind w:left="720" w:hanging="720"/>
        <w:rPr>
          <w:rFonts w:cs="Times New Roman"/>
          <w:szCs w:val="24"/>
          <w:lang w:eastAsia="ko-KR"/>
        </w:rPr>
      </w:pPr>
      <w:r w:rsidRPr="000F1035">
        <w:rPr>
          <w:rFonts w:cs="Times New Roman"/>
          <w:szCs w:val="24"/>
          <w:lang w:eastAsia="ko-KR"/>
        </w:rPr>
        <w:t xml:space="preserve">Ahamad, M.A., Arifin, K., Abas, A., Mahfudz, M., Cyio, M.B., Khairil, M., Ali, M.N., Lampe, I. and Samad, M.A., </w:t>
      </w:r>
      <w:r w:rsidR="00735A8A">
        <w:rPr>
          <w:rFonts w:cs="Times New Roman"/>
          <w:szCs w:val="24"/>
          <w:lang w:eastAsia="ko-KR"/>
        </w:rPr>
        <w:t>(</w:t>
      </w:r>
      <w:r w:rsidRPr="000F1035">
        <w:rPr>
          <w:rFonts w:cs="Times New Roman"/>
          <w:szCs w:val="24"/>
          <w:lang w:eastAsia="ko-KR"/>
        </w:rPr>
        <w:t>2022</w:t>
      </w:r>
      <w:r w:rsidR="00735A8A">
        <w:rPr>
          <w:rFonts w:cs="Times New Roman"/>
          <w:szCs w:val="24"/>
          <w:lang w:eastAsia="ko-KR"/>
        </w:rPr>
        <w:t>)</w:t>
      </w:r>
      <w:r w:rsidRPr="000F1035">
        <w:rPr>
          <w:rFonts w:cs="Times New Roman"/>
          <w:szCs w:val="24"/>
          <w:lang w:eastAsia="ko-KR"/>
        </w:rPr>
        <w:t>. Systematic literature review on variables impacting organization’s zero accident vision in occupational safety and health perspectives. Sustainability, 14(13), p.7523.</w:t>
      </w:r>
    </w:p>
    <w:p w14:paraId="7941D10A" w14:textId="5356D276" w:rsidR="000F1035" w:rsidRPr="000F1035" w:rsidRDefault="000F1035" w:rsidP="000F1035">
      <w:pPr>
        <w:ind w:left="720" w:hanging="720"/>
        <w:rPr>
          <w:rFonts w:cs="Times New Roman"/>
          <w:szCs w:val="24"/>
          <w:lang w:eastAsia="ko-KR"/>
        </w:rPr>
      </w:pPr>
      <w:r w:rsidRPr="000F1035">
        <w:rPr>
          <w:rFonts w:cs="Times New Roman"/>
          <w:szCs w:val="24"/>
          <w:lang w:eastAsia="ko-KR"/>
        </w:rPr>
        <w:t xml:space="preserve">Aririguzoh, </w:t>
      </w:r>
      <w:r w:rsidR="003630A6" w:rsidRPr="000F1035">
        <w:rPr>
          <w:rFonts w:cs="Times New Roman"/>
          <w:szCs w:val="24"/>
          <w:lang w:eastAsia="ko-KR"/>
        </w:rPr>
        <w:t>S</w:t>
      </w:r>
      <w:r w:rsidR="003630A6">
        <w:rPr>
          <w:rFonts w:cs="Times New Roman"/>
          <w:szCs w:val="24"/>
          <w:lang w:eastAsia="ko-KR"/>
        </w:rPr>
        <w:t>. (</w:t>
      </w:r>
      <w:r w:rsidR="003630A6" w:rsidRPr="000F1035">
        <w:rPr>
          <w:rFonts w:cs="Times New Roman"/>
          <w:szCs w:val="24"/>
          <w:lang w:eastAsia="ko-KR"/>
        </w:rPr>
        <w:t>2022</w:t>
      </w:r>
      <w:r w:rsidR="00735A8A">
        <w:rPr>
          <w:rFonts w:cs="Times New Roman"/>
          <w:szCs w:val="24"/>
          <w:lang w:eastAsia="ko-KR"/>
        </w:rPr>
        <w:t>)</w:t>
      </w:r>
      <w:r w:rsidRPr="000F1035">
        <w:rPr>
          <w:rFonts w:cs="Times New Roman"/>
          <w:szCs w:val="24"/>
          <w:lang w:eastAsia="ko-KR"/>
        </w:rPr>
        <w:t>. Communication competencies, culture and SDGs: effective processes to cross-cultural communication. Humanities and Social Sciences Communications, 9(1), pp.1-11.</w:t>
      </w:r>
    </w:p>
    <w:p w14:paraId="6CFD55FB" w14:textId="501A0740" w:rsidR="000F1035" w:rsidRPr="000F1035" w:rsidRDefault="000F1035" w:rsidP="000F1035">
      <w:pPr>
        <w:ind w:left="720" w:hanging="720"/>
        <w:rPr>
          <w:rFonts w:cs="Times New Roman"/>
          <w:szCs w:val="24"/>
          <w:lang w:eastAsia="ko-KR"/>
        </w:rPr>
      </w:pPr>
      <w:r w:rsidRPr="000F1035">
        <w:rPr>
          <w:rFonts w:cs="Times New Roman"/>
          <w:szCs w:val="24"/>
          <w:lang w:eastAsia="ko-KR"/>
        </w:rPr>
        <w:t xml:space="preserve">Berlowitz, I., O'Shaughnessy, D.M., Heinrich, M., Wolf, U., Maake, C. and Martin-Soelch, </w:t>
      </w:r>
      <w:r w:rsidR="00EA3FF3" w:rsidRPr="000F1035">
        <w:rPr>
          <w:rFonts w:cs="Times New Roman"/>
          <w:szCs w:val="24"/>
          <w:lang w:eastAsia="ko-KR"/>
        </w:rPr>
        <w:t>C.</w:t>
      </w:r>
      <w:r w:rsidR="00EA3FF3">
        <w:rPr>
          <w:rFonts w:cs="Times New Roman"/>
          <w:szCs w:val="24"/>
          <w:lang w:eastAsia="ko-KR"/>
        </w:rPr>
        <w:t xml:space="preserve"> (</w:t>
      </w:r>
      <w:r w:rsidRPr="000F1035">
        <w:rPr>
          <w:rFonts w:cs="Times New Roman"/>
          <w:szCs w:val="24"/>
          <w:lang w:eastAsia="ko-KR"/>
        </w:rPr>
        <w:t>2022</w:t>
      </w:r>
      <w:r w:rsidR="00EA3FF3">
        <w:rPr>
          <w:rFonts w:cs="Times New Roman"/>
          <w:szCs w:val="24"/>
          <w:lang w:eastAsia="ko-KR"/>
        </w:rPr>
        <w:t>)</w:t>
      </w:r>
      <w:r w:rsidRPr="000F1035">
        <w:rPr>
          <w:rFonts w:cs="Times New Roman"/>
          <w:szCs w:val="24"/>
          <w:lang w:eastAsia="ko-KR"/>
        </w:rPr>
        <w:t>. Teacher plants—Indigenous Peruvian-Amazonian dietary practices as a method for using psychoactives. Journal of ethnopharmacology, 286, p.114910.</w:t>
      </w:r>
    </w:p>
    <w:p w14:paraId="4DD86702" w14:textId="1B96D134" w:rsidR="000F1035" w:rsidRPr="000F1035" w:rsidRDefault="000F1035" w:rsidP="000F1035">
      <w:pPr>
        <w:ind w:left="720" w:hanging="720"/>
        <w:rPr>
          <w:rFonts w:cs="Times New Roman"/>
          <w:szCs w:val="24"/>
          <w:lang w:eastAsia="ko-KR"/>
        </w:rPr>
      </w:pPr>
      <w:r w:rsidRPr="000F1035">
        <w:rPr>
          <w:rFonts w:cs="Times New Roman"/>
          <w:szCs w:val="24"/>
          <w:lang w:eastAsia="ko-KR"/>
        </w:rPr>
        <w:t xml:space="preserve">Corrales-Øverlid, </w:t>
      </w:r>
      <w:r w:rsidR="00F14B50" w:rsidRPr="000F1035">
        <w:rPr>
          <w:rFonts w:cs="Times New Roman"/>
          <w:szCs w:val="24"/>
          <w:lang w:eastAsia="ko-KR"/>
        </w:rPr>
        <w:t>A.C.</w:t>
      </w:r>
      <w:r w:rsidR="00F14B50">
        <w:rPr>
          <w:rFonts w:cs="Times New Roman"/>
          <w:szCs w:val="24"/>
          <w:lang w:eastAsia="ko-KR"/>
        </w:rPr>
        <w:t xml:space="preserve"> (</w:t>
      </w:r>
      <w:r w:rsidR="00EA3FF3" w:rsidRPr="000F1035">
        <w:rPr>
          <w:rFonts w:cs="Times New Roman"/>
          <w:szCs w:val="24"/>
          <w:lang w:eastAsia="ko-KR"/>
        </w:rPr>
        <w:t>2021</w:t>
      </w:r>
      <w:r w:rsidR="00EA3FF3">
        <w:rPr>
          <w:rFonts w:cs="Times New Roman"/>
          <w:szCs w:val="24"/>
          <w:lang w:eastAsia="ko-KR"/>
        </w:rPr>
        <w:t>)</w:t>
      </w:r>
      <w:r w:rsidRPr="000F1035">
        <w:rPr>
          <w:rFonts w:cs="Times New Roman"/>
          <w:szCs w:val="24"/>
          <w:lang w:eastAsia="ko-KR"/>
        </w:rPr>
        <w:t>. A Culinary Quest: Peruvian Women Entrepreneurs in Southern California Negotiating Gender, Home, and Belonging.</w:t>
      </w:r>
    </w:p>
    <w:p w14:paraId="01F49611" w14:textId="64956E2F" w:rsidR="000F1035" w:rsidRPr="000F1035" w:rsidRDefault="000F1035" w:rsidP="000F1035">
      <w:pPr>
        <w:ind w:left="720" w:hanging="720"/>
        <w:rPr>
          <w:rFonts w:cs="Times New Roman"/>
          <w:szCs w:val="24"/>
          <w:lang w:eastAsia="ko-KR"/>
        </w:rPr>
      </w:pPr>
      <w:r w:rsidRPr="000F1035">
        <w:rPr>
          <w:rFonts w:cs="Times New Roman"/>
          <w:szCs w:val="24"/>
          <w:lang w:eastAsia="ko-KR"/>
        </w:rPr>
        <w:t xml:space="preserve">Feitosa, J., Hagenbuch, S., Patel, B. and Davis, A. </w:t>
      </w:r>
      <w:r w:rsidR="00F14B50">
        <w:rPr>
          <w:rFonts w:cs="Times New Roman"/>
          <w:szCs w:val="24"/>
          <w:lang w:eastAsia="ko-KR"/>
        </w:rPr>
        <w:t>(</w:t>
      </w:r>
      <w:r w:rsidRPr="000F1035">
        <w:rPr>
          <w:rFonts w:cs="Times New Roman"/>
          <w:szCs w:val="24"/>
          <w:lang w:eastAsia="ko-KR"/>
        </w:rPr>
        <w:t>2022</w:t>
      </w:r>
      <w:r w:rsidR="00F14B50">
        <w:rPr>
          <w:rFonts w:cs="Times New Roman"/>
          <w:szCs w:val="24"/>
          <w:lang w:eastAsia="ko-KR"/>
        </w:rPr>
        <w:t>)</w:t>
      </w:r>
      <w:r w:rsidRPr="000F1035">
        <w:rPr>
          <w:rFonts w:cs="Times New Roman"/>
          <w:szCs w:val="24"/>
          <w:lang w:eastAsia="ko-KR"/>
        </w:rPr>
        <w:t>. Performing in diverse settings: a diversity, equity, and inclusion approach to culture. International Journal of Cross Cultural Management, 22(3)</w:t>
      </w:r>
    </w:p>
    <w:p w14:paraId="1F2DB197" w14:textId="3CC09DF3" w:rsidR="000F1035" w:rsidRPr="000F1035" w:rsidRDefault="000F1035" w:rsidP="000F1035">
      <w:pPr>
        <w:ind w:left="720" w:hanging="720"/>
        <w:rPr>
          <w:rFonts w:cs="Times New Roman"/>
          <w:szCs w:val="24"/>
          <w:lang w:eastAsia="ko-KR"/>
        </w:rPr>
      </w:pPr>
      <w:r w:rsidRPr="000F1035">
        <w:rPr>
          <w:rFonts w:cs="Times New Roman"/>
          <w:szCs w:val="24"/>
          <w:lang w:eastAsia="ko-KR"/>
        </w:rPr>
        <w:t xml:space="preserve">Firdaus, F., Anggreta, D.K. and Yasin, F. </w:t>
      </w:r>
      <w:r w:rsidR="00F14B50">
        <w:rPr>
          <w:rFonts w:cs="Times New Roman"/>
          <w:szCs w:val="24"/>
          <w:lang w:eastAsia="ko-KR"/>
        </w:rPr>
        <w:t>(</w:t>
      </w:r>
      <w:r w:rsidRPr="000F1035">
        <w:rPr>
          <w:rFonts w:cs="Times New Roman"/>
          <w:szCs w:val="24"/>
          <w:lang w:eastAsia="ko-KR"/>
        </w:rPr>
        <w:t>2020</w:t>
      </w:r>
      <w:r w:rsidR="00F14B50">
        <w:rPr>
          <w:rFonts w:cs="Times New Roman"/>
          <w:szCs w:val="24"/>
          <w:lang w:eastAsia="ko-KR"/>
        </w:rPr>
        <w:t>)</w:t>
      </w:r>
      <w:r w:rsidRPr="000F1035">
        <w:rPr>
          <w:rFonts w:cs="Times New Roman"/>
          <w:szCs w:val="24"/>
          <w:lang w:eastAsia="ko-KR"/>
        </w:rPr>
        <w:t>. Internalizing multiculturalism values through education: Anticipatory strategies for multicultural problems and intolerance in Indonesia. Jurnal Antropologi: Isu-Isu Sosial Budaya, 22(1), pp.131-141.</w:t>
      </w:r>
    </w:p>
    <w:p w14:paraId="3702B62A" w14:textId="2752DABD" w:rsidR="000F1035" w:rsidRPr="000F1035" w:rsidRDefault="000F1035" w:rsidP="000F1035">
      <w:pPr>
        <w:ind w:left="720" w:hanging="720"/>
        <w:rPr>
          <w:rFonts w:cs="Times New Roman"/>
          <w:szCs w:val="24"/>
          <w:lang w:eastAsia="ko-KR"/>
        </w:rPr>
      </w:pPr>
      <w:r w:rsidRPr="000F1035">
        <w:rPr>
          <w:rFonts w:cs="Times New Roman"/>
          <w:szCs w:val="24"/>
          <w:lang w:eastAsia="ko-KR"/>
        </w:rPr>
        <w:t xml:space="preserve">Foster, S. and Foster, </w:t>
      </w:r>
      <w:r w:rsidR="00263537" w:rsidRPr="000F1035">
        <w:rPr>
          <w:rFonts w:cs="Times New Roman"/>
          <w:szCs w:val="24"/>
          <w:lang w:eastAsia="ko-KR"/>
        </w:rPr>
        <w:t>A.</w:t>
      </w:r>
      <w:r w:rsidR="00263537">
        <w:rPr>
          <w:rFonts w:cs="Times New Roman"/>
          <w:szCs w:val="24"/>
          <w:lang w:eastAsia="ko-KR"/>
        </w:rPr>
        <w:t xml:space="preserve"> (</w:t>
      </w:r>
      <w:r w:rsidRPr="000F1035">
        <w:rPr>
          <w:rFonts w:cs="Times New Roman"/>
          <w:szCs w:val="24"/>
          <w:lang w:eastAsia="ko-KR"/>
        </w:rPr>
        <w:t>2019</w:t>
      </w:r>
      <w:r w:rsidR="000A7574">
        <w:rPr>
          <w:rFonts w:cs="Times New Roman"/>
          <w:szCs w:val="24"/>
          <w:lang w:eastAsia="ko-KR"/>
        </w:rPr>
        <w:t>)</w:t>
      </w:r>
      <w:r w:rsidRPr="000F1035">
        <w:rPr>
          <w:rFonts w:cs="Times New Roman"/>
          <w:szCs w:val="24"/>
          <w:lang w:eastAsia="ko-KR"/>
        </w:rPr>
        <w:t>. The impact of workplace spirituality on work-based learners: Individual and organisational level perspectives. Journal of Work-Applied Management, 11(1), pp.63-75.</w:t>
      </w:r>
    </w:p>
    <w:p w14:paraId="7E133E99" w14:textId="1BBC3711" w:rsidR="000F1035" w:rsidRPr="000F1035" w:rsidRDefault="00C6706C" w:rsidP="000F1035">
      <w:pPr>
        <w:ind w:left="720" w:hanging="720"/>
        <w:rPr>
          <w:rFonts w:cs="Times New Roman"/>
          <w:szCs w:val="24"/>
          <w:lang w:eastAsia="ko-KR"/>
        </w:rPr>
      </w:pPr>
      <w:r>
        <w:rPr>
          <w:rFonts w:cs="Times New Roman"/>
          <w:szCs w:val="24"/>
          <w:lang w:eastAsia="ko-KR"/>
        </w:rPr>
        <w:t>F</w:t>
      </w:r>
      <w:r w:rsidR="00263537" w:rsidRPr="000F1035">
        <w:rPr>
          <w:rFonts w:cs="Times New Roman"/>
          <w:szCs w:val="24"/>
          <w:lang w:eastAsia="ko-KR"/>
        </w:rPr>
        <w:t xml:space="preserve">uster, M., Dimond, E., Handley, M.A., Rose, D., Stoecker, C., Knapp, M., Elbel, B., Conaboy, C. and Huang, T.T. </w:t>
      </w:r>
      <w:r w:rsidR="00263537">
        <w:rPr>
          <w:rFonts w:cs="Times New Roman"/>
          <w:szCs w:val="24"/>
          <w:lang w:eastAsia="ko-KR"/>
        </w:rPr>
        <w:t>(</w:t>
      </w:r>
      <w:r w:rsidR="00263537" w:rsidRPr="000F1035">
        <w:rPr>
          <w:rFonts w:cs="Times New Roman"/>
          <w:szCs w:val="24"/>
          <w:lang w:eastAsia="ko-KR"/>
        </w:rPr>
        <w:t>2023</w:t>
      </w:r>
      <w:r w:rsidR="00263537">
        <w:rPr>
          <w:rFonts w:cs="Times New Roman"/>
          <w:szCs w:val="24"/>
          <w:lang w:eastAsia="ko-KR"/>
        </w:rPr>
        <w:t>)</w:t>
      </w:r>
      <w:r w:rsidR="00263537" w:rsidRPr="000F1035">
        <w:rPr>
          <w:rFonts w:cs="Times New Roman"/>
          <w:szCs w:val="24"/>
          <w:lang w:eastAsia="ko-KR"/>
        </w:rPr>
        <w:t>. Evaluating the outcomes and implementation determinants of interventions co-developed using human-centered design to promote healthy eating in restaurants: an application of the consolidated framework for implementation research. Frontiers in Public Health, 11, p.1150790.</w:t>
      </w:r>
    </w:p>
    <w:p w14:paraId="43556F83" w14:textId="68D7D9DF" w:rsidR="000F1035" w:rsidRPr="000F1035" w:rsidRDefault="000F1035" w:rsidP="000F1035">
      <w:pPr>
        <w:ind w:left="720" w:hanging="720"/>
        <w:rPr>
          <w:rFonts w:cs="Times New Roman"/>
          <w:szCs w:val="24"/>
          <w:lang w:eastAsia="ko-KR"/>
        </w:rPr>
      </w:pPr>
      <w:r w:rsidRPr="000F1035">
        <w:rPr>
          <w:rFonts w:cs="Times New Roman"/>
          <w:szCs w:val="24"/>
          <w:lang w:eastAsia="ko-KR"/>
        </w:rPr>
        <w:t xml:space="preserve">García, M.E. </w:t>
      </w:r>
      <w:r w:rsidR="00600F65">
        <w:rPr>
          <w:rFonts w:cs="Times New Roman"/>
          <w:szCs w:val="24"/>
          <w:lang w:eastAsia="ko-KR"/>
        </w:rPr>
        <w:t>(</w:t>
      </w:r>
      <w:r w:rsidRPr="000F1035">
        <w:rPr>
          <w:rFonts w:cs="Times New Roman"/>
          <w:szCs w:val="24"/>
          <w:lang w:eastAsia="ko-KR"/>
        </w:rPr>
        <w:t>2021</w:t>
      </w:r>
      <w:r w:rsidR="00600F65">
        <w:rPr>
          <w:rFonts w:cs="Times New Roman"/>
          <w:szCs w:val="24"/>
          <w:lang w:eastAsia="ko-KR"/>
        </w:rPr>
        <w:t>)</w:t>
      </w:r>
      <w:r w:rsidRPr="000F1035">
        <w:rPr>
          <w:rFonts w:cs="Times New Roman"/>
          <w:szCs w:val="24"/>
          <w:lang w:eastAsia="ko-KR"/>
        </w:rPr>
        <w:t>. Gastropolitics and the specter of race: Stories of capital, culture, and coloniality in Peru (Vol. 76). Univ of California Press.</w:t>
      </w:r>
    </w:p>
    <w:p w14:paraId="0CB706AB" w14:textId="152C2F48" w:rsidR="000F1035" w:rsidRPr="000F1035" w:rsidRDefault="000F1035" w:rsidP="000F1035">
      <w:pPr>
        <w:ind w:left="720" w:hanging="720"/>
        <w:rPr>
          <w:rFonts w:cs="Times New Roman"/>
          <w:szCs w:val="24"/>
          <w:lang w:eastAsia="ko-KR"/>
        </w:rPr>
      </w:pPr>
      <w:r w:rsidRPr="000F1035">
        <w:rPr>
          <w:rFonts w:cs="Times New Roman"/>
          <w:szCs w:val="24"/>
          <w:lang w:eastAsia="ko-KR"/>
        </w:rPr>
        <w:lastRenderedPageBreak/>
        <w:t xml:space="preserve">Kaliannan, M., Darmalinggam, D., Dorasamy, M. and Abraham, M. </w:t>
      </w:r>
      <w:r w:rsidR="00DB08AA">
        <w:rPr>
          <w:rFonts w:cs="Times New Roman"/>
          <w:szCs w:val="24"/>
          <w:lang w:eastAsia="ko-KR"/>
        </w:rPr>
        <w:t>(</w:t>
      </w:r>
      <w:r w:rsidRPr="000F1035">
        <w:rPr>
          <w:rFonts w:cs="Times New Roman"/>
          <w:szCs w:val="24"/>
          <w:lang w:eastAsia="ko-KR"/>
        </w:rPr>
        <w:t>2023</w:t>
      </w:r>
      <w:r w:rsidR="00DB08AA">
        <w:rPr>
          <w:rFonts w:cs="Times New Roman"/>
          <w:szCs w:val="24"/>
          <w:lang w:eastAsia="ko-KR"/>
        </w:rPr>
        <w:t>)</w:t>
      </w:r>
      <w:r w:rsidRPr="000F1035">
        <w:rPr>
          <w:rFonts w:cs="Times New Roman"/>
          <w:szCs w:val="24"/>
          <w:lang w:eastAsia="ko-KR"/>
        </w:rPr>
        <w:t>. Inclusive talent development as a key talent management approach: A systematic literature review. Human Resource Management Review, 33(1), p.100926.</w:t>
      </w:r>
    </w:p>
    <w:p w14:paraId="64877EBF" w14:textId="5FB09B38" w:rsidR="000F1035" w:rsidRPr="000F1035" w:rsidRDefault="000F1035" w:rsidP="000F1035">
      <w:pPr>
        <w:ind w:left="720" w:hanging="720"/>
        <w:rPr>
          <w:rFonts w:cs="Times New Roman"/>
          <w:szCs w:val="24"/>
          <w:lang w:eastAsia="ko-KR"/>
        </w:rPr>
      </w:pPr>
      <w:r w:rsidRPr="000F1035">
        <w:rPr>
          <w:rFonts w:cs="Times New Roman"/>
          <w:szCs w:val="24"/>
          <w:lang w:eastAsia="ko-KR"/>
        </w:rPr>
        <w:t xml:space="preserve">Kittopoomwong, P. and Salamzadeh, </w:t>
      </w:r>
      <w:r w:rsidR="00E8456A" w:rsidRPr="000F1035">
        <w:rPr>
          <w:rFonts w:cs="Times New Roman"/>
          <w:szCs w:val="24"/>
          <w:lang w:eastAsia="ko-KR"/>
        </w:rPr>
        <w:t>Y.</w:t>
      </w:r>
      <w:r w:rsidR="00E8456A">
        <w:rPr>
          <w:rFonts w:cs="Times New Roman"/>
          <w:szCs w:val="24"/>
          <w:lang w:eastAsia="ko-KR"/>
        </w:rPr>
        <w:t xml:space="preserve"> (</w:t>
      </w:r>
      <w:r w:rsidR="00E8456A" w:rsidRPr="000F1035">
        <w:rPr>
          <w:rFonts w:cs="Times New Roman"/>
          <w:szCs w:val="24"/>
          <w:lang w:eastAsia="ko-KR"/>
        </w:rPr>
        <w:t>2023</w:t>
      </w:r>
      <w:r w:rsidR="00E8456A">
        <w:rPr>
          <w:rFonts w:cs="Times New Roman"/>
          <w:szCs w:val="24"/>
          <w:lang w:eastAsia="ko-KR"/>
        </w:rPr>
        <w:t>)</w:t>
      </w:r>
      <w:r w:rsidRPr="000F1035">
        <w:rPr>
          <w:rFonts w:cs="Times New Roman"/>
          <w:szCs w:val="24"/>
          <w:lang w:eastAsia="ko-KR"/>
        </w:rPr>
        <w:t>. BUSINESS CONTINUITY AND STRATEGIC RESILIENCE IN HIGH-CONTEXT CULTURES: A CASE OF AN ASIAN INSURANCE INTERMEDIARY. Journal of Entrepreneurship and Business Resilience, 6(1), pp.45-65.</w:t>
      </w:r>
    </w:p>
    <w:p w14:paraId="3D16612B" w14:textId="426B341A" w:rsidR="000F1035" w:rsidRPr="000F1035" w:rsidRDefault="000F1035" w:rsidP="000F1035">
      <w:pPr>
        <w:ind w:left="720" w:hanging="720"/>
        <w:rPr>
          <w:rFonts w:cs="Times New Roman"/>
          <w:szCs w:val="24"/>
          <w:lang w:eastAsia="ko-KR"/>
        </w:rPr>
      </w:pPr>
      <w:r w:rsidRPr="000F1035">
        <w:rPr>
          <w:rFonts w:cs="Times New Roman"/>
          <w:szCs w:val="24"/>
          <w:lang w:eastAsia="ko-KR"/>
        </w:rPr>
        <w:t xml:space="preserve">Samašonok, K., Kamienas, E., Gegužienė, V., Valentukevičiūtė, R. and Šimkienė, </w:t>
      </w:r>
      <w:r w:rsidR="00102D32" w:rsidRPr="000F1035">
        <w:rPr>
          <w:rFonts w:cs="Times New Roman"/>
          <w:szCs w:val="24"/>
          <w:lang w:eastAsia="ko-KR"/>
        </w:rPr>
        <w:t>A.</w:t>
      </w:r>
      <w:r w:rsidR="00102D32">
        <w:rPr>
          <w:rFonts w:cs="Times New Roman"/>
          <w:szCs w:val="24"/>
          <w:lang w:eastAsia="ko-KR"/>
        </w:rPr>
        <w:t xml:space="preserve"> (</w:t>
      </w:r>
      <w:r w:rsidRPr="000F1035">
        <w:rPr>
          <w:rFonts w:cs="Times New Roman"/>
          <w:szCs w:val="24"/>
          <w:lang w:eastAsia="ko-KR"/>
        </w:rPr>
        <w:t>2023</w:t>
      </w:r>
      <w:r w:rsidR="006008D6">
        <w:rPr>
          <w:rFonts w:cs="Times New Roman"/>
          <w:szCs w:val="24"/>
          <w:lang w:eastAsia="ko-KR"/>
        </w:rPr>
        <w:t>)</w:t>
      </w:r>
      <w:r w:rsidRPr="000F1035">
        <w:rPr>
          <w:rFonts w:cs="Times New Roman"/>
          <w:szCs w:val="24"/>
          <w:lang w:eastAsia="ko-KR"/>
        </w:rPr>
        <w:t>. Creating an inclusive and diverse workplace environment: current realities and trends for improvement. Entrepreneurship and Sustainability Issues, 10(4), pp.184-201.</w:t>
      </w:r>
    </w:p>
    <w:p w14:paraId="1E9A8B29" w14:textId="2665BD57" w:rsidR="000F1035" w:rsidRPr="000F1035" w:rsidRDefault="000F1035" w:rsidP="000F1035">
      <w:pPr>
        <w:ind w:left="720" w:hanging="720"/>
        <w:rPr>
          <w:rFonts w:cs="Times New Roman"/>
          <w:szCs w:val="24"/>
          <w:lang w:eastAsia="ko-KR"/>
        </w:rPr>
      </w:pPr>
      <w:r w:rsidRPr="000F1035">
        <w:rPr>
          <w:rFonts w:cs="Times New Roman"/>
          <w:szCs w:val="24"/>
          <w:lang w:eastAsia="ko-KR"/>
        </w:rPr>
        <w:t xml:space="preserve">Savu, </w:t>
      </w:r>
      <w:r w:rsidR="005F16C3" w:rsidRPr="000F1035">
        <w:rPr>
          <w:rFonts w:cs="Times New Roman"/>
          <w:szCs w:val="24"/>
          <w:lang w:eastAsia="ko-KR"/>
        </w:rPr>
        <w:t>I.</w:t>
      </w:r>
      <w:r w:rsidR="005F16C3">
        <w:rPr>
          <w:rFonts w:cs="Times New Roman"/>
          <w:szCs w:val="24"/>
          <w:lang w:eastAsia="ko-KR"/>
        </w:rPr>
        <w:t xml:space="preserve"> (</w:t>
      </w:r>
      <w:r w:rsidR="005F16C3" w:rsidRPr="000F1035">
        <w:rPr>
          <w:rFonts w:cs="Times New Roman"/>
          <w:szCs w:val="24"/>
          <w:lang w:eastAsia="ko-KR"/>
        </w:rPr>
        <w:t>2019</w:t>
      </w:r>
      <w:r w:rsidR="00271349">
        <w:rPr>
          <w:rFonts w:cs="Times New Roman"/>
          <w:szCs w:val="24"/>
          <w:lang w:eastAsia="ko-KR"/>
        </w:rPr>
        <w:t>)</w:t>
      </w:r>
      <w:r w:rsidRPr="000F1035">
        <w:rPr>
          <w:rFonts w:cs="Times New Roman"/>
          <w:szCs w:val="24"/>
          <w:lang w:eastAsia="ko-KR"/>
        </w:rPr>
        <w:t>. Amplifying performance in virtual teams optimizing communication strategies. Res. &amp; Sci. Today, 17, p.112.</w:t>
      </w:r>
    </w:p>
    <w:p w14:paraId="29D963E3" w14:textId="7E790B9A" w:rsidR="000F1035" w:rsidRPr="000F1035" w:rsidRDefault="000F1035" w:rsidP="000F1035">
      <w:pPr>
        <w:ind w:left="720" w:hanging="720"/>
        <w:rPr>
          <w:rFonts w:cs="Times New Roman"/>
          <w:szCs w:val="24"/>
          <w:lang w:eastAsia="ko-KR"/>
        </w:rPr>
      </w:pPr>
      <w:r w:rsidRPr="000F1035">
        <w:rPr>
          <w:rFonts w:cs="Times New Roman"/>
          <w:szCs w:val="24"/>
          <w:lang w:eastAsia="ko-KR"/>
        </w:rPr>
        <w:t xml:space="preserve">Sengupta-Irving, T., Tunney, J. and Macias, M. </w:t>
      </w:r>
      <w:r w:rsidR="0015087A">
        <w:rPr>
          <w:rFonts w:cs="Times New Roman"/>
          <w:szCs w:val="24"/>
          <w:lang w:eastAsia="ko-KR"/>
        </w:rPr>
        <w:t>(</w:t>
      </w:r>
      <w:r w:rsidRPr="000F1035">
        <w:rPr>
          <w:rFonts w:cs="Times New Roman"/>
          <w:szCs w:val="24"/>
          <w:lang w:eastAsia="ko-KR"/>
        </w:rPr>
        <w:t>2021</w:t>
      </w:r>
      <w:r w:rsidR="0015087A">
        <w:rPr>
          <w:rFonts w:cs="Times New Roman"/>
          <w:szCs w:val="24"/>
          <w:lang w:eastAsia="ko-KR"/>
        </w:rPr>
        <w:t>)</w:t>
      </w:r>
      <w:r w:rsidRPr="000F1035">
        <w:rPr>
          <w:rFonts w:cs="Times New Roman"/>
          <w:szCs w:val="24"/>
          <w:lang w:eastAsia="ko-KR"/>
        </w:rPr>
        <w:t>. Stories of garlic, butter, and ceviche: Racial-ideological micro-contestation and microaggressions in secondary STEM professional development. Cognition and Instruction, 39(1), pp.65-84.</w:t>
      </w:r>
    </w:p>
    <w:p w14:paraId="32D5CD76" w14:textId="77777777" w:rsidR="00B73B31" w:rsidRDefault="00B73B31"/>
    <w:sectPr w:rsidR="00B73B31" w:rsidSect="000F1035">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12931" w14:textId="77777777" w:rsidR="002D7452" w:rsidRDefault="002D7452" w:rsidP="007D13A2">
      <w:pPr>
        <w:spacing w:after="0" w:line="240" w:lineRule="auto"/>
      </w:pPr>
      <w:r>
        <w:separator/>
      </w:r>
    </w:p>
  </w:endnote>
  <w:endnote w:type="continuationSeparator" w:id="0">
    <w:p w14:paraId="419C1DB5" w14:textId="77777777" w:rsidR="002D7452" w:rsidRDefault="002D7452" w:rsidP="007D1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3563372"/>
      <w:docPartObj>
        <w:docPartGallery w:val="Page Numbers (Bottom of Page)"/>
        <w:docPartUnique/>
      </w:docPartObj>
    </w:sdtPr>
    <w:sdtEndPr>
      <w:rPr>
        <w:noProof/>
      </w:rPr>
    </w:sdtEndPr>
    <w:sdtContent>
      <w:p w14:paraId="1AC12C51" w14:textId="4A309973" w:rsidR="007D13A2" w:rsidRDefault="007D13A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CC1D1B"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A7547" w14:textId="77777777" w:rsidR="002D7452" w:rsidRDefault="002D7452" w:rsidP="007D13A2">
      <w:pPr>
        <w:spacing w:after="0" w:line="240" w:lineRule="auto"/>
      </w:pPr>
      <w:r>
        <w:separator/>
      </w:r>
    </w:p>
  </w:footnote>
  <w:footnote w:type="continuationSeparator" w:id="0">
    <w:p w14:paraId="41AB701D" w14:textId="77777777" w:rsidR="002D7452" w:rsidRDefault="002D7452" w:rsidP="007D13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31338"/>
    <w:multiLevelType w:val="hybridMultilevel"/>
    <w:tmpl w:val="E80477D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32997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035"/>
    <w:rsid w:val="000A7574"/>
    <w:rsid w:val="000F1035"/>
    <w:rsid w:val="00102D32"/>
    <w:rsid w:val="00134F93"/>
    <w:rsid w:val="0015087A"/>
    <w:rsid w:val="00185DD2"/>
    <w:rsid w:val="002123AA"/>
    <w:rsid w:val="00263537"/>
    <w:rsid w:val="00265570"/>
    <w:rsid w:val="00271349"/>
    <w:rsid w:val="002D7452"/>
    <w:rsid w:val="00321DE9"/>
    <w:rsid w:val="003630A6"/>
    <w:rsid w:val="0038431D"/>
    <w:rsid w:val="00522F1A"/>
    <w:rsid w:val="005947D4"/>
    <w:rsid w:val="005969F8"/>
    <w:rsid w:val="005D78D9"/>
    <w:rsid w:val="005F16C3"/>
    <w:rsid w:val="006008D6"/>
    <w:rsid w:val="00600F65"/>
    <w:rsid w:val="006070AD"/>
    <w:rsid w:val="00675109"/>
    <w:rsid w:val="006F628F"/>
    <w:rsid w:val="00735A8A"/>
    <w:rsid w:val="007D13A2"/>
    <w:rsid w:val="00871EE4"/>
    <w:rsid w:val="008A0A0B"/>
    <w:rsid w:val="008A49FC"/>
    <w:rsid w:val="008E4C75"/>
    <w:rsid w:val="00AB2C49"/>
    <w:rsid w:val="00B16D31"/>
    <w:rsid w:val="00B73B31"/>
    <w:rsid w:val="00BA1EDB"/>
    <w:rsid w:val="00C6706C"/>
    <w:rsid w:val="00CE7677"/>
    <w:rsid w:val="00D03C57"/>
    <w:rsid w:val="00D154CD"/>
    <w:rsid w:val="00D5049E"/>
    <w:rsid w:val="00DB08AA"/>
    <w:rsid w:val="00E47B34"/>
    <w:rsid w:val="00E8456A"/>
    <w:rsid w:val="00E970E7"/>
    <w:rsid w:val="00EA19E6"/>
    <w:rsid w:val="00EA24BA"/>
    <w:rsid w:val="00EA3FF3"/>
    <w:rsid w:val="00EE2AB7"/>
    <w:rsid w:val="00F14B50"/>
    <w:rsid w:val="00F54C1A"/>
    <w:rsid w:val="00F714E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6D0F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4CD"/>
    <w:pPr>
      <w:spacing w:line="360" w:lineRule="auto"/>
      <w:jc w:val="both"/>
    </w:pPr>
    <w:rPr>
      <w:rFonts w:ascii="Times New Roman" w:eastAsia="Calibri" w:hAnsi="Times New Roman" w:cs="Arial"/>
      <w:kern w:val="0"/>
      <w:sz w:val="24"/>
      <w14:ligatures w14:val="none"/>
    </w:rPr>
  </w:style>
  <w:style w:type="paragraph" w:styleId="Heading1">
    <w:name w:val="heading 1"/>
    <w:basedOn w:val="Normal"/>
    <w:next w:val="Normal"/>
    <w:link w:val="Heading1Char"/>
    <w:qFormat/>
    <w:rsid w:val="008A49FC"/>
    <w:pPr>
      <w:keepNext/>
      <w:keepLines/>
      <w:spacing w:before="240" w:after="0"/>
      <w:outlineLvl w:val="0"/>
    </w:pPr>
    <w:rPr>
      <w:rFonts w:eastAsiaTheme="majorEastAsia" w:cstheme="majorBidi"/>
      <w:b/>
      <w:sz w:val="28"/>
      <w:szCs w:val="32"/>
      <w:lang w:eastAsia="ko-KR"/>
    </w:rPr>
  </w:style>
  <w:style w:type="paragraph" w:styleId="Heading2">
    <w:name w:val="heading 2"/>
    <w:basedOn w:val="Normal"/>
    <w:next w:val="Normal"/>
    <w:link w:val="Heading2Char"/>
    <w:uiPriority w:val="9"/>
    <w:unhideWhenUsed/>
    <w:qFormat/>
    <w:rsid w:val="008A49FC"/>
    <w:pPr>
      <w:keepNext/>
      <w:keepLines/>
      <w:spacing w:before="40" w:after="0"/>
      <w:outlineLvl w:val="1"/>
    </w:pPr>
    <w:rPr>
      <w:rFonts w:eastAsiaTheme="majorEastAsia" w:cstheme="majorBidi"/>
      <w:b/>
      <w:sz w:val="26"/>
      <w:szCs w:val="26"/>
      <w:lang w:eastAsia="ko-KR"/>
    </w:rPr>
  </w:style>
  <w:style w:type="paragraph" w:styleId="Heading3">
    <w:name w:val="heading 3"/>
    <w:basedOn w:val="Normal"/>
    <w:next w:val="Normal"/>
    <w:link w:val="Heading3Char"/>
    <w:uiPriority w:val="9"/>
    <w:semiHidden/>
    <w:unhideWhenUsed/>
    <w:qFormat/>
    <w:rsid w:val="008A49FC"/>
    <w:pPr>
      <w:keepNext/>
      <w:keepLines/>
      <w:spacing w:before="40" w:after="0"/>
      <w:outlineLvl w:val="2"/>
    </w:pPr>
    <w:rPr>
      <w:rFonts w:eastAsiaTheme="majorEastAsia" w:cstheme="majorBidi"/>
      <w:b/>
      <w:szCs w:val="24"/>
      <w:lang w:val="en-GB"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A49FC"/>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8A49FC"/>
    <w:rPr>
      <w:rFonts w:ascii="Times New Roman" w:eastAsiaTheme="majorEastAsia" w:hAnsi="Times New Roman" w:cstheme="majorBidi"/>
      <w:b/>
      <w:sz w:val="26"/>
      <w:szCs w:val="26"/>
      <w:lang w:eastAsia="en-GB"/>
    </w:rPr>
  </w:style>
  <w:style w:type="paragraph" w:styleId="Title">
    <w:name w:val="Title"/>
    <w:basedOn w:val="Normal"/>
    <w:next w:val="Normal"/>
    <w:link w:val="TitleChar"/>
    <w:uiPriority w:val="10"/>
    <w:qFormat/>
    <w:rsid w:val="008A49FC"/>
    <w:pPr>
      <w:spacing w:after="0"/>
      <w:contextualSpacing/>
      <w:jc w:val="center"/>
    </w:pPr>
    <w:rPr>
      <w:rFonts w:eastAsiaTheme="majorEastAsia" w:cstheme="majorBidi"/>
      <w:b/>
      <w:spacing w:val="-10"/>
      <w:kern w:val="28"/>
      <w:sz w:val="36"/>
      <w:szCs w:val="56"/>
      <w:lang w:eastAsia="ko-KR"/>
    </w:rPr>
  </w:style>
  <w:style w:type="character" w:customStyle="1" w:styleId="TitleChar">
    <w:name w:val="Title Char"/>
    <w:basedOn w:val="DefaultParagraphFont"/>
    <w:link w:val="Title"/>
    <w:uiPriority w:val="10"/>
    <w:rsid w:val="008A49FC"/>
    <w:rPr>
      <w:rFonts w:ascii="Times New Roman" w:eastAsiaTheme="majorEastAsia" w:hAnsi="Times New Roman" w:cstheme="majorBidi"/>
      <w:b/>
      <w:color w:val="000000" w:themeColor="text1"/>
      <w:spacing w:val="-10"/>
      <w:kern w:val="28"/>
      <w:sz w:val="36"/>
      <w:szCs w:val="56"/>
      <w:lang w:eastAsia="en-GB"/>
    </w:rPr>
  </w:style>
  <w:style w:type="character" w:customStyle="1" w:styleId="Heading3Char">
    <w:name w:val="Heading 3 Char"/>
    <w:basedOn w:val="DefaultParagraphFont"/>
    <w:link w:val="Heading3"/>
    <w:uiPriority w:val="9"/>
    <w:semiHidden/>
    <w:rsid w:val="008A49FC"/>
    <w:rPr>
      <w:rFonts w:ascii="Times New Roman" w:eastAsiaTheme="majorEastAsia" w:hAnsi="Times New Roman" w:cstheme="majorBidi"/>
      <w:b/>
      <w:color w:val="000000" w:themeColor="text1"/>
      <w:sz w:val="24"/>
      <w:szCs w:val="24"/>
      <w:lang w:val="en-GB" w:eastAsia="en-GB"/>
    </w:rPr>
  </w:style>
  <w:style w:type="paragraph" w:styleId="Footer">
    <w:name w:val="footer"/>
    <w:basedOn w:val="Normal"/>
    <w:link w:val="FooterChar"/>
    <w:uiPriority w:val="99"/>
    <w:unhideWhenUsed/>
    <w:rsid w:val="000F10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1035"/>
    <w:rPr>
      <w:rFonts w:ascii="Calibri" w:eastAsia="Calibri" w:hAnsi="Calibri" w:cs="Arial"/>
      <w:kern w:val="0"/>
      <w14:ligatures w14:val="none"/>
    </w:rPr>
  </w:style>
  <w:style w:type="paragraph" w:styleId="ListParagraph">
    <w:name w:val="List Paragraph"/>
    <w:basedOn w:val="Normal"/>
    <w:uiPriority w:val="34"/>
    <w:qFormat/>
    <w:rsid w:val="000F1035"/>
    <w:pPr>
      <w:ind w:left="720"/>
      <w:contextualSpacing/>
    </w:pPr>
  </w:style>
  <w:style w:type="paragraph" w:styleId="Header">
    <w:name w:val="header"/>
    <w:basedOn w:val="Normal"/>
    <w:link w:val="HeaderChar"/>
    <w:uiPriority w:val="99"/>
    <w:unhideWhenUsed/>
    <w:rsid w:val="007D13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13A2"/>
    <w:rPr>
      <w:rFonts w:ascii="Calibri" w:eastAsia="Calibri" w:hAnsi="Calibri"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3007</Words>
  <Characters>17141</Characters>
  <Application>Microsoft Office Word</Application>
  <DocSecurity>0</DocSecurity>
  <Lines>142</Lines>
  <Paragraphs>40</Paragraphs>
  <ScaleCrop>false</ScaleCrop>
  <Company/>
  <LinksUpToDate>false</LinksUpToDate>
  <CharactersWithSpaces>20108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cp:revision>
  <dcterms:created xsi:type="dcterms:W3CDTF">2023-07-11T06:35:00Z</dcterms:created>
  <dcterms:modified xsi:type="dcterms:W3CDTF">2023-08-28T13:27:00Z</dcterms:modified>
</cp:coreProperties>
</file>