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73BBF" w14:textId="77777777" w:rsidR="00573BDE" w:rsidRPr="009012E6" w:rsidRDefault="00AC78E4" w:rsidP="00252966">
      <w:pPr>
        <w:spacing w:line="360" w:lineRule="auto"/>
        <w:jc w:val="both"/>
        <w:rPr>
          <w:rFonts w:ascii="Arial" w:hAnsi="Arial" w:cs="Arial"/>
        </w:rPr>
      </w:pPr>
      <w:r w:rsidRPr="009012E6">
        <w:rPr>
          <w:rFonts w:ascii="Arial" w:hAnsi="Arial" w:cs="Arial"/>
        </w:rPr>
        <w:t xml:space="preserve">Title: </w:t>
      </w:r>
    </w:p>
    <w:p w14:paraId="1D4BEAC7" w14:textId="77777777" w:rsidR="00AC78E4" w:rsidRPr="009012E6" w:rsidRDefault="00630DC8" w:rsidP="00630DC8">
      <w:pPr>
        <w:spacing w:line="360" w:lineRule="auto"/>
        <w:jc w:val="center"/>
        <w:rPr>
          <w:rFonts w:ascii="Arial" w:hAnsi="Arial" w:cs="Arial"/>
          <w:b/>
          <w:bCs/>
          <w:i/>
          <w:iCs/>
          <w:u w:val="single"/>
        </w:rPr>
      </w:pPr>
      <w:r w:rsidRPr="009012E6">
        <w:rPr>
          <w:rFonts w:ascii="Arial" w:hAnsi="Arial" w:cs="Arial"/>
          <w:b/>
          <w:bCs/>
          <w:i/>
          <w:iCs/>
          <w:u w:val="single"/>
        </w:rPr>
        <w:t>A Critical Evaluatio</w:t>
      </w:r>
      <w:r w:rsidR="00396837" w:rsidRPr="009012E6">
        <w:rPr>
          <w:rFonts w:ascii="Arial" w:hAnsi="Arial" w:cs="Arial"/>
          <w:b/>
          <w:bCs/>
          <w:i/>
          <w:iCs/>
          <w:u w:val="single"/>
        </w:rPr>
        <w:t>n of Global</w:t>
      </w:r>
      <w:r w:rsidR="007E1AA9" w:rsidRPr="009012E6">
        <w:rPr>
          <w:rFonts w:ascii="Arial" w:hAnsi="Arial" w:cs="Arial"/>
          <w:b/>
          <w:bCs/>
          <w:i/>
          <w:iCs/>
          <w:u w:val="single"/>
        </w:rPr>
        <w:t xml:space="preserve"> and National </w:t>
      </w:r>
      <w:r w:rsidRPr="009012E6">
        <w:rPr>
          <w:rFonts w:ascii="Arial" w:hAnsi="Arial" w:cs="Arial"/>
          <w:b/>
          <w:bCs/>
          <w:i/>
          <w:iCs/>
          <w:u w:val="single"/>
        </w:rPr>
        <w:t>Health, Wellbeing and Sustainability Policies and Initiatives: An Analysis of SDG 3 (Good Health and Wellbeing) and SDG 10 (Reduced Inequalities)</w:t>
      </w:r>
    </w:p>
    <w:p w14:paraId="047A8659" w14:textId="77777777" w:rsidR="0008352A" w:rsidRPr="009012E6" w:rsidRDefault="0008352A" w:rsidP="00252966">
      <w:pPr>
        <w:spacing w:line="360" w:lineRule="auto"/>
        <w:jc w:val="both"/>
        <w:rPr>
          <w:rFonts w:ascii="Arial" w:hAnsi="Arial" w:cs="Arial"/>
        </w:rPr>
      </w:pPr>
    </w:p>
    <w:p w14:paraId="6B80C4B1" w14:textId="77777777" w:rsidR="00EC22E8" w:rsidRPr="009012E6" w:rsidRDefault="00EC22E8" w:rsidP="00252966">
      <w:pPr>
        <w:spacing w:line="360" w:lineRule="auto"/>
        <w:jc w:val="both"/>
        <w:rPr>
          <w:rFonts w:ascii="Arial" w:hAnsi="Arial" w:cs="Arial"/>
        </w:rPr>
      </w:pPr>
    </w:p>
    <w:p w14:paraId="4606BBA1" w14:textId="77777777" w:rsidR="00EC22E8" w:rsidRPr="009012E6" w:rsidRDefault="00EC22E8" w:rsidP="00252966">
      <w:pPr>
        <w:spacing w:line="360" w:lineRule="auto"/>
        <w:jc w:val="both"/>
        <w:rPr>
          <w:rFonts w:ascii="Arial" w:hAnsi="Arial" w:cs="Arial"/>
        </w:rPr>
      </w:pPr>
    </w:p>
    <w:p w14:paraId="0B58D6C0" w14:textId="77777777" w:rsidR="00EC22E8" w:rsidRPr="009012E6" w:rsidRDefault="00EC22E8" w:rsidP="00252966">
      <w:pPr>
        <w:spacing w:line="360" w:lineRule="auto"/>
        <w:jc w:val="both"/>
        <w:rPr>
          <w:rFonts w:ascii="Arial" w:hAnsi="Arial" w:cs="Arial"/>
        </w:rPr>
      </w:pPr>
    </w:p>
    <w:p w14:paraId="6A332D42" w14:textId="77777777" w:rsidR="00EC22E8" w:rsidRPr="009012E6" w:rsidRDefault="00EC22E8" w:rsidP="00252966">
      <w:pPr>
        <w:spacing w:line="360" w:lineRule="auto"/>
        <w:jc w:val="both"/>
        <w:rPr>
          <w:rFonts w:ascii="Arial" w:hAnsi="Arial" w:cs="Arial"/>
        </w:rPr>
      </w:pPr>
    </w:p>
    <w:p w14:paraId="485C2EF1" w14:textId="77777777" w:rsidR="00EC22E8" w:rsidRPr="009012E6" w:rsidRDefault="00EC22E8" w:rsidP="00252966">
      <w:pPr>
        <w:spacing w:line="360" w:lineRule="auto"/>
        <w:jc w:val="both"/>
        <w:rPr>
          <w:rFonts w:ascii="Arial" w:hAnsi="Arial" w:cs="Arial"/>
        </w:rPr>
      </w:pPr>
    </w:p>
    <w:p w14:paraId="1381B7F5" w14:textId="77777777" w:rsidR="00EC22E8" w:rsidRPr="009012E6" w:rsidRDefault="00EC22E8" w:rsidP="00252966">
      <w:pPr>
        <w:spacing w:line="360" w:lineRule="auto"/>
        <w:jc w:val="both"/>
        <w:rPr>
          <w:rFonts w:ascii="Arial" w:hAnsi="Arial" w:cs="Arial"/>
        </w:rPr>
      </w:pPr>
    </w:p>
    <w:p w14:paraId="727AF4C3" w14:textId="77777777" w:rsidR="00EC22E8" w:rsidRPr="00FD5777" w:rsidRDefault="00EC22E8" w:rsidP="00252966">
      <w:pPr>
        <w:spacing w:line="360" w:lineRule="auto"/>
        <w:jc w:val="both"/>
        <w:rPr>
          <w:rFonts w:ascii="Arial" w:hAnsi="Arial" w:cs="Arial"/>
          <w:sz w:val="24"/>
          <w:szCs w:val="24"/>
        </w:rPr>
      </w:pPr>
    </w:p>
    <w:p w14:paraId="720CD6F8" w14:textId="77777777" w:rsidR="00EC22E8" w:rsidRPr="00FD5777" w:rsidRDefault="00EC22E8" w:rsidP="00EC22E8">
      <w:pPr>
        <w:spacing w:line="360" w:lineRule="auto"/>
        <w:jc w:val="center"/>
        <w:rPr>
          <w:rFonts w:ascii="Arial" w:hAnsi="Arial" w:cs="Arial"/>
          <w:sz w:val="24"/>
          <w:szCs w:val="24"/>
        </w:rPr>
      </w:pPr>
      <w:r w:rsidRPr="00FD5777">
        <w:rPr>
          <w:rFonts w:ascii="Arial" w:hAnsi="Arial" w:cs="Arial"/>
          <w:sz w:val="24"/>
          <w:szCs w:val="24"/>
        </w:rPr>
        <w:t>Word Count: 2048</w:t>
      </w:r>
    </w:p>
    <w:p w14:paraId="719FEB4A" w14:textId="77777777" w:rsidR="00E42D3B" w:rsidRPr="009012E6" w:rsidRDefault="00E42D3B" w:rsidP="00EC22E8">
      <w:pPr>
        <w:spacing w:line="360" w:lineRule="auto"/>
        <w:jc w:val="center"/>
        <w:rPr>
          <w:rFonts w:ascii="Arial" w:hAnsi="Arial" w:cs="Arial"/>
        </w:rPr>
      </w:pPr>
    </w:p>
    <w:p w14:paraId="1F12782F" w14:textId="77777777" w:rsidR="00E42D3B" w:rsidRPr="009012E6" w:rsidRDefault="00E42D3B" w:rsidP="00EC22E8">
      <w:pPr>
        <w:spacing w:line="360" w:lineRule="auto"/>
        <w:jc w:val="center"/>
        <w:rPr>
          <w:rFonts w:ascii="Arial" w:hAnsi="Arial" w:cs="Arial"/>
        </w:rPr>
      </w:pPr>
    </w:p>
    <w:p w14:paraId="2299781F" w14:textId="77777777" w:rsidR="00E42D3B" w:rsidRPr="009012E6" w:rsidRDefault="00E42D3B" w:rsidP="00EC22E8">
      <w:pPr>
        <w:spacing w:line="360" w:lineRule="auto"/>
        <w:jc w:val="center"/>
        <w:rPr>
          <w:rFonts w:ascii="Arial" w:hAnsi="Arial" w:cs="Arial"/>
        </w:rPr>
      </w:pPr>
    </w:p>
    <w:p w14:paraId="74A1F6F4" w14:textId="77777777" w:rsidR="00E42D3B" w:rsidRPr="009012E6" w:rsidRDefault="00E42D3B" w:rsidP="00EC22E8">
      <w:pPr>
        <w:spacing w:line="360" w:lineRule="auto"/>
        <w:jc w:val="center"/>
        <w:rPr>
          <w:rFonts w:ascii="Arial" w:hAnsi="Arial" w:cs="Arial"/>
        </w:rPr>
      </w:pPr>
    </w:p>
    <w:p w14:paraId="048BE99A" w14:textId="77777777" w:rsidR="00E42D3B" w:rsidRPr="00FD5777" w:rsidRDefault="00E42D3B" w:rsidP="00EC22E8">
      <w:pPr>
        <w:spacing w:line="360" w:lineRule="auto"/>
        <w:jc w:val="center"/>
        <w:rPr>
          <w:rFonts w:ascii="Arial" w:hAnsi="Arial" w:cs="Arial"/>
          <w:sz w:val="32"/>
          <w:szCs w:val="32"/>
        </w:rPr>
      </w:pPr>
    </w:p>
    <w:p w14:paraId="068D6F46" w14:textId="77777777" w:rsidR="00E42D3B" w:rsidRPr="00FD5777" w:rsidRDefault="00E42D3B" w:rsidP="00EC22E8">
      <w:pPr>
        <w:spacing w:line="360" w:lineRule="auto"/>
        <w:jc w:val="center"/>
        <w:rPr>
          <w:rFonts w:ascii="Arial" w:hAnsi="Arial" w:cs="Arial"/>
          <w:sz w:val="32"/>
          <w:szCs w:val="32"/>
        </w:rPr>
      </w:pPr>
      <w:r w:rsidRPr="00FD5777">
        <w:rPr>
          <w:rFonts w:ascii="Arial" w:hAnsi="Arial" w:cs="Arial"/>
          <w:sz w:val="32"/>
          <w:szCs w:val="32"/>
        </w:rPr>
        <w:t>by</w:t>
      </w:r>
    </w:p>
    <w:p w14:paraId="7AF277FD" w14:textId="77777777" w:rsidR="00E42D3B" w:rsidRPr="00FD5777" w:rsidRDefault="00E42D3B" w:rsidP="00E42D3B">
      <w:pPr>
        <w:spacing w:line="360" w:lineRule="auto"/>
        <w:jc w:val="center"/>
        <w:rPr>
          <w:rFonts w:ascii="Arial" w:hAnsi="Arial" w:cs="Arial"/>
          <w:sz w:val="32"/>
          <w:szCs w:val="32"/>
        </w:rPr>
      </w:pPr>
      <w:r w:rsidRPr="00FD5777">
        <w:rPr>
          <w:rFonts w:ascii="Arial" w:hAnsi="Arial" w:cs="Arial"/>
          <w:sz w:val="32"/>
          <w:szCs w:val="32"/>
        </w:rPr>
        <w:t xml:space="preserve">Shaira Hussain </w:t>
      </w:r>
    </w:p>
    <w:p w14:paraId="42F22184" w14:textId="77777777" w:rsidR="00E42D3B" w:rsidRPr="00FD5777" w:rsidRDefault="00E42D3B" w:rsidP="00E42D3B">
      <w:pPr>
        <w:spacing w:line="360" w:lineRule="auto"/>
        <w:jc w:val="center"/>
        <w:rPr>
          <w:rFonts w:ascii="Arial" w:hAnsi="Arial" w:cs="Arial"/>
          <w:sz w:val="32"/>
          <w:szCs w:val="32"/>
        </w:rPr>
      </w:pPr>
      <w:r w:rsidRPr="00FD5777">
        <w:rPr>
          <w:rFonts w:ascii="Arial" w:hAnsi="Arial" w:cs="Arial"/>
          <w:sz w:val="32"/>
          <w:szCs w:val="32"/>
        </w:rPr>
        <w:t>Student ID: 2314799</w:t>
      </w:r>
    </w:p>
    <w:p w14:paraId="5DFCA17D" w14:textId="77777777" w:rsidR="00E42D3B" w:rsidRPr="00FD5777" w:rsidRDefault="00E42D3B" w:rsidP="00E42D3B">
      <w:pPr>
        <w:spacing w:line="360" w:lineRule="auto"/>
        <w:jc w:val="center"/>
        <w:rPr>
          <w:rFonts w:ascii="Arial" w:hAnsi="Arial" w:cs="Arial"/>
          <w:sz w:val="28"/>
          <w:szCs w:val="28"/>
        </w:rPr>
      </w:pPr>
    </w:p>
    <w:p w14:paraId="3FCC1EC3" w14:textId="77777777" w:rsidR="00E42D3B" w:rsidRPr="00FD5777" w:rsidRDefault="00E42D3B" w:rsidP="00E42D3B">
      <w:pPr>
        <w:spacing w:line="360" w:lineRule="auto"/>
        <w:jc w:val="center"/>
        <w:rPr>
          <w:rFonts w:ascii="Arial" w:hAnsi="Arial" w:cs="Arial"/>
          <w:b/>
          <w:bCs/>
          <w:sz w:val="28"/>
          <w:szCs w:val="28"/>
        </w:rPr>
      </w:pPr>
      <w:r w:rsidRPr="00FD5777">
        <w:rPr>
          <w:rFonts w:ascii="Arial" w:hAnsi="Arial" w:cs="Arial"/>
          <w:b/>
          <w:bCs/>
          <w:sz w:val="28"/>
          <w:szCs w:val="28"/>
        </w:rPr>
        <w:t>BMHP6030 HWBSD</w:t>
      </w:r>
      <w:r w:rsidR="007E1AA9" w:rsidRPr="00FD5777">
        <w:rPr>
          <w:rFonts w:ascii="Arial" w:hAnsi="Arial" w:cs="Arial"/>
          <w:b/>
          <w:bCs/>
          <w:sz w:val="28"/>
          <w:szCs w:val="28"/>
        </w:rPr>
        <w:t xml:space="preserve"> -</w:t>
      </w:r>
      <w:r w:rsidRPr="00FD5777">
        <w:rPr>
          <w:rFonts w:ascii="Arial" w:hAnsi="Arial" w:cs="Arial"/>
          <w:b/>
          <w:bCs/>
          <w:sz w:val="28"/>
          <w:szCs w:val="28"/>
        </w:rPr>
        <w:t xml:space="preserve"> Component 2</w:t>
      </w:r>
    </w:p>
    <w:p w14:paraId="14C4FD54" w14:textId="77777777" w:rsidR="00A70779" w:rsidRDefault="00A70779" w:rsidP="00E42D3B">
      <w:pPr>
        <w:spacing w:line="360" w:lineRule="auto"/>
        <w:jc w:val="center"/>
      </w:pPr>
    </w:p>
    <w:p w14:paraId="643734DD" w14:textId="77777777" w:rsidR="00A70779" w:rsidRDefault="00A70779" w:rsidP="00E42D3B">
      <w:pPr>
        <w:spacing w:line="360" w:lineRule="auto"/>
        <w:jc w:val="center"/>
      </w:pPr>
    </w:p>
    <w:p w14:paraId="34F3E8B7" w14:textId="77777777" w:rsidR="00A70779" w:rsidRDefault="00A70779" w:rsidP="00E42D3B">
      <w:pPr>
        <w:spacing w:line="360" w:lineRule="auto"/>
        <w:jc w:val="center"/>
      </w:pPr>
    </w:p>
    <w:sdt>
      <w:sdtPr>
        <w:rPr>
          <w:rFonts w:asciiTheme="minorHAnsi" w:eastAsiaTheme="minorEastAsia" w:hAnsiTheme="minorHAnsi" w:cstheme="minorBidi"/>
          <w:color w:val="auto"/>
          <w:sz w:val="22"/>
          <w:szCs w:val="22"/>
          <w:lang w:val="en-GB"/>
        </w:rPr>
        <w:id w:val="2114779978"/>
        <w:docPartObj>
          <w:docPartGallery w:val="Table of Contents"/>
          <w:docPartUnique/>
        </w:docPartObj>
      </w:sdtPr>
      <w:sdtEndPr>
        <w:rPr>
          <w:b/>
          <w:bCs/>
        </w:rPr>
      </w:sdtEndPr>
      <w:sdtContent>
        <w:p w14:paraId="593B5F54" w14:textId="33D64AF7" w:rsidR="00FD5777" w:rsidRDefault="00FD5777">
          <w:pPr>
            <w:pStyle w:val="TOCHeading"/>
          </w:pPr>
          <w:r>
            <w:t>Contents</w:t>
          </w:r>
        </w:p>
        <w:p w14:paraId="4DF0F8C3" w14:textId="2C18FAA6" w:rsidR="00FD5777" w:rsidRDefault="00FD5777" w:rsidP="16D73D83">
          <w:pPr>
            <w:pStyle w:val="TOC1"/>
            <w:tabs>
              <w:tab w:val="left" w:pos="435"/>
              <w:tab w:val="right" w:leader="dot" w:pos="9555"/>
            </w:tabs>
          </w:pPr>
          <w:r>
            <w:fldChar w:fldCharType="begin"/>
          </w:r>
          <w:r>
            <w:instrText>TOC \o "1-3" \z \u \h</w:instrText>
          </w:r>
          <w:r>
            <w:fldChar w:fldCharType="separate"/>
          </w:r>
          <w:hyperlink w:anchor="_Toc1022734514">
            <w:r w:rsidR="16D73D83" w:rsidRPr="16D73D83">
              <w:rPr>
                <w:rStyle w:val="Hyperlink"/>
              </w:rPr>
              <w:t>1.</w:t>
            </w:r>
            <w:r>
              <w:tab/>
            </w:r>
            <w:r w:rsidR="16D73D83" w:rsidRPr="16D73D83">
              <w:rPr>
                <w:rStyle w:val="Hyperlink"/>
              </w:rPr>
              <w:t>Introduction</w:t>
            </w:r>
            <w:r>
              <w:tab/>
            </w:r>
            <w:r>
              <w:fldChar w:fldCharType="begin"/>
            </w:r>
            <w:r>
              <w:instrText>PAGEREF _Toc1022734514 \h</w:instrText>
            </w:r>
            <w:r>
              <w:fldChar w:fldCharType="separate"/>
            </w:r>
            <w:r w:rsidR="16D73D83" w:rsidRPr="16D73D83">
              <w:rPr>
                <w:rStyle w:val="Hyperlink"/>
              </w:rPr>
              <w:t>2</w:t>
            </w:r>
            <w:r>
              <w:fldChar w:fldCharType="end"/>
            </w:r>
          </w:hyperlink>
        </w:p>
        <w:p w14:paraId="3084341F" w14:textId="09DD618C" w:rsidR="00FD5777" w:rsidRDefault="16D73D83" w:rsidP="16D73D83">
          <w:pPr>
            <w:pStyle w:val="TOC1"/>
            <w:tabs>
              <w:tab w:val="right" w:leader="dot" w:pos="9555"/>
            </w:tabs>
          </w:pPr>
          <w:hyperlink w:anchor="_Toc705322538">
            <w:r w:rsidRPr="16D73D83">
              <w:rPr>
                <w:rStyle w:val="Hyperlink"/>
              </w:rPr>
              <w:t>2. SDG 3 – Good Health and Well-being</w:t>
            </w:r>
            <w:r w:rsidR="00FD5777">
              <w:tab/>
            </w:r>
            <w:r w:rsidR="00FD5777">
              <w:fldChar w:fldCharType="begin"/>
            </w:r>
            <w:r w:rsidR="00FD5777">
              <w:instrText>PAGEREF _Toc705322538 \h</w:instrText>
            </w:r>
            <w:r w:rsidR="00FD5777">
              <w:fldChar w:fldCharType="separate"/>
            </w:r>
            <w:r w:rsidRPr="16D73D83">
              <w:rPr>
                <w:rStyle w:val="Hyperlink"/>
              </w:rPr>
              <w:t>4</w:t>
            </w:r>
            <w:r w:rsidR="00FD5777">
              <w:fldChar w:fldCharType="end"/>
            </w:r>
          </w:hyperlink>
        </w:p>
        <w:p w14:paraId="5AD05696" w14:textId="3F323981" w:rsidR="00FD5777" w:rsidRDefault="16D73D83" w:rsidP="16D73D83">
          <w:pPr>
            <w:pStyle w:val="TOC2"/>
            <w:tabs>
              <w:tab w:val="right" w:leader="dot" w:pos="9555"/>
            </w:tabs>
          </w:pPr>
          <w:hyperlink w:anchor="_Toc630435">
            <w:r w:rsidRPr="16D73D83">
              <w:rPr>
                <w:rStyle w:val="Hyperlink"/>
              </w:rPr>
              <w:t>2.1 Overview of SDG 3</w:t>
            </w:r>
            <w:r w:rsidR="00FD5777">
              <w:tab/>
            </w:r>
            <w:r w:rsidR="00FD5777">
              <w:fldChar w:fldCharType="begin"/>
            </w:r>
            <w:r w:rsidR="00FD5777">
              <w:instrText>PAGEREF _Toc630435 \h</w:instrText>
            </w:r>
            <w:r w:rsidR="00FD5777">
              <w:fldChar w:fldCharType="separate"/>
            </w:r>
            <w:r w:rsidRPr="16D73D83">
              <w:rPr>
                <w:rStyle w:val="Hyperlink"/>
              </w:rPr>
              <w:t>4</w:t>
            </w:r>
            <w:r w:rsidR="00FD5777">
              <w:fldChar w:fldCharType="end"/>
            </w:r>
          </w:hyperlink>
        </w:p>
        <w:p w14:paraId="0596A3B8" w14:textId="583AD249" w:rsidR="00FD5777" w:rsidRDefault="16D73D83" w:rsidP="16D73D83">
          <w:pPr>
            <w:pStyle w:val="TOC2"/>
            <w:tabs>
              <w:tab w:val="right" w:leader="dot" w:pos="9555"/>
            </w:tabs>
          </w:pPr>
          <w:hyperlink w:anchor="_Toc1470621471">
            <w:r w:rsidRPr="16D73D83">
              <w:rPr>
                <w:rStyle w:val="Hyperlink"/>
              </w:rPr>
              <w:t>2.2 Public health theories</w:t>
            </w:r>
            <w:r w:rsidR="00FD5777">
              <w:tab/>
            </w:r>
            <w:r w:rsidR="00FD5777">
              <w:fldChar w:fldCharType="begin"/>
            </w:r>
            <w:r w:rsidR="00FD5777">
              <w:instrText>PAGEREF _Toc1470621471 \h</w:instrText>
            </w:r>
            <w:r w:rsidR="00FD5777">
              <w:fldChar w:fldCharType="separate"/>
            </w:r>
            <w:r w:rsidRPr="16D73D83">
              <w:rPr>
                <w:rStyle w:val="Hyperlink"/>
              </w:rPr>
              <w:t>5</w:t>
            </w:r>
            <w:r w:rsidR="00FD5777">
              <w:fldChar w:fldCharType="end"/>
            </w:r>
          </w:hyperlink>
        </w:p>
        <w:p w14:paraId="7F137A8B" w14:textId="31EC3818" w:rsidR="00FD5777" w:rsidRDefault="16D73D83" w:rsidP="16D73D83">
          <w:pPr>
            <w:pStyle w:val="TOC2"/>
            <w:tabs>
              <w:tab w:val="right" w:leader="dot" w:pos="9555"/>
            </w:tabs>
          </w:pPr>
          <w:hyperlink w:anchor="_Toc1270624700">
            <w:r w:rsidRPr="16D73D83">
              <w:rPr>
                <w:rStyle w:val="Hyperlink"/>
              </w:rPr>
              <w:t>2.3 Global Policies and Initiatives for SDG 3</w:t>
            </w:r>
            <w:r w:rsidR="00FD5777">
              <w:tab/>
            </w:r>
            <w:r w:rsidR="00FD5777">
              <w:fldChar w:fldCharType="begin"/>
            </w:r>
            <w:r w:rsidR="00FD5777">
              <w:instrText>PAGEREF _Toc1270624700 \h</w:instrText>
            </w:r>
            <w:r w:rsidR="00FD5777">
              <w:fldChar w:fldCharType="separate"/>
            </w:r>
            <w:r w:rsidRPr="16D73D83">
              <w:rPr>
                <w:rStyle w:val="Hyperlink"/>
              </w:rPr>
              <w:t>5</w:t>
            </w:r>
            <w:r w:rsidR="00FD5777">
              <w:fldChar w:fldCharType="end"/>
            </w:r>
          </w:hyperlink>
        </w:p>
        <w:p w14:paraId="2951293F" w14:textId="75293E65" w:rsidR="00FD5777" w:rsidRDefault="16D73D83" w:rsidP="16D73D83">
          <w:pPr>
            <w:pStyle w:val="TOC2"/>
            <w:tabs>
              <w:tab w:val="right" w:leader="dot" w:pos="9555"/>
            </w:tabs>
          </w:pPr>
          <w:hyperlink w:anchor="_Toc1545918780">
            <w:r w:rsidRPr="16D73D83">
              <w:rPr>
                <w:rStyle w:val="Hyperlink"/>
              </w:rPr>
              <w:t>2.4 National Policies and initiatives that support SDG 3 in the UK</w:t>
            </w:r>
            <w:r w:rsidR="00FD5777">
              <w:tab/>
            </w:r>
            <w:r w:rsidR="00FD5777">
              <w:fldChar w:fldCharType="begin"/>
            </w:r>
            <w:r w:rsidR="00FD5777">
              <w:instrText>PAGEREF _Toc1545918780 \h</w:instrText>
            </w:r>
            <w:r w:rsidR="00FD5777">
              <w:fldChar w:fldCharType="separate"/>
            </w:r>
            <w:r w:rsidRPr="16D73D83">
              <w:rPr>
                <w:rStyle w:val="Hyperlink"/>
              </w:rPr>
              <w:t>5</w:t>
            </w:r>
            <w:r w:rsidR="00FD5777">
              <w:fldChar w:fldCharType="end"/>
            </w:r>
          </w:hyperlink>
        </w:p>
        <w:p w14:paraId="29A82E61" w14:textId="0A45D033" w:rsidR="00FD5777" w:rsidRDefault="16D73D83" w:rsidP="16D73D83">
          <w:pPr>
            <w:pStyle w:val="TOC1"/>
            <w:tabs>
              <w:tab w:val="right" w:leader="dot" w:pos="9555"/>
            </w:tabs>
          </w:pPr>
          <w:hyperlink w:anchor="_Toc1488588940">
            <w:r w:rsidRPr="16D73D83">
              <w:rPr>
                <w:rStyle w:val="Hyperlink"/>
              </w:rPr>
              <w:t>3. SDG 10 – Reduced Inequalities</w:t>
            </w:r>
            <w:r w:rsidR="00FD5777">
              <w:tab/>
            </w:r>
            <w:r w:rsidR="00FD5777">
              <w:fldChar w:fldCharType="begin"/>
            </w:r>
            <w:r w:rsidR="00FD5777">
              <w:instrText>PAGEREF _Toc1488588940 \h</w:instrText>
            </w:r>
            <w:r w:rsidR="00FD5777">
              <w:fldChar w:fldCharType="separate"/>
            </w:r>
            <w:r w:rsidRPr="16D73D83">
              <w:rPr>
                <w:rStyle w:val="Hyperlink"/>
              </w:rPr>
              <w:t>5</w:t>
            </w:r>
            <w:r w:rsidR="00FD5777">
              <w:fldChar w:fldCharType="end"/>
            </w:r>
          </w:hyperlink>
        </w:p>
        <w:p w14:paraId="34080692" w14:textId="1D1B8188" w:rsidR="00FD5777" w:rsidRDefault="16D73D83" w:rsidP="16D73D83">
          <w:pPr>
            <w:pStyle w:val="TOC2"/>
            <w:tabs>
              <w:tab w:val="right" w:leader="dot" w:pos="9555"/>
            </w:tabs>
          </w:pPr>
          <w:hyperlink w:anchor="_Toc666747865">
            <w:r w:rsidRPr="16D73D83">
              <w:rPr>
                <w:rStyle w:val="Hyperlink"/>
              </w:rPr>
              <w:t>3.1 Overview of SDG 10</w:t>
            </w:r>
            <w:r w:rsidR="00FD5777">
              <w:tab/>
            </w:r>
            <w:r w:rsidR="00FD5777">
              <w:fldChar w:fldCharType="begin"/>
            </w:r>
            <w:r w:rsidR="00FD5777">
              <w:instrText>PAGEREF _Toc666747865 \h</w:instrText>
            </w:r>
            <w:r w:rsidR="00FD5777">
              <w:fldChar w:fldCharType="separate"/>
            </w:r>
            <w:r w:rsidRPr="16D73D83">
              <w:rPr>
                <w:rStyle w:val="Hyperlink"/>
              </w:rPr>
              <w:t>5</w:t>
            </w:r>
            <w:r w:rsidR="00FD5777">
              <w:fldChar w:fldCharType="end"/>
            </w:r>
          </w:hyperlink>
        </w:p>
        <w:p w14:paraId="32F0E5E2" w14:textId="30A851D8" w:rsidR="00FD5777" w:rsidRDefault="16D73D83" w:rsidP="16D73D83">
          <w:pPr>
            <w:pStyle w:val="TOC2"/>
            <w:tabs>
              <w:tab w:val="right" w:leader="dot" w:pos="9555"/>
            </w:tabs>
          </w:pPr>
          <w:hyperlink w:anchor="_Toc1551465860">
            <w:r w:rsidRPr="16D73D83">
              <w:rPr>
                <w:rStyle w:val="Hyperlink"/>
              </w:rPr>
              <w:t>3.2 Public health theories</w:t>
            </w:r>
            <w:r w:rsidR="00FD5777">
              <w:tab/>
            </w:r>
            <w:r w:rsidR="00FD5777">
              <w:fldChar w:fldCharType="begin"/>
            </w:r>
            <w:r w:rsidR="00FD5777">
              <w:instrText>PAGEREF _Toc1551465860 \h</w:instrText>
            </w:r>
            <w:r w:rsidR="00FD5777">
              <w:fldChar w:fldCharType="separate"/>
            </w:r>
            <w:r w:rsidRPr="16D73D83">
              <w:rPr>
                <w:rStyle w:val="Hyperlink"/>
              </w:rPr>
              <w:t>5</w:t>
            </w:r>
            <w:r w:rsidR="00FD5777">
              <w:fldChar w:fldCharType="end"/>
            </w:r>
          </w:hyperlink>
        </w:p>
        <w:p w14:paraId="5EAFD695" w14:textId="2898EC42" w:rsidR="00FD5777" w:rsidRDefault="16D73D83" w:rsidP="16D73D83">
          <w:pPr>
            <w:pStyle w:val="TOC2"/>
            <w:tabs>
              <w:tab w:val="right" w:leader="dot" w:pos="9555"/>
            </w:tabs>
          </w:pPr>
          <w:hyperlink w:anchor="_Toc646549112">
            <w:r w:rsidRPr="16D73D83">
              <w:rPr>
                <w:rStyle w:val="Hyperlink"/>
              </w:rPr>
              <w:t>3.3 Global Policies and Initiatives that support SDG 10</w:t>
            </w:r>
            <w:r w:rsidR="00FD5777">
              <w:tab/>
            </w:r>
            <w:r w:rsidR="00FD5777">
              <w:fldChar w:fldCharType="begin"/>
            </w:r>
            <w:r w:rsidR="00FD5777">
              <w:instrText>PAGEREF _Toc646549112 \h</w:instrText>
            </w:r>
            <w:r w:rsidR="00FD5777">
              <w:fldChar w:fldCharType="separate"/>
            </w:r>
            <w:r w:rsidRPr="16D73D83">
              <w:rPr>
                <w:rStyle w:val="Hyperlink"/>
              </w:rPr>
              <w:t>5</w:t>
            </w:r>
            <w:r w:rsidR="00FD5777">
              <w:fldChar w:fldCharType="end"/>
            </w:r>
          </w:hyperlink>
        </w:p>
        <w:p w14:paraId="1AC7F6E9" w14:textId="2231DB19" w:rsidR="00FD5777" w:rsidRDefault="16D73D83" w:rsidP="16D73D83">
          <w:pPr>
            <w:pStyle w:val="TOC2"/>
            <w:tabs>
              <w:tab w:val="right" w:leader="dot" w:pos="9555"/>
            </w:tabs>
          </w:pPr>
          <w:hyperlink w:anchor="_Toc250331474">
            <w:r w:rsidRPr="16D73D83">
              <w:rPr>
                <w:rStyle w:val="Hyperlink"/>
              </w:rPr>
              <w:t>3.4 National Policies and Initiatives that support SDG 10 in the UK</w:t>
            </w:r>
            <w:r w:rsidR="00FD5777">
              <w:tab/>
            </w:r>
            <w:r w:rsidR="00FD5777">
              <w:fldChar w:fldCharType="begin"/>
            </w:r>
            <w:r w:rsidR="00FD5777">
              <w:instrText>PAGEREF _Toc250331474 \h</w:instrText>
            </w:r>
            <w:r w:rsidR="00FD5777">
              <w:fldChar w:fldCharType="separate"/>
            </w:r>
            <w:r w:rsidRPr="16D73D83">
              <w:rPr>
                <w:rStyle w:val="Hyperlink"/>
              </w:rPr>
              <w:t>5</w:t>
            </w:r>
            <w:r w:rsidR="00FD5777">
              <w:fldChar w:fldCharType="end"/>
            </w:r>
          </w:hyperlink>
        </w:p>
        <w:p w14:paraId="045807E3" w14:textId="5BCD9C30" w:rsidR="00FD5777" w:rsidRDefault="16D73D83" w:rsidP="16D73D83">
          <w:pPr>
            <w:pStyle w:val="TOC1"/>
            <w:tabs>
              <w:tab w:val="right" w:leader="dot" w:pos="9555"/>
            </w:tabs>
          </w:pPr>
          <w:hyperlink w:anchor="_Toc936874607">
            <w:r w:rsidRPr="16D73D83">
              <w:rPr>
                <w:rStyle w:val="Hyperlink"/>
              </w:rPr>
              <w:t>4. Conclusion</w:t>
            </w:r>
            <w:r w:rsidR="00FD5777">
              <w:tab/>
            </w:r>
            <w:r w:rsidR="00FD5777">
              <w:fldChar w:fldCharType="begin"/>
            </w:r>
            <w:r w:rsidR="00FD5777">
              <w:instrText>PAGEREF _Toc936874607 \h</w:instrText>
            </w:r>
            <w:r w:rsidR="00FD5777">
              <w:fldChar w:fldCharType="separate"/>
            </w:r>
            <w:r w:rsidRPr="16D73D83">
              <w:rPr>
                <w:rStyle w:val="Hyperlink"/>
              </w:rPr>
              <w:t>5</w:t>
            </w:r>
            <w:r w:rsidR="00FD5777">
              <w:fldChar w:fldCharType="end"/>
            </w:r>
          </w:hyperlink>
        </w:p>
        <w:p w14:paraId="40334EA1" w14:textId="4C8B173D" w:rsidR="00FD5777" w:rsidRDefault="16D73D83" w:rsidP="16D73D83">
          <w:pPr>
            <w:pStyle w:val="TOC1"/>
            <w:tabs>
              <w:tab w:val="right" w:leader="dot" w:pos="9555"/>
            </w:tabs>
          </w:pPr>
          <w:hyperlink w:anchor="_Toc185758367">
            <w:r w:rsidRPr="16D73D83">
              <w:rPr>
                <w:rStyle w:val="Hyperlink"/>
              </w:rPr>
              <w:t>5. References</w:t>
            </w:r>
            <w:r w:rsidR="00FD5777">
              <w:tab/>
            </w:r>
            <w:r w:rsidR="00FD5777">
              <w:fldChar w:fldCharType="begin"/>
            </w:r>
            <w:r w:rsidR="00FD5777">
              <w:instrText>PAGEREF _Toc185758367 \h</w:instrText>
            </w:r>
            <w:r w:rsidR="00FD5777">
              <w:fldChar w:fldCharType="separate"/>
            </w:r>
            <w:r w:rsidRPr="16D73D83">
              <w:rPr>
                <w:rStyle w:val="Hyperlink"/>
              </w:rPr>
              <w:t>5</w:t>
            </w:r>
            <w:r w:rsidR="00FD5777">
              <w:fldChar w:fldCharType="end"/>
            </w:r>
          </w:hyperlink>
        </w:p>
        <w:p w14:paraId="55C504F6" w14:textId="266CB7DC" w:rsidR="00FD5777" w:rsidRDefault="00FD5777">
          <w:r>
            <w:rPr>
              <w:b/>
              <w:bCs/>
              <w:noProof/>
            </w:rPr>
            <w:fldChar w:fldCharType="end"/>
          </w:r>
        </w:p>
      </w:sdtContent>
    </w:sdt>
    <w:p w14:paraId="7DD27C3A" w14:textId="77777777" w:rsidR="00A70779" w:rsidRDefault="00A70779" w:rsidP="00E42D3B">
      <w:pPr>
        <w:spacing w:line="360" w:lineRule="auto"/>
        <w:jc w:val="center"/>
      </w:pPr>
    </w:p>
    <w:p w14:paraId="0EF4B0FD" w14:textId="77777777" w:rsidR="007E1AA9" w:rsidRDefault="007E1AA9" w:rsidP="00E42D3B">
      <w:pPr>
        <w:spacing w:line="360" w:lineRule="auto"/>
        <w:jc w:val="center"/>
      </w:pPr>
    </w:p>
    <w:p w14:paraId="5C368D62" w14:textId="77777777" w:rsidR="007E1AA9" w:rsidRDefault="007E1AA9" w:rsidP="00E42D3B">
      <w:pPr>
        <w:spacing w:line="360" w:lineRule="auto"/>
        <w:jc w:val="center"/>
      </w:pPr>
    </w:p>
    <w:p w14:paraId="33DAE0A3" w14:textId="77777777" w:rsidR="007E1AA9" w:rsidRDefault="007E1AA9" w:rsidP="00E42D3B">
      <w:pPr>
        <w:spacing w:line="360" w:lineRule="auto"/>
        <w:jc w:val="center"/>
      </w:pPr>
    </w:p>
    <w:p w14:paraId="6EE8A69A" w14:textId="77777777" w:rsidR="007E1AA9" w:rsidRDefault="007E1AA9" w:rsidP="00E42D3B">
      <w:pPr>
        <w:spacing w:line="360" w:lineRule="auto"/>
        <w:jc w:val="center"/>
      </w:pPr>
    </w:p>
    <w:p w14:paraId="6E4C5688" w14:textId="77777777" w:rsidR="007E1AA9" w:rsidRDefault="007E1AA9" w:rsidP="00E42D3B">
      <w:pPr>
        <w:spacing w:line="360" w:lineRule="auto"/>
        <w:jc w:val="center"/>
      </w:pPr>
    </w:p>
    <w:p w14:paraId="01A09187" w14:textId="77777777" w:rsidR="007E1AA9" w:rsidRDefault="007E1AA9" w:rsidP="00E42D3B">
      <w:pPr>
        <w:spacing w:line="360" w:lineRule="auto"/>
        <w:jc w:val="center"/>
      </w:pPr>
    </w:p>
    <w:p w14:paraId="07FB8DBC" w14:textId="77777777" w:rsidR="007E1AA9" w:rsidRDefault="007E1AA9" w:rsidP="00E42D3B">
      <w:pPr>
        <w:spacing w:line="360" w:lineRule="auto"/>
        <w:jc w:val="center"/>
      </w:pPr>
    </w:p>
    <w:p w14:paraId="587926C9" w14:textId="77777777" w:rsidR="007E1AA9" w:rsidRDefault="007E1AA9" w:rsidP="00E42D3B">
      <w:pPr>
        <w:spacing w:line="360" w:lineRule="auto"/>
        <w:jc w:val="center"/>
      </w:pPr>
    </w:p>
    <w:p w14:paraId="3AD1C8EB" w14:textId="77777777" w:rsidR="007E1AA9" w:rsidRDefault="007E1AA9" w:rsidP="00E42D3B">
      <w:pPr>
        <w:spacing w:line="360" w:lineRule="auto"/>
        <w:jc w:val="center"/>
      </w:pPr>
    </w:p>
    <w:p w14:paraId="1D15C414" w14:textId="77777777" w:rsidR="007E1AA9" w:rsidRDefault="007E1AA9" w:rsidP="00E42D3B">
      <w:pPr>
        <w:spacing w:line="360" w:lineRule="auto"/>
        <w:jc w:val="center"/>
      </w:pPr>
    </w:p>
    <w:p w14:paraId="670FEB89" w14:textId="77777777" w:rsidR="007E1AA9" w:rsidRDefault="007E1AA9" w:rsidP="00E42D3B">
      <w:pPr>
        <w:spacing w:line="360" w:lineRule="auto"/>
        <w:jc w:val="center"/>
      </w:pPr>
    </w:p>
    <w:p w14:paraId="68CBD06B" w14:textId="77777777" w:rsidR="007E1AA9" w:rsidRDefault="007E1AA9" w:rsidP="00E42D3B">
      <w:pPr>
        <w:spacing w:line="360" w:lineRule="auto"/>
        <w:jc w:val="center"/>
      </w:pPr>
    </w:p>
    <w:p w14:paraId="6E07770E" w14:textId="77777777" w:rsidR="0008352A" w:rsidRDefault="0008352A" w:rsidP="00B97AD9">
      <w:pPr>
        <w:pStyle w:val="Heading1"/>
        <w:numPr>
          <w:ilvl w:val="0"/>
          <w:numId w:val="1"/>
        </w:numPr>
      </w:pPr>
      <w:bookmarkStart w:id="0" w:name="_Toc1022734514"/>
      <w:r>
        <w:t>Introduction</w:t>
      </w:r>
      <w:bookmarkEnd w:id="0"/>
    </w:p>
    <w:p w14:paraId="2F6F3A4A" w14:textId="5DD11AEF" w:rsidR="00DD0F5C" w:rsidRDefault="009012E6" w:rsidP="00B97AD9">
      <w:pPr>
        <w:spacing w:line="360" w:lineRule="auto"/>
        <w:jc w:val="both"/>
      </w:pPr>
      <w:r>
        <w:t>The United Nations Sustainable Development Goals (SDGs) provide a global framework for addressing major social, economic,</w:t>
      </w:r>
      <w:r w:rsidR="00573BDE">
        <w:t xml:space="preserve"> and environmental challenges</w:t>
      </w:r>
      <w:r>
        <w:t>.</w:t>
      </w:r>
      <w:r w:rsidR="00B97AD9">
        <w:t xml:space="preserve"> </w:t>
      </w:r>
      <w:r w:rsidR="00B97AD9">
        <w:fldChar w:fldCharType="begin"/>
      </w:r>
      <w:r w:rsidR="00B97AD9">
        <w:instrText xml:space="preserve"> ADDIN ZOTERO_ITEM CSL_CITATION {"citationID":"1iDrcHt6","properties":{"unsorted":false,"formattedCitation":"(17 GOALS United Nations, 2024)","plainCitation":"(17 GOALS United Nations, 2024)","noteIndex":0},"citationItems":[{"id":1043,"uris":["http://zotero.org/users/14350932/items/IEJTDRGE"],"itemData":{"id":1043,"type":"webpage","title":"THE 17 GOALS | Sustainable Development","URL":"https://sdgs.un.org/goals","author":[{"family":"17 GOALS United Nations","given":""}],"issued":{"date-parts":[["2024"]]}}}],"schema":"https://github.com/citation-style-language/schema/raw/master/csl-citation.json"} </w:instrText>
      </w:r>
      <w:r w:rsidR="00B97AD9">
        <w:fldChar w:fldCharType="separate"/>
      </w:r>
      <w:r w:rsidR="00B97AD9" w:rsidRPr="00B97AD9">
        <w:rPr>
          <w:rFonts w:ascii="Calibri" w:hAnsi="Calibri" w:cs="Calibri"/>
        </w:rPr>
        <w:t>(17 GOALS United Nations, 2024)</w:t>
      </w:r>
      <w:r w:rsidR="00B97AD9">
        <w:fldChar w:fldCharType="end"/>
      </w:r>
      <w:r w:rsidR="00573BDE">
        <w:t xml:space="preserve">. Among </w:t>
      </w:r>
      <w:r>
        <w:t xml:space="preserve">the 17 SDGs, </w:t>
      </w:r>
      <w:r w:rsidR="0062514B">
        <w:t>SDG 3 (Good Health and Well-Being) aims</w:t>
      </w:r>
      <w:r>
        <w:t xml:space="preserve"> to ensure healthy lives and promote well-being</w:t>
      </w:r>
      <w:r w:rsidR="00573BDE">
        <w:t xml:space="preserve"> for </w:t>
      </w:r>
      <w:r>
        <w:t>people</w:t>
      </w:r>
      <w:r w:rsidR="00573BDE">
        <w:t xml:space="preserve"> of all ages</w:t>
      </w:r>
      <w:r>
        <w:t>.</w:t>
      </w:r>
      <w:r w:rsidR="00B97AD9">
        <w:t xml:space="preserve"> </w:t>
      </w:r>
      <w:r w:rsidR="00B97AD9">
        <w:fldChar w:fldCharType="begin"/>
      </w:r>
      <w:r w:rsidR="00B97AD9">
        <w:instrText xml:space="preserve"> ADDIN ZOTERO_ITEM CSL_CITATION {"citationID":"b5Tb8lxp","properties":{"unsorted":false,"formattedCitation":"({\\i{}Goal 3}, no date)","plainCitation":"(Goal 3, no date)","noteIndex":0},"citationItems":[{"id":5653,"uris":["http://zotero.org/users/14350932/items/FUNPE2TW"],"itemData":{"id":5653,"type":"webpage","title":"Goal 3","URL":"https://sdgs.un.org/goals/goal3","accessed":{"date-parts":[["2026",7,13]]}}}],"schema":"https://github.com/citation-style-language/schema/raw/master/csl-citation.json"} </w:instrText>
      </w:r>
      <w:r w:rsidR="00B97AD9">
        <w:fldChar w:fldCharType="separate"/>
      </w:r>
      <w:r w:rsidR="00B97AD9" w:rsidRPr="00B97AD9">
        <w:rPr>
          <w:rFonts w:ascii="Calibri" w:hAnsi="Calibri" w:cs="Calibri"/>
          <w:szCs w:val="24"/>
        </w:rPr>
        <w:t>(</w:t>
      </w:r>
      <w:r w:rsidR="00B97AD9" w:rsidRPr="00B97AD9">
        <w:rPr>
          <w:rFonts w:ascii="Calibri" w:hAnsi="Calibri" w:cs="Calibri"/>
          <w:i/>
          <w:iCs/>
          <w:szCs w:val="24"/>
        </w:rPr>
        <w:t>Goal 3</w:t>
      </w:r>
      <w:r w:rsidR="00B97AD9" w:rsidRPr="00B97AD9">
        <w:rPr>
          <w:rFonts w:ascii="Calibri" w:hAnsi="Calibri" w:cs="Calibri"/>
          <w:szCs w:val="24"/>
        </w:rPr>
        <w:t>, no date)</w:t>
      </w:r>
      <w:r w:rsidR="00B97AD9">
        <w:fldChar w:fldCharType="end"/>
      </w:r>
      <w:r w:rsidR="00573BDE">
        <w:t>, while the aim of SDG 10 (Reduced Inequalities) is to reduce disparities within and between countries</w:t>
      </w:r>
      <w:r w:rsidR="00B97AD9">
        <w:t xml:space="preserve"> </w:t>
      </w:r>
      <w:r w:rsidR="00B97AD9">
        <w:fldChar w:fldCharType="begin"/>
      </w:r>
      <w:r w:rsidR="00B97AD9">
        <w:instrText xml:space="preserve"> ADDIN ZOTERO_ITEM CSL_CITATION {"citationID":"5LD7jjIr","properties":{"unsorted":false,"formattedCitation":"({\\i{}Goal 10}, no date)","plainCitation":"(Goal 10, no date)","noteIndex":0},"citationItems":[{"id":5655,"uris":["http://zotero.org/users/14350932/items/WIYQLI3M"],"itemData":{"id":5655,"type":"webpage","title":"Goal 10","URL":"https://sdgs.un.org/goals/goal10","accessed":{"date-parts":[["2026",7,13]]}}}],"schema":"https://github.com/citation-style-language/schema/raw/master/csl-citation.json"} </w:instrText>
      </w:r>
      <w:r w:rsidR="00B97AD9">
        <w:fldChar w:fldCharType="separate"/>
      </w:r>
      <w:r w:rsidR="00B97AD9" w:rsidRPr="00B97AD9">
        <w:rPr>
          <w:rFonts w:ascii="Calibri" w:hAnsi="Calibri" w:cs="Calibri"/>
          <w:szCs w:val="24"/>
        </w:rPr>
        <w:t>(</w:t>
      </w:r>
      <w:r w:rsidR="00B97AD9" w:rsidRPr="00B97AD9">
        <w:rPr>
          <w:rFonts w:ascii="Calibri" w:hAnsi="Calibri" w:cs="Calibri"/>
          <w:i/>
          <w:iCs/>
          <w:szCs w:val="24"/>
        </w:rPr>
        <w:t>Goal 10</w:t>
      </w:r>
      <w:r w:rsidR="00B97AD9" w:rsidRPr="00B97AD9">
        <w:rPr>
          <w:rFonts w:ascii="Calibri" w:hAnsi="Calibri" w:cs="Calibri"/>
          <w:szCs w:val="24"/>
        </w:rPr>
        <w:t>, no date)</w:t>
      </w:r>
      <w:r w:rsidR="00B97AD9">
        <w:fldChar w:fldCharType="end"/>
      </w:r>
      <w:r w:rsidR="00573BDE">
        <w:t>. These goals are interconnected because inequalities in income, education, housing, employment and access to healthcare</w:t>
      </w:r>
      <w:r>
        <w:t xml:space="preserve"> all </w:t>
      </w:r>
      <w:r w:rsidR="00573BDE">
        <w:t xml:space="preserve">influence health outcomes and overall wellbeing. </w:t>
      </w:r>
    </w:p>
    <w:p w14:paraId="591BF96E" w14:textId="07062647" w:rsidR="00DD0F5C" w:rsidRDefault="009012E6" w:rsidP="00B97AD9">
      <w:pPr>
        <w:spacing w:line="360" w:lineRule="auto"/>
        <w:jc w:val="both"/>
      </w:pPr>
      <w:r>
        <w:t>Nowadays</w:t>
      </w:r>
      <w:r w:rsidR="00DD0F5C">
        <w:t xml:space="preserve">, there are not only social, economic and environmental determinants </w:t>
      </w:r>
      <w:r>
        <w:t>of healthcare services, but governments, international organisations and local authorities have also introduced policies and initiatives aimed at improving the health of the population, reducing inequalities and promoting</w:t>
      </w:r>
      <w:r w:rsidR="00DD0F5C">
        <w:t xml:space="preserve"> sustainable development</w:t>
      </w:r>
      <w:r>
        <w:t>.</w:t>
      </w:r>
      <w:r w:rsidR="00B97AD9">
        <w:t xml:space="preserve"> </w:t>
      </w:r>
      <w:r w:rsidR="00B97AD9">
        <w:fldChar w:fldCharType="begin"/>
      </w:r>
      <w:r w:rsidR="00B97AD9">
        <w:instrText xml:space="preserve"> ADDIN ZOTERO_ITEM CSL_CITATION {"citationID":"3x4qE8wc","properties":{"unsorted":false,"formattedCitation":"(Acharya, Lin and Dhingra, 2018)","plainCitation":"(Acharya, Lin and Dhingra, 2018)","noteIndex":0},"citationItems":[{"id":5657,"uris":["http://zotero.org/users/14350932/items/FDR4NU7Z"],"itemData":{"id":5657,"type":"article-journal","container-title":"Bulletin of the World Health Organization","DOI":"10.2471/BLT.18.221432","ISSN":"1564-0604 0042-9686","issue":"9","journalAbbreviation":"Bull World Health Organ","language":"eng","page":"591-591A","PMID":"30262936","PMCID":"PMC6154063","publisher-place":"Switzerland","title":"The role of health in achieving the sustainable development goals.","volume":"96","author":[{"family":"Acharya","given":"Shambhu"},{"family":"Lin","given":"Vivian"},{"family":"Dhingra","given":"Natasha"}],"issued":{"date-parts":[["2018",9,1]]}}}],"schema":"https://github.com/citation-style-language/schema/raw/master/csl-citation.json"} </w:instrText>
      </w:r>
      <w:r w:rsidR="00B97AD9">
        <w:fldChar w:fldCharType="separate"/>
      </w:r>
      <w:r w:rsidR="00B97AD9" w:rsidRPr="00B97AD9">
        <w:rPr>
          <w:rFonts w:ascii="Calibri" w:hAnsi="Calibri" w:cs="Calibri"/>
        </w:rPr>
        <w:t>(Acharya, Lin and Dhingra, 2018)</w:t>
      </w:r>
      <w:r w:rsidR="00B97AD9">
        <w:fldChar w:fldCharType="end"/>
      </w:r>
      <w:r w:rsidR="00DD0F5C">
        <w:t xml:space="preserve">. </w:t>
      </w:r>
      <w:r w:rsidR="00C10AB7">
        <w:t xml:space="preserve">Hence, evaluating </w:t>
      </w:r>
      <w:r>
        <w:t xml:space="preserve">the effectiveness of such policies is essential to determine whether they </w:t>
      </w:r>
      <w:r w:rsidR="0062514B">
        <w:t>address current health challenges and contribute</w:t>
      </w:r>
      <w:r>
        <w:t xml:space="preserve"> to</w:t>
      </w:r>
      <w:r w:rsidR="00C10AB7">
        <w:t xml:space="preserve"> long-term sustainability. </w:t>
      </w:r>
    </w:p>
    <w:p w14:paraId="213CD4EB" w14:textId="70F1378D" w:rsidR="00C10AB7" w:rsidRDefault="00C10AB7" w:rsidP="00252966">
      <w:pPr>
        <w:spacing w:line="360" w:lineRule="auto"/>
        <w:jc w:val="both"/>
      </w:pPr>
      <w:r>
        <w:t xml:space="preserve">This report examines current health, </w:t>
      </w:r>
      <w:r w:rsidR="009012E6">
        <w:t>well-being, and sustainability policies and initiatives related to SDG 3 (Good Health and Well-being</w:t>
      </w:r>
      <w:r>
        <w:t xml:space="preserve">) and SDG 10 (Reduced Inequalities) at global, </w:t>
      </w:r>
      <w:r w:rsidR="009012E6">
        <w:t>national,</w:t>
      </w:r>
      <w:r>
        <w:t xml:space="preserve"> and local levels. It also applied relevant behaviour change theories and public health frameworks to evaluate policy implementation and </w:t>
      </w:r>
      <w:r w:rsidR="009012E6">
        <w:t>its</w:t>
      </w:r>
      <w:r>
        <w:t xml:space="preserve"> effectiveness. This report also identifies key challenges, </w:t>
      </w:r>
      <w:r w:rsidR="009012E6">
        <w:t>discusses the relationship between two SDGs, and presents evidence-based recommendations to improve health outcomes and reduce</w:t>
      </w:r>
      <w:r>
        <w:t xml:space="preserve"> inequalities.</w:t>
      </w:r>
    </w:p>
    <w:p w14:paraId="35C0FAB0" w14:textId="7837573D" w:rsidR="00C10AB7" w:rsidRDefault="00C10AB7" w:rsidP="00B97AD9">
      <w:pPr>
        <w:pStyle w:val="Heading1"/>
      </w:pPr>
      <w:bookmarkStart w:id="1" w:name="_Toc705322538"/>
      <w:r>
        <w:t xml:space="preserve">2. SDG 3 – Good Health and </w:t>
      </w:r>
      <w:r w:rsidR="009012E6">
        <w:t>Well-being</w:t>
      </w:r>
      <w:bookmarkEnd w:id="1"/>
    </w:p>
    <w:p w14:paraId="475DF812" w14:textId="77777777" w:rsidR="00C10AB7" w:rsidRDefault="00C10AB7" w:rsidP="00B97AD9">
      <w:pPr>
        <w:pStyle w:val="Heading2"/>
      </w:pPr>
      <w:bookmarkStart w:id="2" w:name="_Toc630435"/>
      <w:r>
        <w:t>2.1 Overview of SDG 3</w:t>
      </w:r>
      <w:bookmarkEnd w:id="2"/>
    </w:p>
    <w:p w14:paraId="7B02A4F9" w14:textId="76698B22" w:rsidR="00C10AB7" w:rsidRDefault="008633F7" w:rsidP="00AF727E">
      <w:pPr>
        <w:spacing w:line="360" w:lineRule="auto"/>
        <w:jc w:val="both"/>
      </w:pPr>
      <w:r>
        <w:t xml:space="preserve">Good Health and </w:t>
      </w:r>
      <w:r w:rsidR="009012E6">
        <w:t>Well-being</w:t>
      </w:r>
      <w:r>
        <w:t>, SDG 3</w:t>
      </w:r>
      <w:r w:rsidR="009012E6">
        <w:t>,</w:t>
      </w:r>
      <w:r>
        <w:t xml:space="preserve"> aims to ensure healthy lives and promote well-being for all at all ages</w:t>
      </w:r>
      <w:r w:rsidR="009012E6">
        <w:t>.</w:t>
      </w:r>
      <w:r w:rsidR="00B97AD9">
        <w:t xml:space="preserve"> </w:t>
      </w:r>
      <w:r w:rsidR="00B97AD9">
        <w:fldChar w:fldCharType="begin"/>
      </w:r>
      <w:r w:rsidR="00B97AD9">
        <w:instrText xml:space="preserve"> ADDIN ZOTERO_ITEM CSL_CITATION {"citationID":"8ABH5ouZ","properties":{"unsorted":false,"formattedCitation":"(Lakioti {\\i{}et al.}, 2025)","plainCitation":"(Lakioti et al., 2025)","noteIndex":0},"citationItems":[{"id":5658,"uris":["http://zotero.org/users/14350932/items/AX859JMM"],"itemData":{"id":5658,"type":"article-journal","abstract":"Promoting the Sustainable Development Goal 3 (SDG 3) of Good Health and Well-being of all people requires an approach that ensures that health systems are strengthened with comprehensive social support mechanisms. This interrelation has gained increasing recognition as a foundational pillar in realizing sustainable and equitable healthcare. Economic instabilities and social vulnerabilities have direct implications on health access and outcomes, making focused welfare and security measures important in entrenching SDG 3. This work combines interdisciplinary studies, bridging health policy and economic security, at a time when social policy decisions, more than ever, should be guided by real-world needs and evidence, dealing with key factors, interventions, and contributions from policymakers on strategies that can reinforce health systems. Thus, current achievements of SDG 3 and challenges to successfully integrate health and social support sectors are discussed. The study addresses future pathways to achieve this Goal, including greater public investment in inter-sectoral collaboration, innovative funding models, and data-driven policymaking as part of this next wave in advancing health systems resilience. Important ways to restructure public health with less inequality entail a reinforcement of social safety nets, mitigating health consequences through poverty and adverse economic conditions. Coordinated governance, cross-sectoral collaboration, and evidence-based monitoring frameworks assure policymakers of their effectiveness in achieving these policy priorities. This calls for prioritized planning that invests in scalability, sustainability, and adaptability for resilient health systems supported by inclusive welfare state policies. By aligning social policies with health priorities, this paper aims to contribute to a global agenda regarding universal, sustainable, and equitably achieved health outcomes within the framework of the Sustainable Development Goals.","container-title":"Sustainability","DOI":"10.3390/su17115063","ISSN":"2071-1050","issue":"11","title":"Social Factors and Policies Promoting Good Health and Well-Being as a Sustainable Development Goal: Current Achievements and Future Pathways","URL":"https://www.mdpi.com/2071-1050/17/11/5063","volume":"17","author":[{"family":"Lakioti","given":"Evangelia"},{"family":"Pagonis","given":"Nikolaos"},{"family":"Flegkas","given":"Dimitrios"},{"family":"Itziou","given":"Aikaterini"},{"family":"Moustakas","given":"Konstantinos"},{"family":"Karayannis","given":"Vayos"}],"issued":{"date-parts":[["2025"]]}}}],"schema":"https://github.com/citation-style-language/schema/raw/master/csl-citation.json"} </w:instrText>
      </w:r>
      <w:r w:rsidR="00B97AD9">
        <w:fldChar w:fldCharType="separate"/>
      </w:r>
      <w:r w:rsidR="00B97AD9" w:rsidRPr="00B97AD9">
        <w:rPr>
          <w:rFonts w:ascii="Calibri" w:hAnsi="Calibri" w:cs="Calibri"/>
          <w:szCs w:val="24"/>
        </w:rPr>
        <w:t xml:space="preserve">(Lakioti </w:t>
      </w:r>
      <w:r w:rsidR="00B97AD9" w:rsidRPr="00B97AD9">
        <w:rPr>
          <w:rFonts w:ascii="Calibri" w:hAnsi="Calibri" w:cs="Calibri"/>
          <w:i/>
          <w:iCs/>
          <w:szCs w:val="24"/>
        </w:rPr>
        <w:t>et al.</w:t>
      </w:r>
      <w:r w:rsidR="00B97AD9" w:rsidRPr="00B97AD9">
        <w:rPr>
          <w:rFonts w:ascii="Calibri" w:hAnsi="Calibri" w:cs="Calibri"/>
          <w:szCs w:val="24"/>
        </w:rPr>
        <w:t>, 2025)</w:t>
      </w:r>
      <w:r w:rsidR="00B97AD9">
        <w:fldChar w:fldCharType="end"/>
      </w:r>
      <w:r>
        <w:t xml:space="preserve">. </w:t>
      </w:r>
      <w:r w:rsidR="009012E6">
        <w:t>The United Nations 2030 Agenda</w:t>
      </w:r>
      <w:r w:rsidR="0062514B">
        <w:t>, adopted in 2015, aims to achieve this goal</w:t>
      </w:r>
      <w:r w:rsidR="009012E6">
        <w:t xml:space="preserve"> because good health leads to economic productivity, educational achievement, social inclusion,</w:t>
      </w:r>
      <w:r>
        <w:t xml:space="preserve"> and sustainable development</w:t>
      </w:r>
      <w:r w:rsidR="009012E6">
        <w:t>.</w:t>
      </w:r>
      <w:r w:rsidR="00B97AD9">
        <w:t xml:space="preserve"> </w:t>
      </w:r>
      <w:r w:rsidR="00B97AD9">
        <w:fldChar w:fldCharType="begin"/>
      </w:r>
      <w:r w:rsidR="00B97AD9">
        <w:instrText xml:space="preserve"> ADDIN ZOTERO_ITEM CSL_CITATION {"citationID":"CdinSUph","properties":{"unsorted":false,"formattedCitation":"(Ferrando {\\i{}et al.}, 2025)","plainCitation":"(Ferrando et al., 2025)","noteIndex":0},"citationItems":[{"id":5659,"uris":["http://zotero.org/users/14350932/items/WNGJ7VSZ"],"itemData":{"id":5659,"type":"article-journal","abstract":"2030 Agenda Sustainable Development Goals (SDGs) achievement is the main challenge in order to design a sustainable future society. SDG 3 ensure healthy  lives and promote well-being for all at all ages, focusing on prevention and  treatment of communicable diseases (CDs) and non-communicable diseases (NCDs).  Moreover, access to care, affordable drugs, and vaccines is crucial to improve  quality of life leaving no one behind. Internal medicine can answer to the United  Nations (UN) universal call by taking action both on infectious disease burden  and on NCDs challenge, enabling prevention strategies and treatments, providing  new drugs and ensuring accessible care for all. Furthermore, thanks to internist  holistic and patient-centered approach, together with a multidisciplinary  strategy, misallocation of economic and human resources, and medical errors due  to healthcare fragmentation could be avoided. Nonetheless, a syndemic approach  taking into account economic, social, and environmental dimensions of health will  become fundamental for healthcare systems design. In this framework, internal  medicine will be crucial giving a comprehensive patient-centered perspective,  coordinating multidisciplinary team interventions, and contributing to  sustainable healthcare systems.","container-title":"Internal and emergency medicine","DOI":"10.1007/s11739-025-03941-3","ISSN":"1970-9366 1828-0447","issue":"5","journalAbbreviation":"Intern Emerg Med","language":"eng","license":"© 2025. The Author(s).","page":"1329-1338","PMID":"40214923","PMCID":"PMC12331839","publisher-place":"Italy","title":"Sustainable development goals: a call for future internal medicine.","volume":"20","author":[{"family":"Ferrando","given":"Maria Regina"},{"family":"Proietti","given":"Elisa"},{"family":"Demontis","given":"Maria"},{"family":"Montecucco","given":"Fabrizio"},{"family":"Pisciotta","given":"Livia"}],"issued":{"date-parts":[["2025",8]]}}}],"schema":"https://github.com/citation-style-language/schema/raw/master/csl-citation.json"} </w:instrText>
      </w:r>
      <w:r w:rsidR="00B97AD9">
        <w:fldChar w:fldCharType="separate"/>
      </w:r>
      <w:r w:rsidR="00B97AD9" w:rsidRPr="00B97AD9">
        <w:rPr>
          <w:rFonts w:ascii="Calibri" w:hAnsi="Calibri" w:cs="Calibri"/>
          <w:szCs w:val="24"/>
        </w:rPr>
        <w:t xml:space="preserve">(Ferrando </w:t>
      </w:r>
      <w:r w:rsidR="00B97AD9" w:rsidRPr="00B97AD9">
        <w:rPr>
          <w:rFonts w:ascii="Calibri" w:hAnsi="Calibri" w:cs="Calibri"/>
          <w:i/>
          <w:iCs/>
          <w:szCs w:val="24"/>
        </w:rPr>
        <w:t>et al.</w:t>
      </w:r>
      <w:r w:rsidR="00B97AD9" w:rsidRPr="00B97AD9">
        <w:rPr>
          <w:rFonts w:ascii="Calibri" w:hAnsi="Calibri" w:cs="Calibri"/>
          <w:szCs w:val="24"/>
        </w:rPr>
        <w:t>, 2025)</w:t>
      </w:r>
      <w:r w:rsidR="00B97AD9">
        <w:fldChar w:fldCharType="end"/>
      </w:r>
      <w:r>
        <w:t xml:space="preserve">. This goal contains </w:t>
      </w:r>
      <w:r w:rsidR="00B84489">
        <w:t>13 targets, including reducing maternal and child mortality, eliminating epidemics of communicable diseases, preventing non-communicable diseases, promoting mental health, and preparing</w:t>
      </w:r>
      <w:r>
        <w:t xml:space="preserve"> for future global health emergencies</w:t>
      </w:r>
      <w:r w:rsidR="009012E6">
        <w:t>.</w:t>
      </w:r>
      <w:r w:rsidR="00AF727E">
        <w:t xml:space="preserve"> </w:t>
      </w:r>
      <w:r w:rsidR="00AF727E">
        <w:fldChar w:fldCharType="begin"/>
      </w:r>
      <w:r w:rsidR="00AF727E">
        <w:instrText xml:space="preserve"> ADDIN ZOTERO_ITEM CSL_CITATION {"citationID":"NgCRH11E","properties":{"unsorted":false,"formattedCitation":"(Nabukalu, Asamani and Nabyonga-Orem, 2020)","plainCitation":"(Nabukalu, Asamani and Nabyonga-Orem, 2020)","noteIndex":0},"citationItems":[{"id":5660,"uris":["http://zotero.org/users/14350932/items/FL58JPPX"],"itemData":{"id":5660,"type":"article-journal","abstract":"BACKGROUND: The Millennium Development Goals (MDGs) availed opportunities for scaling up service coverage but called for stringent monitoring and evaluation  (M&amp;E) focusing mainly on MDG related programs. The Sustainable Development Goals  3 (SDGs) and the universal health coverage (UHC) agenda present a broader scope  and require more sophisticated M&amp;E systems. We assessed the readiness of low- and  middle-income countries to monitor SDG 3. METHODS: Employing mixed methods, we  reviewed health sector M&amp;E plans of 6 countries in the World Health Organization  (WHO) Africa Region to assess the challenges to M&amp;E, the indicator selection  pattern and the extent of multisectoral collaboration. Qualitative data were  analysed using content thematic analysis while quantitative data were analysed  using Excel. RESULTS: Challenges to monitoring SDG 3 include weak institutional  capacity; fragmentation of M&amp;E functions; inadequate domestic financing;  inadequate data availability, dissemination and utilization of M?&amp;E products. The  total number of indictors in the reviewed plans varied from 38 for Zimbabwe to  235 for Zanzibar. Sixty-nine percent of indicators for the Gambia and 89% for  Zanzibar were not classified in any domain in the M&amp;E results chain. Countries  lay greater M&amp;E emphasis on service delivery, health systems, maternal and child  health as well as communicable diseases with a seeming neglect of the  non-communicable diseases (NCDs). Inclusion of SDG 3 indicators only ranged from  48% for Zanzibar to 67% for Kenya. Although monitoring SDG 3 calls for  multisectoral collaboration, consideration of the role of other sectors in the  M&amp;E plans was either absent or limited to the statistical departments.  CONCLUSION: There are common challenges confronting M&amp;E at county-level.  Countries have omitted key indicators for monitoring components of the SDG 3  targets especially those on NCDs and injuries. The role of other sectors in  monitoring SDG 3 targets is not adequately reflected. These could be bottlenecks  to tracking progress towards SDG 3 if not addressed. Beyond providing compendium  of indicators to guide countries, we advocate for a more binding minimum set of  indicators for all countries to which they may add depending on their context.  Ministries of Health (MoHs) should prioritise M&amp;E as an important pillar for  health service planning and implementation and not as an add-on activity.","container-title":"International journal of health policy and management","DOI":"10.15171/ijhpm.2019.134","ISSN":"2322-5939","issue":"7","journalAbbreviation":"Int J Health Policy Manag","language":"eng","page":"297-308","PMID":"32613801","PMCID":"PMC7444433","publisher-place":"Iran","title":"Monitoring Sustainable Development Goals 3: Assessing the Readiness of Low- and Middle-Income Countries.","volume":"9","author":[{"family":"Nabukalu","given":"Joy Belinda"},{"family":"Asamani","given":"James Avoka"},{"family":"Nabyonga-Orem","given":"Juliet"}],"issued":{"date-parts":[["2020",7,1]]}}}],"schema":"https://github.com/citation-style-language/schema/raw/master/csl-citation.json"} </w:instrText>
      </w:r>
      <w:r w:rsidR="00AF727E">
        <w:fldChar w:fldCharType="separate"/>
      </w:r>
      <w:r w:rsidR="00AF727E" w:rsidRPr="00AF727E">
        <w:rPr>
          <w:rFonts w:ascii="Calibri" w:hAnsi="Calibri" w:cs="Calibri"/>
        </w:rPr>
        <w:t>(Nabukalu, Asamani and Nabyonga-Orem, 2020)</w:t>
      </w:r>
      <w:r w:rsidR="00AF727E">
        <w:fldChar w:fldCharType="end"/>
      </w:r>
      <w:r>
        <w:t xml:space="preserve">. </w:t>
      </w:r>
    </w:p>
    <w:p w14:paraId="2F7FEDE0" w14:textId="18957ADA" w:rsidR="00C23622" w:rsidRDefault="00397609" w:rsidP="001568C9">
      <w:pPr>
        <w:spacing w:line="360" w:lineRule="auto"/>
        <w:jc w:val="both"/>
      </w:pPr>
      <w:r>
        <w:t xml:space="preserve">According to </w:t>
      </w:r>
      <w:r w:rsidR="00B84489">
        <w:t>the WHO, health is a state of complete physical, mental, and social well-being</w:t>
      </w:r>
      <w:r>
        <w:t>. It means that health is not merely the absence of disease</w:t>
      </w:r>
      <w:r w:rsidR="00AF727E">
        <w:t xml:space="preserve"> </w:t>
      </w:r>
      <w:r w:rsidR="00AF727E">
        <w:fldChar w:fldCharType="begin"/>
      </w:r>
      <w:r w:rsidR="00AF727E">
        <w:instrText xml:space="preserve"> ADDIN ZOTERO_ITEM CSL_CITATION {"citationID":"ZnOrt8zm","properties":{"unsorted":false,"formattedCitation":"(van Druten {\\i{}et al.}, 2022)","plainCitation":"(van Druten et al., 2022)","noteIndex":0},"citationItems":[{"id":5661,"uris":["http://zotero.org/users/14350932/items/5TUIGSUM"],"itemData":{"id":5661,"type":"article-journal","abstract":"The rationale of our study was that the World Health Organization’s (WHO) definition of health from 1947 which includes “… complete physical, mental and social wellbeing…” does not fit the current societal viewpoints anymore. The WHO’s definition of health implies that many people with chronic illnesses or disabilities would be considered unhealthy and complete wellbeing would be utopian and unfeasible for them. This is no longer uniformly accepted. Many alternative concepts of health have been discussed in the last decades such as ‘positive health’, which focusses on someone’s capability rather than incapability,. However, the question remains whether a general health concept can guide all healthcare practices. More likely, health concepts need to be specified for professions or settings. The objective of our study was to create a structured overview of published concepts of health from different perspectives by conducting a scoping review using the PRISMA-ScR guideline. A literature search was conducted in Pubmed and Cinahl. Articles eligible for inclusion focussed on the discussion or the conceptualisation of health or health-related concepts in different contexts (such as the perspective of care workers’ or patients’) published since 2009 (the Dutch Health Council raised the discussion about moving towards a more dynamic perspective on health in that year). Seventy-five articles could be included for thematic analyses. The results showed that most articles described a concept of health consisting of multiple subthemes; no consensus was found on one overall concept of health. This implies that healthcare consumers act based on different health concepts when seeking care than care workers when providing care. Having different understandings of the concepts of health can lead to misunderstandings in practice. In conclusion, from every perspective, and even for every individual, health may mean something different. This finding stresses the importance that care workers’ and healthcare consumers’ meaning of ‘health’ has to be clear to all actors involved. Our review supports a more uniform tuning of healthcare between healthcare providers (the organisations), care workers (the professionals) and healthcare consumers (the patients), by creating more awareness of the differences among these actors, which can be a guide in their communication.","container-title":"BMC Health Services Research","DOI":"10.1186/s12913-022-07702-2","ISSN":"1472-6963","issue":"1","journalAbbreviation":"BMC Health Services Research","page":"389","title":"Concepts of health in different contexts: a scoping review","volume":"22","author":[{"family":"Druten","given":"V. P.","non-dropping-particle":"van"},{"family":"Bartels","given":"E. A."},{"family":"Mheen","given":"D.","non-dropping-particle":"van de"},{"family":"Vries","given":"E.","non-dropping-particle":"de"},{"family":"Kerckhoffs","given":"A. P. M."},{"family":"Nahar-van Venrooij","given":"L. M. W."}],"issued":{"date-parts":[["2022",3,24]]}}}],"schema":"https://github.com/citation-style-language/schema/raw/master/csl-citation.json"} </w:instrText>
      </w:r>
      <w:r w:rsidR="00AF727E">
        <w:fldChar w:fldCharType="separate"/>
      </w:r>
      <w:r w:rsidR="00AF727E" w:rsidRPr="00AF727E">
        <w:rPr>
          <w:rFonts w:ascii="Calibri" w:hAnsi="Calibri" w:cs="Calibri"/>
          <w:szCs w:val="24"/>
        </w:rPr>
        <w:t xml:space="preserve">(van Druten </w:t>
      </w:r>
      <w:r w:rsidR="00AF727E" w:rsidRPr="00AF727E">
        <w:rPr>
          <w:rFonts w:ascii="Calibri" w:hAnsi="Calibri" w:cs="Calibri"/>
          <w:i/>
          <w:iCs/>
          <w:szCs w:val="24"/>
        </w:rPr>
        <w:t>et al.</w:t>
      </w:r>
      <w:r w:rsidR="00AF727E" w:rsidRPr="00AF727E">
        <w:rPr>
          <w:rFonts w:ascii="Calibri" w:hAnsi="Calibri" w:cs="Calibri"/>
          <w:szCs w:val="24"/>
        </w:rPr>
        <w:t>, 2022)</w:t>
      </w:r>
      <w:r w:rsidR="00AF727E">
        <w:fldChar w:fldCharType="end"/>
      </w:r>
      <w:r>
        <w:t>. This definition has been criticised for being idealistic and difficul</w:t>
      </w:r>
      <w:r w:rsidR="00AF727E">
        <w:t xml:space="preserve">t to achieve in practice </w:t>
      </w:r>
      <w:r w:rsidR="00AF727E">
        <w:fldChar w:fldCharType="begin"/>
      </w:r>
      <w:r w:rsidR="00AF727E">
        <w:instrText xml:space="preserve"> ADDIN ZOTERO_ITEM CSL_CITATION {"citationID":"i3gNjaaG","properties":{"unsorted":false,"formattedCitation":"(Huber {\\i{}et al.}, 2011)","plainCitation":"(Huber et al., 2011)","noteIndex":0},"citationItems":[{"id":5662,"uris":["http://zotero.org/users/14350932/items/PBDRBH88"],"itemData":{"id":5662,"type":"article-journal","container-title":"BMJ","DOI":"10.1136/bmj.d4163","page":"d4163","title":"How should we define health?","volume":"343","author":[{"family":"Huber","given":"M."},{"family":"Knottnerus","given":"J.A."},{"family":"Green","given":"L."},{"literal":"others"}],"issued":{"date-parts":[["2011"]]}}}],"schema":"https://github.com/citation-style-language/schema/raw/master/csl-citation.json"} </w:instrText>
      </w:r>
      <w:r w:rsidR="00AF727E">
        <w:fldChar w:fldCharType="separate"/>
      </w:r>
      <w:r w:rsidR="00AF727E" w:rsidRPr="00AF727E">
        <w:rPr>
          <w:rFonts w:ascii="Calibri" w:hAnsi="Calibri" w:cs="Calibri"/>
          <w:szCs w:val="24"/>
        </w:rPr>
        <w:t xml:space="preserve">(Huber </w:t>
      </w:r>
      <w:r w:rsidR="00AF727E" w:rsidRPr="00AF727E">
        <w:rPr>
          <w:rFonts w:ascii="Calibri" w:hAnsi="Calibri" w:cs="Calibri"/>
          <w:i/>
          <w:iCs/>
          <w:szCs w:val="24"/>
        </w:rPr>
        <w:t>et al.</w:t>
      </w:r>
      <w:r w:rsidR="00AF727E" w:rsidRPr="00AF727E">
        <w:rPr>
          <w:rFonts w:ascii="Calibri" w:hAnsi="Calibri" w:cs="Calibri"/>
          <w:szCs w:val="24"/>
        </w:rPr>
        <w:t>, 2011)</w:t>
      </w:r>
      <w:r w:rsidR="00AF727E">
        <w:fldChar w:fldCharType="end"/>
      </w:r>
      <w:r>
        <w:t>. Th</w:t>
      </w:r>
      <w:r w:rsidR="00AF727E">
        <w:t xml:space="preserve">e research conducted by </w:t>
      </w:r>
      <w:r w:rsidR="00AF727E">
        <w:fldChar w:fldCharType="begin"/>
      </w:r>
      <w:r w:rsidR="001F248D">
        <w:instrText xml:space="preserve"> ADDIN ZOTERO_ITEM CSL_CITATION {"citationID":"5mfvhYun","properties":{"unsorted":false,"formattedCitation":"(Marmot {\\i{}et al.}, 2020)","plainCitation":"(Marmot et al., 2020)","dontUpdate":true,"noteIndex":0},"citationItems":[{"id":5663,"uris":["http://zotero.org/users/14350932/items/USXWX6LS"],"itemData":{"id":5663,"type":"article-journal","publisher":"Institute of Health Equity","title":"Health Equity in England: The Marmot Review 10 Years On","URL":"https://www.health.org.uk/publications/reports/the-marmot-review-10-years-on","author":[{"family":"Marmot","given":"Michael"},{"family":"Allen","given":"Jessica"},{"family":"Boyce","given":"Tammy"},{"family":"Goldblatt","given":"Peter"},{"family":"Morrison","given":"Jessica"}],"issued":{"date-parts":[["2020"]]}}}],"schema":"https://github.com/citation-style-language/schema/raw/master/csl-citation.json"} </w:instrText>
      </w:r>
      <w:r w:rsidR="00AF727E">
        <w:fldChar w:fldCharType="separate"/>
      </w:r>
      <w:r w:rsidR="00AF727E" w:rsidRPr="00AF727E">
        <w:rPr>
          <w:rFonts w:ascii="Calibri" w:hAnsi="Calibri" w:cs="Calibri"/>
          <w:szCs w:val="24"/>
        </w:rPr>
        <w:t xml:space="preserve">Marmot </w:t>
      </w:r>
      <w:r w:rsidR="00AF727E" w:rsidRPr="00AF727E">
        <w:rPr>
          <w:rFonts w:ascii="Calibri" w:hAnsi="Calibri" w:cs="Calibri"/>
          <w:i/>
          <w:iCs/>
          <w:szCs w:val="24"/>
        </w:rPr>
        <w:t>et al.</w:t>
      </w:r>
      <w:r w:rsidR="00AF727E" w:rsidRPr="00AF727E">
        <w:rPr>
          <w:rFonts w:ascii="Calibri" w:hAnsi="Calibri" w:cs="Calibri"/>
          <w:szCs w:val="24"/>
        </w:rPr>
        <w:t xml:space="preserve"> </w:t>
      </w:r>
      <w:r w:rsidR="00AF727E">
        <w:rPr>
          <w:rFonts w:ascii="Calibri" w:hAnsi="Calibri" w:cs="Calibri"/>
          <w:szCs w:val="24"/>
        </w:rPr>
        <w:t>(</w:t>
      </w:r>
      <w:r w:rsidR="00AF727E" w:rsidRPr="00AF727E">
        <w:rPr>
          <w:rFonts w:ascii="Calibri" w:hAnsi="Calibri" w:cs="Calibri"/>
          <w:szCs w:val="24"/>
        </w:rPr>
        <w:t>2020)</w:t>
      </w:r>
      <w:r w:rsidR="00AF727E">
        <w:fldChar w:fldCharType="end"/>
      </w:r>
      <w:r w:rsidR="00AF727E">
        <w:t xml:space="preserve"> </w:t>
      </w:r>
      <w:r>
        <w:t>demonstrates that education, employment, housing, income, environmental quality and social conditions</w:t>
      </w:r>
      <w:r w:rsidR="00B84489">
        <w:t xml:space="preserve"> all influence </w:t>
      </w:r>
      <w:r>
        <w:t xml:space="preserve">health outcomes. Hence, </w:t>
      </w:r>
      <w:r w:rsidR="00B84489">
        <w:t xml:space="preserve">improving health requires action across multiple sectors rather than relying solely </w:t>
      </w:r>
      <w:r>
        <w:t xml:space="preserve">on healthcare services. This approach is </w:t>
      </w:r>
      <w:r w:rsidR="00B84489">
        <w:t>also aligned</w:t>
      </w:r>
      <w:r w:rsidR="00C23622">
        <w:t xml:space="preserve"> </w:t>
      </w:r>
      <w:r w:rsidR="00B84489">
        <w:t xml:space="preserve">with the </w:t>
      </w:r>
      <w:r>
        <w:t>concept of sustainable development to meet present needs</w:t>
      </w:r>
      <w:r w:rsidR="001568C9">
        <w:t xml:space="preserve"> for wellbeing.</w:t>
      </w:r>
    </w:p>
    <w:p w14:paraId="59D5894F" w14:textId="77777777" w:rsidR="007C3832" w:rsidRDefault="007C3832" w:rsidP="001568C9">
      <w:pPr>
        <w:pStyle w:val="Heading2"/>
      </w:pPr>
      <w:bookmarkStart w:id="3" w:name="_Toc1470621471"/>
      <w:r>
        <w:t>2.2 Public health theories</w:t>
      </w:r>
      <w:bookmarkEnd w:id="3"/>
    </w:p>
    <w:p w14:paraId="70017ADB" w14:textId="5CE7BE51" w:rsidR="007C3832" w:rsidRDefault="00B84489" w:rsidP="001568C9">
      <w:pPr>
        <w:spacing w:line="360" w:lineRule="auto"/>
        <w:jc w:val="both"/>
      </w:pPr>
      <w:r>
        <w:t xml:space="preserve">The </w:t>
      </w:r>
      <w:r w:rsidR="007C3832">
        <w:t>Health Belief Model (HBM) explains how individuals decide whether to participate in preventive health services</w:t>
      </w:r>
      <w:r>
        <w:t>.</w:t>
      </w:r>
      <w:r w:rsidR="001568C9">
        <w:t xml:space="preserve"> </w:t>
      </w:r>
      <w:r w:rsidR="001568C9">
        <w:fldChar w:fldCharType="begin"/>
      </w:r>
      <w:r w:rsidR="001568C9">
        <w:instrText xml:space="preserve"> ADDIN ZOTERO_ITEM CSL_CITATION {"citationID":"GxE5klKQ","properties":{"unsorted":false,"formattedCitation":"(Alyafei and Easton-Carr, 2026)","plainCitation":"(Alyafei and Easton-Carr, 2026)","noteIndex":0},"citationItems":[{"id":5664,"uris":["http://zotero.org/users/14350932/items/6KYM7IRL"],"itemData":{"id":5664,"type":"chapter","container-title":"StatPearls","publisher":"StatPearls Publishing","publisher-place":"Treasure Island, FL","title":"The Health Belief Model of Behavior Change","URL":"https://www.ncbi.nlm.nih.gov/books/NBK606120/","author":[{"family":"Alyafei","given":"A."},{"family":"Easton-Carr","given":"R."}],"issued":{"date-parts":[["2026"]]}}}],"schema":"https://github.com/citation-style-language/schema/raw/master/csl-citation.json"} </w:instrText>
      </w:r>
      <w:r w:rsidR="001568C9">
        <w:fldChar w:fldCharType="separate"/>
      </w:r>
      <w:r w:rsidR="001568C9" w:rsidRPr="001568C9">
        <w:rPr>
          <w:rFonts w:ascii="Calibri" w:hAnsi="Calibri" w:cs="Calibri"/>
        </w:rPr>
        <w:t>(Alyafei and Easton-Carr, 2026)</w:t>
      </w:r>
      <w:r w:rsidR="001568C9">
        <w:fldChar w:fldCharType="end"/>
      </w:r>
      <w:r w:rsidR="007C3832">
        <w:t xml:space="preserve">. According to this model, people are more likely to adopt healthy behaviours when they believe they are personally susceptible to illness (perceived susceptibility), recognise the seriousness of potential health consequences (perceived severity), believe that preventive action will provide meaningful benefits (perceived benefits), and perceive relatively few obstacles to participation (perceived barriers). Also, Social Cognitive Theory (SCT) helps </w:t>
      </w:r>
      <w:r>
        <w:t>understand behaviour change and emphasises reciprocal interactions among individuals, their environments,</w:t>
      </w:r>
      <w:r w:rsidR="007C3832">
        <w:t xml:space="preserve"> and observed behaviours</w:t>
      </w:r>
      <w:r>
        <w:t>.</w:t>
      </w:r>
      <w:r w:rsidR="001568C9">
        <w:t xml:space="preserve"> </w:t>
      </w:r>
      <w:r w:rsidR="001568C9">
        <w:fldChar w:fldCharType="begin"/>
      </w:r>
      <w:r w:rsidR="001568C9">
        <w:instrText xml:space="preserve"> ADDIN ZOTERO_ITEM CSL_CITATION {"citationID":"KhkBzaUl","properties":{"unsorted":false,"formattedCitation":"(Islam {\\i{}et al.}, 2023)","plainCitation":"(Islam et al., 2023)","noteIndex":0},"citationItems":[{"id":5666,"uris":["http://zotero.org/users/14350932/items/GUZGPQZZ"],"itemData":{"id":5666,"type":"article-journal","abstract":"BACKGROUND: Using a theoretical perspective to guide research design and implementation can result in a coherent preventative intervention model. Among  theoretical frameworks, Bandura's Social Cognitive Theory (SCT) is particularly  useful for studies focused on behavior change in health promotion research.  OBJECTIVE: This scoping review explored and summarized the current evidence on  health promotion interventions that integrated constructs of Social Cognitive  Theory and the outcome of those interventions in primary care settings. METHOD:  ology: We conducted this scoping review using the PRISMA scoping review  guidelines; we reviewed articles from five electronic databases and additional  sources that were peer-reviewed journal articles reporting interventions applying  SCT constructs and synthesized the outcomes following the interventions. RESULTS:  Among 849 retrieved from multiple sources, 39 articles met our eligibility  criteria. Most studies (n = 19) were conducted in the United States. Twenty-six  studies followed a randomized control trial design. Most studies (n = 26)  recruited participants utilizing the primary care network. All 39 studies  mentioned \"self-efficacy\" as the most utilized construct of SCT to determine how  behavior change operates, followed by \"observational learning\" through role  models. Twenty-three studies integrated individual (face-to-face) or peered  group-based counseling-training programs; eight interventions used telephonic  health coaching by a specialist; eight studies used audio-visual mediums. All  included studies reported positive health outcomes following the intervention,  including increased self-reported moderate-to-vigorous physical activity,  increased Knowledge of dietary intake, high-risk behaviors such as STIs  transmission, adapting to a healthy lifestyle, and adherence to post-transplant  medication. CONCLUSION: Current evidence suggests that SCT-based interventions  positively impact health outcomes and intervention effectiveness. The results of  this study indicate the importance of incorporating and assessing several  conceptual structures of behavioral theories when planning any primary care  health promotion practice.","container-title":"Heliyon","DOI":"10.1016/j.heliyon.2023.e14889","ISSN":"2405-8440","issue":"4","journalAbbreviation":"Heliyon","language":"eng","license":"© 2023 The Authors.","page":"e14889","PMID":"37025832","PMCID":"PMC10070720","publisher-place":"England","title":"Social cognitive theory-based health promotion in primary care practice: A scoping review.","volume":"9","author":[{"family":"Islam","given":"Kazi Faria"},{"family":"Awal","given":"Abdul"},{"family":"Mazumder","given":"Hoimonty"},{"family":"Munni","given":"Ummi Rukaiya"},{"family":"Majumder","given":"Koushik"},{"family":"Afroz","given":"Kohinoor"},{"family":"Tabassum","given":"Mustari Nailah"},{"family":"Hossain","given":"M. Mahbub"}],"issued":{"date-parts":[["2023",4]]}}}],"schema":"https://github.com/citation-style-language/schema/raw/master/csl-citation.json"} </w:instrText>
      </w:r>
      <w:r w:rsidR="001568C9">
        <w:fldChar w:fldCharType="separate"/>
      </w:r>
      <w:r w:rsidR="001568C9" w:rsidRPr="001568C9">
        <w:rPr>
          <w:rFonts w:ascii="Calibri" w:hAnsi="Calibri" w:cs="Calibri"/>
          <w:szCs w:val="24"/>
        </w:rPr>
        <w:t xml:space="preserve">(Islam </w:t>
      </w:r>
      <w:r w:rsidR="001568C9" w:rsidRPr="001568C9">
        <w:rPr>
          <w:rFonts w:ascii="Calibri" w:hAnsi="Calibri" w:cs="Calibri"/>
          <w:i/>
          <w:iCs/>
          <w:szCs w:val="24"/>
        </w:rPr>
        <w:t>et al.</w:t>
      </w:r>
      <w:r w:rsidR="001568C9" w:rsidRPr="001568C9">
        <w:rPr>
          <w:rFonts w:ascii="Calibri" w:hAnsi="Calibri" w:cs="Calibri"/>
          <w:szCs w:val="24"/>
        </w:rPr>
        <w:t>, 2023)</w:t>
      </w:r>
      <w:r w:rsidR="001568C9">
        <w:fldChar w:fldCharType="end"/>
      </w:r>
      <w:r w:rsidR="007C3832">
        <w:t xml:space="preserve">. </w:t>
      </w:r>
    </w:p>
    <w:p w14:paraId="03D317A0" w14:textId="77777777" w:rsidR="00C23622" w:rsidRDefault="007C3832" w:rsidP="001568C9">
      <w:pPr>
        <w:pStyle w:val="Heading2"/>
      </w:pPr>
      <w:bookmarkStart w:id="4" w:name="_Toc1270624700"/>
      <w:r>
        <w:t>2.3</w:t>
      </w:r>
      <w:r w:rsidR="00F774A8">
        <w:t xml:space="preserve"> Global Policies and Initiatives for SDG 3</w:t>
      </w:r>
      <w:bookmarkEnd w:id="4"/>
    </w:p>
    <w:p w14:paraId="543E1689" w14:textId="46E2B405" w:rsidR="00F774A8" w:rsidRDefault="0062514B" w:rsidP="003362E7">
      <w:pPr>
        <w:spacing w:line="360" w:lineRule="auto"/>
        <w:jc w:val="both"/>
      </w:pPr>
      <w:r>
        <w:t>Achieving SDG 3 relies primarily</w:t>
      </w:r>
      <w:r w:rsidR="00FC1286">
        <w:t xml:space="preserve"> on global action </w:t>
      </w:r>
      <w:r w:rsidR="00B84489">
        <w:t>to address infectious diseases, non-communicable diseases (NCDs), antimicrobial resistance,</w:t>
      </w:r>
      <w:r w:rsidR="00FC1286">
        <w:t xml:space="preserve"> and climate-related health risks</w:t>
      </w:r>
      <w:r w:rsidR="00B84489">
        <w:t>.</w:t>
      </w:r>
      <w:r w:rsidR="001568C9">
        <w:t xml:space="preserve"> </w:t>
      </w:r>
      <w:r w:rsidR="001568C9">
        <w:fldChar w:fldCharType="begin"/>
      </w:r>
      <w:r w:rsidR="001568C9">
        <w:instrText xml:space="preserve"> ADDIN ZOTERO_ITEM CSL_CITATION {"citationID":"fnGFzaDq","properties":{"unsorted":false,"formattedCitation":"(Singh Thakur, Nangia and Singh, 2021)","plainCitation":"(Singh Thakur, Nangia and Singh, 2021)","noteIndex":0},"citationItems":[{"id":5667,"uris":["http://zotero.org/users/14350932/items/AGPYINT2"],"itemData":{"id":5667,"type":"article-journal","abstract":"The 2030 Agenda for Sustainable Development adopted by the United Nations in 2015 recognizes noncommunicable diseases (NCDs) as a major public health challenge.  Sustainable Development Goal (SDG) 3 includes target 3.4 to reduce premature NCD  mortality by one-third by 2030. This review article analyzes the progress towards  the attainment of targets within 3.4, the gaps in meeting the targets, and  implementation challenges correlated with those gaps. A literature review was  performed in September 2020 to identify the published literature and data  discussing the SDGs and NCDs, its progress since 2015, and the associated  challenges. The analysis reveals SDG target 3.4 is interrelated to at least nine  SDGs. There have been many positive SDG initiatives, but the progress has been  slow. Data from various countries show that only two out of the ten NCD progress  indicators are being met by at least half of the 176 countries who signed the  SDGs. The ongoing COVID-19 pandemic is expected to further aggravate the  prevalence and hinder the progress towards the achievement of goals and the  targets of the SDGs. The next decade is critical to advance progress on reducing  NCDs across countries. The article concludes with a commentary and recommended  actions. A combination of prevention, early detection, and treatment are the key  to achieve the SDG 3.4 targets. Increased funding and commitments at  international and national levels are required to bring about the transformative  changes.","container-title":"FASEB bioAdvances","DOI":"10.1096/fba.2020-00117","ISSN":"2573-9832","issue":"8","journalAbbreviation":"FASEB Bioadv","language":"eng","license":"©2021 The Authors. FASEB BioAdvances published by The Federation of American Societies for Experimental Biology.","page":"563-568","PMID":"34377953","PMCID":"PMC8332469","publisher-place":"United States","title":"Progress and challenges in achieving noncommunicable diseases targets for the sustainable development goals.","volume":"3","author":[{"family":"Singh Thakur","given":"Jarnail"},{"family":"Nangia","given":"Ria"},{"family":"Singh","given":"Sukriti"}],"issued":{"date-parts":[["2021",8]]}}}],"schema":"https://github.com/citation-style-language/schema/raw/master/csl-citation.json"} </w:instrText>
      </w:r>
      <w:r w:rsidR="001568C9">
        <w:fldChar w:fldCharType="separate"/>
      </w:r>
      <w:r w:rsidR="001568C9" w:rsidRPr="001568C9">
        <w:rPr>
          <w:rFonts w:ascii="Calibri" w:hAnsi="Calibri" w:cs="Calibri"/>
        </w:rPr>
        <w:t>(Singh Thakur, Nangia and Singh, 2021)</w:t>
      </w:r>
      <w:r w:rsidR="001568C9">
        <w:fldChar w:fldCharType="end"/>
      </w:r>
      <w:r w:rsidR="00FC1286">
        <w:t xml:space="preserve">. International organisations such as </w:t>
      </w:r>
      <w:r w:rsidR="00B84489">
        <w:t>the WHO and the UN have developed policies and initiatives to improve</w:t>
      </w:r>
      <w:r w:rsidR="00FC1286">
        <w:t xml:space="preserve"> population health and healthcare systems worldwide</w:t>
      </w:r>
      <w:r w:rsidR="00B84489">
        <w:t>.</w:t>
      </w:r>
      <w:r w:rsidR="001568C9">
        <w:t xml:space="preserve"> </w:t>
      </w:r>
      <w:r w:rsidR="001568C9">
        <w:fldChar w:fldCharType="begin"/>
      </w:r>
      <w:r w:rsidR="001568C9">
        <w:instrText xml:space="preserve"> ADDIN ZOTERO_ITEM CSL_CITATION {"citationID":"7MTxYZiG","properties":{"unsorted":false,"formattedCitation":"(Arabi {\\i{}et al.}, 2025)","plainCitation":"(Arabi et al., 2025)","noteIndex":0},"citationItems":[{"id":5668,"uris":["http://zotero.org/users/14350932/items/SZLSAUMS"],"itemData":{"id":5668,"type":"article-journal","abstract":"The global health burden in developing countries remains a pressing concern, exacerbated by a complex interplay of socioeconomic, environmental, and healthcare system factors. International partnerships have emerged as pivotal mechanisms to alleviate the burden, drawing upon the expertise and resources of governments, non-government organizations, and institutions. This systematic review of the literature focused on frameworks and models guiding international partnerships in health care between developed and developing countries. Successful partnerships demonstrated the importance of comprehensive stakeholder engagement, transparent communication, and clear role delineation for their success. These elements fostered a sense of ownership, commitment, and effective teamwork among stakeholders, making them active participants in the collaborative efforts. Trust-building, conflict resolution, and addressing power dynamics were identified as crucial factors to ensure equitable collaborations. However, notable gaps in the literature were identified, such as limited consideration of sustainability measures, ongoing support to partnership members, evaluation mechanisms, governance structures, and resource allocation. Existing frameworks did not include several critical components identified through this review. Addressing these gaps through future research and evaluation, and the development of a more robust framework, can enhance the impact and longevity of collaborative health care partnerships, ultimately improving health care outcomes in both developed and developing countries.","container-title":"Social Sciences &amp; Humanities Open","DOI":"10.1016/j.ssaho.2025.101914","ISSN":"2590-2911","journalAbbreviation":"Social Sciences &amp; Humanities Open","page":"101914","title":"Enhancing collaborative international partnerships in healthcare – a systematic review of insights, challenges, and pathways to sustainability","volume":"12","author":[{"family":"Arabi","given":"Salma"},{"family":"Butler-Henderson","given":"Kerryn"},{"family":"Jones","given":"Sandra"},{"family":"Vindigni","given":"Dein"}],"issued":{"date-parts":[["2025",1,1]]}}}],"schema":"https://github.com/citation-style-language/schema/raw/master/csl-citation.json"} </w:instrText>
      </w:r>
      <w:r w:rsidR="001568C9">
        <w:fldChar w:fldCharType="separate"/>
      </w:r>
      <w:r w:rsidR="001568C9" w:rsidRPr="001568C9">
        <w:rPr>
          <w:rFonts w:ascii="Calibri" w:hAnsi="Calibri" w:cs="Calibri"/>
          <w:szCs w:val="24"/>
        </w:rPr>
        <w:t xml:space="preserve">(Arabi </w:t>
      </w:r>
      <w:r w:rsidR="001568C9" w:rsidRPr="001568C9">
        <w:rPr>
          <w:rFonts w:ascii="Calibri" w:hAnsi="Calibri" w:cs="Calibri"/>
          <w:i/>
          <w:iCs/>
          <w:szCs w:val="24"/>
        </w:rPr>
        <w:t>et al.</w:t>
      </w:r>
      <w:r w:rsidR="001568C9" w:rsidRPr="001568C9">
        <w:rPr>
          <w:rFonts w:ascii="Calibri" w:hAnsi="Calibri" w:cs="Calibri"/>
          <w:szCs w:val="24"/>
        </w:rPr>
        <w:t>, 2025)</w:t>
      </w:r>
      <w:r w:rsidR="001568C9">
        <w:fldChar w:fldCharType="end"/>
      </w:r>
      <w:r w:rsidR="00FC1286">
        <w:t xml:space="preserve">. In this regard, one global strategy of </w:t>
      </w:r>
      <w:r w:rsidR="00B84489">
        <w:t>the World Health Organisation</w:t>
      </w:r>
      <w:r w:rsidR="00FC1286">
        <w:t xml:space="preserve"> is Universal Health Coverage (UHC). This strategy aims to ensure that all individuals receive quality health services without faci</w:t>
      </w:r>
      <w:r w:rsidR="001568C9">
        <w:t>ng financial hardship</w:t>
      </w:r>
      <w:r w:rsidR="00B84489">
        <w:t>.</w:t>
      </w:r>
      <w:r w:rsidR="001568C9">
        <w:t xml:space="preserve"> </w:t>
      </w:r>
      <w:r w:rsidR="003362E7">
        <w:fldChar w:fldCharType="begin"/>
      </w:r>
      <w:r w:rsidR="003362E7">
        <w:instrText xml:space="preserve"> ADDIN ZOTERO_ITEM CSL_CITATION {"citationID":"Zphr1xTE","properties":{"unsorted":false,"formattedCitation":"(Ranabhat {\\i{}et al.}, 2023)","plainCitation":"(Ranabhat et al., 2023)","noteIndex":0},"citationItems":[{"id":5669,"uris":["http://zotero.org/users/14350932/items/KKPEHD62"],"itemData":{"id":5669,"type":"article-journal","abstract":"The goal of universal health coverage (UHC) from the United Nations (UN) has metamorphized from its early phase of primary health care (PHC) to the recent  sustainable development goal (SDG). In this context, we aimed to document  theoretical and philosophical efforts, historical analysis, financial and  political aspects in various eras, and an assessment of coverage during those  eras in relation to UHC in a global scenario. Searching with broad keywords  circumadjacent to UHC with scope and inter-disciplinary linkages in conceptual  analysis, we further narrated the review with the historical development of UHC  in different time periods. We proposed, chronologically, these frames as eras of  PHC, the millennium development goal (MDG), and the ongoing sustainable  development goal (SDG). Literature showed that modern healthcare access and  coverage were in extension stages during the PHC era flagshipped with \"health for  all (HFA)\", prolifically achieving vaccination, communicable disease control, and  the use of modern contraceptive methods. Following the PHC era, the MDG era  markedly reduced maternal, neonatal, and child mortalities mainly in developing  countries. Importantly, UHC has shifted its philosophic stand of HFA to a  strategic health insurance and its extension. After 2015, the concept of SDG has  evolved. The strategy was further reframed as service and financial assurance.  Strategies for further resource allocation, integration of health service with  social health protection, human resources for health, strategic community  participation, and the challenges of financial securities in some global public  health concerns like the public health emergency and travelers' and migrants'  health are further discussed. Some policy departures such as global partnership,  research collaboration, and experience sharing are broadly discussed for  recommendation.","container-title":"Frontiers in public health","DOI":"10.3389/fpubh.2023.1041459","ISSN":"2296-2565","journalAbbreviation":"Front Public Health","language":"eng","license":"Copyright © 2023 Ranabhat, Acharya, Adhikari and Kim.","page":"1041459","PMID":"36815156","PMCID":"PMC9940661","publisher-place":"Switzerland","title":"Universal health coverage evolution, ongoing trend, and future challenge: A conceptual and historical policy review.","volume":"11","author":[{"family":"Ranabhat","given":"Chhabi Lal"},{"family":"Acharya","given":"Shambhu Prasad"},{"family":"Adhikari","given":"Chiranjivi"},{"family":"Kim","given":"Chun-Bae"}],"issued":{"date-parts":[["2023"]]}}}],"schema":"https://github.com/citation-style-language/schema/raw/master/csl-citation.json"} </w:instrText>
      </w:r>
      <w:r w:rsidR="003362E7">
        <w:fldChar w:fldCharType="separate"/>
      </w:r>
      <w:r w:rsidR="003362E7" w:rsidRPr="003362E7">
        <w:rPr>
          <w:rFonts w:ascii="Calibri" w:hAnsi="Calibri" w:cs="Calibri"/>
          <w:szCs w:val="24"/>
        </w:rPr>
        <w:t xml:space="preserve">(Ranabhat </w:t>
      </w:r>
      <w:r w:rsidR="003362E7" w:rsidRPr="003362E7">
        <w:rPr>
          <w:rFonts w:ascii="Calibri" w:hAnsi="Calibri" w:cs="Calibri"/>
          <w:i/>
          <w:iCs/>
          <w:szCs w:val="24"/>
        </w:rPr>
        <w:t>et al.</w:t>
      </w:r>
      <w:r w:rsidR="003362E7" w:rsidRPr="003362E7">
        <w:rPr>
          <w:rFonts w:ascii="Calibri" w:hAnsi="Calibri" w:cs="Calibri"/>
          <w:szCs w:val="24"/>
        </w:rPr>
        <w:t>, 2023)</w:t>
      </w:r>
      <w:r w:rsidR="003362E7">
        <w:fldChar w:fldCharType="end"/>
      </w:r>
      <w:r w:rsidR="00FC1286">
        <w:t xml:space="preserve">. Evidence indicates that </w:t>
      </w:r>
      <w:r w:rsidR="00B84489">
        <w:t>countries with strong primary healthcare systems provide better health outcomes, lower mortality rates,</w:t>
      </w:r>
      <w:r w:rsidR="00FC1286">
        <w:t xml:space="preserve"> and improved life expectancy. </w:t>
      </w:r>
      <w:r w:rsidR="0060630A">
        <w:t xml:space="preserve">Implementation of this strategy is uneven across countries. Many low- and middle-income nations often face shortages of healthcare professionals, inadequate financial resources and limited access to medicines. Even in the high-income countries, problems such as waiting times and regional differences </w:t>
      </w:r>
      <w:r w:rsidR="00B84489">
        <w:t>exist</w:t>
      </w:r>
      <w:r w:rsidR="0060630A">
        <w:t xml:space="preserve">. Overall, effectiveness </w:t>
      </w:r>
      <w:r w:rsidR="006F5B66">
        <w:t>depends</w:t>
      </w:r>
      <w:r w:rsidR="0060630A">
        <w:t xml:space="preserve"> on political commitment, sufficient investment </w:t>
      </w:r>
      <w:r w:rsidR="00255923">
        <w:t>and monitoring</w:t>
      </w:r>
      <w:r w:rsidR="006F5B66">
        <w:t xml:space="preserve"> of health outcomes. </w:t>
      </w:r>
    </w:p>
    <w:p w14:paraId="6CF3758F" w14:textId="1079BF06" w:rsidR="006F5B66" w:rsidRDefault="00255923" w:rsidP="003362E7">
      <w:pPr>
        <w:spacing w:line="360" w:lineRule="auto"/>
        <w:jc w:val="both"/>
      </w:pPr>
      <w:r>
        <w:t xml:space="preserve">Another initiative of </w:t>
      </w:r>
      <w:r w:rsidR="00B84489">
        <w:t xml:space="preserve">the </w:t>
      </w:r>
      <w:r>
        <w:t xml:space="preserve">WHO is </w:t>
      </w:r>
      <w:r w:rsidR="00B84489">
        <w:t xml:space="preserve">the </w:t>
      </w:r>
      <w:r>
        <w:t xml:space="preserve">Comprehensive Mental Health Action Plan 2013 – 2030, </w:t>
      </w:r>
      <w:r w:rsidR="00954BFB">
        <w:t xml:space="preserve">which </w:t>
      </w:r>
      <w:r w:rsidR="00B84489">
        <w:t>aims</w:t>
      </w:r>
      <w:r w:rsidR="00954BFB">
        <w:t xml:space="preserve"> to improve mental health promotion, prevention, treatment, and recovery to protect </w:t>
      </w:r>
      <w:r w:rsidR="00B84489">
        <w:t xml:space="preserve">the </w:t>
      </w:r>
      <w:r w:rsidR="00954BFB">
        <w:t>human rights of individu</w:t>
      </w:r>
      <w:r w:rsidR="003362E7">
        <w:t xml:space="preserve">als </w:t>
      </w:r>
      <w:r w:rsidR="00B84489">
        <w:t>with</w:t>
      </w:r>
      <w:r w:rsidR="003362E7">
        <w:t xml:space="preserve"> mental illness</w:t>
      </w:r>
      <w:r w:rsidR="00B84489">
        <w:t>.</w:t>
      </w:r>
      <w:r w:rsidR="003362E7">
        <w:t xml:space="preserve"> </w:t>
      </w:r>
      <w:r w:rsidR="003362E7">
        <w:fldChar w:fldCharType="begin"/>
      </w:r>
      <w:r w:rsidR="003362E7">
        <w:instrText xml:space="preserve"> ADDIN ZOTERO_ITEM CSL_CITATION {"citationID":"7GRzcIe8","properties":{"unsorted":false,"formattedCitation":"(Singh, 2021)","plainCitation":"(Singh, 2021)","noteIndex":0},"citationItems":[{"id":5670,"uris":["http://zotero.org/users/14350932/items/JRWZNIR7"],"itemData":{"id":5670,"type":"article-journal","container-title":"Indian journal of psychiatry","DOI":"10.4103/indianjpsychiatry.indianjpsychiatry_811_21","ISSN":"0019-5545 1998-3794","issue":"5","journalAbbreviation":"Indian J Psychiatry","language":"eng","page":"415-417","PMID":"34789927","PMCID":"PMC8522612","publisher-place":"India","title":"Comprehensive Mental Health Action Plan 2013-2030: We must rise to the challenge.","volume":"63","author":[{"family":"Singh","given":"Om Prakash"}],"issued":{"date-parts":[["2021",10]]}}}],"schema":"https://github.com/citation-style-language/schema/raw/master/csl-citation.json"} </w:instrText>
      </w:r>
      <w:r w:rsidR="003362E7">
        <w:fldChar w:fldCharType="separate"/>
      </w:r>
      <w:r w:rsidR="003362E7" w:rsidRPr="003362E7">
        <w:rPr>
          <w:rFonts w:ascii="Calibri" w:hAnsi="Calibri" w:cs="Calibri"/>
        </w:rPr>
        <w:t>(Singh, 2021)</w:t>
      </w:r>
      <w:r w:rsidR="003362E7">
        <w:fldChar w:fldCharType="end"/>
      </w:r>
      <w:r w:rsidR="00954BFB">
        <w:t>. This action plan encourages countries to integrate mental health services into primary healthcare</w:t>
      </w:r>
      <w:r w:rsidR="00B84489">
        <w:t xml:space="preserve"> and reduce</w:t>
      </w:r>
      <w:r w:rsidR="00954BFB">
        <w:t xml:space="preserve"> stigma through education and awareness campaigns. However, the effectiveness of this action</w:t>
      </w:r>
      <w:r w:rsidR="007D5A28">
        <w:t xml:space="preserve"> plan varies between countries. Some nations focus </w:t>
      </w:r>
      <w:r w:rsidR="00504DE4">
        <w:t>on expanding community health services, while others allocate limited financial resources to</w:t>
      </w:r>
      <w:r w:rsidR="007D5A28">
        <w:t xml:space="preserve"> mental healthcare. </w:t>
      </w:r>
    </w:p>
    <w:p w14:paraId="52F1EF73" w14:textId="390C5F30" w:rsidR="00397609" w:rsidRDefault="00504DE4" w:rsidP="00252966">
      <w:pPr>
        <w:spacing w:line="360" w:lineRule="auto"/>
        <w:jc w:val="both"/>
      </w:pPr>
      <w:r>
        <w:t>The UN 2030 Agenda further reinforces SDG 3, underscoring</w:t>
      </w:r>
      <w:r w:rsidR="007D5A28">
        <w:t xml:space="preserve"> that health cannot be achieved in isolation. </w:t>
      </w:r>
      <w:r>
        <w:t>Health improvement</w:t>
      </w:r>
      <w:r w:rsidR="007D5A28">
        <w:t xml:space="preserve"> </w:t>
      </w:r>
      <w:r>
        <w:t>depends</w:t>
      </w:r>
      <w:r w:rsidR="007D5A28">
        <w:t xml:space="preserve"> upon overall progress across </w:t>
      </w:r>
      <w:r w:rsidR="003362E7">
        <w:t>other SDGs</w:t>
      </w:r>
      <w:r w:rsidR="007D5A28">
        <w:t xml:space="preserve">. This approach </w:t>
      </w:r>
      <w:r>
        <w:t>reflects</w:t>
      </w:r>
      <w:r w:rsidR="007D5A28">
        <w:t xml:space="preserve"> that social determinants also influence health outcomes throughout life. </w:t>
      </w:r>
    </w:p>
    <w:p w14:paraId="267BFC66" w14:textId="77777777" w:rsidR="007D5A28" w:rsidRDefault="007C3832" w:rsidP="001568C9">
      <w:pPr>
        <w:pStyle w:val="Heading2"/>
      </w:pPr>
      <w:bookmarkStart w:id="5" w:name="_Toc1545918780"/>
      <w:r>
        <w:t>2.4</w:t>
      </w:r>
      <w:r w:rsidR="007D5A28">
        <w:t xml:space="preserve"> National Policies and initiatives that support SDG 3 in</w:t>
      </w:r>
      <w:r w:rsidR="00B27118">
        <w:t xml:space="preserve"> the</w:t>
      </w:r>
      <w:r w:rsidR="007D5A28">
        <w:t xml:space="preserve"> UK</w:t>
      </w:r>
      <w:bookmarkEnd w:id="5"/>
    </w:p>
    <w:p w14:paraId="7D8EA4ED" w14:textId="78F6802E" w:rsidR="007D5A28" w:rsidRDefault="00094432" w:rsidP="003362E7">
      <w:pPr>
        <w:spacing w:line="360" w:lineRule="auto"/>
        <w:jc w:val="both"/>
      </w:pPr>
      <w:r>
        <w:t xml:space="preserve">The UK has introduced several national policies and strategies to support SDG 3. These policies emphasise prevention, integrated care, digital innovation, and equitable access in health services. Many </w:t>
      </w:r>
      <w:r w:rsidR="00D639FA">
        <w:t xml:space="preserve">initiatives, such as the NHS Long Term Plan, the Health and Care Act 2022, Core20PLUS5, and the NHS Health Check programme, have demonstrated positive outcomes, </w:t>
      </w:r>
      <w:bookmarkStart w:id="6" w:name="_Int_JxEsSX2u"/>
      <w:r w:rsidR="00D639FA">
        <w:t>enhancing</w:t>
      </w:r>
      <w:bookmarkEnd w:id="6"/>
      <w:r w:rsidR="00D639FA">
        <w:t xml:space="preserve"> staff performance and reducing</w:t>
      </w:r>
      <w:r>
        <w:t xml:space="preserve"> inequalities in health services</w:t>
      </w:r>
      <w:r w:rsidR="00D639FA">
        <w:t>.</w:t>
      </w:r>
      <w:r w:rsidR="003362E7">
        <w:t xml:space="preserve"> </w:t>
      </w:r>
      <w:r>
        <w:fldChar w:fldCharType="begin"/>
      </w:r>
      <w:r>
        <w:instrText xml:space="preserve"> ADDIN ZOTERO_ITEM CSL_CITATION {"citationID":"sSc2OCRQ","properties":{"unsorted":false,"formattedCitation":"(Elliott {\\i{}et al.}, 2025)","plainCitation":"(Elliott et al., 2025)","noteIndex":0},"citationItems":[{"id":5671,"uris":["http://zotero.org/users/14350932/items/BWUP32RP"],"itemData":{"id":5671,"type":"article-journal","abstract":"OBJECTIVES: This analysis aimed to explore how local health system strategies and plans seek to tackle health and care inequalities and address national policies.  Specifically, the analysis considered alignment with five national priority  areas: restoring services inclusively, mitigating digital exclusion, ensuring the  completeness and timeliness of datasets, accelerating preventative programmes and  strengthening leadership and accountability. In addition, the analysis explored  the extent to which systems are engaging with the Core20PLUS5 approach, which  targets the most deprived 20% of the population ('Core 20') and population groups  experiencing disproportionately poor access, outcomes or experiences of care  ('PLUS'). DESIGN AND SETTING: Integrated Care Systems (ICSs) are statutory  partnerships that bring together healthcare, social care, local government and  wider system organisations to collaboratively address the root causes of ill  health and health inequalities. We conducted a document analysis of available ICS  strategies, 5-year plans and health inequalities plans published in England  between 1 January 2022 and 31 July 2023. A total of 43 strategy documents, 38  5-year plans and 7 health inequalities plans were analysed. A data extraction  framework was used to guide reviewers and independent quality assurance was  completed to ensure internal validity, intrarater reliability, and  reproducibility of the project. RESULTS: The analysis highlighted good alignment  with national healthcare inequalities policies and local approaches to tackling  healthcare inequalities, with the majority of systems citing the Core20PLUS5  framework. There was notable variation between systems on the adoption of the  framework with the children and young people's framework being less widely  considered than the adult's framework. Across systems, equity-focused tools were  widely used, and numerous systems had developed outcome frameworks to monitor  progress. Leadership for health inequalities was strengthened with senior  leadership roles being established to hold integrated care boards accountable for  improving access, experiences and outcomes. However, competing priorities,  particularly concerning implementations of new organisational models and multiple  national priorities, were evident within the plans which may challenge progress  on reducing health and healthcare inequalities. CONCLUSIONS: The review concluded  that while progress has been made in adopting national healthcare inequalities  policies and steers, significant variation exists between systems, possibly  reflecting local population needs and varying levels of maturity of the systems  across England. The review highlights the need for further evaluations at both  national and local levels, allowing for further development of the systems.  Additionally, consistent and sustainable funding and more robust training for  health inequalities leadership roles is needed to ensure equitable access,  experience and outcomes.","container-title":"BMJ open","DOI":"10.1136/bmjopen-2025-102163","ISSN":"2044-6055","issue":"10","journalAbbreviation":"BMJ Open","language":"eng","license":"© Author(s) (or their employer(s)) 2025. Re-use permitted under CC BY-NC. No commercial re-use. See rights and permissions. Published by BMJ Group.","page":"e102163","PMID":"41057193","PMCID":"PMC12506202","publisher-place":"England","title":"From policy to action: a document content analysis reviewing the adoption of the healthcare inequalities programme in local health system plans in England.","volume":"15","author":[{"family":"Elliott","given":"Hannah"},{"family":"Tozer","given":"Chloe"},{"family":"Fenton","given":"Andrew"},{"family":"Powers","given":"Cassandra"},{"family":"Lines","given":"Cathy"},{"family":"Hill","given":"Mary"},{"family":"Owolabi","given":"Bola"},{"family":"Ford","given":"John Alexander"}],"issued":{"date-parts":[["2025",10,6]]}}}],"schema":"https://github.com/citation-style-language/schema/raw/master/csl-citation.json"} </w:instrText>
      </w:r>
      <w:r>
        <w:fldChar w:fldCharType="separate"/>
      </w:r>
      <w:r w:rsidR="003362E7" w:rsidRPr="5FA37BCF">
        <w:rPr>
          <w:rFonts w:ascii="Calibri" w:hAnsi="Calibri" w:cs="Calibri"/>
        </w:rPr>
        <w:t xml:space="preserve">(Elliott </w:t>
      </w:r>
      <w:r w:rsidR="003362E7" w:rsidRPr="5FA37BCF">
        <w:rPr>
          <w:rFonts w:ascii="Calibri" w:hAnsi="Calibri" w:cs="Calibri"/>
          <w:i/>
          <w:iCs/>
        </w:rPr>
        <w:t>et al.</w:t>
      </w:r>
      <w:r w:rsidR="003362E7" w:rsidRPr="5FA37BCF">
        <w:rPr>
          <w:rFonts w:ascii="Calibri" w:hAnsi="Calibri" w:cs="Calibri"/>
        </w:rPr>
        <w:t>, 2025)</w:t>
      </w:r>
      <w:r>
        <w:fldChar w:fldCharType="end"/>
      </w:r>
      <w:r w:rsidR="003362E7">
        <w:t xml:space="preserve">; </w:t>
      </w:r>
      <w:r>
        <w:fldChar w:fldCharType="begin"/>
      </w:r>
      <w:r>
        <w:instrText xml:space="preserve"> ADDIN ZOTERO_ITEM CSL_CITATION {"citationID":"F9Hppo5w","properties":{"unsorted":false,"formattedCitation":"(Parbery-Clark {\\i{}et al.}, 2024)","plainCitation":"(Parbery-Clark et al., 2024)","noteIndex":0},"citationItems":[{"id":5672,"uris":["http://zotero.org/users/14350932/items/2FB5UKXQ"],"itemData":{"id":5672,"type":"article-journal","abstract":"Addressing socioeconomic inequalities in health and healthcare, and reducing avoidable hospital admissions requires integrated strategy and complex intervention across health systems. However, the understanding of how to create effective systems to reduce socio-economic inequalities in health and healthcare is limited. The aim was to explore and develop a system’s level understanding of how local areas address health inequalities with a focus on avoidable emergency admissions.","container-title":"BMC Public Health","DOI":"10.1186/s12889-024-19531-5","ISSN":"1471-2458","issue":"1","journalAbbreviation":"BMC Public Health","page":"2168","title":"How can health systems approach reducing health inequalities? An in-depth qualitative case study in the UK","volume":"24","author":[{"family":"Parbery-Clark","given":"Charlotte"},{"family":"McSweeney","given":"Lorraine"},{"family":"Lally","given":"Joanne"},{"family":"Sowden","given":"Sarah"}],"issued":{"date-parts":[["2024",8,10]]}}}],"schema":"https://github.com/citation-style-language/schema/raw/master/csl-citation.json"} </w:instrText>
      </w:r>
      <w:r>
        <w:fldChar w:fldCharType="separate"/>
      </w:r>
      <w:r w:rsidR="003362E7" w:rsidRPr="5FA37BCF">
        <w:rPr>
          <w:rFonts w:ascii="Calibri" w:hAnsi="Calibri" w:cs="Calibri"/>
        </w:rPr>
        <w:t xml:space="preserve">(Parbery-Clark </w:t>
      </w:r>
      <w:r w:rsidR="003362E7" w:rsidRPr="5FA37BCF">
        <w:rPr>
          <w:rFonts w:ascii="Calibri" w:hAnsi="Calibri" w:cs="Calibri"/>
          <w:i/>
          <w:iCs/>
        </w:rPr>
        <w:t>et al.</w:t>
      </w:r>
      <w:r w:rsidR="003362E7" w:rsidRPr="5FA37BCF">
        <w:rPr>
          <w:rFonts w:ascii="Calibri" w:hAnsi="Calibri" w:cs="Calibri"/>
        </w:rPr>
        <w:t>, 2024)</w:t>
      </w:r>
      <w:r>
        <w:fldChar w:fldCharType="end"/>
      </w:r>
      <w:r w:rsidR="003362E7">
        <w:t xml:space="preserve">; </w:t>
      </w:r>
      <w:r>
        <w:fldChar w:fldCharType="begin"/>
      </w:r>
      <w:r>
        <w:instrText xml:space="preserve"> ADDIN ZOTERO_ITEM CSL_CITATION {"citationID":"5x8SWEFT","properties":{"unsorted":false,"formattedCitation":"(NHS England, no date)","plainCitation":"(NHS England, no date)","noteIndex":0},"citationItems":[{"id":5673,"uris":["http://zotero.org/users/14350932/items/YLK63N2P"],"itemData":{"id":5673,"type":"post-weblog","abstract":"NHS England » Core20PLUS5 (adults) – an approach to reducing healthcare inequalities","language":"en-US","title":"NHS England » Core20PLUS5 (adults) – an approach to reducing healthcare inequalities","URL":"https://www.england.nhs.uk/about/equality/equality-hub/national-healthcare-inequalities-improvement-programme/core20plus5/","author":[{"family":"NHS England","given":""}],"accessed":{"date-parts":[["2026",7,13]]}}}],"schema":"https://github.com/citation-style-language/schema/raw/master/csl-citation.json"} </w:instrText>
      </w:r>
      <w:r>
        <w:fldChar w:fldCharType="separate"/>
      </w:r>
      <w:r w:rsidR="003362E7" w:rsidRPr="5FA37BCF">
        <w:rPr>
          <w:rFonts w:ascii="Calibri" w:hAnsi="Calibri" w:cs="Calibri"/>
        </w:rPr>
        <w:t>(NHS England, no date)</w:t>
      </w:r>
      <w:r>
        <w:fldChar w:fldCharType="end"/>
      </w:r>
      <w:r w:rsidR="003362E7">
        <w:t xml:space="preserve">; </w:t>
      </w:r>
      <w:r>
        <w:fldChar w:fldCharType="begin"/>
      </w:r>
      <w:r>
        <w:instrText xml:space="preserve"> ADDIN ZOTERO_ITEM CSL_CITATION {"citationID":"tGNh0zjf","properties":{"unsorted":false,"formattedCitation":"(UK Parliament, 2022)","plainCitation":"(UK Parliament, 2022)","noteIndex":0},"citationItems":[{"id":5675,"uris":["http://zotero.org/users/14350932/items/YFDHWLVP"],"itemData":{"id":5675,"type":"document","title":"Health and Care Act 2022","URL":"https://www.legislation.gov.uk/ukpga/2022/31/contents","author":[{"literal":"UK Parliament"}],"issued":{"date-parts":[["2022"]]}}}],"schema":"https://github.com/citation-style-language/schema/raw/master/csl-citation.json"} </w:instrText>
      </w:r>
      <w:r>
        <w:fldChar w:fldCharType="separate"/>
      </w:r>
      <w:r w:rsidR="003362E7" w:rsidRPr="5FA37BCF">
        <w:rPr>
          <w:rFonts w:ascii="Calibri" w:hAnsi="Calibri" w:cs="Calibri"/>
        </w:rPr>
        <w:t>(UK Parliament, 2022)</w:t>
      </w:r>
      <w:r>
        <w:fldChar w:fldCharType="end"/>
      </w:r>
      <w:r>
        <w:t xml:space="preserve">. </w:t>
      </w:r>
      <w:r w:rsidR="00D639FA">
        <w:t xml:space="preserve">The </w:t>
      </w:r>
      <w:r>
        <w:t>NHS Long Term Plan recognises that prevention of disease is more cost-effective than treating ad</w:t>
      </w:r>
      <w:r w:rsidR="00E92D54">
        <w:t xml:space="preserve">vanced illness. Hence, for </w:t>
      </w:r>
      <w:r w:rsidR="00D639FA">
        <w:t>disease prevention, programmes such as smoking cessation, obesity reduction, diabetes prevention,</w:t>
      </w:r>
      <w:r w:rsidR="00E92D54">
        <w:t xml:space="preserve"> and cardiovascular risk assessment are more cost-effective. Hence, this plan has produced several positive outcomes</w:t>
      </w:r>
      <w:r w:rsidR="00D639FA">
        <w:t>, such as preventive initiatives to reduce avoidable illness and improve</w:t>
      </w:r>
      <w:r w:rsidR="00E92D54">
        <w:t xml:space="preserve"> quality of life before the development of serious disease. On the other hand, challenges </w:t>
      </w:r>
      <w:r w:rsidR="00D639FA">
        <w:t>such as workforce shortages, financial pressures, and long waiting times</w:t>
      </w:r>
      <w:r w:rsidR="00E92D54">
        <w:t xml:space="preserve"> affect healthcare delivery across England. </w:t>
      </w:r>
    </w:p>
    <w:p w14:paraId="645A0A10" w14:textId="6837B99A" w:rsidR="00E92D54" w:rsidRDefault="00E92D54" w:rsidP="003362E7">
      <w:pPr>
        <w:spacing w:line="360" w:lineRule="auto"/>
        <w:jc w:val="both"/>
      </w:pPr>
      <w:r>
        <w:t>Legislative development</w:t>
      </w:r>
      <w:r w:rsidR="00D639FA">
        <w:t xml:space="preserve">, </w:t>
      </w:r>
      <w:r w:rsidR="0062514B">
        <w:t>through</w:t>
      </w:r>
      <w:r w:rsidR="00D639FA">
        <w:t xml:space="preserve"> the Health and Care Act 2022,</w:t>
      </w:r>
      <w:r>
        <w:t xml:space="preserve"> has established Integrated Care Systems (ICSs) across England. This Act encourages collaboration between NHS organisations, local authorities and voluntary sector </w:t>
      </w:r>
      <w:r w:rsidR="00D639FA">
        <w:t>partners</w:t>
      </w:r>
      <w:r>
        <w:t xml:space="preserve"> to improve coordination and address determinants of health. </w:t>
      </w:r>
      <w:r w:rsidR="009B05E3">
        <w:t>The Core20PLUS5 progr</w:t>
      </w:r>
      <w:r w:rsidR="003362E7">
        <w:t xml:space="preserve">amme </w:t>
      </w:r>
      <w:r w:rsidR="009B05E3">
        <w:t>focuses on five priorities in clinical areas</w:t>
      </w:r>
      <w:r w:rsidR="00D639FA">
        <w:t>, including maternity care, severe mental illness, chronic respiratory disease, early cancer diagnosis and hypertension, that address</w:t>
      </w:r>
      <w:r w:rsidR="009B05E3">
        <w:t xml:space="preserve"> inequalities in healthcare.</w:t>
      </w:r>
      <w:r w:rsidR="00FE2792">
        <w:t xml:space="preserve"> Also, </w:t>
      </w:r>
      <w:r w:rsidR="00D639FA">
        <w:t xml:space="preserve">a </w:t>
      </w:r>
      <w:r w:rsidR="00FE2792">
        <w:t xml:space="preserve">practical example of SDG 3 implementation </w:t>
      </w:r>
      <w:r w:rsidR="00D639FA">
        <w:t>in the UK is the NHS Health Check Programme, which provides cardiovascular risk assessments for</w:t>
      </w:r>
      <w:r w:rsidR="00FE2792">
        <w:t xml:space="preserve"> adults aged 40-74 years without pre-existing cardiovascular disease</w:t>
      </w:r>
      <w:r w:rsidR="00D639FA">
        <w:t>.</w:t>
      </w:r>
      <w:r w:rsidR="003362E7">
        <w:t xml:space="preserve"> </w:t>
      </w:r>
      <w:r w:rsidR="003362E7">
        <w:fldChar w:fldCharType="begin"/>
      </w:r>
      <w:r w:rsidR="003362E7">
        <w:instrText xml:space="preserve"> ADDIN ZOTERO_ITEM CSL_CITATION {"citationID":"ftQglgyN","properties":{"unsorted":false,"formattedCitation":"(Ismail and Atkin, 2016)","plainCitation":"(Ismail and Atkin, 2016)","noteIndex":0},"citationItems":[{"id":5677,"uris":["http://zotero.org/users/14350932/items/RUBPE8DK"],"itemData":{"id":5677,"type":"article-journal","abstract":"OBJECTIVE: To provide an insight into the process of patients receiving Health Checks and to determine the extent to which patients were supported to reduce the  risks of developing cardiovascular disease through behaviour change. METHODS:  Semi-structured qualitative interviews were undertaken with 45 patients about  their initial experiences of undertaking a Health Check. They were followed up 1  year later to assess whether the behavioural changes reported after the Health  Check had been maintained. RESULTS: Patients expressed a need for individualized  support in order to stay motivated and to adopt long-term diet and lifestyle  changes. CONCLUSIONS: Those involved in the delivery of the programme need to  adopt a consistent approach in terms of explaining the purpose of the Health  Check, communicating risk and consider the challenges and the barriers that  influence behaviour change.","container-title":"Health expectations : an international journal of public participation in health care and health policy","DOI":"10.1111/hex.12358","ISSN":"1369-7625 1369-6513","issue":"2","journalAbbreviation":"Health Expect","language":"eng","license":"© 2015 John Wiley &amp; Sons Ltd.","page":"345-355","PMID":"25732686","PMCID":"PMC5055268","publisher-place":"England","title":"The NHS Health Check programme: insights from a qualitative study of patients.","volume":"19","author":[{"family":"Ismail","given":"Hanif"},{"family":"Atkin","given":"Karl"}],"issued":{"date-parts":[["2016",4]]}}}],"schema":"https://github.com/citation-style-language/schema/raw/master/csl-citation.json"} </w:instrText>
      </w:r>
      <w:r w:rsidR="003362E7">
        <w:fldChar w:fldCharType="separate"/>
      </w:r>
      <w:r w:rsidR="003362E7" w:rsidRPr="003362E7">
        <w:rPr>
          <w:rFonts w:ascii="Calibri" w:hAnsi="Calibri" w:cs="Calibri"/>
        </w:rPr>
        <w:t>(Ismail and Atkin, 2016)</w:t>
      </w:r>
      <w:r w:rsidR="003362E7">
        <w:fldChar w:fldCharType="end"/>
      </w:r>
      <w:r w:rsidR="00FE2792">
        <w:t xml:space="preserve">. This programme aims to identify risk factors for heart disease, stroke, type 2 diabetes and kidney disease before the development of symptoms. Hence, participants receive personalised lifestyle advice regarding diet, physical activity, smoking cessation and weight management. </w:t>
      </w:r>
    </w:p>
    <w:p w14:paraId="6D40EC4A" w14:textId="77777777" w:rsidR="003C3ECA" w:rsidRDefault="003C3ECA" w:rsidP="003362E7">
      <w:pPr>
        <w:pStyle w:val="Heading1"/>
      </w:pPr>
      <w:bookmarkStart w:id="7" w:name="_Toc1488588940"/>
      <w:r>
        <w:t>3. SDG 10 – Reduced Inequalities</w:t>
      </w:r>
      <w:bookmarkEnd w:id="7"/>
    </w:p>
    <w:p w14:paraId="6EB5C2F9" w14:textId="77777777" w:rsidR="003C3ECA" w:rsidRDefault="00391A09" w:rsidP="003362E7">
      <w:pPr>
        <w:pStyle w:val="Heading2"/>
      </w:pPr>
      <w:bookmarkStart w:id="8" w:name="_Toc666747865"/>
      <w:r>
        <w:t>3.1 Overview of SDG 10</w:t>
      </w:r>
      <w:bookmarkEnd w:id="8"/>
    </w:p>
    <w:p w14:paraId="4E05C078" w14:textId="23A7760C" w:rsidR="000C2614" w:rsidRDefault="000C2614" w:rsidP="001F248D">
      <w:pPr>
        <w:spacing w:line="360" w:lineRule="auto"/>
        <w:jc w:val="both"/>
      </w:pPr>
      <w:r>
        <w:t xml:space="preserve">Reduced Inequalities SDG 10 </w:t>
      </w:r>
      <w:r w:rsidR="00D639FA">
        <w:t>aims</w:t>
      </w:r>
      <w:r>
        <w:t xml:space="preserve"> to reduce inequalities within and among countries through social, economic, and political inclusion for all individuals regardless of age, gender, disability, ethnicity, religion or socioecono</w:t>
      </w:r>
      <w:r w:rsidR="00536420">
        <w:t>mic status</w:t>
      </w:r>
      <w:r w:rsidR="00D639FA">
        <w:t>.</w:t>
      </w:r>
      <w:r w:rsidR="001F248D">
        <w:t xml:space="preserve"> </w:t>
      </w:r>
      <w:r w:rsidR="001F248D">
        <w:fldChar w:fldCharType="begin"/>
      </w:r>
      <w:r w:rsidR="001F248D">
        <w:instrText xml:space="preserve"> ADDIN ZOTERO_ITEM CSL_CITATION {"citationID":"7pHaJSGz","properties":{"unsorted":false,"formattedCitation":"(Bhandari, 2024)","plainCitation":"(Bhandari, 2024)","noteIndex":0},"citationItems":[{"id":5678,"uris":["http://zotero.org/users/14350932/items/CHBT8LJH"],"itemData":{"id":5678,"type":"article-journal","abstract":"Examining the future trajectory of the Sustainable Development Goals (SDGs) reveals that challenges persist in achieving their targets. While each SDG embodies unique aspirations, overarching challenges permeate its implementation. This paper, with its primary goal to raise awareness about the challenges of SDG 10, directs attention to the challenges surrounding SDG 10, focusing on reducing inequality within and among countries. Through a concise exploration, it identifies five major obstacles impeding progress toward this goal. Firstly, economic inequality poses a significant barrier, with disparities in income and wealth acting as major hindrances to achieving equality. Secondly, social exclusion exacerbates these inequalities, with marginalized groups such as minorities, women, and people with disabilities facing significant barriers to accessing resources and opportunities. Thirdly, political barriers, including a lack of political will and ineffective governance systems, are impeding efforts to address inequality and promote inclusive policies. The fourth challenge is unequal education and healthcare access, perpetuating social and economic disparities. Finally, global economic interdependence, driven by globalization, is exacerbating inequalities between countries, particularly in areas such as trade, finance, and technology access. By delineating these challenges within SDG 10, this paper aims to underscore the multifaceted nature of inequality and the imperative for targeted interventions to advance sustainable development. It’s important to note that addressing these challenges is not a task for one entity, but requires the collective efforts of all stakeholders. It necessitates innovative strategies and, most importantly, collaborative partnerships to foster a more equitable and inclusive world. Your involvement, as a key stakeholder, is crucial in this endeavor.","container-title":"Sustainable Earth Reviews","DOI":"10.1186/s42055-024-00093-8","ISSN":"2520-8748","issue":"1","journalAbbreviation":"Sustainable Earth Reviews","page":"23","title":"What is next for the sustainable development goals, what are the challenges concerning SDG 10—reduced inequalities?","volume":"7","author":[{"family":"Bhandari","given":"Medani P."}],"issued":{"date-parts":[["2024",7,15]]}}}],"schema":"https://github.com/citation-style-language/schema/raw/master/csl-citation.json"} </w:instrText>
      </w:r>
      <w:r w:rsidR="001F248D">
        <w:fldChar w:fldCharType="separate"/>
      </w:r>
      <w:r w:rsidR="001F248D" w:rsidRPr="001F248D">
        <w:rPr>
          <w:rFonts w:ascii="Calibri" w:hAnsi="Calibri" w:cs="Calibri"/>
        </w:rPr>
        <w:t>(Bhandari, 2024)</w:t>
      </w:r>
      <w:r w:rsidR="001F248D">
        <w:fldChar w:fldCharType="end"/>
      </w:r>
      <w:r>
        <w:t xml:space="preserve">. Overall, </w:t>
      </w:r>
      <w:r w:rsidR="00D639FA">
        <w:t>the goal is to prevent disparities in health and well-being caused by unequal access to education, employment, healthcare,</w:t>
      </w:r>
      <w:r>
        <w:t xml:space="preserve"> and financial resources. </w:t>
      </w:r>
    </w:p>
    <w:p w14:paraId="4DB598BB" w14:textId="21873260" w:rsidR="000C2614" w:rsidRDefault="001F248D" w:rsidP="001F248D">
      <w:pPr>
        <w:spacing w:line="360" w:lineRule="auto"/>
        <w:jc w:val="both"/>
      </w:pPr>
      <w:r>
        <w:t xml:space="preserve">According to </w:t>
      </w:r>
      <w:r>
        <w:fldChar w:fldCharType="begin"/>
      </w:r>
      <w:r>
        <w:instrText xml:space="preserve"> ADDIN ZOTERO_ITEM CSL_CITATION {"citationID":"n7tpZgpW","properties":{"unsorted":false,"formattedCitation":"(Marmot {\\i{}et al.}, 2020)","plainCitation":"(Marmot et al., 2020)","noteIndex":0},"citationItems":[{"id":5663,"uris":["http://zotero.org/users/14350932/items/USXWX6LS"],"itemData":{"id":5663,"type":"article-journal","publisher":"Institute of Health Equity","title":"Health Equity in England: The Marmot Review 10 Years On","URL":"https://www.health.org.uk/publications/reports/the-marmot-review-10-years-on","author":[{"family":"Marmot","given":"Michael"},{"family":"Allen","given":"Jessica"},{"family":"Boyce","given":"Tammy"},{"family":"Goldblatt","given":"Peter"},{"family":"Morrison","given":"Jessica"}],"issued":{"date-parts":[["2020"]]}}}],"schema":"https://github.com/citation-style-language/schema/raw/master/csl-citation.json"} </w:instrText>
      </w:r>
      <w:r>
        <w:fldChar w:fldCharType="separate"/>
      </w:r>
      <w:r w:rsidRPr="001F248D">
        <w:rPr>
          <w:rFonts w:ascii="Calibri" w:hAnsi="Calibri" w:cs="Calibri"/>
          <w:szCs w:val="24"/>
        </w:rPr>
        <w:t xml:space="preserve">Marmot </w:t>
      </w:r>
      <w:r w:rsidRPr="001F248D">
        <w:rPr>
          <w:rFonts w:ascii="Calibri" w:hAnsi="Calibri" w:cs="Calibri"/>
          <w:i/>
          <w:iCs/>
          <w:szCs w:val="24"/>
        </w:rPr>
        <w:t>et al.</w:t>
      </w:r>
      <w:r>
        <w:rPr>
          <w:rFonts w:ascii="Calibri" w:hAnsi="Calibri" w:cs="Calibri"/>
          <w:szCs w:val="24"/>
        </w:rPr>
        <w:t xml:space="preserve"> (</w:t>
      </w:r>
      <w:r w:rsidRPr="001F248D">
        <w:rPr>
          <w:rFonts w:ascii="Calibri" w:hAnsi="Calibri" w:cs="Calibri"/>
          <w:szCs w:val="24"/>
        </w:rPr>
        <w:t>2020)</w:t>
      </w:r>
      <w:r>
        <w:fldChar w:fldCharType="end"/>
      </w:r>
      <w:r w:rsidR="00D639FA">
        <w:t xml:space="preserve">Factors such as income, education, employment, housing quality, neighbourhood environments and social support have a greater </w:t>
      </w:r>
      <w:r w:rsidR="000C2614">
        <w:t xml:space="preserve">influence on health outcomes than healthcare services alone. Those individuals </w:t>
      </w:r>
      <w:r w:rsidR="00D639FA">
        <w:t>who live</w:t>
      </w:r>
      <w:r w:rsidR="000C2614">
        <w:t xml:space="preserve"> in deprived communities often face chronic illness, mental health problems, low life expectancy, and limited access to preventive healthcare. </w:t>
      </w:r>
    </w:p>
    <w:p w14:paraId="4AB10F4E" w14:textId="77777777" w:rsidR="007C3832" w:rsidRDefault="007C3832" w:rsidP="001F248D">
      <w:pPr>
        <w:pStyle w:val="Heading2"/>
      </w:pPr>
      <w:bookmarkStart w:id="9" w:name="_Toc1551465860"/>
      <w:r>
        <w:t>3.2 Public health theories</w:t>
      </w:r>
      <w:bookmarkEnd w:id="9"/>
    </w:p>
    <w:p w14:paraId="05A50738" w14:textId="6926634F" w:rsidR="007C3832" w:rsidRDefault="00D639FA" w:rsidP="001F248D">
      <w:pPr>
        <w:spacing w:line="360" w:lineRule="auto"/>
        <w:jc w:val="both"/>
      </w:pPr>
      <w:r>
        <w:t>The Dahlgren and Whitehead Model of the Social Determinants of Health illustrates that health is influenced by multiple interconnected factors, including individual lifestyle choices, social and community networks, living and working conditions, and broader socioeconomic, cultural,</w:t>
      </w:r>
      <w:r w:rsidR="007C3832">
        <w:t xml:space="preserve"> and environmental circumstances</w:t>
      </w:r>
      <w:r>
        <w:t>.</w:t>
      </w:r>
      <w:r w:rsidR="001F248D">
        <w:t xml:space="preserve"> </w:t>
      </w:r>
      <w:r w:rsidR="001F248D">
        <w:fldChar w:fldCharType="begin"/>
      </w:r>
      <w:r w:rsidR="001F248D">
        <w:instrText xml:space="preserve"> ADDIN ZOTERO_ITEM CSL_CITATION {"citationID":"X98wwmBe","properties":{"unsorted":false,"formattedCitation":"(Dahlgren and Whitehead, 2021)","plainCitation":"(Dahlgren and Whitehead, 2021)","noteIndex":0},"citationItems":[{"id":5679,"uris":["http://zotero.org/users/14350932/items/FUIXFSWH"],"itemData":{"id":5679,"type":"article-journal","abstract":"This year marks the 30th anniversary of the Dahlgren and Whitehead model of the main determinants of health, sometimes known as ‘The Rainbow Model’. In this article, we reflect on developments over those thirty years before going on to look to the future. We start by telling the story of our model’s idiosyncratic journey from initial rejection to worldwide acclaim. We reflect on the many ways in which the model has been used over the years and why it has proved illuminating for people in so many different positions. It is equally important to understand what it does not do and what it was never intended to do, as sometimes the conceptual debate gets side-tracked by mistaken assumptions. We take some space to outline how we ourselves use the model with the complementary Diderichsen Framework to explain the pathways and mechanisms by which the known determinants of health bring about the social gradients in health that are observed within countries. We conclude by looking to the future and what further needs to be done to capture insights for action on the determinants and drivers of health and of growing inequalities in the post-pandemic world.","container-title":"Public Health","DOI":"10.1016/j.puhe.2021.08.009","ISSN":"0033-3506","journalAbbreviation":"Public Health","page":"20-24","title":"The Dahlgren-Whitehead model of health determinants: 30 years on and still chasing rainbows","volume":"199","author":[{"family":"Dahlgren","given":"Göran"},{"family":"Whitehead","given":"Margaret"}],"issued":{"date-parts":[["2021",10,1]]}}}],"schema":"https://github.com/citation-style-language/schema/raw/master/csl-citation.json"} </w:instrText>
      </w:r>
      <w:r w:rsidR="001F248D">
        <w:fldChar w:fldCharType="separate"/>
      </w:r>
      <w:r w:rsidR="001F248D" w:rsidRPr="001F248D">
        <w:rPr>
          <w:rFonts w:ascii="Calibri" w:hAnsi="Calibri" w:cs="Calibri"/>
        </w:rPr>
        <w:t>(Dahlgren and Whitehead, 2021)</w:t>
      </w:r>
      <w:r w:rsidR="001F248D">
        <w:fldChar w:fldCharType="end"/>
      </w:r>
      <w:r w:rsidR="007C3832">
        <w:t xml:space="preserve">. This model is relevant to SDG 10 and demonstrates that inequalities cannot be explained through personal responsibility. Individuals living in deprived communities experience lower educational attainment, insecure employment, poor housing, environmental pollution, </w:t>
      </w:r>
      <w:r>
        <w:t>reduced access to</w:t>
      </w:r>
      <w:r w:rsidR="007C3832">
        <w:t xml:space="preserve"> healthy food and recreational facilities. Hence, this model demonstrates that </w:t>
      </w:r>
      <w:r>
        <w:t>reducing</w:t>
      </w:r>
      <w:r w:rsidR="007C3832">
        <w:t xml:space="preserve"> inequalities requires both structural policy reforms and interventions to support changes in individual behaviour. </w:t>
      </w:r>
    </w:p>
    <w:p w14:paraId="2712A7B1" w14:textId="77777777" w:rsidR="000C2614" w:rsidRDefault="007C3832" w:rsidP="001F248D">
      <w:pPr>
        <w:pStyle w:val="Heading2"/>
      </w:pPr>
      <w:bookmarkStart w:id="10" w:name="_Toc646549112"/>
      <w:r>
        <w:t>3.3</w:t>
      </w:r>
      <w:r w:rsidR="000C2614">
        <w:t xml:space="preserve"> Global Policies and Initiatives that support SDG 10</w:t>
      </w:r>
      <w:bookmarkEnd w:id="10"/>
    </w:p>
    <w:p w14:paraId="11B7FB8F" w14:textId="45B4BB2C" w:rsidR="00023969" w:rsidRDefault="00023969" w:rsidP="001F248D">
      <w:pPr>
        <w:spacing w:line="360" w:lineRule="auto"/>
        <w:jc w:val="both"/>
      </w:pPr>
      <w:r>
        <w:t xml:space="preserve">According to </w:t>
      </w:r>
      <w:r w:rsidR="00D639FA">
        <w:t xml:space="preserve">the </w:t>
      </w:r>
      <w:r>
        <w:t>UN 2030 Agenda for Sustainable Development, SDG 10 promotes equal opportunities through progressive social, economic and political policies</w:t>
      </w:r>
      <w:r w:rsidR="00D639FA">
        <w:t>. It encourages</w:t>
      </w:r>
      <w:r>
        <w:t xml:space="preserve"> countries to reduce discrimination and improve access </w:t>
      </w:r>
      <w:r w:rsidR="00D639FA">
        <w:t>to</w:t>
      </w:r>
      <w:r>
        <w:t xml:space="preserve"> education, healthcare and employment</w:t>
      </w:r>
      <w:r w:rsidR="00D639FA">
        <w:t>.</w:t>
      </w:r>
      <w:r w:rsidR="001F248D">
        <w:t xml:space="preserve"> </w:t>
      </w:r>
      <w:r w:rsidR="001F248D">
        <w:fldChar w:fldCharType="begin"/>
      </w:r>
      <w:r w:rsidR="001F248D">
        <w:instrText xml:space="preserve"> ADDIN ZOTERO_ITEM CSL_CITATION {"citationID":"TuRcdFh3","properties":{"unsorted":false,"formattedCitation":"(Cojocaru {\\i{}et al.}, 2022)","plainCitation":"(Cojocaru et al., 2022)","noteIndex":0},"citationItems":[{"id":5680,"uris":["http://zotero.org/users/14350932/items/ERPJWGKX"],"itemData":{"id":5680,"type":"article-journal","abstract":"Reducing inequalities within and among countries is one of the main tenets of the sustainable development paradigm and has become an important pillar at the European Union level. By adopting the 2030 Agenda for Sustainable Development, EU countries have committed themselves to meet targets against which progress in reducing inequalities can be measured. Through the present research, we aim to analyze and assess the extent to which EU countries will achieve the specific SDG 10 targets. Based on data published by Eurostat for the period 2010–2020, we forecast the trends of the indicators until the year 2030, using a model based on the AAA (Holt–Winters) version of exponential smoothing (ETS), to assess the degree to which the assumed targets will be reached. For more detailed information, we used dynamic indices to analyze the dynamics of the progress achieved. The results showed that it is difficult to clearly distinguish one or more countries as part of a group of high or low performers in terms of the efforts made and the effects achieved in reducing inequalities. However, we could mention Poland as a good and very good performer on most of the indicators analyzed. As opposite examples, we can mention Bulgaria and Greece, for which more attention and involvement are needed in adopting measures to correct the negative trend forecast.","container-title":"Sustainability","DOI":"10.3390/su14137706","ISSN":"2071-1050","issue":"13","title":"Reducing Inequalities within and among EU Countries—Assessing the Achievement of the 2030 Agenda for Sustainable Development Targets (SDG 10)","URL":"https://www.mdpi.com/2071-1050/14/13/7706","volume":"14","author":[{"family":"Cojocaru","given":"Teodor Marian"},{"family":"Ionescu","given":"George H."},{"family":"Firoiu","given":"Daniela"},{"family":"Cismaș","given":"Laura Mariana"},{"family":"Oțil","given":"Maria Daniela"},{"family":"Toma","given":"Ovidiu"}],"issued":{"date-parts":[["2022"]]}}}],"schema":"https://github.com/citation-style-language/schema/raw/master/csl-citation.json"} </w:instrText>
      </w:r>
      <w:r w:rsidR="001F248D">
        <w:fldChar w:fldCharType="separate"/>
      </w:r>
      <w:r w:rsidR="001F248D" w:rsidRPr="001F248D">
        <w:rPr>
          <w:rFonts w:ascii="Calibri" w:hAnsi="Calibri" w:cs="Calibri"/>
          <w:szCs w:val="24"/>
        </w:rPr>
        <w:t xml:space="preserve">(Cojocaru </w:t>
      </w:r>
      <w:r w:rsidR="001F248D" w:rsidRPr="001F248D">
        <w:rPr>
          <w:rFonts w:ascii="Calibri" w:hAnsi="Calibri" w:cs="Calibri"/>
          <w:i/>
          <w:iCs/>
          <w:szCs w:val="24"/>
        </w:rPr>
        <w:t>et al.</w:t>
      </w:r>
      <w:r w:rsidR="001F248D" w:rsidRPr="001F248D">
        <w:rPr>
          <w:rFonts w:ascii="Calibri" w:hAnsi="Calibri" w:cs="Calibri"/>
          <w:szCs w:val="24"/>
        </w:rPr>
        <w:t>, 2022)</w:t>
      </w:r>
      <w:r w:rsidR="001F248D">
        <w:fldChar w:fldCharType="end"/>
      </w:r>
      <w:r>
        <w:t>.</w:t>
      </w:r>
    </w:p>
    <w:p w14:paraId="5A3A50A6" w14:textId="1E5120AC" w:rsidR="00023969" w:rsidRDefault="00D639FA" w:rsidP="001F248D">
      <w:pPr>
        <w:spacing w:line="360" w:lineRule="auto"/>
        <w:jc w:val="both"/>
      </w:pPr>
      <w:r>
        <w:t xml:space="preserve">The </w:t>
      </w:r>
      <w:r w:rsidR="00023969">
        <w:t>World Health Organisation’s Commission on Social Determinants of Health emphasises that health inequalities arise due to unequal living conditions rather than b</w:t>
      </w:r>
      <w:r w:rsidR="001F248D">
        <w:t>iological differences</w:t>
      </w:r>
      <w:r>
        <w:t>.</w:t>
      </w:r>
      <w:r w:rsidR="001F248D">
        <w:t xml:space="preserve"> </w:t>
      </w:r>
      <w:r w:rsidR="001F248D">
        <w:fldChar w:fldCharType="begin"/>
      </w:r>
      <w:r w:rsidR="001F248D">
        <w:instrText xml:space="preserve"> ADDIN ZOTERO_ITEM CSL_CITATION {"citationID":"LsG0Ar8a","properties":{"unsorted":false,"formattedCitation":"(Islam, 2019)","plainCitation":"(Islam, 2019)","noteIndex":0},"citationItems":[{"id":5681,"uris":["http://zotero.org/users/14350932/items/U8C46TCA"],"itemData":{"id":5681,"type":"article-journal","container-title":"Frontiers in public health","DOI":"10.3389/fpubh.2019.00011","ISSN":"2296-2565","journalAbbreviation":"Front Public Health","language":"eng","page":"11","PMID":"30800646","PMCID":"PMC6376855","publisher-place":"Switzerland","title":"Social Determinants of Health and Related Inequalities: Confusion and Implications.","volume":"7","author":[{"family":"Islam","given":"M. Mofizul"}],"issued":{"date-parts":[["2019"]]}}}],"schema":"https://github.com/citation-style-language/schema/raw/master/csl-citation.json"} </w:instrText>
      </w:r>
      <w:r w:rsidR="001F248D">
        <w:fldChar w:fldCharType="separate"/>
      </w:r>
      <w:r w:rsidR="001F248D" w:rsidRPr="001F248D">
        <w:rPr>
          <w:rFonts w:ascii="Calibri" w:hAnsi="Calibri" w:cs="Calibri"/>
        </w:rPr>
        <w:t>(Islam, 2019)</w:t>
      </w:r>
      <w:r w:rsidR="001F248D">
        <w:fldChar w:fldCharType="end"/>
      </w:r>
      <w:r w:rsidR="00023969">
        <w:t xml:space="preserve">. This commission </w:t>
      </w:r>
      <w:r>
        <w:t>recommends</w:t>
      </w:r>
      <w:r w:rsidR="00023969">
        <w:t xml:space="preserve"> improvement in early childhood development, education, employment opportunities, housing, income security and community participation to reduce avoidable health disparities. </w:t>
      </w:r>
    </w:p>
    <w:p w14:paraId="0A34D6E3" w14:textId="3355BB29" w:rsidR="00391A09" w:rsidRDefault="00023969" w:rsidP="001F248D">
      <w:pPr>
        <w:spacing w:line="360" w:lineRule="auto"/>
        <w:jc w:val="both"/>
      </w:pPr>
      <w:r>
        <w:t xml:space="preserve">Universal Health Coverage (UHC) also aim to ensure equitable access </w:t>
      </w:r>
      <w:r w:rsidR="00E96F34">
        <w:t>to</w:t>
      </w:r>
      <w:r>
        <w:t xml:space="preserve"> quality healthcare regardless of an individual’s financial circumstances</w:t>
      </w:r>
      <w:r w:rsidR="00E96F34">
        <w:t>.</w:t>
      </w:r>
      <w:r w:rsidR="001F248D">
        <w:t xml:space="preserve"> </w:t>
      </w:r>
      <w:r w:rsidR="001F248D">
        <w:fldChar w:fldCharType="begin"/>
      </w:r>
      <w:r w:rsidR="001F248D">
        <w:instrText xml:space="preserve"> ADDIN ZOTERO_ITEM CSL_CITATION {"citationID":"NbFp1ihD","properties":{"unsorted":false,"formattedCitation":"(Chen {\\i{}et al.}, 2023)","plainCitation":"(Chen et al., 2023)","noteIndex":0},"citationItems":[{"id":5682,"uris":["http://zotero.org/users/14350932/items/3UAHWE8X"],"itemData":{"id":5682,"type":"article-journal","container-title":"The Lancet Global Health","DOI":"10.1016/S2214-109X(23)00373-X","ISSN":"2214-109X","issue":"10","journalAbbreviation":"The Lancet Global Health","page":"e1490-e1491","title":"The challenging road to universal health coverage","volume":"11","author":[{"family":"Chen","given":"Simiao"},{"family":"Cao","given":"Zhong"},{"family":"Wang","given":"Zhuoran"},{"family":"Wang","given":"Chen"}],"issued":{"date-parts":[["2023",10,1]]}}}],"schema":"https://github.com/citation-style-language/schema/raw/master/csl-citation.json"} </w:instrText>
      </w:r>
      <w:r w:rsidR="001F248D">
        <w:fldChar w:fldCharType="separate"/>
      </w:r>
      <w:r w:rsidR="001F248D" w:rsidRPr="001F248D">
        <w:rPr>
          <w:rFonts w:ascii="Calibri" w:hAnsi="Calibri" w:cs="Calibri"/>
          <w:szCs w:val="24"/>
        </w:rPr>
        <w:t xml:space="preserve">(Chen </w:t>
      </w:r>
      <w:r w:rsidR="001F248D" w:rsidRPr="001F248D">
        <w:rPr>
          <w:rFonts w:ascii="Calibri" w:hAnsi="Calibri" w:cs="Calibri"/>
          <w:i/>
          <w:iCs/>
          <w:szCs w:val="24"/>
        </w:rPr>
        <w:t>et al.</w:t>
      </w:r>
      <w:r w:rsidR="001F248D" w:rsidRPr="001F248D">
        <w:rPr>
          <w:rFonts w:ascii="Calibri" w:hAnsi="Calibri" w:cs="Calibri"/>
          <w:szCs w:val="24"/>
        </w:rPr>
        <w:t>, 2023)</w:t>
      </w:r>
      <w:r w:rsidR="001F248D">
        <w:fldChar w:fldCharType="end"/>
      </w:r>
      <w:r>
        <w:t>. UHC supports both SDG 3 and 10</w:t>
      </w:r>
      <w:r w:rsidR="00E96F34">
        <w:t>, reduces financial barriers to healthcare, and promotes</w:t>
      </w:r>
      <w:r>
        <w:t xml:space="preserve"> fairness in service provision. International organisations </w:t>
      </w:r>
      <w:r w:rsidR="00691988">
        <w:t>also promote gender equality, disability inclusion, migration protection and poverty reduction</w:t>
      </w:r>
      <w:r w:rsidR="00E96F34">
        <w:t>. Still, progress remains</w:t>
      </w:r>
      <w:r w:rsidR="00691988">
        <w:t xml:space="preserve"> uneven across different regions due to armed conflicts, political instability, economic crises and climate change.</w:t>
      </w:r>
      <w:r w:rsidR="000C2614">
        <w:t xml:space="preserve">  </w:t>
      </w:r>
    </w:p>
    <w:p w14:paraId="28246921" w14:textId="6472FA80" w:rsidR="00691988" w:rsidRDefault="007C3832" w:rsidP="001F248D">
      <w:pPr>
        <w:pStyle w:val="Heading2"/>
      </w:pPr>
      <w:bookmarkStart w:id="11" w:name="_Toc250331474"/>
      <w:r>
        <w:t>3.4</w:t>
      </w:r>
      <w:r w:rsidR="00691988">
        <w:t xml:space="preserve"> National Policies and </w:t>
      </w:r>
      <w:r w:rsidR="00E96F34">
        <w:t>Initiatives</w:t>
      </w:r>
      <w:r w:rsidR="00691988">
        <w:t xml:space="preserve"> that support SDG 10 in the UK</w:t>
      </w:r>
      <w:bookmarkEnd w:id="11"/>
    </w:p>
    <w:p w14:paraId="17E1E657" w14:textId="41051178" w:rsidR="00691988" w:rsidRDefault="00E96F34" w:rsidP="001A09A9">
      <w:pPr>
        <w:spacing w:line="360" w:lineRule="auto"/>
        <w:jc w:val="both"/>
      </w:pPr>
      <w:r>
        <w:t>The UK has introduced a wide range of legislative and policy initiatives to reduce social, economic,</w:t>
      </w:r>
      <w:r w:rsidR="001A66E7">
        <w:t xml:space="preserve"> and health inequalities. These policies focus </w:t>
      </w:r>
      <w:r>
        <w:t xml:space="preserve">on the fact </w:t>
      </w:r>
      <w:r w:rsidR="001A66E7">
        <w:t xml:space="preserve">that inequality affects not only living standards but also physical health, mental </w:t>
      </w:r>
      <w:r>
        <w:t>well-being</w:t>
      </w:r>
      <w:r w:rsidR="001A66E7">
        <w:t>, and life expectancy. Equality Act 2010 provides legal protection against discrimination based on protected characteristics that include age, disability, gender reassignment, marriage and civil partnership, pregnancy and maternity, race, religion or belief, sex and sexual orientation</w:t>
      </w:r>
      <w:r w:rsidR="00D3335D">
        <w:t>.</w:t>
      </w:r>
      <w:r w:rsidR="001A66E7">
        <w:t xml:space="preserve"> </w:t>
      </w:r>
      <w:r w:rsidR="001A09A9">
        <w:fldChar w:fldCharType="begin"/>
      </w:r>
      <w:r w:rsidR="001A09A9">
        <w:instrText xml:space="preserve"> ADDIN ZOTERO_ITEM CSL_CITATION {"citationID":"EF3JupAb","properties":{"unsorted":false,"formattedCitation":"(UK Parliament, 2010)","plainCitation":"(UK Parliament, 2010)","noteIndex":0},"citationItems":[{"id":5683,"uris":["http://zotero.org/users/14350932/items/S4JVCM3P"],"itemData":{"id":5683,"type":"document","title":"Equality Act 2010","URL":"https://www.legislation.gov.uk/ukpga/2010/15/contents","author":[{"literal":"UK Parliament"}],"issued":{"date-parts":[["2010"]]}}}],"schema":"https://github.com/citation-style-language/schema/raw/master/csl-citation.json"} </w:instrText>
      </w:r>
      <w:r w:rsidR="001A09A9">
        <w:fldChar w:fldCharType="separate"/>
      </w:r>
      <w:r w:rsidR="001A09A9" w:rsidRPr="001A09A9">
        <w:rPr>
          <w:rFonts w:ascii="Calibri" w:hAnsi="Calibri" w:cs="Calibri"/>
        </w:rPr>
        <w:t>(UK Parliament, 2010)</w:t>
      </w:r>
      <w:r w:rsidR="001A09A9">
        <w:fldChar w:fldCharType="end"/>
      </w:r>
      <w:r w:rsidR="001A66E7">
        <w:t>.</w:t>
      </w:r>
      <w:r w:rsidR="00DB41FA">
        <w:t xml:space="preserve"> This legislation alone cannot eliminate inequalities because many individuals experience </w:t>
      </w:r>
      <w:r w:rsidR="00BC5F70">
        <w:t xml:space="preserve">unequal access in healthcare due to language barriers, poverty, disability, geographical location and cultural differences. </w:t>
      </w:r>
    </w:p>
    <w:p w14:paraId="504E58CB" w14:textId="24564C54" w:rsidR="00BC5F70" w:rsidRDefault="00BC5F70" w:rsidP="001A09A9">
      <w:pPr>
        <w:spacing w:line="360" w:lineRule="auto"/>
        <w:jc w:val="both"/>
      </w:pPr>
      <w:r>
        <w:t>Core20PLUS5</w:t>
      </w:r>
      <w:r w:rsidR="001A09A9">
        <w:t xml:space="preserve"> by </w:t>
      </w:r>
      <w:r w:rsidR="001A09A9">
        <w:fldChar w:fldCharType="begin"/>
      </w:r>
      <w:r w:rsidR="001A09A9">
        <w:instrText xml:space="preserve"> ADDIN ZOTERO_ITEM CSL_CITATION {"citationID":"gl6IMc1e","properties":{"unsorted":false,"formattedCitation":"(NHS England, no date)","plainCitation":"(NHS England, no date)","dontUpdate":true,"noteIndex":0},"citationItems":[{"id":5673,"uris":["http://zotero.org/users/14350932/items/YLK63N2P"],"itemData":{"id":5673,"type":"post-weblog","abstract":"NHS England » Core20PLUS5 (adults) – an approach to reducing healthcare inequalities","language":"en-US","title":"NHS England » Core20PLUS5 (adults) – an approach to reducing healthcare inequalities","URL":"https://www.england.nhs.uk/about/equality/equality-hub/national-healthcare-inequalities-improvement-programme/core20plus5/","author":[{"family":"NHS England","given":""}],"accessed":{"date-parts":[["2026",7,13]]}}}],"schema":"https://github.com/citation-style-language/schema/raw/master/csl-citation.json"} </w:instrText>
      </w:r>
      <w:r w:rsidR="001A09A9">
        <w:fldChar w:fldCharType="separate"/>
      </w:r>
      <w:r w:rsidR="001A09A9">
        <w:rPr>
          <w:rFonts w:ascii="Calibri" w:hAnsi="Calibri" w:cs="Calibri"/>
        </w:rPr>
        <w:t>NHS England (</w:t>
      </w:r>
      <w:r w:rsidR="001A09A9" w:rsidRPr="003362E7">
        <w:rPr>
          <w:rFonts w:ascii="Calibri" w:hAnsi="Calibri" w:cs="Calibri"/>
        </w:rPr>
        <w:t>no date)</w:t>
      </w:r>
      <w:r w:rsidR="001A09A9">
        <w:fldChar w:fldCharType="end"/>
      </w:r>
      <w:r>
        <w:t xml:space="preserve"> also promote local healthcare organisations to identify inequalities and develop targeted interventions. However, this programme faces several limitations due to many determinants of inequality</w:t>
      </w:r>
      <w:r w:rsidR="00E96F34">
        <w:t>,</w:t>
      </w:r>
      <w:r>
        <w:t xml:space="preserve"> including poverty, unemployment, and insecure housing</w:t>
      </w:r>
      <w:r w:rsidR="00E96F34">
        <w:t>,</w:t>
      </w:r>
      <w:r>
        <w:t xml:space="preserve"> that cannot be resolved through healthcare interventions</w:t>
      </w:r>
      <w:r w:rsidR="00E96F34">
        <w:t>.</w:t>
      </w:r>
      <w:r w:rsidR="001A09A9">
        <w:t xml:space="preserve"> </w:t>
      </w:r>
      <w:r w:rsidR="001A09A9">
        <w:fldChar w:fldCharType="begin"/>
      </w:r>
      <w:r w:rsidR="001A09A9">
        <w:instrText xml:space="preserve"> ADDIN ZOTERO_ITEM CSL_CITATION {"citationID":"vrC45ciK","properties":{"unsorted":false,"formattedCitation":"(Brennan, 2024)","plainCitation":"(Brennan, 2024)","noteIndex":0},"citationItems":[{"id":5685,"uris":["http://zotero.org/users/14350932/items/85GKEEH3"],"itemData":{"id":5685,"type":"article-journal","container-title":"BJPsych Open","DOI":"10.1192/bjo.2024.548","issue":"S1","page":"S223","title":"Applying the CORE20PLUS5 to Address Health Inequalities for Patients Under the Rehabilitation and Recovery Service in the London Borough of Hackney","volume":"10","author":[{"family":"Brennan","given":"A."}],"issued":{"date-parts":[["2024"]]}}}],"schema":"https://github.com/citation-style-language/schema/raw/master/csl-citation.json"} </w:instrText>
      </w:r>
      <w:r w:rsidR="001A09A9">
        <w:fldChar w:fldCharType="separate"/>
      </w:r>
      <w:r w:rsidR="001A09A9" w:rsidRPr="001A09A9">
        <w:rPr>
          <w:rFonts w:ascii="Calibri" w:hAnsi="Calibri" w:cs="Calibri"/>
        </w:rPr>
        <w:t>(Brennan, 2024)</w:t>
      </w:r>
      <w:r w:rsidR="001A09A9">
        <w:fldChar w:fldCharType="end"/>
      </w:r>
      <w:r>
        <w:t xml:space="preserve">. </w:t>
      </w:r>
      <w:r w:rsidR="00D3335D">
        <w:t xml:space="preserve">The </w:t>
      </w:r>
      <w:r>
        <w:t>Levelling Up agenda was also introduced to reduce regional disparities through economic growth, education, transport infrastructure and employment opportunities across the UK</w:t>
      </w:r>
      <w:r w:rsidR="00D3335D">
        <w:t>.</w:t>
      </w:r>
      <w:r w:rsidR="001A09A9">
        <w:t xml:space="preserve"> </w:t>
      </w:r>
      <w:r w:rsidR="001A09A9">
        <w:fldChar w:fldCharType="begin"/>
      </w:r>
      <w:r w:rsidR="001A09A9">
        <w:instrText xml:space="preserve"> ADDIN ZOTERO_ITEM CSL_CITATION {"citationID":"Y7IvOncV","properties":{"unsorted":false,"formattedCitation":"(Fransham {\\i{}et al.}, 2023)","plainCitation":"(Fransham et al., 2023)","noteIndex":0},"citationItems":[{"id":5686,"uris":["http://zotero.org/users/14350932/items/NXAUY3GY"],"itemData":{"id":5686,"type":"article-journal","container-title":"Regional Studies","DOI":"10.1080/00343404.2022.2159356","issue":"11","note":"_eprint: https://doi.org/10.1080/00343404.2022.2159356","page":"2339–2352","publisher":"Routledge","title":"Level best? The levelling up agenda and UK regional inequality","volume":"57","author":[{"family":"Fransham","given":"Mark"},{"family":"Herbertson","given":"Max"},{"family":"Pop","given":"Mihaela"},{"family":"Morais","given":"Margarida Bandeira"},{"family":"Lee","given":"Neil"}],"issued":{"date-parts":[["2023"]]}}}],"schema":"https://github.com/citation-style-language/schema/raw/master/csl-citation.json"} </w:instrText>
      </w:r>
      <w:r w:rsidR="001A09A9">
        <w:fldChar w:fldCharType="separate"/>
      </w:r>
      <w:r w:rsidR="001A09A9" w:rsidRPr="001A09A9">
        <w:rPr>
          <w:rFonts w:ascii="Calibri" w:hAnsi="Calibri" w:cs="Calibri"/>
          <w:szCs w:val="24"/>
        </w:rPr>
        <w:t xml:space="preserve">(Fransham </w:t>
      </w:r>
      <w:r w:rsidR="001A09A9" w:rsidRPr="001A09A9">
        <w:rPr>
          <w:rFonts w:ascii="Calibri" w:hAnsi="Calibri" w:cs="Calibri"/>
          <w:i/>
          <w:iCs/>
          <w:szCs w:val="24"/>
        </w:rPr>
        <w:t>et al.</w:t>
      </w:r>
      <w:r w:rsidR="001A09A9" w:rsidRPr="001A09A9">
        <w:rPr>
          <w:rFonts w:ascii="Calibri" w:hAnsi="Calibri" w:cs="Calibri"/>
          <w:szCs w:val="24"/>
        </w:rPr>
        <w:t>, 2023)</w:t>
      </w:r>
      <w:r w:rsidR="001A09A9">
        <w:fldChar w:fldCharType="end"/>
      </w:r>
      <w:r>
        <w:t xml:space="preserve">. This strategy highlights that investment in local infrastructure and economic development </w:t>
      </w:r>
      <w:r w:rsidR="00D3335D">
        <w:t>contributes indirectly to</w:t>
      </w:r>
      <w:r>
        <w:t xml:space="preserve"> better health. Despite its ambitious objectives, this strategy </w:t>
      </w:r>
      <w:r w:rsidR="0081408E">
        <w:t>faces</w:t>
      </w:r>
      <w:r>
        <w:t xml:space="preserve"> challenges due</w:t>
      </w:r>
      <w:r w:rsidR="0081408E">
        <w:t xml:space="preserve"> to inconsistent implementation, uncertain long-term funding and difficulties in measuring outcomes. </w:t>
      </w:r>
    </w:p>
    <w:p w14:paraId="68B13EA2" w14:textId="0860AD05" w:rsidR="0040460E" w:rsidRDefault="0040460E" w:rsidP="00252966">
      <w:pPr>
        <w:spacing w:line="360" w:lineRule="auto"/>
        <w:jc w:val="both"/>
      </w:pPr>
      <w:r>
        <w:t xml:space="preserve">The critical analysis of global and national policies demonstrates that </w:t>
      </w:r>
      <w:r w:rsidR="00357ADD">
        <w:t xml:space="preserve">international frameworks such as </w:t>
      </w:r>
      <w:r w:rsidR="00D3335D">
        <w:t>the United Nations Sustainable Development Goals and the World Health Organisation</w:t>
      </w:r>
      <w:r w:rsidR="00357ADD">
        <w:t xml:space="preserve"> have encouraged governments to recognise inequality as a major barrier in sustainable development and population health. Similarly, UK policies</w:t>
      </w:r>
      <w:r w:rsidR="00D3335D">
        <w:t>, including the Equality Act 2010 and Core20PLUS5, should be improved to improve healthcare access and reduce</w:t>
      </w:r>
      <w:r w:rsidR="00357ADD">
        <w:t xml:space="preserve"> disparities among disadvantaged populations. Another perspective </w:t>
      </w:r>
      <w:r w:rsidR="00D3335D">
        <w:t>on digital transformation is that it has created both opportunities and challenges, and has improved efficiency and convenience for many patients through</w:t>
      </w:r>
      <w:r w:rsidR="00B676CA">
        <w:t xml:space="preserve"> online consultations, digital appointment systems, and remote monitoring. On the other hand, digital exclusion continues to affect older adults, low-income households, people with disabilities and individuals with limited digital literacy. </w:t>
      </w:r>
    </w:p>
    <w:p w14:paraId="72BCB35A" w14:textId="77777777" w:rsidR="002B4F1F" w:rsidRDefault="001A09A9" w:rsidP="001A09A9">
      <w:pPr>
        <w:pStyle w:val="Heading1"/>
      </w:pPr>
      <w:bookmarkStart w:id="12" w:name="_Toc936874607"/>
      <w:r>
        <w:t>4</w:t>
      </w:r>
      <w:r w:rsidR="002B4F1F">
        <w:t>. Conclusion</w:t>
      </w:r>
      <w:bookmarkEnd w:id="12"/>
    </w:p>
    <w:p w14:paraId="4C39701E" w14:textId="09CC5284" w:rsidR="002B4F1F" w:rsidRDefault="005C7D59" w:rsidP="00252966">
      <w:pPr>
        <w:spacing w:line="360" w:lineRule="auto"/>
        <w:jc w:val="both"/>
      </w:pPr>
      <w:r>
        <w:t xml:space="preserve">This report examined the </w:t>
      </w:r>
      <w:r w:rsidR="00D3335D">
        <w:t>contributions of global and national health and well-being policies and initiatives, along with a theoretical perspective on</w:t>
      </w:r>
      <w:r>
        <w:t xml:space="preserve"> SDG 3 and SDG 10. </w:t>
      </w:r>
      <w:r w:rsidR="00154869">
        <w:t xml:space="preserve">Evaluation revealed that significant progress has been made through </w:t>
      </w:r>
      <w:r w:rsidR="0062514B">
        <w:t>international frameworks developed by the UN and WHO, as well as</w:t>
      </w:r>
      <w:r w:rsidR="00D3335D">
        <w:t xml:space="preserve"> national policies such as the NHS Long Term Plan, the Health and Care Act 2022, Core20PLUS5, and the </w:t>
      </w:r>
      <w:r w:rsidR="00154869">
        <w:t>Equality Act 2010. It is further identified that persistent socioeconomic inequalities, workforce shortages, financial pressures, digital exclusion</w:t>
      </w:r>
      <w:r w:rsidR="00D3335D">
        <w:t xml:space="preserve">, and unequal access are challenges that hinder progress towards both the </w:t>
      </w:r>
      <w:r w:rsidR="00154869">
        <w:t xml:space="preserve">SDGs. Application of theoretical perspectives demonstrated that </w:t>
      </w:r>
      <w:r w:rsidR="00D3335D">
        <w:t>both individual behaviours and wider social determinants influence health outcomes</w:t>
      </w:r>
      <w:r w:rsidR="00154869">
        <w:t xml:space="preserve">. Findings also </w:t>
      </w:r>
      <w:r w:rsidR="00D3335D">
        <w:t>highlight</w:t>
      </w:r>
      <w:r w:rsidR="00154869">
        <w:t xml:space="preserve"> </w:t>
      </w:r>
      <w:r w:rsidR="00D3335D">
        <w:t>a strong relationship between the two</w:t>
      </w:r>
      <w:r w:rsidR="00154869">
        <w:t xml:space="preserve"> SDGs. </w:t>
      </w:r>
      <w:r w:rsidR="00D3335D">
        <w:t>Reducing inequalities improves health outcomes, while healthier populations contribute to</w:t>
      </w:r>
      <w:r w:rsidR="00154869">
        <w:t xml:space="preserve"> greater social and economic development. </w:t>
      </w:r>
      <w:r w:rsidR="00D3335D">
        <w:t>Achieving sustainable improvements</w:t>
      </w:r>
      <w:r w:rsidR="00154869">
        <w:t xml:space="preserve"> requires long-term investment in prevention, </w:t>
      </w:r>
      <w:r w:rsidR="00D3335D">
        <w:t>cross-sector collaboration, equitable resource allocation,</w:t>
      </w:r>
      <w:r w:rsidR="00154869">
        <w:t xml:space="preserve"> and policies to address wider determinants of health. </w:t>
      </w:r>
    </w:p>
    <w:p w14:paraId="3FC4A236" w14:textId="77777777" w:rsidR="00FD5777" w:rsidRDefault="00FD5777" w:rsidP="001A09A9">
      <w:pPr>
        <w:pStyle w:val="Heading1"/>
      </w:pPr>
    </w:p>
    <w:p w14:paraId="528F0271" w14:textId="766FF2DB" w:rsidR="001A09A9" w:rsidRDefault="001A09A9" w:rsidP="001A09A9">
      <w:pPr>
        <w:pStyle w:val="Heading1"/>
      </w:pPr>
      <w:bookmarkStart w:id="13" w:name="_Toc185758367"/>
      <w:r>
        <w:t>5. References</w:t>
      </w:r>
      <w:bookmarkEnd w:id="13"/>
    </w:p>
    <w:p w14:paraId="12BD734B" w14:textId="478A0A2E" w:rsidR="001A09A9" w:rsidRDefault="001A09A9" w:rsidP="00212F0D">
      <w:pPr>
        <w:spacing w:line="360" w:lineRule="auto"/>
        <w:jc w:val="both"/>
      </w:pPr>
    </w:p>
    <w:p w14:paraId="042E9624" w14:textId="77777777" w:rsidR="00FD5777" w:rsidRPr="00FD5777" w:rsidRDefault="00FD5777" w:rsidP="00FD5777">
      <w:pPr>
        <w:spacing w:line="360" w:lineRule="auto"/>
        <w:jc w:val="both"/>
        <w:rPr>
          <w:b/>
          <w:bCs/>
        </w:rPr>
      </w:pPr>
      <w:r w:rsidRPr="00FD5777">
        <w:rPr>
          <w:b/>
          <w:bCs/>
        </w:rPr>
        <w:t>References</w:t>
      </w:r>
    </w:p>
    <w:p w14:paraId="0A42A1A6" w14:textId="77777777" w:rsidR="00FD5777" w:rsidRPr="00FD5777" w:rsidRDefault="00FD5777" w:rsidP="00FD5777">
      <w:pPr>
        <w:pStyle w:val="ListParagraph"/>
        <w:numPr>
          <w:ilvl w:val="0"/>
          <w:numId w:val="2"/>
        </w:numPr>
        <w:spacing w:line="360" w:lineRule="auto"/>
        <w:jc w:val="both"/>
      </w:pPr>
      <w:r w:rsidRPr="00FD5777">
        <w:t xml:space="preserve">Acharya, S., Lin, V. and Dhingra, N. (2018) 'The role of health in achieving the sustainable development goals', </w:t>
      </w:r>
      <w:r w:rsidRPr="00FD5777">
        <w:rPr>
          <w:i/>
          <w:iCs/>
        </w:rPr>
        <w:t>Bulletin of the World Health Organization</w:t>
      </w:r>
      <w:r w:rsidRPr="00FD5777">
        <w:t xml:space="preserve">, 96(9), pp. 591–591A. Available at: </w:t>
      </w:r>
      <w:hyperlink r:id="rId9" w:history="1">
        <w:r w:rsidRPr="00FD5777">
          <w:rPr>
            <w:rStyle w:val="Hyperlink"/>
          </w:rPr>
          <w:t>https://doi.org/10.2471/BLT.18.221432</w:t>
        </w:r>
      </w:hyperlink>
      <w:r w:rsidRPr="00FD5777">
        <w:t>.</w:t>
      </w:r>
    </w:p>
    <w:p w14:paraId="3940041E" w14:textId="7CA2AD8A" w:rsidR="00FD5777" w:rsidRPr="00FD5777" w:rsidRDefault="00FD5777" w:rsidP="00FD5777">
      <w:pPr>
        <w:pStyle w:val="ListParagraph"/>
        <w:numPr>
          <w:ilvl w:val="0"/>
          <w:numId w:val="2"/>
        </w:numPr>
        <w:spacing w:line="360" w:lineRule="auto"/>
        <w:jc w:val="both"/>
      </w:pPr>
      <w:r w:rsidRPr="00FD5777">
        <w:t>Alyafei, A. and Easton-Carr, R. (2026)</w:t>
      </w:r>
      <w:r w:rsidR="0062514B">
        <w:t>.</w:t>
      </w:r>
      <w:r w:rsidRPr="00FD5777">
        <w:t xml:space="preserve"> </w:t>
      </w:r>
      <w:r w:rsidRPr="00FD5777">
        <w:rPr>
          <w:i/>
          <w:iCs/>
        </w:rPr>
        <w:t>The Health Belief Model of Behaviour Change</w:t>
      </w:r>
      <w:r w:rsidRPr="00FD5777">
        <w:t xml:space="preserve">. In: StatPearls. Treasure Island, FL: StatPearls Publishing. Available at: </w:t>
      </w:r>
      <w:hyperlink r:id="rId10" w:history="1">
        <w:r w:rsidRPr="00FD5777">
          <w:rPr>
            <w:rStyle w:val="Hyperlink"/>
          </w:rPr>
          <w:t>https://www.ncbi.nlm.nih.gov/books/NBK606120/</w:t>
        </w:r>
      </w:hyperlink>
      <w:r w:rsidRPr="00FD5777">
        <w:t xml:space="preserve"> (Accessed: 13 July 2026).</w:t>
      </w:r>
    </w:p>
    <w:p w14:paraId="67EAD02F" w14:textId="77777777" w:rsidR="00FD5777" w:rsidRPr="00FD5777" w:rsidRDefault="00FD5777" w:rsidP="00FD5777">
      <w:pPr>
        <w:pStyle w:val="ListParagraph"/>
        <w:numPr>
          <w:ilvl w:val="0"/>
          <w:numId w:val="2"/>
        </w:numPr>
        <w:spacing w:line="360" w:lineRule="auto"/>
        <w:jc w:val="both"/>
      </w:pPr>
      <w:r w:rsidRPr="00FD5777">
        <w:t xml:space="preserve">Arabi, S. </w:t>
      </w:r>
      <w:r w:rsidRPr="00FD5777">
        <w:rPr>
          <w:i/>
          <w:iCs/>
        </w:rPr>
        <w:t>et al.</w:t>
      </w:r>
      <w:r w:rsidRPr="00FD5777">
        <w:t xml:space="preserve"> (2025) 'Enhancing collaborative international partnerships in healthcare – a systematic review of insights, challenges, and pathways to sustainability', </w:t>
      </w:r>
      <w:r w:rsidRPr="00FD5777">
        <w:rPr>
          <w:i/>
          <w:iCs/>
        </w:rPr>
        <w:t>Social Sciences &amp; Humanities Open</w:t>
      </w:r>
      <w:r w:rsidRPr="00FD5777">
        <w:t xml:space="preserve">, 12, p. 101914. Available at: </w:t>
      </w:r>
      <w:hyperlink r:id="rId11" w:history="1">
        <w:r w:rsidRPr="00FD5777">
          <w:rPr>
            <w:rStyle w:val="Hyperlink"/>
          </w:rPr>
          <w:t>https://doi.org/10.1016/j.ssaho.2025.101914</w:t>
        </w:r>
      </w:hyperlink>
      <w:r w:rsidRPr="00FD5777">
        <w:t>.</w:t>
      </w:r>
    </w:p>
    <w:p w14:paraId="36417A62" w14:textId="77777777" w:rsidR="00FD5777" w:rsidRPr="00FD5777" w:rsidRDefault="00FD5777" w:rsidP="00FD5777">
      <w:pPr>
        <w:pStyle w:val="ListParagraph"/>
        <w:numPr>
          <w:ilvl w:val="0"/>
          <w:numId w:val="2"/>
        </w:numPr>
        <w:spacing w:line="360" w:lineRule="auto"/>
        <w:jc w:val="both"/>
      </w:pPr>
      <w:r w:rsidRPr="00FD5777">
        <w:t xml:space="preserve">Bhandari, M.P. (2024) 'What is next for the sustainable development goals, what are the challenges concerning SDG 10—reduced inequalities?', </w:t>
      </w:r>
      <w:r w:rsidRPr="00FD5777">
        <w:rPr>
          <w:i/>
          <w:iCs/>
        </w:rPr>
        <w:t>Sustainable Earth Reviews</w:t>
      </w:r>
      <w:r w:rsidRPr="00FD5777">
        <w:t xml:space="preserve">, 7(1), p. 23. Available at: </w:t>
      </w:r>
      <w:hyperlink r:id="rId12" w:history="1">
        <w:r w:rsidRPr="00FD5777">
          <w:rPr>
            <w:rStyle w:val="Hyperlink"/>
          </w:rPr>
          <w:t>https://doi.org/10.1186/s42055-024-00093-8</w:t>
        </w:r>
      </w:hyperlink>
      <w:r w:rsidRPr="00FD5777">
        <w:t>.</w:t>
      </w:r>
    </w:p>
    <w:p w14:paraId="0900DD3E" w14:textId="77777777" w:rsidR="00FD5777" w:rsidRPr="00FD5777" w:rsidRDefault="00FD5777" w:rsidP="00FD5777">
      <w:pPr>
        <w:pStyle w:val="ListParagraph"/>
        <w:numPr>
          <w:ilvl w:val="0"/>
          <w:numId w:val="2"/>
        </w:numPr>
        <w:spacing w:line="360" w:lineRule="auto"/>
        <w:jc w:val="both"/>
      </w:pPr>
      <w:r w:rsidRPr="00FD5777">
        <w:t xml:space="preserve">Brennan, A. (2024) 'Applying the CORE20PLUS5 to address health inequalities for patients under the Rehabilitation and Recovery Service in the London Borough of Hackney', </w:t>
      </w:r>
      <w:r w:rsidRPr="00FD5777">
        <w:rPr>
          <w:i/>
          <w:iCs/>
        </w:rPr>
        <w:t>BJPsych Open</w:t>
      </w:r>
      <w:r w:rsidRPr="00FD5777">
        <w:t xml:space="preserve">, 10(S1), p. S223. Available at: </w:t>
      </w:r>
      <w:hyperlink r:id="rId13" w:history="1">
        <w:r w:rsidRPr="00FD5777">
          <w:rPr>
            <w:rStyle w:val="Hyperlink"/>
          </w:rPr>
          <w:t>https://doi.org/10.1192/bjo.2024.548</w:t>
        </w:r>
      </w:hyperlink>
      <w:r w:rsidRPr="00FD5777">
        <w:t>.</w:t>
      </w:r>
    </w:p>
    <w:p w14:paraId="01344C9F" w14:textId="77777777" w:rsidR="00FD5777" w:rsidRPr="00FD5777" w:rsidRDefault="00FD5777" w:rsidP="00FD5777">
      <w:pPr>
        <w:pStyle w:val="ListParagraph"/>
        <w:numPr>
          <w:ilvl w:val="0"/>
          <w:numId w:val="2"/>
        </w:numPr>
        <w:spacing w:line="360" w:lineRule="auto"/>
        <w:jc w:val="both"/>
      </w:pPr>
      <w:r w:rsidRPr="00FD5777">
        <w:t xml:space="preserve">Chen, S. </w:t>
      </w:r>
      <w:r w:rsidRPr="00FD5777">
        <w:rPr>
          <w:i/>
          <w:iCs/>
        </w:rPr>
        <w:t>et al.</w:t>
      </w:r>
      <w:r w:rsidRPr="00FD5777">
        <w:t xml:space="preserve"> (2023) 'The challenging road to universal health coverage', </w:t>
      </w:r>
      <w:r w:rsidRPr="00FD5777">
        <w:rPr>
          <w:i/>
          <w:iCs/>
        </w:rPr>
        <w:t>The Lancet Global Health</w:t>
      </w:r>
      <w:r w:rsidRPr="00FD5777">
        <w:t xml:space="preserve">, 11(10), pp. e1490–e1491. Available at: </w:t>
      </w:r>
      <w:hyperlink r:id="rId14" w:history="1">
        <w:r w:rsidRPr="00FD5777">
          <w:rPr>
            <w:rStyle w:val="Hyperlink"/>
          </w:rPr>
          <w:t>https://doi.org/10.1016/S2214-109X(23)00373-X</w:t>
        </w:r>
      </w:hyperlink>
      <w:r w:rsidRPr="00FD5777">
        <w:t>.</w:t>
      </w:r>
    </w:p>
    <w:p w14:paraId="4E6C32F9" w14:textId="77777777" w:rsidR="00FD5777" w:rsidRPr="00FD5777" w:rsidRDefault="00FD5777" w:rsidP="00FD5777">
      <w:pPr>
        <w:pStyle w:val="ListParagraph"/>
        <w:numPr>
          <w:ilvl w:val="0"/>
          <w:numId w:val="2"/>
        </w:numPr>
        <w:spacing w:line="360" w:lineRule="auto"/>
        <w:jc w:val="both"/>
      </w:pPr>
      <w:r w:rsidRPr="00FD5777">
        <w:t xml:space="preserve">Cojocaru, T.M. </w:t>
      </w:r>
      <w:r w:rsidRPr="00FD5777">
        <w:rPr>
          <w:i/>
          <w:iCs/>
        </w:rPr>
        <w:t>et al.</w:t>
      </w:r>
      <w:r w:rsidRPr="00FD5777">
        <w:t xml:space="preserve"> (2022) 'Reducing inequalities within and among EU countries—Assessing the achievement of the 2030 Agenda for Sustainable Development Targets (SDG 10)', </w:t>
      </w:r>
      <w:r w:rsidRPr="00FD5777">
        <w:rPr>
          <w:i/>
          <w:iCs/>
        </w:rPr>
        <w:t>Sustainability</w:t>
      </w:r>
      <w:r w:rsidRPr="00FD5777">
        <w:t xml:space="preserve">, 14(13). Available at: </w:t>
      </w:r>
      <w:hyperlink r:id="rId15" w:history="1">
        <w:r w:rsidRPr="00FD5777">
          <w:rPr>
            <w:rStyle w:val="Hyperlink"/>
          </w:rPr>
          <w:t>https://doi.org/10.3390/su14137706</w:t>
        </w:r>
      </w:hyperlink>
      <w:r w:rsidRPr="00FD5777">
        <w:t>.</w:t>
      </w:r>
    </w:p>
    <w:p w14:paraId="27EC51AD" w14:textId="77777777" w:rsidR="00FD5777" w:rsidRPr="00FD5777" w:rsidRDefault="00FD5777" w:rsidP="00FD5777">
      <w:pPr>
        <w:pStyle w:val="ListParagraph"/>
        <w:numPr>
          <w:ilvl w:val="0"/>
          <w:numId w:val="2"/>
        </w:numPr>
        <w:spacing w:line="360" w:lineRule="auto"/>
        <w:jc w:val="both"/>
      </w:pPr>
      <w:r w:rsidRPr="00FD5777">
        <w:t xml:space="preserve">Dahlgren, G. and Whitehead, M. (2021) 'The Dahlgren-Whitehead model of health determinants: 30 years on and still chasing rainbows', </w:t>
      </w:r>
      <w:r w:rsidRPr="00FD5777">
        <w:rPr>
          <w:i/>
          <w:iCs/>
        </w:rPr>
        <w:t>Public Health</w:t>
      </w:r>
      <w:r w:rsidRPr="00FD5777">
        <w:t xml:space="preserve">, 199, pp. 20–24. Available at: </w:t>
      </w:r>
      <w:hyperlink r:id="rId16" w:history="1">
        <w:r w:rsidRPr="00FD5777">
          <w:rPr>
            <w:rStyle w:val="Hyperlink"/>
          </w:rPr>
          <w:t>https://doi.org/10.1016/j.puhe.2021.08.009</w:t>
        </w:r>
      </w:hyperlink>
      <w:r w:rsidRPr="00FD5777">
        <w:t>.</w:t>
      </w:r>
    </w:p>
    <w:p w14:paraId="30062946" w14:textId="77777777" w:rsidR="00FD5777" w:rsidRPr="00FD5777" w:rsidRDefault="00FD5777" w:rsidP="00FD5777">
      <w:pPr>
        <w:pStyle w:val="ListParagraph"/>
        <w:numPr>
          <w:ilvl w:val="0"/>
          <w:numId w:val="2"/>
        </w:numPr>
        <w:spacing w:line="360" w:lineRule="auto"/>
        <w:jc w:val="both"/>
      </w:pPr>
      <w:r w:rsidRPr="00FD5777">
        <w:t xml:space="preserve">van Druten, V.P. </w:t>
      </w:r>
      <w:r w:rsidRPr="00FD5777">
        <w:rPr>
          <w:i/>
          <w:iCs/>
        </w:rPr>
        <w:t>et al.</w:t>
      </w:r>
      <w:r w:rsidRPr="00FD5777">
        <w:t xml:space="preserve"> (2022) 'Concepts of health in different contexts: a scoping review', </w:t>
      </w:r>
      <w:r w:rsidRPr="00FD5777">
        <w:rPr>
          <w:i/>
          <w:iCs/>
        </w:rPr>
        <w:t>BMC Health Services Research</w:t>
      </w:r>
      <w:r w:rsidRPr="00FD5777">
        <w:t xml:space="preserve">, 22(1), p. 389. Available at: </w:t>
      </w:r>
      <w:hyperlink r:id="rId17" w:history="1">
        <w:r w:rsidRPr="00FD5777">
          <w:rPr>
            <w:rStyle w:val="Hyperlink"/>
          </w:rPr>
          <w:t>https://doi.org/10.1186/s12913-022-07702-2</w:t>
        </w:r>
      </w:hyperlink>
      <w:r w:rsidRPr="00FD5777">
        <w:t>.</w:t>
      </w:r>
    </w:p>
    <w:p w14:paraId="776A2A95" w14:textId="77777777" w:rsidR="00FD5777" w:rsidRPr="00FD5777" w:rsidRDefault="00FD5777" w:rsidP="00FD5777">
      <w:pPr>
        <w:pStyle w:val="ListParagraph"/>
        <w:numPr>
          <w:ilvl w:val="0"/>
          <w:numId w:val="2"/>
        </w:numPr>
        <w:spacing w:line="360" w:lineRule="auto"/>
        <w:jc w:val="both"/>
      </w:pPr>
      <w:r w:rsidRPr="00FD5777">
        <w:t xml:space="preserve">Elliott, H. </w:t>
      </w:r>
      <w:r w:rsidRPr="00FD5777">
        <w:rPr>
          <w:i/>
          <w:iCs/>
        </w:rPr>
        <w:t>et al.</w:t>
      </w:r>
      <w:r w:rsidRPr="00FD5777">
        <w:t xml:space="preserve"> (2025) 'From policy to action: a document content analysis reviewing the adoption of the healthcare inequalities programme in local health system plans in England', </w:t>
      </w:r>
      <w:r w:rsidRPr="00FD5777">
        <w:rPr>
          <w:i/>
          <w:iCs/>
        </w:rPr>
        <w:t>BMJ Open</w:t>
      </w:r>
      <w:r w:rsidRPr="00FD5777">
        <w:t xml:space="preserve">, 15(10), p. e102163. Available at: </w:t>
      </w:r>
      <w:hyperlink r:id="rId18" w:history="1">
        <w:r w:rsidRPr="00FD5777">
          <w:rPr>
            <w:rStyle w:val="Hyperlink"/>
          </w:rPr>
          <w:t>https://doi.org/10.1136/bmjopen-2025-102163</w:t>
        </w:r>
      </w:hyperlink>
      <w:r w:rsidRPr="00FD5777">
        <w:t>.</w:t>
      </w:r>
    </w:p>
    <w:p w14:paraId="3EF09342" w14:textId="77777777" w:rsidR="00FD5777" w:rsidRPr="00FD5777" w:rsidRDefault="00FD5777" w:rsidP="00FD5777">
      <w:pPr>
        <w:pStyle w:val="ListParagraph"/>
        <w:numPr>
          <w:ilvl w:val="0"/>
          <w:numId w:val="2"/>
        </w:numPr>
        <w:spacing w:line="360" w:lineRule="auto"/>
        <w:jc w:val="both"/>
      </w:pPr>
      <w:r w:rsidRPr="00FD5777">
        <w:t xml:space="preserve">Equality Act 2010, c. 15. Available at: </w:t>
      </w:r>
      <w:hyperlink r:id="rId19" w:history="1">
        <w:r w:rsidRPr="00FD5777">
          <w:rPr>
            <w:rStyle w:val="Hyperlink"/>
          </w:rPr>
          <w:t>https://www.legislation.gov.uk/ukpga/2010/15/contents</w:t>
        </w:r>
      </w:hyperlink>
      <w:r w:rsidRPr="00FD5777">
        <w:t xml:space="preserve"> (Accessed: 13 July 2026).</w:t>
      </w:r>
    </w:p>
    <w:p w14:paraId="2E4E3201" w14:textId="77777777" w:rsidR="00FD5777" w:rsidRPr="00FD5777" w:rsidRDefault="00FD5777" w:rsidP="00FD5777">
      <w:pPr>
        <w:pStyle w:val="ListParagraph"/>
        <w:numPr>
          <w:ilvl w:val="0"/>
          <w:numId w:val="2"/>
        </w:numPr>
        <w:spacing w:line="360" w:lineRule="auto"/>
        <w:jc w:val="both"/>
      </w:pPr>
      <w:r w:rsidRPr="00FD5777">
        <w:rPr>
          <w:lang w:val="nl-NL"/>
        </w:rPr>
        <w:t xml:space="preserve">Ferrando, M.R. </w:t>
      </w:r>
      <w:r w:rsidRPr="00FD5777">
        <w:rPr>
          <w:i/>
          <w:iCs/>
          <w:lang w:val="nl-NL"/>
        </w:rPr>
        <w:t>et al.</w:t>
      </w:r>
      <w:r w:rsidRPr="00FD5777">
        <w:rPr>
          <w:lang w:val="nl-NL"/>
        </w:rPr>
        <w:t xml:space="preserve"> </w:t>
      </w:r>
      <w:r w:rsidRPr="00FD5777">
        <w:t xml:space="preserve">(2025) 'Sustainable development goals: a call for future internal medicine', </w:t>
      </w:r>
      <w:r w:rsidRPr="00FD5777">
        <w:rPr>
          <w:i/>
          <w:iCs/>
        </w:rPr>
        <w:t>Internal and Emergency Medicine</w:t>
      </w:r>
      <w:r w:rsidRPr="00FD5777">
        <w:t xml:space="preserve">, 20(5), pp. 1329–1338. Available at: </w:t>
      </w:r>
      <w:hyperlink r:id="rId20" w:history="1">
        <w:r w:rsidRPr="00FD5777">
          <w:rPr>
            <w:rStyle w:val="Hyperlink"/>
          </w:rPr>
          <w:t>https://doi.org/10.1007/s11739-025-03941-3</w:t>
        </w:r>
      </w:hyperlink>
      <w:r w:rsidRPr="00FD5777">
        <w:t>.</w:t>
      </w:r>
    </w:p>
    <w:p w14:paraId="08E120D7" w14:textId="77777777" w:rsidR="00FD5777" w:rsidRPr="00FD5777" w:rsidRDefault="00FD5777" w:rsidP="00FD5777">
      <w:pPr>
        <w:pStyle w:val="ListParagraph"/>
        <w:numPr>
          <w:ilvl w:val="0"/>
          <w:numId w:val="2"/>
        </w:numPr>
        <w:spacing w:line="360" w:lineRule="auto"/>
        <w:jc w:val="both"/>
      </w:pPr>
      <w:r w:rsidRPr="00FD5777">
        <w:t xml:space="preserve">Fransham, M. </w:t>
      </w:r>
      <w:r w:rsidRPr="00FD5777">
        <w:rPr>
          <w:i/>
          <w:iCs/>
        </w:rPr>
        <w:t>et al.</w:t>
      </w:r>
      <w:r w:rsidRPr="00FD5777">
        <w:t xml:space="preserve"> (2023) 'Level best? The levelling up agenda and UK regional inequality', </w:t>
      </w:r>
      <w:r w:rsidRPr="00FD5777">
        <w:rPr>
          <w:i/>
          <w:iCs/>
        </w:rPr>
        <w:t>Regional Studies</w:t>
      </w:r>
      <w:r w:rsidRPr="00FD5777">
        <w:t xml:space="preserve">, 57(11), pp. 2339–2352. Available at: </w:t>
      </w:r>
      <w:hyperlink r:id="rId21" w:history="1">
        <w:r w:rsidRPr="00FD5777">
          <w:rPr>
            <w:rStyle w:val="Hyperlink"/>
          </w:rPr>
          <w:t>https://doi.org/10.1080/00343404.2022.2159356</w:t>
        </w:r>
      </w:hyperlink>
      <w:r w:rsidRPr="00FD5777">
        <w:t>.</w:t>
      </w:r>
    </w:p>
    <w:p w14:paraId="3FB58EBB" w14:textId="77777777" w:rsidR="00FD5777" w:rsidRPr="00FD5777" w:rsidRDefault="00FD5777" w:rsidP="00FD5777">
      <w:pPr>
        <w:pStyle w:val="ListParagraph"/>
        <w:numPr>
          <w:ilvl w:val="0"/>
          <w:numId w:val="2"/>
        </w:numPr>
        <w:spacing w:line="360" w:lineRule="auto"/>
        <w:jc w:val="both"/>
      </w:pPr>
      <w:r w:rsidRPr="00FD5777">
        <w:t xml:space="preserve">Health and Care Act 2022, c. 31. Available at: </w:t>
      </w:r>
      <w:hyperlink r:id="rId22" w:history="1">
        <w:r w:rsidRPr="00FD5777">
          <w:rPr>
            <w:rStyle w:val="Hyperlink"/>
          </w:rPr>
          <w:t>https://www.legislation.gov.uk/ukpga/2022/31/contents</w:t>
        </w:r>
      </w:hyperlink>
      <w:r w:rsidRPr="00FD5777">
        <w:t xml:space="preserve"> (Accessed: 13 July 2026).</w:t>
      </w:r>
    </w:p>
    <w:p w14:paraId="33315F5F" w14:textId="77777777" w:rsidR="00FD5777" w:rsidRPr="00FD5777" w:rsidRDefault="00FD5777" w:rsidP="00FD5777">
      <w:pPr>
        <w:pStyle w:val="ListParagraph"/>
        <w:numPr>
          <w:ilvl w:val="0"/>
          <w:numId w:val="2"/>
        </w:numPr>
        <w:spacing w:line="360" w:lineRule="auto"/>
        <w:jc w:val="both"/>
      </w:pPr>
      <w:r w:rsidRPr="00FD5777">
        <w:t xml:space="preserve">Huber, M. </w:t>
      </w:r>
      <w:r w:rsidRPr="00FD5777">
        <w:rPr>
          <w:i/>
          <w:iCs/>
        </w:rPr>
        <w:t>et al.</w:t>
      </w:r>
      <w:r w:rsidRPr="00FD5777">
        <w:t xml:space="preserve"> (2011) 'How should we define health?', </w:t>
      </w:r>
      <w:r w:rsidRPr="00FD5777">
        <w:rPr>
          <w:i/>
          <w:iCs/>
        </w:rPr>
        <w:t>BMJ</w:t>
      </w:r>
      <w:r w:rsidRPr="00FD5777">
        <w:t xml:space="preserve">, 343, p. d4163. Available at: </w:t>
      </w:r>
      <w:hyperlink r:id="rId23" w:history="1">
        <w:r w:rsidRPr="00FD5777">
          <w:rPr>
            <w:rStyle w:val="Hyperlink"/>
          </w:rPr>
          <w:t>https://doi.org/10.1136/bmj.d4163</w:t>
        </w:r>
      </w:hyperlink>
      <w:r w:rsidRPr="00FD5777">
        <w:t>.</w:t>
      </w:r>
    </w:p>
    <w:p w14:paraId="08248546" w14:textId="77777777" w:rsidR="00FD5777" w:rsidRPr="00FD5777" w:rsidRDefault="00FD5777" w:rsidP="00FD5777">
      <w:pPr>
        <w:pStyle w:val="ListParagraph"/>
        <w:numPr>
          <w:ilvl w:val="0"/>
          <w:numId w:val="2"/>
        </w:numPr>
        <w:spacing w:line="360" w:lineRule="auto"/>
        <w:jc w:val="both"/>
      </w:pPr>
      <w:r w:rsidRPr="00FD5777">
        <w:t xml:space="preserve">Islam, K.F. </w:t>
      </w:r>
      <w:r w:rsidRPr="00FD5777">
        <w:rPr>
          <w:i/>
          <w:iCs/>
        </w:rPr>
        <w:t>et al.</w:t>
      </w:r>
      <w:r w:rsidRPr="00FD5777">
        <w:t xml:space="preserve"> (2023) 'Social cognitive theory-based health promotion in primary care practice: a scoping review', </w:t>
      </w:r>
      <w:r w:rsidRPr="00FD5777">
        <w:rPr>
          <w:i/>
          <w:iCs/>
        </w:rPr>
        <w:t>Heliyon</w:t>
      </w:r>
      <w:r w:rsidRPr="00FD5777">
        <w:t xml:space="preserve">, 9(4), p. e14889. Available at: </w:t>
      </w:r>
      <w:hyperlink r:id="rId24" w:history="1">
        <w:r w:rsidRPr="00FD5777">
          <w:rPr>
            <w:rStyle w:val="Hyperlink"/>
          </w:rPr>
          <w:t>https://doi.org/10.1016/j.heliyon.2023.e14889</w:t>
        </w:r>
      </w:hyperlink>
      <w:r w:rsidRPr="00FD5777">
        <w:t>.</w:t>
      </w:r>
    </w:p>
    <w:p w14:paraId="7C198606" w14:textId="77777777" w:rsidR="00FD5777" w:rsidRPr="00FD5777" w:rsidRDefault="00FD5777" w:rsidP="00FD5777">
      <w:pPr>
        <w:pStyle w:val="ListParagraph"/>
        <w:numPr>
          <w:ilvl w:val="0"/>
          <w:numId w:val="2"/>
        </w:numPr>
        <w:spacing w:line="360" w:lineRule="auto"/>
        <w:jc w:val="both"/>
      </w:pPr>
      <w:r w:rsidRPr="00FD5777">
        <w:t xml:space="preserve">Islam, M.M. (2019) 'Social determinants of health and related inequalities: confusion and implications', </w:t>
      </w:r>
      <w:r w:rsidRPr="00FD5777">
        <w:rPr>
          <w:i/>
          <w:iCs/>
        </w:rPr>
        <w:t>Frontiers in Public Health</w:t>
      </w:r>
      <w:r w:rsidRPr="00FD5777">
        <w:t xml:space="preserve">, 7, p. 11. Available at: </w:t>
      </w:r>
      <w:hyperlink r:id="rId25" w:history="1">
        <w:r w:rsidRPr="00FD5777">
          <w:rPr>
            <w:rStyle w:val="Hyperlink"/>
          </w:rPr>
          <w:t>https://doi.org/10.3389/fpubh.2019.00011</w:t>
        </w:r>
      </w:hyperlink>
      <w:r w:rsidRPr="00FD5777">
        <w:t>.</w:t>
      </w:r>
    </w:p>
    <w:p w14:paraId="7A378BD6" w14:textId="77777777" w:rsidR="00FD5777" w:rsidRPr="00FD5777" w:rsidRDefault="00FD5777" w:rsidP="00FD5777">
      <w:pPr>
        <w:pStyle w:val="ListParagraph"/>
        <w:numPr>
          <w:ilvl w:val="0"/>
          <w:numId w:val="2"/>
        </w:numPr>
        <w:spacing w:line="360" w:lineRule="auto"/>
        <w:jc w:val="both"/>
      </w:pPr>
      <w:r w:rsidRPr="00FD5777">
        <w:t xml:space="preserve">Ismail, H. and Atkin, K. (2016) 'The NHS Health Check programme: insights from a qualitative study of patients', </w:t>
      </w:r>
      <w:r w:rsidRPr="00FD5777">
        <w:rPr>
          <w:i/>
          <w:iCs/>
        </w:rPr>
        <w:t>Health Expectations</w:t>
      </w:r>
      <w:r w:rsidRPr="00FD5777">
        <w:t xml:space="preserve">, 19(2), pp. 345–355. Available at: </w:t>
      </w:r>
      <w:hyperlink r:id="rId26" w:history="1">
        <w:r w:rsidRPr="00FD5777">
          <w:rPr>
            <w:rStyle w:val="Hyperlink"/>
          </w:rPr>
          <w:t>https://doi.org/10.1111/hex.12358</w:t>
        </w:r>
      </w:hyperlink>
      <w:r w:rsidRPr="00FD5777">
        <w:t>.</w:t>
      </w:r>
    </w:p>
    <w:p w14:paraId="3FFC9418" w14:textId="77777777" w:rsidR="00FD5777" w:rsidRPr="00FD5777" w:rsidRDefault="00FD5777" w:rsidP="00FD5777">
      <w:pPr>
        <w:pStyle w:val="ListParagraph"/>
        <w:numPr>
          <w:ilvl w:val="0"/>
          <w:numId w:val="2"/>
        </w:numPr>
        <w:spacing w:line="360" w:lineRule="auto"/>
        <w:jc w:val="both"/>
      </w:pPr>
      <w:r w:rsidRPr="00FD5777">
        <w:t xml:space="preserve">Lakioti, E. </w:t>
      </w:r>
      <w:r w:rsidRPr="00FD5777">
        <w:rPr>
          <w:i/>
          <w:iCs/>
        </w:rPr>
        <w:t>et al.</w:t>
      </w:r>
      <w:r w:rsidRPr="00FD5777">
        <w:t xml:space="preserve"> (2025) 'Social factors and policies promoting good health and well-being as a Sustainable Development Goal: current achievements and future pathways', </w:t>
      </w:r>
      <w:r w:rsidRPr="00FD5777">
        <w:rPr>
          <w:i/>
          <w:iCs/>
        </w:rPr>
        <w:t>Sustainability</w:t>
      </w:r>
      <w:r w:rsidRPr="00FD5777">
        <w:t xml:space="preserve">, 17(11). Available at: </w:t>
      </w:r>
      <w:hyperlink r:id="rId27" w:history="1">
        <w:r w:rsidRPr="00FD5777">
          <w:rPr>
            <w:rStyle w:val="Hyperlink"/>
          </w:rPr>
          <w:t>https://doi.org/10.3390/su17115063</w:t>
        </w:r>
      </w:hyperlink>
      <w:r w:rsidRPr="00FD5777">
        <w:t>.</w:t>
      </w:r>
    </w:p>
    <w:p w14:paraId="57CA203A" w14:textId="77777777" w:rsidR="00FD5777" w:rsidRPr="00FD5777" w:rsidRDefault="00FD5777" w:rsidP="00FD5777">
      <w:pPr>
        <w:pStyle w:val="ListParagraph"/>
        <w:numPr>
          <w:ilvl w:val="0"/>
          <w:numId w:val="2"/>
        </w:numPr>
        <w:spacing w:line="360" w:lineRule="auto"/>
        <w:jc w:val="both"/>
      </w:pPr>
      <w:r w:rsidRPr="00FD5777">
        <w:t xml:space="preserve">Marmot, M. </w:t>
      </w:r>
      <w:r w:rsidRPr="00FD5777">
        <w:rPr>
          <w:i/>
          <w:iCs/>
        </w:rPr>
        <w:t>et al.</w:t>
      </w:r>
      <w:r w:rsidRPr="00FD5777">
        <w:t xml:space="preserve"> (2020) </w:t>
      </w:r>
      <w:r w:rsidRPr="00FD5777">
        <w:rPr>
          <w:i/>
          <w:iCs/>
        </w:rPr>
        <w:t>Health Equity in England: The Marmot Review 10 Years On</w:t>
      </w:r>
      <w:r w:rsidRPr="00FD5777">
        <w:t xml:space="preserve">. London: The Health Foundation. Available at: </w:t>
      </w:r>
      <w:hyperlink r:id="rId28" w:history="1">
        <w:r w:rsidRPr="00FD5777">
          <w:rPr>
            <w:rStyle w:val="Hyperlink"/>
          </w:rPr>
          <w:t>https://www.health.org.uk/publications/reports/the-marmot-review-10-years-on</w:t>
        </w:r>
      </w:hyperlink>
      <w:r w:rsidRPr="00FD5777">
        <w:t xml:space="preserve"> (Accessed: 13 July 2026).</w:t>
      </w:r>
    </w:p>
    <w:p w14:paraId="0043442A" w14:textId="77777777" w:rsidR="00FD5777" w:rsidRPr="00FD5777" w:rsidRDefault="00FD5777" w:rsidP="00FD5777">
      <w:pPr>
        <w:pStyle w:val="ListParagraph"/>
        <w:numPr>
          <w:ilvl w:val="0"/>
          <w:numId w:val="2"/>
        </w:numPr>
        <w:spacing w:line="360" w:lineRule="auto"/>
        <w:jc w:val="both"/>
      </w:pPr>
      <w:r w:rsidRPr="00FD5777">
        <w:t xml:space="preserve">Nabukalu, J.B., Asamani, J.A. and Nabyonga-Orem, J. (2020) 'Monitoring Sustainable Development Goal 3: assessing the readiness of low- and middle-income countries', </w:t>
      </w:r>
      <w:r w:rsidRPr="00FD5777">
        <w:rPr>
          <w:i/>
          <w:iCs/>
        </w:rPr>
        <w:t>International Journal of Health Policy and Management</w:t>
      </w:r>
      <w:r w:rsidRPr="00FD5777">
        <w:t xml:space="preserve">, 9(7), pp. 297–308. Available at: </w:t>
      </w:r>
      <w:hyperlink r:id="rId29" w:history="1">
        <w:r w:rsidRPr="00FD5777">
          <w:rPr>
            <w:rStyle w:val="Hyperlink"/>
          </w:rPr>
          <w:t>https://doi.org/10.15171/ijhpm.2019.134</w:t>
        </w:r>
      </w:hyperlink>
      <w:r w:rsidRPr="00FD5777">
        <w:t>.</w:t>
      </w:r>
    </w:p>
    <w:p w14:paraId="2F9AB2BC" w14:textId="77777777" w:rsidR="00FD5777" w:rsidRPr="00FD5777" w:rsidRDefault="00FD5777" w:rsidP="00FD5777">
      <w:pPr>
        <w:pStyle w:val="ListParagraph"/>
        <w:numPr>
          <w:ilvl w:val="0"/>
          <w:numId w:val="2"/>
        </w:numPr>
        <w:spacing w:line="360" w:lineRule="auto"/>
        <w:jc w:val="both"/>
      </w:pPr>
      <w:r w:rsidRPr="00FD5777">
        <w:t xml:space="preserve">NHS England (no date) </w:t>
      </w:r>
      <w:r w:rsidRPr="00FD5777">
        <w:rPr>
          <w:i/>
          <w:iCs/>
        </w:rPr>
        <w:t>Core20PLUS5 (adults): an approach to reducing healthcare inequalities</w:t>
      </w:r>
      <w:r w:rsidRPr="00FD5777">
        <w:t xml:space="preserve">. Available at: </w:t>
      </w:r>
      <w:hyperlink r:id="rId30" w:history="1">
        <w:r w:rsidRPr="00FD5777">
          <w:rPr>
            <w:rStyle w:val="Hyperlink"/>
          </w:rPr>
          <w:t>https://www.england.nhs.uk/about/equality/equality-hub/national-healthcare-inequalities-improvement-programme/core20plus5/</w:t>
        </w:r>
      </w:hyperlink>
      <w:r w:rsidRPr="00FD5777">
        <w:t xml:space="preserve"> (Accessed: 13 July 2026).</w:t>
      </w:r>
    </w:p>
    <w:p w14:paraId="5CC7A7F8" w14:textId="574FBD71" w:rsidR="00FD5777" w:rsidRPr="00FD5777" w:rsidRDefault="00FD5777" w:rsidP="00FD5777">
      <w:pPr>
        <w:pStyle w:val="ListParagraph"/>
        <w:numPr>
          <w:ilvl w:val="0"/>
          <w:numId w:val="2"/>
        </w:numPr>
        <w:spacing w:line="360" w:lineRule="auto"/>
        <w:jc w:val="both"/>
      </w:pPr>
      <w:r w:rsidRPr="00FD5777">
        <w:t xml:space="preserve">Parbery-Clark, C. </w:t>
      </w:r>
      <w:r w:rsidRPr="00FD5777">
        <w:rPr>
          <w:i/>
          <w:iCs/>
        </w:rPr>
        <w:t>et al.</w:t>
      </w:r>
      <w:r w:rsidRPr="00FD5777">
        <w:t xml:space="preserve"> (2024) 'How can health systems approach reducing health inequalities? An in-depth qualitative case study in the UK, </w:t>
      </w:r>
      <w:r w:rsidRPr="00FD5777">
        <w:rPr>
          <w:i/>
          <w:iCs/>
        </w:rPr>
        <w:t>BMC Public Health</w:t>
      </w:r>
      <w:r w:rsidRPr="00FD5777">
        <w:t xml:space="preserve">, 24(1), p. 2168. Available at: </w:t>
      </w:r>
      <w:hyperlink r:id="rId31" w:history="1">
        <w:r w:rsidRPr="00FD5777">
          <w:rPr>
            <w:rStyle w:val="Hyperlink"/>
          </w:rPr>
          <w:t>https://doi.org/10.1186/s12889-024-19531-5</w:t>
        </w:r>
      </w:hyperlink>
      <w:r w:rsidRPr="00FD5777">
        <w:t>.</w:t>
      </w:r>
    </w:p>
    <w:p w14:paraId="7283BCDE" w14:textId="77777777" w:rsidR="00FD5777" w:rsidRPr="00FD5777" w:rsidRDefault="00FD5777" w:rsidP="00FD5777">
      <w:pPr>
        <w:pStyle w:val="ListParagraph"/>
        <w:numPr>
          <w:ilvl w:val="0"/>
          <w:numId w:val="2"/>
        </w:numPr>
        <w:spacing w:line="360" w:lineRule="auto"/>
        <w:jc w:val="both"/>
      </w:pPr>
      <w:r w:rsidRPr="00FD5777">
        <w:t xml:space="preserve">Ranabhat, C.L. </w:t>
      </w:r>
      <w:r w:rsidRPr="00FD5777">
        <w:rPr>
          <w:i/>
          <w:iCs/>
        </w:rPr>
        <w:t>et al.</w:t>
      </w:r>
      <w:r w:rsidRPr="00FD5777">
        <w:t xml:space="preserve"> (2023) 'Universal health coverage evolution, ongoing trend, and future challenge: a conceptual and historical policy review', </w:t>
      </w:r>
      <w:r w:rsidRPr="00FD5777">
        <w:rPr>
          <w:i/>
          <w:iCs/>
        </w:rPr>
        <w:t>Frontiers in Public Health</w:t>
      </w:r>
      <w:r w:rsidRPr="00FD5777">
        <w:t xml:space="preserve">, 11, p. 1041459. Available at: </w:t>
      </w:r>
      <w:hyperlink r:id="rId32" w:history="1">
        <w:r w:rsidRPr="00FD5777">
          <w:rPr>
            <w:rStyle w:val="Hyperlink"/>
          </w:rPr>
          <w:t>https://doi.org/10.3389/fpubh.2023.1041459</w:t>
        </w:r>
      </w:hyperlink>
      <w:r w:rsidRPr="00FD5777">
        <w:t>.</w:t>
      </w:r>
    </w:p>
    <w:p w14:paraId="42F18071" w14:textId="77777777" w:rsidR="00FD5777" w:rsidRPr="00FD5777" w:rsidRDefault="00FD5777" w:rsidP="00FD5777">
      <w:pPr>
        <w:pStyle w:val="ListParagraph"/>
        <w:numPr>
          <w:ilvl w:val="0"/>
          <w:numId w:val="2"/>
        </w:numPr>
        <w:spacing w:line="360" w:lineRule="auto"/>
        <w:jc w:val="both"/>
      </w:pPr>
      <w:r w:rsidRPr="00FD5777">
        <w:t xml:space="preserve">Singh, O.P. (2021) 'Comprehensive Mental Health Action Plan 2013–2030: we must rise to the challenge', </w:t>
      </w:r>
      <w:r w:rsidRPr="00FD5777">
        <w:rPr>
          <w:i/>
          <w:iCs/>
        </w:rPr>
        <w:t>Indian Journal of Psychiatry</w:t>
      </w:r>
      <w:r w:rsidRPr="00FD5777">
        <w:t xml:space="preserve">, 63(5), pp. 415–417. Available at: </w:t>
      </w:r>
      <w:hyperlink r:id="rId33" w:history="1">
        <w:r w:rsidRPr="00FD5777">
          <w:rPr>
            <w:rStyle w:val="Hyperlink"/>
          </w:rPr>
          <w:t>https://doi.org/10.4103/indianjpsychiatry.indianjpsychiatry_811_21</w:t>
        </w:r>
      </w:hyperlink>
      <w:r w:rsidRPr="00FD5777">
        <w:t>.</w:t>
      </w:r>
    </w:p>
    <w:p w14:paraId="45D94931" w14:textId="77777777" w:rsidR="00FD5777" w:rsidRPr="00FD5777" w:rsidRDefault="00FD5777" w:rsidP="00FD5777">
      <w:pPr>
        <w:pStyle w:val="ListParagraph"/>
        <w:numPr>
          <w:ilvl w:val="0"/>
          <w:numId w:val="2"/>
        </w:numPr>
        <w:spacing w:line="360" w:lineRule="auto"/>
        <w:jc w:val="both"/>
      </w:pPr>
      <w:r w:rsidRPr="00FD5777">
        <w:t xml:space="preserve">Singh Thakur, J., Nangia, R. and Singh, S. (2021) 'Progress and challenges in achieving noncommunicable diseases targets for the Sustainable Development Goals', </w:t>
      </w:r>
      <w:r w:rsidRPr="00FD5777">
        <w:rPr>
          <w:i/>
          <w:iCs/>
        </w:rPr>
        <w:t>FASEB BioAdvances</w:t>
      </w:r>
      <w:r w:rsidRPr="00FD5777">
        <w:t xml:space="preserve">, 3(8), pp. 563–568. Available at: </w:t>
      </w:r>
      <w:hyperlink r:id="rId34" w:history="1">
        <w:r w:rsidRPr="00FD5777">
          <w:rPr>
            <w:rStyle w:val="Hyperlink"/>
          </w:rPr>
          <w:t>https://doi.org/10.1096/fba.2020-00117</w:t>
        </w:r>
      </w:hyperlink>
      <w:r w:rsidRPr="00FD5777">
        <w:t>.</w:t>
      </w:r>
    </w:p>
    <w:p w14:paraId="3BD9A3FC" w14:textId="77777777" w:rsidR="00FD5777" w:rsidRPr="00FD5777" w:rsidRDefault="00FD5777" w:rsidP="00FD5777">
      <w:pPr>
        <w:pStyle w:val="ListParagraph"/>
        <w:numPr>
          <w:ilvl w:val="0"/>
          <w:numId w:val="2"/>
        </w:numPr>
        <w:spacing w:line="360" w:lineRule="auto"/>
        <w:jc w:val="both"/>
      </w:pPr>
      <w:r w:rsidRPr="00FD5777">
        <w:t xml:space="preserve">United Nations (2024) </w:t>
      </w:r>
      <w:r w:rsidRPr="00FD5777">
        <w:rPr>
          <w:i/>
          <w:iCs/>
        </w:rPr>
        <w:t>The 17 Goals</w:t>
      </w:r>
      <w:r w:rsidRPr="00FD5777">
        <w:t xml:space="preserve">. Available at: </w:t>
      </w:r>
      <w:hyperlink r:id="rId35" w:history="1">
        <w:r w:rsidRPr="00FD5777">
          <w:rPr>
            <w:rStyle w:val="Hyperlink"/>
          </w:rPr>
          <w:t>https://sdgs.un.org/goals</w:t>
        </w:r>
      </w:hyperlink>
      <w:r w:rsidRPr="00FD5777">
        <w:t xml:space="preserve"> (Accessed: 13 July 2026).</w:t>
      </w:r>
    </w:p>
    <w:p w14:paraId="2774C374" w14:textId="39A31B79" w:rsidR="00FD5777" w:rsidRPr="00FD5777" w:rsidRDefault="00FD5777" w:rsidP="00FD5777">
      <w:pPr>
        <w:pStyle w:val="ListParagraph"/>
        <w:numPr>
          <w:ilvl w:val="0"/>
          <w:numId w:val="2"/>
        </w:numPr>
        <w:spacing w:line="360" w:lineRule="auto"/>
        <w:jc w:val="both"/>
      </w:pPr>
      <w:r w:rsidRPr="00FD5777">
        <w:t xml:space="preserve">United Nations (no </w:t>
      </w:r>
      <w:r w:rsidR="0062514B">
        <w:t>date</w:t>
      </w:r>
      <w:r w:rsidRPr="00FD5777">
        <w:t xml:space="preserve">) </w:t>
      </w:r>
      <w:r w:rsidRPr="00FD5777">
        <w:rPr>
          <w:i/>
          <w:iCs/>
        </w:rPr>
        <w:t>Goal 3: Good health and well-being</w:t>
      </w:r>
      <w:r w:rsidRPr="00FD5777">
        <w:t xml:space="preserve">. Available at: </w:t>
      </w:r>
      <w:hyperlink r:id="rId36" w:history="1">
        <w:r w:rsidRPr="00FD5777">
          <w:rPr>
            <w:rStyle w:val="Hyperlink"/>
          </w:rPr>
          <w:t>https://sdgs.un.org/goals/goal3</w:t>
        </w:r>
      </w:hyperlink>
      <w:r w:rsidRPr="00FD5777">
        <w:t>  (Accessed: 13 July 2026).</w:t>
      </w:r>
    </w:p>
    <w:p w14:paraId="457B08DD" w14:textId="77777777" w:rsidR="00FD5777" w:rsidRPr="00FD5777" w:rsidRDefault="00FD5777" w:rsidP="00FD5777">
      <w:pPr>
        <w:pStyle w:val="ListParagraph"/>
        <w:numPr>
          <w:ilvl w:val="0"/>
          <w:numId w:val="2"/>
        </w:numPr>
        <w:spacing w:line="360" w:lineRule="auto"/>
        <w:jc w:val="both"/>
      </w:pPr>
      <w:r w:rsidRPr="00FD5777">
        <w:t xml:space="preserve">United Nations (no date) </w:t>
      </w:r>
      <w:r w:rsidRPr="00FD5777">
        <w:rPr>
          <w:i/>
          <w:iCs/>
        </w:rPr>
        <w:t>Goal 10: Reduced inequalities</w:t>
      </w:r>
      <w:r w:rsidRPr="00FD5777">
        <w:t xml:space="preserve">. Available at: </w:t>
      </w:r>
      <w:hyperlink r:id="rId37" w:history="1">
        <w:r w:rsidRPr="00FD5777">
          <w:rPr>
            <w:rStyle w:val="Hyperlink"/>
          </w:rPr>
          <w:t>https://sdgs.un.org/goals/goal10</w:t>
        </w:r>
      </w:hyperlink>
      <w:r w:rsidRPr="00FD5777">
        <w:t xml:space="preserve"> (Accessed: 13 July 2026).</w:t>
      </w:r>
    </w:p>
    <w:p w14:paraId="7576C91B" w14:textId="77777777" w:rsidR="00FD5777" w:rsidRPr="001A09A9" w:rsidRDefault="00FD5777" w:rsidP="00212F0D">
      <w:pPr>
        <w:spacing w:line="360" w:lineRule="auto"/>
        <w:jc w:val="both"/>
      </w:pPr>
    </w:p>
    <w:sectPr w:rsidR="00FD5777" w:rsidRPr="001A09A9" w:rsidSect="00D6386E">
      <w:pgSz w:w="12240" w:h="15840"/>
      <w:pgMar w:top="1500" w:right="1325" w:bottom="274" w:left="13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intelligence2.xml><?xml version="1.0" encoding="utf-8"?>
<int2:intelligence xmlns:int2="http://schemas.microsoft.com/office/intelligence/2020/intelligence" xmlns:oel="http://schemas.microsoft.com/office/2019/extlst">
  <int2:observations>
    <int2:bookmark int2:bookmarkName="_Int_JxEsSX2u" int2:invalidationBookmarkName="" int2:hashCode="ZxEfidbw7Wslto" int2:id="8Nc9k20Y">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5666EA"/>
    <w:multiLevelType w:val="hybridMultilevel"/>
    <w:tmpl w:val="BD7E01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443D8A"/>
    <w:multiLevelType w:val="hybridMultilevel"/>
    <w:tmpl w:val="D3E6DF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688636">
    <w:abstractNumId w:val="1"/>
  </w:num>
  <w:num w:numId="2" w16cid:durableId="486940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30D"/>
    <w:rsid w:val="00022945"/>
    <w:rsid w:val="00023969"/>
    <w:rsid w:val="000358FD"/>
    <w:rsid w:val="0006547B"/>
    <w:rsid w:val="000766DD"/>
    <w:rsid w:val="0008352A"/>
    <w:rsid w:val="00087438"/>
    <w:rsid w:val="00094432"/>
    <w:rsid w:val="000C2614"/>
    <w:rsid w:val="00154869"/>
    <w:rsid w:val="001568C9"/>
    <w:rsid w:val="001A09A9"/>
    <w:rsid w:val="001A66E7"/>
    <w:rsid w:val="001F248D"/>
    <w:rsid w:val="00212F0D"/>
    <w:rsid w:val="00215D7C"/>
    <w:rsid w:val="00252966"/>
    <w:rsid w:val="00255923"/>
    <w:rsid w:val="002B4F1F"/>
    <w:rsid w:val="003362E7"/>
    <w:rsid w:val="00357ADD"/>
    <w:rsid w:val="00386AAC"/>
    <w:rsid w:val="00391A09"/>
    <w:rsid w:val="00396837"/>
    <w:rsid w:val="00397609"/>
    <w:rsid w:val="003C3ECA"/>
    <w:rsid w:val="0040460E"/>
    <w:rsid w:val="004307A0"/>
    <w:rsid w:val="00440038"/>
    <w:rsid w:val="00504DE4"/>
    <w:rsid w:val="00536420"/>
    <w:rsid w:val="00570D5C"/>
    <w:rsid w:val="00573BDE"/>
    <w:rsid w:val="00586A83"/>
    <w:rsid w:val="005C7D59"/>
    <w:rsid w:val="005D4897"/>
    <w:rsid w:val="0060630A"/>
    <w:rsid w:val="0062514B"/>
    <w:rsid w:val="00630DC8"/>
    <w:rsid w:val="00637B19"/>
    <w:rsid w:val="00691988"/>
    <w:rsid w:val="00696280"/>
    <w:rsid w:val="006C438A"/>
    <w:rsid w:val="006F3FBE"/>
    <w:rsid w:val="006F5B66"/>
    <w:rsid w:val="007A57EF"/>
    <w:rsid w:val="007C3832"/>
    <w:rsid w:val="007D5A28"/>
    <w:rsid w:val="007E1AA9"/>
    <w:rsid w:val="0081408E"/>
    <w:rsid w:val="00822D35"/>
    <w:rsid w:val="008500E2"/>
    <w:rsid w:val="008633F7"/>
    <w:rsid w:val="008B0C88"/>
    <w:rsid w:val="008D7EA7"/>
    <w:rsid w:val="008E4060"/>
    <w:rsid w:val="00900895"/>
    <w:rsid w:val="009012E6"/>
    <w:rsid w:val="0092101C"/>
    <w:rsid w:val="00954BFB"/>
    <w:rsid w:val="00986BD4"/>
    <w:rsid w:val="009A6360"/>
    <w:rsid w:val="009B05E3"/>
    <w:rsid w:val="00A377F5"/>
    <w:rsid w:val="00A70779"/>
    <w:rsid w:val="00AC78E4"/>
    <w:rsid w:val="00AF5D23"/>
    <w:rsid w:val="00AF727E"/>
    <w:rsid w:val="00B0543B"/>
    <w:rsid w:val="00B27118"/>
    <w:rsid w:val="00B676CA"/>
    <w:rsid w:val="00B84489"/>
    <w:rsid w:val="00B97AD9"/>
    <w:rsid w:val="00BC5F70"/>
    <w:rsid w:val="00C10AB7"/>
    <w:rsid w:val="00C23622"/>
    <w:rsid w:val="00C3430F"/>
    <w:rsid w:val="00C4630D"/>
    <w:rsid w:val="00C93B84"/>
    <w:rsid w:val="00C9591E"/>
    <w:rsid w:val="00D3335D"/>
    <w:rsid w:val="00D43326"/>
    <w:rsid w:val="00D6386E"/>
    <w:rsid w:val="00D639FA"/>
    <w:rsid w:val="00D959E6"/>
    <w:rsid w:val="00DB41FA"/>
    <w:rsid w:val="00DD0F5C"/>
    <w:rsid w:val="00DE0DB8"/>
    <w:rsid w:val="00E22C2B"/>
    <w:rsid w:val="00E42D3B"/>
    <w:rsid w:val="00E92D54"/>
    <w:rsid w:val="00E96F34"/>
    <w:rsid w:val="00EC22E8"/>
    <w:rsid w:val="00ED12A2"/>
    <w:rsid w:val="00F774A8"/>
    <w:rsid w:val="00FB0E08"/>
    <w:rsid w:val="00FC1286"/>
    <w:rsid w:val="00FD5777"/>
    <w:rsid w:val="00FE2792"/>
    <w:rsid w:val="16D73D83"/>
    <w:rsid w:val="1E934EA3"/>
    <w:rsid w:val="5FA37B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FEA67"/>
  <w15:chartTrackingRefBased/>
  <w15:docId w15:val="{0718BE43-09AE-4A76-BF67-2F27DA719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97AD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97AD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AD9"/>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B97AD9"/>
    <w:rPr>
      <w:rFonts w:asciiTheme="majorHAnsi" w:eastAsiaTheme="majorEastAsia" w:hAnsiTheme="majorHAnsi" w:cstheme="majorBidi"/>
      <w:color w:val="2E74B5" w:themeColor="accent1" w:themeShade="BF"/>
      <w:sz w:val="26"/>
      <w:szCs w:val="26"/>
      <w:lang w:val="en-GB"/>
    </w:rPr>
  </w:style>
  <w:style w:type="paragraph" w:styleId="Bibliography">
    <w:name w:val="Bibliography"/>
    <w:basedOn w:val="Normal"/>
    <w:next w:val="Normal"/>
    <w:uiPriority w:val="37"/>
    <w:unhideWhenUsed/>
    <w:rsid w:val="00212F0D"/>
    <w:pPr>
      <w:spacing w:after="240" w:line="240" w:lineRule="auto"/>
    </w:pPr>
  </w:style>
  <w:style w:type="paragraph" w:styleId="TOCHeading">
    <w:name w:val="TOC Heading"/>
    <w:basedOn w:val="Heading1"/>
    <w:next w:val="Normal"/>
    <w:uiPriority w:val="39"/>
    <w:unhideWhenUsed/>
    <w:qFormat/>
    <w:rsid w:val="00A70779"/>
    <w:pPr>
      <w:outlineLvl w:val="9"/>
    </w:pPr>
    <w:rPr>
      <w:lang w:val="en-US"/>
    </w:rPr>
  </w:style>
  <w:style w:type="paragraph" w:styleId="TOC1">
    <w:name w:val="toc 1"/>
    <w:basedOn w:val="Normal"/>
    <w:next w:val="Normal"/>
    <w:autoRedefine/>
    <w:uiPriority w:val="39"/>
    <w:unhideWhenUsed/>
    <w:rsid w:val="00A70779"/>
    <w:pPr>
      <w:spacing w:after="100"/>
    </w:pPr>
  </w:style>
  <w:style w:type="paragraph" w:styleId="TOC2">
    <w:name w:val="toc 2"/>
    <w:basedOn w:val="Normal"/>
    <w:next w:val="Normal"/>
    <w:autoRedefine/>
    <w:uiPriority w:val="39"/>
    <w:unhideWhenUsed/>
    <w:rsid w:val="00A70779"/>
    <w:pPr>
      <w:spacing w:after="100"/>
      <w:ind w:left="220"/>
    </w:pPr>
  </w:style>
  <w:style w:type="character" w:styleId="Hyperlink">
    <w:name w:val="Hyperlink"/>
    <w:basedOn w:val="DefaultParagraphFont"/>
    <w:uiPriority w:val="99"/>
    <w:unhideWhenUsed/>
    <w:rsid w:val="00A70779"/>
    <w:rPr>
      <w:color w:val="0563C1" w:themeColor="hyperlink"/>
      <w:u w:val="single"/>
    </w:rPr>
  </w:style>
  <w:style w:type="character" w:styleId="UnresolvedMention">
    <w:name w:val="Unresolved Mention"/>
    <w:basedOn w:val="DefaultParagraphFont"/>
    <w:uiPriority w:val="99"/>
    <w:semiHidden/>
    <w:unhideWhenUsed/>
    <w:rsid w:val="00FD5777"/>
    <w:rPr>
      <w:color w:val="605E5C"/>
      <w:shd w:val="clear" w:color="auto" w:fill="E1DFDD"/>
    </w:rPr>
  </w:style>
  <w:style w:type="paragraph" w:styleId="ListParagraph">
    <w:name w:val="List Paragraph"/>
    <w:basedOn w:val="Normal"/>
    <w:uiPriority w:val="34"/>
    <w:qFormat/>
    <w:rsid w:val="00FD57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92/bjo.2024.548" TargetMode="External"/><Relationship Id="rId18" Type="http://schemas.openxmlformats.org/officeDocument/2006/relationships/hyperlink" Target="https://doi.org/10.1136/bmjopen-2025-102163" TargetMode="External"/><Relationship Id="rId26" Type="http://schemas.openxmlformats.org/officeDocument/2006/relationships/hyperlink" Target="https://doi.org/10.1111/hex.12358" TargetMode="External"/><Relationship Id="rId39" Type="http://schemas.openxmlformats.org/officeDocument/2006/relationships/theme" Target="theme/theme1.xml"/><Relationship Id="rId21" Type="http://schemas.openxmlformats.org/officeDocument/2006/relationships/hyperlink" Target="https://doi.org/10.1080/00343404.2022.2159356" TargetMode="External"/><Relationship Id="rId34" Type="http://schemas.openxmlformats.org/officeDocument/2006/relationships/hyperlink" Target="https://doi.org/10.1096/fba.2020-00117" TargetMode="External"/><Relationship Id="rId7" Type="http://schemas.openxmlformats.org/officeDocument/2006/relationships/settings" Target="settings.xml"/><Relationship Id="rId12" Type="http://schemas.openxmlformats.org/officeDocument/2006/relationships/hyperlink" Target="https://doi.org/10.1186/s42055-024-00093-8" TargetMode="External"/><Relationship Id="rId17" Type="http://schemas.openxmlformats.org/officeDocument/2006/relationships/hyperlink" Target="https://doi.org/10.1186/s12913-022-07702-2" TargetMode="External"/><Relationship Id="rId25" Type="http://schemas.openxmlformats.org/officeDocument/2006/relationships/hyperlink" Target="https://doi.org/10.3389/fpubh.2019.00011" TargetMode="External"/><Relationship Id="rId33" Type="http://schemas.openxmlformats.org/officeDocument/2006/relationships/hyperlink" Target="https://doi.org/10.4103/indianjpsychiatry.indianjpsychiatry_811_21"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16/j.puhe.2021.08.009" TargetMode="External"/><Relationship Id="rId20" Type="http://schemas.openxmlformats.org/officeDocument/2006/relationships/hyperlink" Target="https://doi.org/10.1007/s11739-025-03941-3" TargetMode="External"/><Relationship Id="rId29" Type="http://schemas.openxmlformats.org/officeDocument/2006/relationships/hyperlink" Target="https://doi.org/10.15171/ijhpm.2019.1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16/j.ssaho.2025.101914" TargetMode="External"/><Relationship Id="rId24" Type="http://schemas.openxmlformats.org/officeDocument/2006/relationships/hyperlink" Target="https://doi.org/10.1016/j.heliyon.2023.e14889" TargetMode="External"/><Relationship Id="rId32" Type="http://schemas.openxmlformats.org/officeDocument/2006/relationships/hyperlink" Target="https://doi.org/10.3389/fpubh.2023.1041459" TargetMode="External"/><Relationship Id="rId37" Type="http://schemas.openxmlformats.org/officeDocument/2006/relationships/hyperlink" Target="https://sdgs.un.org/goals/goal10" TargetMode="Externa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doi.org/10.3390/su14137706" TargetMode="External"/><Relationship Id="rId23" Type="http://schemas.openxmlformats.org/officeDocument/2006/relationships/hyperlink" Target="https://doi.org/10.1136/bmj.d4163" TargetMode="External"/><Relationship Id="rId28" Type="http://schemas.openxmlformats.org/officeDocument/2006/relationships/hyperlink" Target="https://www.health.org.uk/publications/reports/the-marmot-review-10-years-on" TargetMode="External"/><Relationship Id="rId36" Type="http://schemas.openxmlformats.org/officeDocument/2006/relationships/hyperlink" Target="https://sdgs.un.org/goals/goal3" TargetMode="External"/><Relationship Id="rId10" Type="http://schemas.openxmlformats.org/officeDocument/2006/relationships/hyperlink" Target="https://www.ncbi.nlm.nih.gov/books/NBK606120/" TargetMode="External"/><Relationship Id="rId19" Type="http://schemas.openxmlformats.org/officeDocument/2006/relationships/hyperlink" Target="https://www.legislation.gov.uk/ukpga/2010/15/contents" TargetMode="External"/><Relationship Id="rId31" Type="http://schemas.openxmlformats.org/officeDocument/2006/relationships/hyperlink" Target="https://doi.org/10.1186/s12889-024-19531-5" TargetMode="External"/><Relationship Id="rId4" Type="http://schemas.openxmlformats.org/officeDocument/2006/relationships/customXml" Target="../customXml/item4.xml"/><Relationship Id="rId9" Type="http://schemas.openxmlformats.org/officeDocument/2006/relationships/hyperlink" Target="https://doi.org/10.2471/BLT.18.221432" TargetMode="External"/><Relationship Id="rId14" Type="http://schemas.openxmlformats.org/officeDocument/2006/relationships/hyperlink" Target="https://doi.org/10.1016/S2214-109X(23)00373-X" TargetMode="External"/><Relationship Id="rId22" Type="http://schemas.openxmlformats.org/officeDocument/2006/relationships/hyperlink" Target="https://www.legislation.gov.uk/ukpga/2022/31/contents" TargetMode="External"/><Relationship Id="rId27" Type="http://schemas.openxmlformats.org/officeDocument/2006/relationships/hyperlink" Target="https://doi.org/10.3390/su17115063" TargetMode="External"/><Relationship Id="rId30" Type="http://schemas.openxmlformats.org/officeDocument/2006/relationships/hyperlink" Target="https://www.england.nhs.uk/about/equality/equality-hub/national-healthcare-inequalities-improvement-programme/core20plus5/" TargetMode="External"/><Relationship Id="rId35" Type="http://schemas.openxmlformats.org/officeDocument/2006/relationships/hyperlink" Target="https://sdgs.un.org/goal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5" ma:contentTypeDescription="Create a new document." ma:contentTypeScope="" ma:versionID="52e6e23ffdea18fed75506e23d2852fe">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c0ead3e2baa27e509d60c03f888dbfcb"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SearchProperties" minOccurs="0"/>
                <xsd:element ref="ns3:MediaServiceObjectDetectorVersions" minOccurs="0"/>
                <xsd:element ref="ns3:MediaServiceFastMetadata"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SearchProperties" ma:index="9" nillable="true" ma:displayName="MediaServiceSearchProperties" ma:hidden="true" ma:internalName="MediaServiceSearchProperties"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FastMetadata" ma:index="11" nillable="true" ma:displayName="MediaServiceFastMetadata" ma:hidden="true" ma:internalName="MediaServiceFastMetadata"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45F29F77-1B9A-471F-B993-1C69ECF032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3FF23E-2C22-4FE5-9771-2F9F9133C10D}">
  <ds:schemaRefs>
    <ds:schemaRef ds:uri="http://schemas.openxmlformats.org/officeDocument/2006/bibliography"/>
  </ds:schemaRefs>
</ds:datastoreItem>
</file>

<file path=customXml/itemProps3.xml><?xml version="1.0" encoding="utf-8"?>
<ds:datastoreItem xmlns:ds="http://schemas.openxmlformats.org/officeDocument/2006/customXml" ds:itemID="{BB7ACF4D-09FA-41AB-B26D-6F2FF4F4DDDC}">
  <ds:schemaRefs>
    <ds:schemaRef ds:uri="http://schemas.microsoft.com/sharepoint/v3/contenttype/forms"/>
  </ds:schemaRefs>
</ds:datastoreItem>
</file>

<file path=customXml/itemProps4.xml><?xml version="1.0" encoding="utf-8"?>
<ds:datastoreItem xmlns:ds="http://schemas.openxmlformats.org/officeDocument/2006/customXml" ds:itemID="{2B2FE6ED-E36B-42EE-9AA0-879958FE9DBC}">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11434</Words>
  <Characters>65177</Characters>
  <Application>Microsoft Office Word</Application>
  <DocSecurity>4</DocSecurity>
  <Lines>543</Lines>
  <Paragraphs>152</Paragraphs>
  <ScaleCrop>false</ScaleCrop>
  <Company/>
  <LinksUpToDate>false</LinksUpToDate>
  <CharactersWithSpaces>76459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Shaira Hussain (2314799)</cp:lastModifiedBy>
  <cp:revision>11</cp:revision>
  <dcterms:created xsi:type="dcterms:W3CDTF">2026-07-13T22:22:00Z</dcterms:created>
  <dcterms:modified xsi:type="dcterms:W3CDTF">2026-07-13T22:54:00Z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zotero-version="9.0.6"&gt;&lt;session id="EGMYkljd"/&gt;&lt;style id="http://www.zotero.org/styles/harvard-cite-them-right" locale="en-US" hasBibliography="1" bibliographyStyleHasBeenSet="1"/&gt;&lt;prefs&gt;&lt;pref name="fieldType" value="Field"/&gt;&lt;pref n</vt:lpwstr>
  </property>
  <property fmtid="{D5CDD505-2E9C-101B-9397-08002B2CF9AE}" pid="3" name="ZOTERO_PREF_2">
    <vt:lpwstr>ame="automaticJournalAbbreviations" value="true"/&gt;&lt;/prefs&gt;&lt;/data&gt;</vt:lpwstr>
  </property>
  <property fmtid="{D5CDD505-2E9C-101B-9397-08002B2CF9AE}" pid="4" name="GrammarlyDocumentId">
    <vt:lpwstr>2c9dc900-87c2-4d3a-aca9-7fd685ed66c4</vt:lpwstr>
  </property>
  <property fmtid="{D5CDD505-2E9C-101B-9397-08002B2CF9AE}" pid="5" name="ContentTypeId">
    <vt:lpwstr>0x010100297C9F88D65DB74786271CFA0B86C30A</vt:lpwstr>
  </property>
</Properties>
</file>