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5AB7B" w14:textId="77777777" w:rsidR="004C137A" w:rsidRPr="005625E0" w:rsidRDefault="004C137A" w:rsidP="005625E0">
      <w:pPr>
        <w:spacing w:line="360" w:lineRule="auto"/>
        <w:jc w:val="center"/>
        <w:rPr>
          <w:rFonts w:ascii="Arial" w:hAnsi="Arial" w:cs="Arial"/>
          <w:sz w:val="22"/>
          <w:szCs w:val="22"/>
        </w:rPr>
      </w:pPr>
    </w:p>
    <w:p w14:paraId="37C06294" w14:textId="26F40CC5" w:rsidR="004C137A" w:rsidRPr="005625E0" w:rsidRDefault="004C137A" w:rsidP="005625E0">
      <w:pPr>
        <w:spacing w:line="360" w:lineRule="auto"/>
        <w:jc w:val="center"/>
        <w:rPr>
          <w:rFonts w:ascii="Arial" w:hAnsi="Arial" w:cs="Arial"/>
          <w:sz w:val="22"/>
          <w:szCs w:val="22"/>
        </w:rPr>
      </w:pPr>
      <w:r w:rsidRPr="005625E0">
        <w:rPr>
          <w:rFonts w:ascii="Arial" w:hAnsi="Arial" w:cs="Arial"/>
          <w:sz w:val="22"/>
          <w:szCs w:val="22"/>
        </w:rPr>
        <w:t>Student Name: Tamyne Cossa</w:t>
      </w:r>
    </w:p>
    <w:p w14:paraId="1526764E" w14:textId="249B8BC1" w:rsidR="004C137A" w:rsidRPr="005625E0" w:rsidRDefault="004C137A" w:rsidP="005625E0">
      <w:pPr>
        <w:spacing w:line="360" w:lineRule="auto"/>
        <w:jc w:val="center"/>
        <w:rPr>
          <w:rFonts w:ascii="Arial" w:hAnsi="Arial" w:cs="Arial"/>
          <w:sz w:val="22"/>
          <w:szCs w:val="22"/>
        </w:rPr>
      </w:pPr>
      <w:r w:rsidRPr="005625E0">
        <w:rPr>
          <w:rFonts w:ascii="Arial" w:hAnsi="Arial" w:cs="Arial"/>
          <w:sz w:val="22"/>
          <w:szCs w:val="22"/>
        </w:rPr>
        <w:t>Student ID: 2507591</w:t>
      </w:r>
    </w:p>
    <w:p w14:paraId="7F9543D5" w14:textId="7D696E47" w:rsidR="004C137A" w:rsidRDefault="004C137A" w:rsidP="005625E0">
      <w:pPr>
        <w:spacing w:before="120" w:after="120" w:line="360" w:lineRule="auto"/>
        <w:jc w:val="center"/>
        <w:rPr>
          <w:rFonts w:ascii="Arial" w:hAnsi="Arial" w:cs="Arial"/>
          <w:sz w:val="22"/>
          <w:szCs w:val="22"/>
        </w:rPr>
      </w:pPr>
      <w:r w:rsidRPr="005625E0">
        <w:rPr>
          <w:rFonts w:ascii="Arial" w:hAnsi="Arial" w:cs="Arial"/>
          <w:sz w:val="22"/>
          <w:szCs w:val="22"/>
        </w:rPr>
        <w:t xml:space="preserve">Module: Principles of Health and Social Care Practice </w:t>
      </w:r>
    </w:p>
    <w:p w14:paraId="4A2818AF" w14:textId="77777777" w:rsidR="00C97A63" w:rsidRDefault="00C97A63" w:rsidP="00C97A63">
      <w:pPr>
        <w:spacing w:before="120" w:after="120" w:line="360" w:lineRule="auto"/>
        <w:jc w:val="center"/>
        <w:rPr>
          <w:rFonts w:ascii="Arial" w:hAnsi="Arial" w:cs="Arial"/>
          <w:sz w:val="22"/>
          <w:szCs w:val="22"/>
        </w:rPr>
      </w:pPr>
      <w:r>
        <w:rPr>
          <w:rFonts w:ascii="Arial" w:hAnsi="Arial" w:cs="Arial"/>
          <w:sz w:val="22"/>
          <w:szCs w:val="22"/>
        </w:rPr>
        <w:t xml:space="preserve">Module Code: </w:t>
      </w:r>
      <w:r w:rsidRPr="005625E0">
        <w:rPr>
          <w:rFonts w:ascii="Arial" w:hAnsi="Arial" w:cs="Arial"/>
          <w:sz w:val="22"/>
          <w:szCs w:val="22"/>
        </w:rPr>
        <w:t>BMHP5016</w:t>
      </w:r>
    </w:p>
    <w:p w14:paraId="232ACA7E" w14:textId="51E19765" w:rsidR="005625E0" w:rsidRPr="005625E0" w:rsidRDefault="005625E0" w:rsidP="00C97A63">
      <w:pPr>
        <w:spacing w:before="120" w:after="120" w:line="360" w:lineRule="auto"/>
        <w:jc w:val="center"/>
        <w:rPr>
          <w:rFonts w:ascii="Arial" w:hAnsi="Arial" w:cs="Arial"/>
          <w:sz w:val="22"/>
          <w:szCs w:val="22"/>
        </w:rPr>
      </w:pPr>
      <w:r>
        <w:rPr>
          <w:rFonts w:ascii="Arial" w:hAnsi="Arial" w:cs="Arial"/>
          <w:sz w:val="22"/>
          <w:szCs w:val="22"/>
        </w:rPr>
        <w:t xml:space="preserve">Assignment title: </w:t>
      </w:r>
      <w:r w:rsidRPr="005625E0">
        <w:rPr>
          <w:rFonts w:ascii="Arial" w:hAnsi="Arial" w:cs="Arial"/>
          <w:sz w:val="22"/>
          <w:szCs w:val="22"/>
        </w:rPr>
        <w:t>Component 2: Written Assignment (Report)</w:t>
      </w:r>
    </w:p>
    <w:p w14:paraId="1C5836BF" w14:textId="0E302DC0" w:rsidR="004C137A" w:rsidRPr="005625E0" w:rsidRDefault="004C137A" w:rsidP="005625E0">
      <w:pPr>
        <w:spacing w:line="360" w:lineRule="auto"/>
        <w:jc w:val="center"/>
        <w:rPr>
          <w:rFonts w:ascii="Arial" w:hAnsi="Arial" w:cs="Arial"/>
          <w:sz w:val="22"/>
          <w:szCs w:val="22"/>
        </w:rPr>
      </w:pPr>
      <w:r w:rsidRPr="005625E0">
        <w:rPr>
          <w:rFonts w:ascii="Arial" w:hAnsi="Arial" w:cs="Arial"/>
          <w:sz w:val="22"/>
          <w:szCs w:val="22"/>
        </w:rPr>
        <w:t>Lecturer: Azida Zainol</w:t>
      </w:r>
    </w:p>
    <w:p w14:paraId="19E6DA5E" w14:textId="77777777" w:rsidR="004C137A" w:rsidRPr="005625E0" w:rsidRDefault="004C137A" w:rsidP="005625E0">
      <w:pPr>
        <w:spacing w:line="360" w:lineRule="auto"/>
        <w:rPr>
          <w:rFonts w:ascii="Arial" w:hAnsi="Arial" w:cs="Arial"/>
          <w:sz w:val="22"/>
          <w:szCs w:val="22"/>
        </w:rPr>
      </w:pPr>
    </w:p>
    <w:p w14:paraId="59C09119" w14:textId="77777777" w:rsidR="004C137A" w:rsidRPr="005625E0" w:rsidRDefault="004C137A" w:rsidP="005625E0">
      <w:pPr>
        <w:spacing w:line="360" w:lineRule="auto"/>
        <w:rPr>
          <w:rFonts w:ascii="Arial" w:hAnsi="Arial" w:cs="Arial"/>
          <w:sz w:val="22"/>
          <w:szCs w:val="22"/>
        </w:rPr>
      </w:pPr>
    </w:p>
    <w:p w14:paraId="2BB77763" w14:textId="77777777" w:rsidR="004C137A" w:rsidRPr="005625E0" w:rsidRDefault="004C137A" w:rsidP="005625E0">
      <w:pPr>
        <w:spacing w:line="360" w:lineRule="auto"/>
        <w:rPr>
          <w:rFonts w:ascii="Arial" w:hAnsi="Arial" w:cs="Arial"/>
          <w:sz w:val="22"/>
          <w:szCs w:val="22"/>
        </w:rPr>
      </w:pPr>
    </w:p>
    <w:p w14:paraId="1CDCCC60" w14:textId="77777777" w:rsidR="004C137A" w:rsidRPr="005625E0" w:rsidRDefault="004C137A" w:rsidP="005625E0">
      <w:pPr>
        <w:spacing w:line="360" w:lineRule="auto"/>
        <w:rPr>
          <w:rFonts w:ascii="Arial" w:hAnsi="Arial" w:cs="Arial"/>
          <w:sz w:val="22"/>
          <w:szCs w:val="22"/>
        </w:rPr>
      </w:pPr>
    </w:p>
    <w:p w14:paraId="5BE51912" w14:textId="77777777" w:rsidR="004C137A" w:rsidRPr="005625E0" w:rsidRDefault="004C137A" w:rsidP="005625E0">
      <w:pPr>
        <w:spacing w:line="360" w:lineRule="auto"/>
        <w:rPr>
          <w:rFonts w:ascii="Arial" w:hAnsi="Arial" w:cs="Arial"/>
          <w:sz w:val="22"/>
          <w:szCs w:val="22"/>
        </w:rPr>
      </w:pPr>
    </w:p>
    <w:p w14:paraId="2FD3586E" w14:textId="77777777" w:rsidR="004C137A" w:rsidRPr="005625E0" w:rsidRDefault="004C137A" w:rsidP="005625E0">
      <w:pPr>
        <w:spacing w:line="360" w:lineRule="auto"/>
        <w:rPr>
          <w:rFonts w:ascii="Arial" w:hAnsi="Arial" w:cs="Arial"/>
          <w:sz w:val="22"/>
          <w:szCs w:val="22"/>
        </w:rPr>
      </w:pPr>
    </w:p>
    <w:p w14:paraId="0906A96E" w14:textId="77777777" w:rsidR="004C137A" w:rsidRPr="005625E0" w:rsidRDefault="004C137A" w:rsidP="005625E0">
      <w:pPr>
        <w:spacing w:line="360" w:lineRule="auto"/>
        <w:rPr>
          <w:rFonts w:ascii="Arial" w:hAnsi="Arial" w:cs="Arial"/>
          <w:sz w:val="22"/>
          <w:szCs w:val="22"/>
        </w:rPr>
      </w:pPr>
    </w:p>
    <w:p w14:paraId="60752C95" w14:textId="77777777" w:rsidR="004C137A" w:rsidRPr="005625E0" w:rsidRDefault="004C137A" w:rsidP="005625E0">
      <w:pPr>
        <w:spacing w:line="360" w:lineRule="auto"/>
        <w:rPr>
          <w:rFonts w:ascii="Arial" w:hAnsi="Arial" w:cs="Arial"/>
          <w:sz w:val="22"/>
          <w:szCs w:val="22"/>
        </w:rPr>
      </w:pPr>
    </w:p>
    <w:p w14:paraId="45C32B7C" w14:textId="77777777" w:rsidR="004C137A" w:rsidRPr="005625E0" w:rsidRDefault="004C137A" w:rsidP="005625E0">
      <w:pPr>
        <w:spacing w:line="360" w:lineRule="auto"/>
        <w:rPr>
          <w:rFonts w:ascii="Arial" w:hAnsi="Arial" w:cs="Arial"/>
          <w:sz w:val="22"/>
          <w:szCs w:val="22"/>
        </w:rPr>
      </w:pPr>
    </w:p>
    <w:p w14:paraId="105CE0FD" w14:textId="77777777" w:rsidR="004C137A" w:rsidRPr="005625E0" w:rsidRDefault="004C137A" w:rsidP="005625E0">
      <w:pPr>
        <w:spacing w:line="360" w:lineRule="auto"/>
        <w:rPr>
          <w:rFonts w:ascii="Arial" w:hAnsi="Arial" w:cs="Arial"/>
          <w:sz w:val="22"/>
          <w:szCs w:val="22"/>
        </w:rPr>
      </w:pPr>
    </w:p>
    <w:p w14:paraId="09049D0E" w14:textId="77777777" w:rsidR="004C137A" w:rsidRPr="005625E0" w:rsidRDefault="004C137A" w:rsidP="005625E0">
      <w:pPr>
        <w:spacing w:line="360" w:lineRule="auto"/>
        <w:rPr>
          <w:rFonts w:ascii="Arial" w:hAnsi="Arial" w:cs="Arial"/>
          <w:sz w:val="22"/>
          <w:szCs w:val="22"/>
        </w:rPr>
      </w:pPr>
    </w:p>
    <w:p w14:paraId="430D7311" w14:textId="77777777" w:rsidR="004C137A" w:rsidRPr="005625E0" w:rsidRDefault="004C137A" w:rsidP="005625E0">
      <w:pPr>
        <w:spacing w:line="360" w:lineRule="auto"/>
        <w:rPr>
          <w:rFonts w:ascii="Arial" w:hAnsi="Arial" w:cs="Arial"/>
          <w:sz w:val="22"/>
          <w:szCs w:val="22"/>
        </w:rPr>
      </w:pPr>
    </w:p>
    <w:p w14:paraId="1BCF26A4" w14:textId="77777777" w:rsidR="004C137A" w:rsidRPr="005625E0" w:rsidRDefault="004C137A" w:rsidP="005625E0">
      <w:pPr>
        <w:spacing w:line="360" w:lineRule="auto"/>
        <w:rPr>
          <w:rFonts w:ascii="Arial" w:hAnsi="Arial" w:cs="Arial"/>
          <w:sz w:val="22"/>
          <w:szCs w:val="22"/>
        </w:rPr>
      </w:pPr>
    </w:p>
    <w:p w14:paraId="21B66AA7" w14:textId="77777777" w:rsidR="004C137A" w:rsidRPr="005625E0" w:rsidRDefault="004C137A" w:rsidP="005625E0">
      <w:pPr>
        <w:spacing w:line="360" w:lineRule="auto"/>
        <w:rPr>
          <w:rFonts w:ascii="Arial" w:hAnsi="Arial" w:cs="Arial"/>
          <w:sz w:val="22"/>
          <w:szCs w:val="22"/>
        </w:rPr>
      </w:pPr>
    </w:p>
    <w:p w14:paraId="4EB28886" w14:textId="77777777" w:rsidR="004C137A" w:rsidRPr="005625E0" w:rsidRDefault="004C137A" w:rsidP="005625E0">
      <w:pPr>
        <w:spacing w:line="360" w:lineRule="auto"/>
        <w:rPr>
          <w:rFonts w:ascii="Arial" w:hAnsi="Arial" w:cs="Arial"/>
          <w:sz w:val="22"/>
          <w:szCs w:val="22"/>
        </w:rPr>
      </w:pPr>
    </w:p>
    <w:p w14:paraId="698D0329" w14:textId="77777777" w:rsidR="004C137A" w:rsidRPr="005625E0" w:rsidRDefault="004C137A" w:rsidP="005625E0">
      <w:pPr>
        <w:spacing w:line="360" w:lineRule="auto"/>
        <w:rPr>
          <w:rFonts w:ascii="Arial" w:hAnsi="Arial" w:cs="Arial"/>
          <w:sz w:val="22"/>
          <w:szCs w:val="22"/>
        </w:rPr>
      </w:pPr>
    </w:p>
    <w:p w14:paraId="7C554C15" w14:textId="77777777" w:rsidR="004C137A" w:rsidRPr="005625E0" w:rsidRDefault="004C137A" w:rsidP="005625E0">
      <w:pPr>
        <w:spacing w:line="360" w:lineRule="auto"/>
        <w:rPr>
          <w:rFonts w:ascii="Arial" w:hAnsi="Arial" w:cs="Arial"/>
          <w:sz w:val="22"/>
          <w:szCs w:val="22"/>
        </w:rPr>
      </w:pPr>
    </w:p>
    <w:p w14:paraId="235D45F4" w14:textId="77777777" w:rsidR="004C137A" w:rsidRPr="005625E0" w:rsidRDefault="004C137A" w:rsidP="005625E0">
      <w:pPr>
        <w:spacing w:line="360" w:lineRule="auto"/>
        <w:rPr>
          <w:rFonts w:ascii="Arial" w:hAnsi="Arial" w:cs="Arial"/>
          <w:sz w:val="22"/>
          <w:szCs w:val="22"/>
        </w:rPr>
      </w:pPr>
    </w:p>
    <w:p w14:paraId="699C9627" w14:textId="77777777" w:rsidR="004C137A" w:rsidRPr="005625E0" w:rsidRDefault="004C137A" w:rsidP="005625E0">
      <w:pPr>
        <w:spacing w:line="360" w:lineRule="auto"/>
        <w:rPr>
          <w:rFonts w:ascii="Arial" w:hAnsi="Arial" w:cs="Arial"/>
          <w:sz w:val="22"/>
          <w:szCs w:val="22"/>
        </w:rPr>
      </w:pPr>
    </w:p>
    <w:p w14:paraId="46C8AD0C" w14:textId="6D03564F" w:rsidR="000C2977" w:rsidRPr="000C2977" w:rsidRDefault="00FE3273" w:rsidP="001D5AC5">
      <w:pPr>
        <w:pStyle w:val="Heading1"/>
        <w:spacing w:line="360" w:lineRule="auto"/>
        <w:rPr>
          <w:rFonts w:ascii="Arial" w:hAnsi="Arial" w:cs="Arial"/>
          <w:sz w:val="28"/>
          <w:szCs w:val="28"/>
        </w:rPr>
      </w:pPr>
      <w:r w:rsidRPr="00FE3273">
        <w:rPr>
          <w:rFonts w:ascii="Arial" w:hAnsi="Arial" w:cs="Arial"/>
          <w:sz w:val="28"/>
          <w:szCs w:val="28"/>
        </w:rPr>
        <w:lastRenderedPageBreak/>
        <w:t>Abstract</w:t>
      </w:r>
      <w:r w:rsidR="004C137A" w:rsidRPr="00FE3273">
        <w:rPr>
          <w:rFonts w:ascii="Arial" w:hAnsi="Arial" w:cs="Arial"/>
          <w:sz w:val="28"/>
          <w:szCs w:val="28"/>
        </w:rPr>
        <w:t xml:space="preserve"> Summary</w:t>
      </w:r>
    </w:p>
    <w:p w14:paraId="2540EAB5" w14:textId="1BA3814D" w:rsidR="00FE3273" w:rsidRPr="001D5AC5" w:rsidRDefault="000C2977" w:rsidP="001D5AC5">
      <w:pPr>
        <w:pStyle w:val="NoSpacing"/>
        <w:spacing w:line="360" w:lineRule="auto"/>
        <w:rPr>
          <w:rFonts w:ascii="Arial" w:hAnsi="Arial" w:cs="Arial"/>
          <w:sz w:val="22"/>
          <w:szCs w:val="22"/>
        </w:rPr>
      </w:pPr>
      <w:r w:rsidRPr="001D5AC5">
        <w:rPr>
          <w:rFonts w:ascii="Arial" w:hAnsi="Arial" w:cs="Arial"/>
          <w:sz w:val="22"/>
          <w:szCs w:val="22"/>
        </w:rPr>
        <w:t>This report examines person-centred care (PCC) and partnership working in health and social care in England, using hospital discharge planning as its practical setting. It explores the principles of PCC, the Person-Centred Practice Framework and the ethical considerations involved in decisions about individual care. Particular attention is given to autonomy, beneficence, non-maleficence and justice, including situations in which a person's preferences may conflict with professional concerns about safety. The report also evaluates the benefits and limitations of partnership working between hospital teams, local authorities and community services. Relevant legislation, including the Care Act 2014, Mental Capacity Act 2005 and Equality Act 2010, is considered in relation to person-centred decision-making and coordinated support. The discussion identifies challenges such as staffing shortages, communication failures and limitations in community resources. It argues that effective care requires more than professional cooperation: individuals must have meaningful opportunities to influence decisions affecting their lives. The report recommends strengthening staff development, service-user involvement, interprofessional communication and the evaluation of discharge outcomes to improve the quality and consistency of health and social care.</w:t>
      </w:r>
    </w:p>
    <w:p w14:paraId="12BF7247" w14:textId="77777777" w:rsidR="00523C77" w:rsidRDefault="004C137A" w:rsidP="00523C77">
      <w:pPr>
        <w:pStyle w:val="Heading1"/>
        <w:spacing w:line="360" w:lineRule="auto"/>
        <w:rPr>
          <w:rFonts w:ascii="Arial" w:hAnsi="Arial" w:cs="Arial"/>
          <w:sz w:val="28"/>
          <w:szCs w:val="28"/>
        </w:rPr>
      </w:pPr>
      <w:r w:rsidRPr="00FE3273">
        <w:rPr>
          <w:rFonts w:ascii="Arial" w:hAnsi="Arial" w:cs="Arial"/>
          <w:sz w:val="28"/>
          <w:szCs w:val="28"/>
        </w:rPr>
        <w:t>1. Introduction</w:t>
      </w:r>
    </w:p>
    <w:p w14:paraId="770EEA78" w14:textId="3EA31DEA" w:rsidR="00A705D2" w:rsidRPr="00523C77" w:rsidRDefault="00A705D2" w:rsidP="00523C77">
      <w:pPr>
        <w:pStyle w:val="Heading1"/>
        <w:spacing w:line="360" w:lineRule="auto"/>
        <w:rPr>
          <w:rFonts w:ascii="Arial" w:hAnsi="Arial" w:cs="Arial"/>
          <w:sz w:val="28"/>
          <w:szCs w:val="28"/>
        </w:rPr>
      </w:pPr>
      <w:r w:rsidRPr="00A705D2">
        <w:rPr>
          <w:rFonts w:ascii="Arial" w:hAnsi="Arial" w:cs="Arial"/>
          <w:color w:val="000000"/>
          <w:sz w:val="22"/>
          <w:szCs w:val="22"/>
        </w:rPr>
        <w:t>Person-centred care (PCC) and partnership working are important in health and social care because they promote individual choice and coordinated support. However, their implementation can be affected by communication difficulties, staff shortages and limited resources.</w:t>
      </w:r>
    </w:p>
    <w:p w14:paraId="48DAA373" w14:textId="6AA3A2A3" w:rsidR="00A705D2" w:rsidRPr="00A705D2" w:rsidRDefault="00A705D2" w:rsidP="001D5AC5">
      <w:pPr>
        <w:pStyle w:val="NormalWeb"/>
        <w:spacing w:line="360" w:lineRule="auto"/>
        <w:rPr>
          <w:rFonts w:ascii="Arial" w:hAnsi="Arial" w:cs="Arial"/>
          <w:color w:val="000000"/>
          <w:sz w:val="22"/>
          <w:szCs w:val="22"/>
        </w:rPr>
      </w:pPr>
      <w:r w:rsidRPr="00A705D2">
        <w:rPr>
          <w:rFonts w:ascii="Arial" w:hAnsi="Arial" w:cs="Arial"/>
          <w:color w:val="000000"/>
          <w:sz w:val="22"/>
          <w:szCs w:val="22"/>
        </w:rPr>
        <w:t>This report focuses on hospital discharge planning in an acute hospital in England. It examines PCC, relevant theoretical frameworks, ethical principles, partnership working and legislation before recommending improvements to discharge practice.</w:t>
      </w:r>
    </w:p>
    <w:p w14:paraId="1E7B95A6" w14:textId="6F118314" w:rsidR="004C137A" w:rsidRPr="005625E0" w:rsidRDefault="004C137A" w:rsidP="001D5AC5">
      <w:pPr>
        <w:pStyle w:val="Heading1"/>
        <w:spacing w:line="360" w:lineRule="auto"/>
        <w:rPr>
          <w:rFonts w:ascii="Arial" w:hAnsi="Arial" w:cs="Arial"/>
          <w:sz w:val="22"/>
          <w:szCs w:val="22"/>
        </w:rPr>
      </w:pPr>
      <w:r w:rsidRPr="00A907BF">
        <w:rPr>
          <w:rFonts w:ascii="Arial" w:hAnsi="Arial" w:cs="Arial"/>
          <w:sz w:val="28"/>
          <w:szCs w:val="28"/>
        </w:rPr>
        <w:t>2. Person-Centred Care: Definition, Benefits and Limitations</w:t>
      </w:r>
    </w:p>
    <w:p w14:paraId="64A057D3" w14:textId="780B1F15" w:rsidR="004C137A" w:rsidRPr="005625E0" w:rsidRDefault="004C137A" w:rsidP="001D5AC5">
      <w:pPr>
        <w:spacing w:line="360" w:lineRule="auto"/>
        <w:rPr>
          <w:rFonts w:ascii="Arial" w:hAnsi="Arial" w:cs="Arial"/>
          <w:sz w:val="22"/>
          <w:szCs w:val="22"/>
        </w:rPr>
      </w:pPr>
      <w:r w:rsidRPr="005625E0">
        <w:rPr>
          <w:rFonts w:ascii="Arial" w:hAnsi="Arial" w:cs="Arial"/>
          <w:sz w:val="22"/>
          <w:szCs w:val="22"/>
        </w:rPr>
        <w:t xml:space="preserve">Person-centred care is an approach in which </w:t>
      </w:r>
      <w:proofErr w:type="gramStart"/>
      <w:r w:rsidRPr="005625E0">
        <w:rPr>
          <w:rFonts w:ascii="Arial" w:hAnsi="Arial" w:cs="Arial"/>
          <w:sz w:val="22"/>
          <w:szCs w:val="22"/>
        </w:rPr>
        <w:t>care</w:t>
      </w:r>
      <w:proofErr w:type="gramEnd"/>
      <w:r w:rsidRPr="005625E0">
        <w:rPr>
          <w:rFonts w:ascii="Arial" w:hAnsi="Arial" w:cs="Arial"/>
          <w:sz w:val="22"/>
          <w:szCs w:val="22"/>
        </w:rPr>
        <w:t xml:space="preserve"> and support are planned around an individual’s needs, preferences, values, circumstances and desired outcomes. Rather than </w:t>
      </w:r>
      <w:proofErr w:type="gramStart"/>
      <w:r w:rsidRPr="005625E0">
        <w:rPr>
          <w:rFonts w:ascii="Arial" w:hAnsi="Arial" w:cs="Arial"/>
          <w:sz w:val="22"/>
          <w:szCs w:val="22"/>
        </w:rPr>
        <w:t>assuming that</w:t>
      </w:r>
      <w:proofErr w:type="gramEnd"/>
      <w:r w:rsidRPr="005625E0">
        <w:rPr>
          <w:rFonts w:ascii="Arial" w:hAnsi="Arial" w:cs="Arial"/>
          <w:sz w:val="22"/>
          <w:szCs w:val="22"/>
        </w:rPr>
        <w:t xml:space="preserve"> professionals know what is best, it recognises the individual as an active participant in decisions about their life. NHS England (n.d.) describes personalised care as an approach that gives people greater choice and control over how their care is planned and delivered.</w:t>
      </w:r>
      <w:r w:rsidR="00FE3273">
        <w:rPr>
          <w:rFonts w:ascii="Arial" w:hAnsi="Arial" w:cs="Arial"/>
          <w:sz w:val="22"/>
          <w:szCs w:val="22"/>
        </w:rPr>
        <w:t xml:space="preserve"> </w:t>
      </w:r>
      <w:r w:rsidR="00FE3273" w:rsidRPr="00FE3273">
        <w:rPr>
          <w:rFonts w:ascii="Arial" w:hAnsi="Arial" w:cs="Arial"/>
          <w:sz w:val="22"/>
          <w:szCs w:val="22"/>
        </w:rPr>
        <w:t>This approach recognises the importance of treating people as individuals and involving them in decisions about their care (The Health Foundation, 2014).</w:t>
      </w:r>
    </w:p>
    <w:p w14:paraId="2E1EDADE" w14:textId="498C8DFA" w:rsidR="004C137A" w:rsidRPr="005625E0" w:rsidRDefault="00A705D2" w:rsidP="001D5AC5">
      <w:pPr>
        <w:spacing w:line="360" w:lineRule="auto"/>
        <w:rPr>
          <w:rFonts w:ascii="Arial" w:hAnsi="Arial" w:cs="Arial"/>
          <w:sz w:val="22"/>
          <w:szCs w:val="22"/>
        </w:rPr>
      </w:pPr>
      <w:r w:rsidRPr="00A705D2">
        <w:rPr>
          <w:rFonts w:ascii="Arial" w:hAnsi="Arial" w:cs="Arial"/>
          <w:sz w:val="22"/>
          <w:szCs w:val="22"/>
        </w:rPr>
        <w:lastRenderedPageBreak/>
        <w:t>PCC supports autonomy by involving individuals in decisions and respecting their preferences. It also considers physical, emotional, psychological and social needs together, helping professionals plan support that reflects the whole person (The Health Foundation, 2014).</w:t>
      </w:r>
      <w:r>
        <w:rPr>
          <w:rFonts w:ascii="Arial" w:hAnsi="Arial" w:cs="Arial"/>
          <w:sz w:val="22"/>
          <w:szCs w:val="22"/>
        </w:rPr>
        <w:t xml:space="preserve"> </w:t>
      </w:r>
      <w:r w:rsidR="004C137A" w:rsidRPr="005625E0">
        <w:rPr>
          <w:rFonts w:ascii="Arial" w:hAnsi="Arial" w:cs="Arial"/>
          <w:sz w:val="22"/>
          <w:szCs w:val="22"/>
        </w:rPr>
        <w:t>However, there are limitations. Personalised care can require additional time for assessments, discussions and reviews. Under pressure from staffing shortages and heavy workloads, professionals may struggle to give individuals sufficient opportunities to express their preferences. Limited funding may also restrict the choices available, meaning that people are offered only the services their local area can afford.</w:t>
      </w:r>
    </w:p>
    <w:p w14:paraId="75436B4E" w14:textId="77C4D0D6" w:rsidR="004C137A" w:rsidRDefault="004C137A" w:rsidP="001D5AC5">
      <w:pPr>
        <w:spacing w:line="360" w:lineRule="auto"/>
        <w:rPr>
          <w:rFonts w:ascii="Arial" w:hAnsi="Arial" w:cs="Arial"/>
          <w:sz w:val="22"/>
          <w:szCs w:val="22"/>
        </w:rPr>
      </w:pPr>
      <w:r w:rsidRPr="005625E0">
        <w:rPr>
          <w:rFonts w:ascii="Arial" w:hAnsi="Arial" w:cs="Arial"/>
          <w:sz w:val="22"/>
          <w:szCs w:val="22"/>
        </w:rPr>
        <w:t>A further limitation concerns conflicting preferences and professional responsibilities. An individual may choose an option that professionals consider risky, creating tension between autonomy and the duty to protect them from harm.</w:t>
      </w:r>
    </w:p>
    <w:p w14:paraId="6985AA68" w14:textId="5E4FA473" w:rsidR="000C2977" w:rsidRPr="005625E0" w:rsidRDefault="000C2977" w:rsidP="001D5AC5">
      <w:pPr>
        <w:spacing w:line="360" w:lineRule="auto"/>
        <w:rPr>
          <w:rFonts w:ascii="Arial" w:hAnsi="Arial" w:cs="Arial"/>
          <w:sz w:val="22"/>
          <w:szCs w:val="22"/>
        </w:rPr>
      </w:pPr>
      <w:r w:rsidRPr="000C2977">
        <w:rPr>
          <w:rFonts w:ascii="Arial" w:hAnsi="Arial" w:cs="Arial"/>
          <w:sz w:val="22"/>
          <w:szCs w:val="22"/>
        </w:rPr>
        <w:t xml:space="preserve">In hospital discharge planning, these benefits and limitations can be seen when an individual wishes to return home despite concerns about mobility or the risk of falling. A person-centred approach requires professionals to explore why returning home is important to the individual and consider whether equipment, rehabilitation or community support could make this preference achievable. However, the available options may be restricted by local service capacity. </w:t>
      </w:r>
    </w:p>
    <w:p w14:paraId="01E0EEEA" w14:textId="6555A50D" w:rsidR="004C137A" w:rsidRPr="00A907BF" w:rsidRDefault="004C137A" w:rsidP="001D5AC5">
      <w:pPr>
        <w:pStyle w:val="Heading1"/>
        <w:spacing w:line="360" w:lineRule="auto"/>
        <w:rPr>
          <w:rFonts w:ascii="Arial" w:hAnsi="Arial" w:cs="Arial"/>
          <w:sz w:val="28"/>
          <w:szCs w:val="28"/>
        </w:rPr>
      </w:pPr>
      <w:r w:rsidRPr="00A907BF">
        <w:rPr>
          <w:rFonts w:ascii="Arial" w:hAnsi="Arial" w:cs="Arial"/>
          <w:sz w:val="28"/>
          <w:szCs w:val="28"/>
        </w:rPr>
        <w:t>3. Critical Examination of a Model Underpinning Person-Centred Care</w:t>
      </w:r>
    </w:p>
    <w:p w14:paraId="2CDCE47E" w14:textId="21A9C249" w:rsidR="004C137A" w:rsidRPr="00A907BF" w:rsidRDefault="004C137A" w:rsidP="001D5AC5">
      <w:pPr>
        <w:pStyle w:val="Heading2"/>
        <w:spacing w:line="360" w:lineRule="auto"/>
        <w:rPr>
          <w:rFonts w:ascii="Arial" w:hAnsi="Arial" w:cs="Arial"/>
          <w:sz w:val="24"/>
          <w:szCs w:val="24"/>
        </w:rPr>
      </w:pPr>
      <w:r w:rsidRPr="00A907BF">
        <w:rPr>
          <w:rFonts w:ascii="Arial" w:hAnsi="Arial" w:cs="Arial"/>
          <w:sz w:val="24"/>
          <w:szCs w:val="24"/>
        </w:rPr>
        <w:t>3.1 The Person-Centred Practice Framework</w:t>
      </w:r>
    </w:p>
    <w:p w14:paraId="118735DF" w14:textId="25FF8887" w:rsidR="004C137A" w:rsidRPr="005625E0" w:rsidRDefault="004C137A" w:rsidP="001D5AC5">
      <w:pPr>
        <w:spacing w:line="360" w:lineRule="auto"/>
        <w:rPr>
          <w:rFonts w:ascii="Arial" w:hAnsi="Arial" w:cs="Arial"/>
          <w:sz w:val="22"/>
          <w:szCs w:val="22"/>
        </w:rPr>
      </w:pPr>
      <w:r w:rsidRPr="005625E0">
        <w:rPr>
          <w:rFonts w:ascii="Arial" w:hAnsi="Arial" w:cs="Arial"/>
          <w:sz w:val="22"/>
          <w:szCs w:val="22"/>
        </w:rPr>
        <w:t>The Person-Centred Practice Framework developed by McCormack and McCance provides a useful model for understanding how PCC can be implemented in health and social care. It emphasises the relationship between the care environment, effective professional practice, person-centred processes and the outcomes experienced by individuals (McCormack and McCance, 2017).</w:t>
      </w:r>
    </w:p>
    <w:p w14:paraId="73A98F90" w14:textId="31ACD2F5" w:rsidR="004C137A" w:rsidRPr="005625E0" w:rsidRDefault="004C137A" w:rsidP="001D5AC5">
      <w:pPr>
        <w:spacing w:line="360" w:lineRule="auto"/>
        <w:rPr>
          <w:rFonts w:ascii="Arial" w:hAnsi="Arial" w:cs="Arial"/>
          <w:sz w:val="22"/>
          <w:szCs w:val="22"/>
        </w:rPr>
      </w:pPr>
      <w:r w:rsidRPr="005625E0">
        <w:rPr>
          <w:rFonts w:ascii="Arial" w:hAnsi="Arial" w:cs="Arial"/>
          <w:sz w:val="22"/>
          <w:szCs w:val="22"/>
        </w:rPr>
        <w:t>The framework suggests that person-centred care requires more than professionals being polite or showing kindness. Staff need appropriate knowledge and skills, self-awareness, effective communication and an understanding of the individual’s values. The working environment must also support staff to provide care that responds to individual needs.</w:t>
      </w:r>
      <w:r w:rsidR="00FE3273" w:rsidRPr="00FE3273">
        <w:t xml:space="preserve"> </w:t>
      </w:r>
    </w:p>
    <w:p w14:paraId="4E4120B8" w14:textId="0E9C0188" w:rsidR="004C137A" w:rsidRPr="005625E0" w:rsidRDefault="003A3301" w:rsidP="001D5AC5">
      <w:pPr>
        <w:spacing w:line="360" w:lineRule="auto"/>
        <w:rPr>
          <w:rFonts w:ascii="Arial" w:hAnsi="Arial" w:cs="Arial"/>
          <w:sz w:val="22"/>
          <w:szCs w:val="22"/>
        </w:rPr>
      </w:pPr>
      <w:r w:rsidRPr="003A3301">
        <w:rPr>
          <w:rFonts w:ascii="Arial" w:hAnsi="Arial" w:cs="Arial"/>
          <w:sz w:val="22"/>
          <w:szCs w:val="22"/>
        </w:rPr>
        <w:t xml:space="preserve">A strength of the framework is its recognition that organisational culture influences care. Staff may struggle to provide personalised support when staffing is </w:t>
      </w:r>
      <w:proofErr w:type="gramStart"/>
      <w:r w:rsidRPr="003A3301">
        <w:rPr>
          <w:rFonts w:ascii="Arial" w:hAnsi="Arial" w:cs="Arial"/>
          <w:sz w:val="22"/>
          <w:szCs w:val="22"/>
        </w:rPr>
        <w:t>inadequate</w:t>
      </w:r>
      <w:proofErr w:type="gramEnd"/>
      <w:r w:rsidRPr="003A3301">
        <w:rPr>
          <w:rFonts w:ascii="Arial" w:hAnsi="Arial" w:cs="Arial"/>
          <w:sz w:val="22"/>
          <w:szCs w:val="22"/>
        </w:rPr>
        <w:t xml:space="preserve"> or task completion takes priority over meaningful interaction. This demonstrates that PCC requires both professional commitment and organisational support (McCormack and McCance, 2017).</w:t>
      </w:r>
      <w:r>
        <w:rPr>
          <w:rFonts w:ascii="Arial" w:hAnsi="Arial" w:cs="Arial"/>
          <w:sz w:val="22"/>
          <w:szCs w:val="22"/>
        </w:rPr>
        <w:t xml:space="preserve"> </w:t>
      </w:r>
      <w:r w:rsidR="004C137A" w:rsidRPr="005625E0">
        <w:rPr>
          <w:rFonts w:ascii="Arial" w:hAnsi="Arial" w:cs="Arial"/>
          <w:sz w:val="22"/>
          <w:szCs w:val="22"/>
        </w:rPr>
        <w:t xml:space="preserve">Nevertheless, the framework has limitations. Its principles can be difficult to measure </w:t>
      </w:r>
      <w:r w:rsidR="004C137A" w:rsidRPr="005625E0">
        <w:rPr>
          <w:rFonts w:ascii="Arial" w:hAnsi="Arial" w:cs="Arial"/>
          <w:sz w:val="22"/>
          <w:szCs w:val="22"/>
        </w:rPr>
        <w:lastRenderedPageBreak/>
        <w:t xml:space="preserve">because concepts such as feeling valued, having a meaningful relationship and experiencing a sense of wellbeing are partly subjective. </w:t>
      </w:r>
    </w:p>
    <w:p w14:paraId="548179D9" w14:textId="77777777" w:rsidR="00A705D2" w:rsidRDefault="00A705D2" w:rsidP="001D5AC5">
      <w:pPr>
        <w:spacing w:line="360" w:lineRule="auto"/>
        <w:rPr>
          <w:rFonts w:ascii="Arial" w:hAnsi="Arial" w:cs="Arial"/>
          <w:sz w:val="22"/>
          <w:szCs w:val="22"/>
        </w:rPr>
      </w:pPr>
      <w:r w:rsidRPr="00A705D2">
        <w:rPr>
          <w:rFonts w:ascii="Arial" w:hAnsi="Arial" w:cs="Arial"/>
          <w:sz w:val="22"/>
          <w:szCs w:val="22"/>
        </w:rPr>
        <w:t>A limitation is that person-centred practice can become a checklist rather than meaningful involvement. Completing a care plan does not prove that a person has influenced decisions. The framework can also be difficult to apply when staffing and community resources are limited. For example, an older person may wish to return home but have few support options available. Services should therefore assess not only whether care plans are completed, but also whether people feel heard and achieve meaningful outcomes.</w:t>
      </w:r>
    </w:p>
    <w:p w14:paraId="1872D69B" w14:textId="062C5ADE" w:rsidR="000C2977" w:rsidRPr="003A3301" w:rsidRDefault="000C2977" w:rsidP="001D5AC5">
      <w:pPr>
        <w:pStyle w:val="Heading1"/>
        <w:spacing w:line="360" w:lineRule="auto"/>
        <w:rPr>
          <w:rFonts w:ascii="Arial" w:hAnsi="Arial" w:cs="Arial"/>
          <w:sz w:val="28"/>
          <w:szCs w:val="28"/>
        </w:rPr>
      </w:pPr>
      <w:r w:rsidRPr="003A3301">
        <w:rPr>
          <w:rFonts w:ascii="Arial" w:hAnsi="Arial" w:cs="Arial"/>
          <w:sz w:val="28"/>
          <w:szCs w:val="28"/>
        </w:rPr>
        <w:t>3.2 A complementary person-centred perspective</w:t>
      </w:r>
    </w:p>
    <w:p w14:paraId="543B4E78" w14:textId="2B58EE11" w:rsidR="000C2977" w:rsidRPr="000C2977" w:rsidRDefault="000C2977" w:rsidP="001D5AC5">
      <w:pPr>
        <w:spacing w:line="360" w:lineRule="auto"/>
        <w:rPr>
          <w:rFonts w:ascii="Arial" w:hAnsi="Arial" w:cs="Arial"/>
          <w:sz w:val="22"/>
          <w:szCs w:val="22"/>
        </w:rPr>
      </w:pPr>
      <w:proofErr w:type="spellStart"/>
      <w:r w:rsidRPr="000C2977">
        <w:rPr>
          <w:rFonts w:ascii="Arial" w:hAnsi="Arial" w:cs="Arial"/>
          <w:sz w:val="22"/>
          <w:szCs w:val="22"/>
        </w:rPr>
        <w:t>Kitwood's</w:t>
      </w:r>
      <w:proofErr w:type="spellEnd"/>
      <w:r w:rsidRPr="000C2977">
        <w:rPr>
          <w:rFonts w:ascii="Arial" w:hAnsi="Arial" w:cs="Arial"/>
          <w:sz w:val="22"/>
          <w:szCs w:val="22"/>
        </w:rPr>
        <w:t xml:space="preserve"> work on person-centred dementia care offers a complementary perspective by emphasising the importance of recognising the person beyond their condition and responding to their individual identity and experiences (</w:t>
      </w:r>
      <w:proofErr w:type="spellStart"/>
      <w:r w:rsidRPr="000C2977">
        <w:rPr>
          <w:rFonts w:ascii="Arial" w:hAnsi="Arial" w:cs="Arial"/>
          <w:sz w:val="22"/>
          <w:szCs w:val="22"/>
        </w:rPr>
        <w:t>Kitwood</w:t>
      </w:r>
      <w:proofErr w:type="spellEnd"/>
      <w:r w:rsidRPr="000C2977">
        <w:rPr>
          <w:rFonts w:ascii="Arial" w:hAnsi="Arial" w:cs="Arial"/>
          <w:sz w:val="22"/>
          <w:szCs w:val="22"/>
        </w:rPr>
        <w:t>, 1997). This perspective can help professionals reflect on how communication, dignity and relationships influence the experience of care. In hospital discharge planning, for example, an older adult should not be defined solely by their fall or reduced mobility. Their personal routines, relationships and wishes about living at home should also inform discussions about support.</w:t>
      </w:r>
    </w:p>
    <w:p w14:paraId="7C68AD3E" w14:textId="77777777" w:rsidR="00A705D2" w:rsidRDefault="000C2977" w:rsidP="001D5AC5">
      <w:pPr>
        <w:spacing w:line="360" w:lineRule="auto"/>
        <w:rPr>
          <w:rFonts w:ascii="Arial" w:hAnsi="Arial" w:cs="Arial"/>
          <w:sz w:val="22"/>
          <w:szCs w:val="22"/>
        </w:rPr>
      </w:pPr>
      <w:r w:rsidRPr="000C2977">
        <w:rPr>
          <w:rFonts w:ascii="Arial" w:hAnsi="Arial" w:cs="Arial"/>
          <w:sz w:val="22"/>
          <w:szCs w:val="22"/>
        </w:rPr>
        <w:t xml:space="preserve">However, recognising an individual's identity and preferences does not, by itself, resolve practical difficulties such as insufficient community care provision or disagreements between professionals. </w:t>
      </w:r>
      <w:proofErr w:type="spellStart"/>
      <w:r w:rsidRPr="000C2977">
        <w:rPr>
          <w:rFonts w:ascii="Arial" w:hAnsi="Arial" w:cs="Arial"/>
          <w:sz w:val="22"/>
          <w:szCs w:val="22"/>
        </w:rPr>
        <w:t>Kitwood's</w:t>
      </w:r>
      <w:proofErr w:type="spellEnd"/>
      <w:r w:rsidRPr="000C2977">
        <w:rPr>
          <w:rFonts w:ascii="Arial" w:hAnsi="Arial" w:cs="Arial"/>
          <w:sz w:val="22"/>
          <w:szCs w:val="22"/>
        </w:rPr>
        <w:t xml:space="preserve"> perspective and the Person-Centred Practice Framework therefore offer complementary insights: one highlights the person's identity and experience, while the other helps explain the professional and organisational conditions needed to support person-centred practice. Their application depends on professionals translating these principles into meaningful involvement and realistic care arrangements.</w:t>
      </w:r>
    </w:p>
    <w:p w14:paraId="32EF04BC" w14:textId="17B4568A" w:rsidR="004C137A" w:rsidRPr="003A3301" w:rsidRDefault="004C137A" w:rsidP="001D5AC5">
      <w:pPr>
        <w:pStyle w:val="Heading1"/>
        <w:spacing w:line="360" w:lineRule="auto"/>
        <w:rPr>
          <w:rFonts w:ascii="Arial" w:hAnsi="Arial" w:cs="Arial"/>
          <w:sz w:val="28"/>
          <w:szCs w:val="28"/>
        </w:rPr>
      </w:pPr>
      <w:r w:rsidRPr="003A3301">
        <w:rPr>
          <w:rFonts w:ascii="Arial" w:hAnsi="Arial" w:cs="Arial"/>
          <w:sz w:val="28"/>
          <w:szCs w:val="28"/>
        </w:rPr>
        <w:t>4. Ethical Fundamentals of Health and Social Care</w:t>
      </w:r>
    </w:p>
    <w:p w14:paraId="7C6AA5B0" w14:textId="21ABF548" w:rsidR="004C137A" w:rsidRPr="005625E0" w:rsidRDefault="004C137A" w:rsidP="001D5AC5">
      <w:pPr>
        <w:spacing w:line="360" w:lineRule="auto"/>
        <w:rPr>
          <w:rFonts w:ascii="Arial" w:hAnsi="Arial" w:cs="Arial"/>
          <w:sz w:val="22"/>
          <w:szCs w:val="22"/>
        </w:rPr>
      </w:pPr>
      <w:r w:rsidRPr="005625E0">
        <w:rPr>
          <w:rFonts w:ascii="Arial" w:hAnsi="Arial" w:cs="Arial"/>
          <w:sz w:val="22"/>
          <w:szCs w:val="22"/>
        </w:rPr>
        <w:t>Ethics provides a foundation for making decisions about what is right, fair and appropriate in professional care. Four widely recognised principles are autonomy, beneficence, non-maleficence and justice (Beauchamp and Childress, 2019).</w:t>
      </w:r>
    </w:p>
    <w:p w14:paraId="56B87137" w14:textId="11F3807F" w:rsidR="00A705D2" w:rsidRPr="00A705D2" w:rsidRDefault="00A705D2" w:rsidP="001D5AC5">
      <w:pPr>
        <w:spacing w:line="360" w:lineRule="auto"/>
        <w:rPr>
          <w:rFonts w:ascii="Arial" w:hAnsi="Arial" w:cs="Arial"/>
          <w:sz w:val="22"/>
          <w:szCs w:val="22"/>
        </w:rPr>
      </w:pPr>
      <w:r w:rsidRPr="00A705D2">
        <w:rPr>
          <w:rFonts w:ascii="Arial" w:hAnsi="Arial" w:cs="Arial"/>
          <w:sz w:val="22"/>
          <w:szCs w:val="22"/>
        </w:rPr>
        <w:t>Autonomy means respecting people's right to make informed decisions about their care and obtaining valid consent.</w:t>
      </w:r>
    </w:p>
    <w:p w14:paraId="25EA6D8A" w14:textId="0B4C3DE5" w:rsidR="00A705D2" w:rsidRPr="00A705D2" w:rsidRDefault="00A705D2" w:rsidP="001D5AC5">
      <w:pPr>
        <w:spacing w:line="360" w:lineRule="auto"/>
        <w:rPr>
          <w:rFonts w:ascii="Arial" w:hAnsi="Arial" w:cs="Arial"/>
          <w:sz w:val="22"/>
          <w:szCs w:val="22"/>
        </w:rPr>
      </w:pPr>
      <w:r w:rsidRPr="00A705D2">
        <w:rPr>
          <w:rFonts w:ascii="Arial" w:hAnsi="Arial" w:cs="Arial"/>
          <w:sz w:val="22"/>
          <w:szCs w:val="22"/>
        </w:rPr>
        <w:t>Beneficence</w:t>
      </w:r>
      <w:r>
        <w:rPr>
          <w:rFonts w:ascii="Arial" w:hAnsi="Arial" w:cs="Arial"/>
          <w:sz w:val="22"/>
          <w:szCs w:val="22"/>
        </w:rPr>
        <w:t xml:space="preserve"> </w:t>
      </w:r>
      <w:r w:rsidRPr="00A705D2">
        <w:rPr>
          <w:rFonts w:ascii="Arial" w:hAnsi="Arial" w:cs="Arial"/>
          <w:sz w:val="22"/>
          <w:szCs w:val="22"/>
        </w:rPr>
        <w:t>means acting to promote wellbeing, while recognising that professionals should not assume their priorities are the same as the individual's.</w:t>
      </w:r>
    </w:p>
    <w:p w14:paraId="1732AD54" w14:textId="5A919965" w:rsidR="00A705D2" w:rsidRPr="00A705D2" w:rsidRDefault="00A705D2" w:rsidP="001D5AC5">
      <w:pPr>
        <w:spacing w:line="360" w:lineRule="auto"/>
        <w:rPr>
          <w:rFonts w:ascii="Arial" w:hAnsi="Arial" w:cs="Arial"/>
          <w:sz w:val="22"/>
          <w:szCs w:val="22"/>
        </w:rPr>
      </w:pPr>
      <w:r w:rsidRPr="00A705D2">
        <w:rPr>
          <w:rFonts w:ascii="Arial" w:hAnsi="Arial" w:cs="Arial"/>
          <w:sz w:val="22"/>
          <w:szCs w:val="22"/>
        </w:rPr>
        <w:lastRenderedPageBreak/>
        <w:t>Non-maleficence means preventing or minimising harm. However, avoiding every risk may unnecessarily restrict independence.</w:t>
      </w:r>
    </w:p>
    <w:p w14:paraId="77580C7D" w14:textId="77777777" w:rsidR="00A705D2" w:rsidRDefault="00A705D2" w:rsidP="001D5AC5">
      <w:pPr>
        <w:spacing w:line="360" w:lineRule="auto"/>
        <w:rPr>
          <w:rFonts w:ascii="Arial" w:hAnsi="Arial" w:cs="Arial"/>
          <w:sz w:val="22"/>
          <w:szCs w:val="22"/>
        </w:rPr>
      </w:pPr>
      <w:r w:rsidRPr="00A705D2">
        <w:rPr>
          <w:rFonts w:ascii="Arial" w:hAnsi="Arial" w:cs="Arial"/>
          <w:sz w:val="22"/>
          <w:szCs w:val="22"/>
        </w:rPr>
        <w:t>Justice</w:t>
      </w:r>
      <w:r>
        <w:rPr>
          <w:rFonts w:ascii="Arial" w:hAnsi="Arial" w:cs="Arial"/>
          <w:sz w:val="22"/>
          <w:szCs w:val="22"/>
        </w:rPr>
        <w:t xml:space="preserve"> </w:t>
      </w:r>
      <w:r w:rsidRPr="00A705D2">
        <w:rPr>
          <w:rFonts w:ascii="Arial" w:hAnsi="Arial" w:cs="Arial"/>
          <w:sz w:val="22"/>
          <w:szCs w:val="22"/>
        </w:rPr>
        <w:t>means treating people fairly and distributing services according to need, without discrimination.</w:t>
      </w:r>
      <w:r>
        <w:rPr>
          <w:rFonts w:ascii="Arial" w:hAnsi="Arial" w:cs="Arial"/>
          <w:sz w:val="22"/>
          <w:szCs w:val="22"/>
        </w:rPr>
        <w:t xml:space="preserve"> </w:t>
      </w:r>
    </w:p>
    <w:p w14:paraId="36219F73" w14:textId="0E6FF008" w:rsidR="004C137A" w:rsidRPr="005625E0" w:rsidRDefault="004C137A" w:rsidP="001D5AC5">
      <w:pPr>
        <w:spacing w:line="360" w:lineRule="auto"/>
        <w:rPr>
          <w:rFonts w:ascii="Arial" w:hAnsi="Arial" w:cs="Arial"/>
          <w:sz w:val="22"/>
          <w:szCs w:val="22"/>
        </w:rPr>
      </w:pPr>
      <w:r w:rsidRPr="005625E0">
        <w:rPr>
          <w:rFonts w:ascii="Arial" w:hAnsi="Arial" w:cs="Arial"/>
          <w:sz w:val="22"/>
          <w:szCs w:val="22"/>
        </w:rPr>
        <w:t xml:space="preserve">Confidentiality and professional accountability are also essential. Professionals may need to share information to coordinate care, but information should be shared lawfully, securely and only when justified. </w:t>
      </w:r>
    </w:p>
    <w:p w14:paraId="70057576" w14:textId="77777777" w:rsidR="003A3301" w:rsidRDefault="004C137A" w:rsidP="001D5AC5">
      <w:pPr>
        <w:spacing w:line="360" w:lineRule="auto"/>
        <w:rPr>
          <w:rFonts w:ascii="Arial" w:hAnsi="Arial" w:cs="Arial"/>
          <w:sz w:val="22"/>
          <w:szCs w:val="22"/>
        </w:rPr>
      </w:pPr>
      <w:r w:rsidRPr="005625E0">
        <w:rPr>
          <w:rFonts w:ascii="Arial" w:hAnsi="Arial" w:cs="Arial"/>
          <w:sz w:val="22"/>
          <w:szCs w:val="22"/>
        </w:rPr>
        <w:t xml:space="preserve">Ethical principles can sometimes conflict. For example, an adult with capacity may wish to return home after hospital treatment despite concerns about falls. </w:t>
      </w:r>
      <w:r w:rsidR="003A3301" w:rsidRPr="003A3301">
        <w:rPr>
          <w:rFonts w:ascii="Arial" w:hAnsi="Arial" w:cs="Arial"/>
          <w:sz w:val="22"/>
          <w:szCs w:val="22"/>
        </w:rPr>
        <w:t>The individual may prioritise independence, while family members and professionals may focus on safety. These viewpoints should be discussed respectfully. Professionals should explain risks, explore safeguards and follow the Mental Capacity Act 2005 where capacity is in question. The aim is to respect the person's rights while planning appropriate support.</w:t>
      </w:r>
    </w:p>
    <w:p w14:paraId="6640EDB8" w14:textId="4A6DC403" w:rsidR="004C137A" w:rsidRPr="003A3301" w:rsidRDefault="004C137A" w:rsidP="001D5AC5">
      <w:pPr>
        <w:pStyle w:val="Heading1"/>
        <w:spacing w:line="360" w:lineRule="auto"/>
        <w:rPr>
          <w:rFonts w:ascii="Arial" w:hAnsi="Arial" w:cs="Arial"/>
          <w:sz w:val="28"/>
          <w:szCs w:val="28"/>
        </w:rPr>
      </w:pPr>
      <w:r w:rsidRPr="003A3301">
        <w:rPr>
          <w:rFonts w:ascii="Arial" w:hAnsi="Arial" w:cs="Arial"/>
          <w:sz w:val="28"/>
          <w:szCs w:val="28"/>
        </w:rPr>
        <w:t>5. Evaluation of Partnership Working in Health and Social Care</w:t>
      </w:r>
    </w:p>
    <w:p w14:paraId="050AAE27" w14:textId="57B0395B" w:rsidR="004C137A" w:rsidRPr="001D5AC5" w:rsidRDefault="004C137A" w:rsidP="001D5AC5">
      <w:pPr>
        <w:spacing w:line="360" w:lineRule="auto"/>
        <w:rPr>
          <w:rFonts w:ascii="Arial" w:hAnsi="Arial" w:cs="Arial"/>
          <w:sz w:val="22"/>
          <w:szCs w:val="22"/>
        </w:rPr>
      </w:pPr>
      <w:r w:rsidRPr="001D5AC5">
        <w:rPr>
          <w:rFonts w:ascii="Arial" w:hAnsi="Arial" w:cs="Arial"/>
          <w:sz w:val="22"/>
          <w:szCs w:val="22"/>
        </w:rPr>
        <w:t>Partnership working refers to different professionals, organisations and individuals working together to achieve shared outcomes. These partnerships may involve NHS staff, local authorities, social workers, care providers</w:t>
      </w:r>
      <w:r w:rsidR="00AB065F" w:rsidRPr="001D5AC5">
        <w:rPr>
          <w:rFonts w:ascii="Arial" w:hAnsi="Arial" w:cs="Arial"/>
          <w:sz w:val="22"/>
          <w:szCs w:val="22"/>
        </w:rPr>
        <w:t>.</w:t>
      </w:r>
    </w:p>
    <w:p w14:paraId="700F8821" w14:textId="75FF5DC4" w:rsidR="00A705D2" w:rsidRPr="001D5AC5" w:rsidRDefault="00A705D2" w:rsidP="001D5AC5">
      <w:pPr>
        <w:spacing w:line="360" w:lineRule="auto"/>
        <w:rPr>
          <w:rFonts w:ascii="Arial" w:hAnsi="Arial" w:cs="Arial"/>
          <w:color w:val="000000"/>
          <w:sz w:val="22"/>
          <w:szCs w:val="22"/>
        </w:rPr>
      </w:pPr>
      <w:r w:rsidRPr="001D5AC5">
        <w:rPr>
          <w:rFonts w:ascii="Arial" w:hAnsi="Arial" w:cs="Arial"/>
          <w:color w:val="000000"/>
          <w:sz w:val="22"/>
          <w:szCs w:val="22"/>
        </w:rPr>
        <w:t>Partnership</w:t>
      </w:r>
      <w:r w:rsidRPr="001D5AC5">
        <w:rPr>
          <w:rStyle w:val="apple-converted-space"/>
          <w:rFonts w:ascii="Arial" w:hAnsi="Arial" w:cs="Arial"/>
          <w:color w:val="000000"/>
          <w:sz w:val="22"/>
          <w:szCs w:val="22"/>
        </w:rPr>
        <w:t> </w:t>
      </w:r>
      <w:r w:rsidRPr="001D5AC5">
        <w:rPr>
          <w:rFonts w:ascii="Arial" w:hAnsi="Arial" w:cs="Arial"/>
          <w:color w:val="000000"/>
          <w:sz w:val="22"/>
          <w:szCs w:val="22"/>
        </w:rPr>
        <w:t>working</w:t>
      </w:r>
      <w:r w:rsidRPr="001D5AC5">
        <w:rPr>
          <w:rStyle w:val="apple-converted-space"/>
          <w:rFonts w:ascii="Arial" w:hAnsi="Arial" w:cs="Arial"/>
          <w:color w:val="000000"/>
          <w:sz w:val="22"/>
          <w:szCs w:val="22"/>
        </w:rPr>
        <w:t> </w:t>
      </w:r>
      <w:r w:rsidRPr="001D5AC5">
        <w:rPr>
          <w:rFonts w:ascii="Arial" w:hAnsi="Arial" w:cs="Arial"/>
          <w:color w:val="000000"/>
          <w:sz w:val="22"/>
          <w:szCs w:val="22"/>
        </w:rPr>
        <w:t>brings</w:t>
      </w:r>
      <w:r w:rsidRPr="001D5AC5">
        <w:rPr>
          <w:rStyle w:val="apple-converted-space"/>
          <w:rFonts w:ascii="Arial" w:hAnsi="Arial" w:cs="Arial"/>
          <w:color w:val="000000"/>
          <w:sz w:val="22"/>
          <w:szCs w:val="22"/>
        </w:rPr>
        <w:t> </w:t>
      </w:r>
      <w:r w:rsidRPr="001D5AC5">
        <w:rPr>
          <w:rFonts w:ascii="Arial" w:hAnsi="Arial" w:cs="Arial"/>
          <w:color w:val="000000"/>
          <w:sz w:val="22"/>
          <w:szCs w:val="22"/>
        </w:rPr>
        <w:t>together</w:t>
      </w:r>
      <w:r w:rsidRPr="001D5AC5">
        <w:rPr>
          <w:rStyle w:val="apple-converted-space"/>
          <w:rFonts w:ascii="Arial" w:hAnsi="Arial" w:cs="Arial"/>
          <w:color w:val="000000"/>
          <w:sz w:val="22"/>
          <w:szCs w:val="22"/>
        </w:rPr>
        <w:t> </w:t>
      </w:r>
      <w:r w:rsidRPr="001D5AC5">
        <w:rPr>
          <w:rFonts w:ascii="Arial" w:hAnsi="Arial" w:cs="Arial"/>
          <w:color w:val="000000"/>
          <w:sz w:val="22"/>
          <w:szCs w:val="22"/>
        </w:rPr>
        <w:t>professional</w:t>
      </w:r>
      <w:r w:rsidRPr="001D5AC5">
        <w:rPr>
          <w:rStyle w:val="apple-converted-space"/>
          <w:rFonts w:ascii="Arial" w:hAnsi="Arial" w:cs="Arial"/>
          <w:color w:val="000000"/>
          <w:sz w:val="22"/>
          <w:szCs w:val="22"/>
        </w:rPr>
        <w:t> </w:t>
      </w:r>
      <w:r w:rsidRPr="001D5AC5">
        <w:rPr>
          <w:rFonts w:ascii="Arial" w:hAnsi="Arial" w:cs="Arial"/>
          <w:color w:val="000000"/>
          <w:sz w:val="22"/>
          <w:szCs w:val="22"/>
        </w:rPr>
        <w:t>expertise</w:t>
      </w:r>
      <w:r w:rsidRPr="001D5AC5">
        <w:rPr>
          <w:rStyle w:val="apple-converted-space"/>
          <w:rFonts w:ascii="Arial" w:hAnsi="Arial" w:cs="Arial"/>
          <w:color w:val="000000"/>
          <w:sz w:val="22"/>
          <w:szCs w:val="22"/>
        </w:rPr>
        <w:t> </w:t>
      </w:r>
      <w:r w:rsidRPr="001D5AC5">
        <w:rPr>
          <w:rFonts w:ascii="Arial" w:hAnsi="Arial" w:cs="Arial"/>
          <w:color w:val="000000"/>
          <w:sz w:val="22"/>
          <w:szCs w:val="22"/>
        </w:rPr>
        <w:t>and</w:t>
      </w:r>
      <w:r w:rsidRPr="001D5AC5">
        <w:rPr>
          <w:rStyle w:val="apple-converted-space"/>
          <w:rFonts w:ascii="Arial" w:hAnsi="Arial" w:cs="Arial"/>
          <w:color w:val="000000"/>
          <w:sz w:val="22"/>
          <w:szCs w:val="22"/>
        </w:rPr>
        <w:t> </w:t>
      </w:r>
      <w:r w:rsidRPr="001D5AC5">
        <w:rPr>
          <w:rFonts w:ascii="Arial" w:hAnsi="Arial" w:cs="Arial"/>
          <w:color w:val="000000"/>
          <w:sz w:val="22"/>
          <w:szCs w:val="22"/>
        </w:rPr>
        <w:t>can</w:t>
      </w:r>
      <w:r w:rsidRPr="001D5AC5">
        <w:rPr>
          <w:rStyle w:val="apple-converted-space"/>
          <w:rFonts w:ascii="Arial" w:hAnsi="Arial" w:cs="Arial"/>
          <w:color w:val="000000"/>
          <w:sz w:val="22"/>
          <w:szCs w:val="22"/>
        </w:rPr>
        <w:t> </w:t>
      </w:r>
      <w:r w:rsidRPr="001D5AC5">
        <w:rPr>
          <w:rFonts w:ascii="Arial" w:hAnsi="Arial" w:cs="Arial"/>
          <w:color w:val="000000"/>
          <w:sz w:val="22"/>
          <w:szCs w:val="22"/>
        </w:rPr>
        <w:t>improve</w:t>
      </w:r>
      <w:r w:rsidRPr="001D5AC5">
        <w:rPr>
          <w:rStyle w:val="apple-converted-space"/>
          <w:rFonts w:ascii="Arial" w:hAnsi="Arial" w:cs="Arial"/>
          <w:color w:val="000000"/>
          <w:sz w:val="22"/>
          <w:szCs w:val="22"/>
        </w:rPr>
        <w:t> </w:t>
      </w:r>
      <w:r w:rsidRPr="001D5AC5">
        <w:rPr>
          <w:rFonts w:ascii="Arial" w:hAnsi="Arial" w:cs="Arial"/>
          <w:color w:val="000000"/>
          <w:sz w:val="22"/>
          <w:szCs w:val="22"/>
        </w:rPr>
        <w:t>continuity</w:t>
      </w:r>
      <w:r w:rsidRPr="001D5AC5">
        <w:rPr>
          <w:rStyle w:val="apple-converted-space"/>
          <w:rFonts w:ascii="Arial" w:hAnsi="Arial" w:cs="Arial"/>
          <w:color w:val="000000"/>
          <w:sz w:val="22"/>
          <w:szCs w:val="22"/>
        </w:rPr>
        <w:t> </w:t>
      </w:r>
      <w:r w:rsidRPr="001D5AC5">
        <w:rPr>
          <w:rFonts w:ascii="Arial" w:hAnsi="Arial" w:cs="Arial"/>
          <w:color w:val="000000"/>
          <w:sz w:val="22"/>
          <w:szCs w:val="22"/>
        </w:rPr>
        <w:t>of</w:t>
      </w:r>
      <w:r w:rsidRPr="001D5AC5">
        <w:rPr>
          <w:rStyle w:val="apple-converted-space"/>
          <w:rFonts w:ascii="Arial" w:hAnsi="Arial" w:cs="Arial"/>
          <w:color w:val="000000"/>
          <w:sz w:val="22"/>
          <w:szCs w:val="22"/>
        </w:rPr>
        <w:t> </w:t>
      </w:r>
      <w:r w:rsidRPr="001D5AC5">
        <w:rPr>
          <w:rFonts w:ascii="Arial" w:hAnsi="Arial" w:cs="Arial"/>
          <w:color w:val="000000"/>
          <w:sz w:val="22"/>
          <w:szCs w:val="22"/>
        </w:rPr>
        <w:t>care.</w:t>
      </w:r>
    </w:p>
    <w:p w14:paraId="2885ACF3" w14:textId="42487078" w:rsidR="00FE3273" w:rsidRPr="001D5AC5" w:rsidRDefault="00FE3273" w:rsidP="001D5AC5">
      <w:pPr>
        <w:spacing w:line="360" w:lineRule="auto"/>
        <w:rPr>
          <w:rFonts w:ascii="Arial" w:hAnsi="Arial" w:cs="Arial"/>
          <w:color w:val="000000"/>
          <w:sz w:val="22"/>
          <w:szCs w:val="22"/>
        </w:rPr>
      </w:pPr>
      <w:r w:rsidRPr="001D5AC5">
        <w:rPr>
          <w:rFonts w:ascii="Arial" w:hAnsi="Arial" w:cs="Arial"/>
          <w:sz w:val="22"/>
          <w:szCs w:val="22"/>
        </w:rPr>
        <w:t>Effective integration requires organisations to coordinate their responsibilities and overcome differences in priorities and working practices (Glasby and Dickinson, 2014). A relationship-centred approach also recognises that the quality of care depends on relationships between service users, carers and professionals (Nolan et al., 2006).</w:t>
      </w:r>
    </w:p>
    <w:p w14:paraId="5DC4C661" w14:textId="3D0D35A7" w:rsidR="004C137A" w:rsidRPr="001D5AC5" w:rsidRDefault="004C137A" w:rsidP="001D5AC5">
      <w:pPr>
        <w:spacing w:line="360" w:lineRule="auto"/>
        <w:rPr>
          <w:rFonts w:ascii="Arial" w:hAnsi="Arial" w:cs="Arial"/>
          <w:sz w:val="22"/>
          <w:szCs w:val="22"/>
        </w:rPr>
      </w:pPr>
      <w:r w:rsidRPr="001D5AC5">
        <w:rPr>
          <w:rFonts w:ascii="Arial" w:hAnsi="Arial" w:cs="Arial"/>
          <w:sz w:val="22"/>
          <w:szCs w:val="22"/>
        </w:rPr>
        <w:t>However, partnership working is not always straightforward. Different organisations may have separate budgets, eligibility criteria, priorities and procedures. For instance, an NHS team may consider someone ready for discharge, while social care services may be unable to arrange the necessary support immediately. This can result in delays, frustration and disagreements over responsibility.</w:t>
      </w:r>
    </w:p>
    <w:p w14:paraId="255692F2" w14:textId="1E9545FB" w:rsidR="004C137A" w:rsidRPr="001D5AC5" w:rsidRDefault="004C137A" w:rsidP="001D5AC5">
      <w:pPr>
        <w:spacing w:line="360" w:lineRule="auto"/>
        <w:rPr>
          <w:rFonts w:ascii="Arial" w:hAnsi="Arial" w:cs="Arial"/>
          <w:sz w:val="22"/>
          <w:szCs w:val="22"/>
        </w:rPr>
      </w:pPr>
      <w:r w:rsidRPr="001D5AC5">
        <w:rPr>
          <w:rFonts w:ascii="Arial" w:hAnsi="Arial" w:cs="Arial"/>
          <w:sz w:val="22"/>
          <w:szCs w:val="22"/>
        </w:rPr>
        <w:t>Communication is another potential weakness. Incomplete records, unclear referral procedures and delays in sharing information can place individuals at risk. Effective partnership working therefore requires clear responsibilities, mutual respect, agreed objectives and lawful information-sharing arrangements.</w:t>
      </w:r>
    </w:p>
    <w:p w14:paraId="768248B2" w14:textId="77777777" w:rsidR="003A3301" w:rsidRPr="001D5AC5" w:rsidRDefault="003A3301" w:rsidP="001D5AC5">
      <w:pPr>
        <w:spacing w:line="360" w:lineRule="auto"/>
        <w:rPr>
          <w:rFonts w:ascii="Arial" w:hAnsi="Arial" w:cs="Arial"/>
          <w:color w:val="000000"/>
          <w:sz w:val="22"/>
          <w:szCs w:val="22"/>
        </w:rPr>
      </w:pPr>
      <w:r w:rsidRPr="001D5AC5">
        <w:rPr>
          <w:rFonts w:ascii="Arial" w:hAnsi="Arial" w:cs="Arial"/>
          <w:color w:val="000000"/>
          <w:sz w:val="22"/>
          <w:szCs w:val="22"/>
        </w:rPr>
        <w:lastRenderedPageBreak/>
        <w:t>Partnership working can become professionally led rather than person-led if individuals are excluded from multidisciplinary discussions. Integrated Care Systems support collaboration between NHS organisations and local authorities. In discharge planning, this can help coordinate rehabilitation, personal care and home adaptations. However, organisational integration does not guarantee that individuals are meaningfully involved or that services have sufficient resources.</w:t>
      </w:r>
    </w:p>
    <w:p w14:paraId="29E49C6B" w14:textId="6F4AA9D1" w:rsidR="003A3301" w:rsidRPr="003A3301" w:rsidRDefault="003A3301" w:rsidP="001D5AC5">
      <w:pPr>
        <w:pStyle w:val="Heading1"/>
        <w:spacing w:line="360" w:lineRule="auto"/>
        <w:rPr>
          <w:rFonts w:ascii="Arial" w:hAnsi="Arial" w:cs="Arial"/>
          <w:sz w:val="28"/>
          <w:szCs w:val="28"/>
        </w:rPr>
      </w:pPr>
      <w:r w:rsidRPr="003A3301">
        <w:rPr>
          <w:rFonts w:ascii="Arial" w:hAnsi="Arial" w:cs="Arial"/>
          <w:sz w:val="28"/>
          <w:szCs w:val="28"/>
        </w:rPr>
        <w:t>6. Application of Partnership Working: Hospital Discharge Planning</w:t>
      </w:r>
    </w:p>
    <w:p w14:paraId="307BB5F3" w14:textId="76DD72F0" w:rsidR="004C137A" w:rsidRPr="005625E0" w:rsidRDefault="004C137A" w:rsidP="001D5AC5">
      <w:pPr>
        <w:spacing w:line="360" w:lineRule="auto"/>
      </w:pPr>
      <w:r w:rsidRPr="005625E0">
        <w:t>Consider an illustrative case involving an older adult who has been admitted to hospital following a fall. The person wishes to return home but has reduced mobility and lives alone. A safe discharge requires more than medical treatment because the individual may also need rehabilitation, equipment and assistance with everyday activities.</w:t>
      </w:r>
    </w:p>
    <w:p w14:paraId="39B4E565" w14:textId="07147E7B" w:rsidR="004C137A" w:rsidRPr="005625E0" w:rsidRDefault="00AB065F" w:rsidP="001D5AC5">
      <w:pPr>
        <w:spacing w:line="360" w:lineRule="auto"/>
      </w:pPr>
      <w:r w:rsidRPr="00AB065F">
        <w:t>Hospital doctors and nurses assess medical stability, medication and personal care needs. Physiotherapists and occupational therapists consider mobility, rehabilitation and equipment, while social workers and community care providers help arrange ongoing support.</w:t>
      </w:r>
    </w:p>
    <w:p w14:paraId="5153FD05" w14:textId="36CD01F1" w:rsidR="004C137A" w:rsidRPr="005625E0" w:rsidRDefault="004C137A" w:rsidP="001D5AC5">
      <w:pPr>
        <w:spacing w:line="360" w:lineRule="auto"/>
      </w:pPr>
      <w:r w:rsidRPr="005625E0">
        <w:t xml:space="preserve">The individual should be involved throughout this process. Professionals need to discuss their wishes, explain available options and consider their concerns about independence and safety. </w:t>
      </w:r>
    </w:p>
    <w:p w14:paraId="1EFE685C" w14:textId="77777777" w:rsidR="003A3301" w:rsidRPr="003A3301" w:rsidRDefault="003A3301" w:rsidP="001D5AC5">
      <w:pPr>
        <w:spacing w:line="360" w:lineRule="auto"/>
        <w:rPr>
          <w:color w:val="000000"/>
        </w:rPr>
      </w:pPr>
      <w:r w:rsidRPr="003A3301">
        <w:rPr>
          <w:color w:val="000000"/>
        </w:rPr>
        <w:t>Department of Health and Social Care and NHS England (2024) guidance recommends early discharge planning involving relevant professionals, the individual and, where appropriate, unpaid carers. Discharge-to-assess approaches allow longer-term needs to be reviewed after initial recovery.</w:t>
      </w:r>
    </w:p>
    <w:p w14:paraId="2A86A78B" w14:textId="5C38A00F" w:rsidR="004C137A" w:rsidRPr="005625E0" w:rsidRDefault="004C137A" w:rsidP="001D5AC5">
      <w:pPr>
        <w:spacing w:line="360" w:lineRule="auto"/>
      </w:pPr>
      <w:r w:rsidRPr="005625E0">
        <w:t>Nevertheless, practical difficulties may arise. A shortage of community care staff or rehabilitation places could delay discharge or limit available options. Professionals must explain these constraints honestly and explore appropriate alternatives rather than promising services that cannot be provided.</w:t>
      </w:r>
    </w:p>
    <w:p w14:paraId="4032F5A5" w14:textId="77777777" w:rsidR="00A705D2" w:rsidRDefault="00A705D2" w:rsidP="001D5AC5">
      <w:pPr>
        <w:spacing w:line="360" w:lineRule="auto"/>
      </w:pPr>
      <w:r w:rsidRPr="00A705D2">
        <w:t xml:space="preserve">Effective discharge planning requires a written plan, clear responsibilities, accurate medication information, completed referrals and a named contact. Follow-up should check whether the agreed support has been provided and whether the individual is </w:t>
      </w:r>
      <w:r w:rsidRPr="00A705D2">
        <w:lastRenderedPageBreak/>
        <w:t>managing safely. For example, missing equipment or delayed care referrals could undermine an otherwise appropriate discharge plan. Reviewing the person's experience can help identify gaps in coordination and improve future practice.</w:t>
      </w:r>
    </w:p>
    <w:p w14:paraId="19F3979A" w14:textId="5D7081DD" w:rsidR="004C137A" w:rsidRPr="00A907BF" w:rsidRDefault="004C137A" w:rsidP="001D5AC5">
      <w:pPr>
        <w:pStyle w:val="Heading1"/>
        <w:spacing w:line="360" w:lineRule="auto"/>
        <w:rPr>
          <w:rFonts w:ascii="Arial" w:hAnsi="Arial" w:cs="Arial"/>
          <w:sz w:val="28"/>
          <w:szCs w:val="28"/>
        </w:rPr>
      </w:pPr>
      <w:r w:rsidRPr="00A907BF">
        <w:rPr>
          <w:rFonts w:ascii="Arial" w:hAnsi="Arial" w:cs="Arial"/>
          <w:sz w:val="28"/>
          <w:szCs w:val="28"/>
        </w:rPr>
        <w:t>7. Relevant Policy and Legislation</w:t>
      </w:r>
    </w:p>
    <w:p w14:paraId="1CD48B0D" w14:textId="77517842" w:rsidR="004C137A" w:rsidRPr="00A907BF" w:rsidRDefault="004C137A" w:rsidP="001D5AC5">
      <w:pPr>
        <w:pStyle w:val="Heading2"/>
        <w:spacing w:line="360" w:lineRule="auto"/>
        <w:rPr>
          <w:rFonts w:ascii="Arial" w:hAnsi="Arial" w:cs="Arial"/>
          <w:b/>
          <w:bCs/>
          <w:sz w:val="24"/>
          <w:szCs w:val="24"/>
        </w:rPr>
      </w:pPr>
      <w:r w:rsidRPr="00A907BF">
        <w:rPr>
          <w:rFonts w:ascii="Arial" w:hAnsi="Arial" w:cs="Arial"/>
          <w:b/>
          <w:bCs/>
          <w:sz w:val="24"/>
          <w:szCs w:val="24"/>
        </w:rPr>
        <w:t>7.1 Care Act 2014</w:t>
      </w:r>
    </w:p>
    <w:p w14:paraId="20E72187" w14:textId="77777777" w:rsidR="004C137A" w:rsidRPr="005625E0" w:rsidRDefault="004C137A" w:rsidP="001D5AC5">
      <w:pPr>
        <w:spacing w:line="360" w:lineRule="auto"/>
        <w:rPr>
          <w:rFonts w:ascii="Arial" w:hAnsi="Arial" w:cs="Arial"/>
          <w:sz w:val="22"/>
          <w:szCs w:val="22"/>
        </w:rPr>
      </w:pPr>
      <w:r w:rsidRPr="005625E0">
        <w:rPr>
          <w:rFonts w:ascii="Arial" w:hAnsi="Arial" w:cs="Arial"/>
          <w:sz w:val="22"/>
          <w:szCs w:val="22"/>
        </w:rPr>
        <w:t>The Care Act 2014 establishes the wellbeing principle for adult social care and places duties on local authorities relating to assessment, prevention, information and support for carers. Section 6 also establishes cooperation duties between local authorities and relevant partners (Care Act 2014).</w:t>
      </w:r>
    </w:p>
    <w:p w14:paraId="72C4EABF" w14:textId="0FE5EA92" w:rsidR="004C137A" w:rsidRPr="00A907BF" w:rsidRDefault="004C137A" w:rsidP="001D5AC5">
      <w:pPr>
        <w:pStyle w:val="Heading2"/>
        <w:spacing w:line="360" w:lineRule="auto"/>
        <w:rPr>
          <w:rFonts w:ascii="Arial" w:hAnsi="Arial" w:cs="Arial"/>
          <w:b/>
          <w:bCs/>
          <w:sz w:val="24"/>
          <w:szCs w:val="24"/>
        </w:rPr>
      </w:pPr>
      <w:r w:rsidRPr="00A907BF">
        <w:rPr>
          <w:rFonts w:ascii="Arial" w:hAnsi="Arial" w:cs="Arial"/>
          <w:b/>
          <w:bCs/>
          <w:sz w:val="24"/>
          <w:szCs w:val="24"/>
        </w:rPr>
        <w:t>7.2 Mental Capacity Act 2005</w:t>
      </w:r>
    </w:p>
    <w:p w14:paraId="0AC8460B" w14:textId="77777777" w:rsidR="005B17CD" w:rsidRDefault="005B17CD" w:rsidP="001D5AC5">
      <w:pPr>
        <w:spacing w:line="360" w:lineRule="auto"/>
      </w:pPr>
      <w:r w:rsidRPr="005B17CD">
        <w:t>The Mental Capacity Act 2005 protects people who may lack capacity to make a specific decision. It requires professionals to presume capacity, support decision-making, recognise that an unwise decision does not prove incapacity, act in the person’s best interests when necessary and choose the least restrictive option (Mental Capacity Act 2005, s.1).</w:t>
      </w:r>
    </w:p>
    <w:p w14:paraId="32C617FE" w14:textId="4FC319F9" w:rsidR="004C137A" w:rsidRPr="00A907BF" w:rsidRDefault="004C137A" w:rsidP="001D5AC5">
      <w:pPr>
        <w:pStyle w:val="Heading2"/>
        <w:spacing w:line="360" w:lineRule="auto"/>
        <w:rPr>
          <w:rFonts w:ascii="Arial" w:hAnsi="Arial" w:cs="Arial"/>
          <w:b/>
          <w:bCs/>
          <w:sz w:val="24"/>
          <w:szCs w:val="24"/>
        </w:rPr>
      </w:pPr>
      <w:r w:rsidRPr="00A907BF">
        <w:rPr>
          <w:rFonts w:ascii="Arial" w:hAnsi="Arial" w:cs="Arial"/>
          <w:b/>
          <w:bCs/>
          <w:sz w:val="24"/>
          <w:szCs w:val="24"/>
        </w:rPr>
        <w:t>7.3 Equality Act 2010</w:t>
      </w:r>
    </w:p>
    <w:p w14:paraId="4F50EC68" w14:textId="4A785F5D" w:rsidR="004C137A" w:rsidRPr="005625E0" w:rsidRDefault="004C137A" w:rsidP="001D5AC5">
      <w:pPr>
        <w:spacing w:line="360" w:lineRule="auto"/>
        <w:rPr>
          <w:rFonts w:ascii="Arial" w:hAnsi="Arial" w:cs="Arial"/>
          <w:sz w:val="22"/>
          <w:szCs w:val="22"/>
        </w:rPr>
      </w:pPr>
      <w:r w:rsidRPr="005625E0">
        <w:rPr>
          <w:rFonts w:ascii="Arial" w:hAnsi="Arial" w:cs="Arial"/>
          <w:sz w:val="22"/>
          <w:szCs w:val="22"/>
        </w:rPr>
        <w:t>The Equality Act 2010 protects people against discrimination relating to protected characteristics, including disability, age, race, religion or belief, sex and sexual orientation. It also establishes duties concerning reasonable adjustments for disabled people in relevant circumstances.</w:t>
      </w:r>
    </w:p>
    <w:p w14:paraId="2D55CA80" w14:textId="270A9466" w:rsidR="004C137A" w:rsidRPr="00A907BF" w:rsidRDefault="004C137A" w:rsidP="001D5AC5">
      <w:pPr>
        <w:pStyle w:val="Heading2"/>
        <w:spacing w:line="360" w:lineRule="auto"/>
        <w:rPr>
          <w:rFonts w:ascii="Arial" w:hAnsi="Arial" w:cs="Arial"/>
          <w:b/>
          <w:bCs/>
          <w:sz w:val="24"/>
          <w:szCs w:val="24"/>
        </w:rPr>
      </w:pPr>
      <w:r w:rsidRPr="00A907BF">
        <w:rPr>
          <w:rFonts w:ascii="Arial" w:hAnsi="Arial" w:cs="Arial"/>
          <w:b/>
          <w:bCs/>
          <w:sz w:val="24"/>
          <w:szCs w:val="24"/>
        </w:rPr>
        <w:t>7.4 Health and Care Act 2022</w:t>
      </w:r>
    </w:p>
    <w:p w14:paraId="591FF7A9" w14:textId="5BEBE219" w:rsidR="004C137A" w:rsidRPr="005625E0" w:rsidRDefault="004C137A" w:rsidP="001D5AC5">
      <w:pPr>
        <w:spacing w:line="360" w:lineRule="auto"/>
        <w:rPr>
          <w:rFonts w:ascii="Arial" w:hAnsi="Arial" w:cs="Arial"/>
          <w:sz w:val="22"/>
          <w:szCs w:val="22"/>
        </w:rPr>
      </w:pPr>
      <w:r w:rsidRPr="005625E0">
        <w:rPr>
          <w:rFonts w:ascii="Arial" w:hAnsi="Arial" w:cs="Arial"/>
          <w:sz w:val="22"/>
          <w:szCs w:val="22"/>
        </w:rPr>
        <w:t>The Health and Care Act 2022 introduced important changes to the organisation of health and care in England, including the establishment of integrated care boards and integrated care partnerships. These arrangements support strategic collaboration between NHS organisations and local authorities (Health and Care Act 2022).</w:t>
      </w:r>
    </w:p>
    <w:p w14:paraId="2448FAB6" w14:textId="14E01785" w:rsidR="004C137A" w:rsidRPr="00A907BF" w:rsidRDefault="004C137A" w:rsidP="001D5AC5">
      <w:pPr>
        <w:pStyle w:val="Heading2"/>
        <w:spacing w:line="360" w:lineRule="auto"/>
        <w:rPr>
          <w:rFonts w:ascii="Arial" w:hAnsi="Arial" w:cs="Arial"/>
          <w:b/>
          <w:bCs/>
          <w:sz w:val="24"/>
          <w:szCs w:val="24"/>
        </w:rPr>
      </w:pPr>
      <w:r w:rsidRPr="00A907BF">
        <w:rPr>
          <w:rFonts w:ascii="Arial" w:hAnsi="Arial" w:cs="Arial"/>
          <w:b/>
          <w:bCs/>
          <w:sz w:val="24"/>
          <w:szCs w:val="24"/>
        </w:rPr>
        <w:t>7.5 Regulation 9 and National Guidance</w:t>
      </w:r>
    </w:p>
    <w:p w14:paraId="67DD2D7B" w14:textId="77777777" w:rsidR="003A3301" w:rsidRDefault="004C137A" w:rsidP="001D5AC5">
      <w:pPr>
        <w:spacing w:line="360" w:lineRule="auto"/>
        <w:rPr>
          <w:rFonts w:ascii="Arial" w:hAnsi="Arial" w:cs="Arial"/>
          <w:sz w:val="22"/>
          <w:szCs w:val="22"/>
        </w:rPr>
      </w:pPr>
      <w:r w:rsidRPr="005625E0">
        <w:rPr>
          <w:rFonts w:ascii="Arial" w:hAnsi="Arial" w:cs="Arial"/>
          <w:sz w:val="22"/>
          <w:szCs w:val="22"/>
        </w:rPr>
        <w:t>Regulation 9 of the Health and Social Care Act 2008 (Regulated Activities) Regulations 2014 requires regulated providers to deliver care and treatment that meets people’s needs and reflects their preferences. This supports personalised assessments, care planning and review.</w:t>
      </w:r>
      <w:r w:rsidR="003A3301">
        <w:rPr>
          <w:rFonts w:ascii="Arial" w:hAnsi="Arial" w:cs="Arial"/>
          <w:sz w:val="22"/>
          <w:szCs w:val="22"/>
        </w:rPr>
        <w:t xml:space="preserve"> </w:t>
      </w:r>
    </w:p>
    <w:p w14:paraId="4A6D4803" w14:textId="77777777" w:rsidR="003A3301" w:rsidRDefault="00A705D2" w:rsidP="001D5AC5">
      <w:pPr>
        <w:spacing w:line="360" w:lineRule="auto"/>
        <w:rPr>
          <w:rFonts w:ascii="Arial" w:hAnsi="Arial" w:cs="Arial"/>
          <w:sz w:val="22"/>
          <w:szCs w:val="22"/>
        </w:rPr>
      </w:pPr>
      <w:r w:rsidRPr="00A705D2">
        <w:rPr>
          <w:rFonts w:ascii="Arial" w:hAnsi="Arial" w:cs="Arial"/>
          <w:sz w:val="22"/>
          <w:szCs w:val="22"/>
        </w:rPr>
        <w:lastRenderedPageBreak/>
        <w:t>NICE guideline NG197 supports shared decision-making, while national discharge guidance emphasises coordination between health and social care services (NICE, 2021; Department of Health and Social Care and NHS England, 2024). Together, these provisions support personalised and coordinated discharge planning. However, legislation and guidance cannot guarantee that community services are available or that communication is effective. Professionals must apply these requirements to individual circumstances and address barriers that could prevent agreed support from being delivered.</w:t>
      </w:r>
      <w:r w:rsidR="003A3301">
        <w:rPr>
          <w:rFonts w:ascii="Arial" w:hAnsi="Arial" w:cs="Arial"/>
          <w:sz w:val="22"/>
          <w:szCs w:val="22"/>
        </w:rPr>
        <w:t xml:space="preserve"> </w:t>
      </w:r>
    </w:p>
    <w:p w14:paraId="325FBF0B" w14:textId="79440577" w:rsidR="003A3301" w:rsidRPr="003A3301" w:rsidRDefault="003A3301" w:rsidP="001D5AC5">
      <w:pPr>
        <w:pStyle w:val="Heading1"/>
        <w:spacing w:line="360" w:lineRule="auto"/>
        <w:rPr>
          <w:rFonts w:ascii="Arial" w:hAnsi="Arial" w:cs="Arial"/>
          <w:sz w:val="28"/>
          <w:szCs w:val="28"/>
        </w:rPr>
      </w:pPr>
      <w:r w:rsidRPr="003A3301">
        <w:rPr>
          <w:rFonts w:ascii="Arial" w:hAnsi="Arial" w:cs="Arial"/>
          <w:sz w:val="28"/>
          <w:szCs w:val="28"/>
        </w:rPr>
        <w:t>8. Recommendations for Future Development in the UK</w:t>
      </w:r>
    </w:p>
    <w:p w14:paraId="49891427" w14:textId="4AC79E04" w:rsidR="00A705D2" w:rsidRPr="001D5AC5" w:rsidRDefault="00A705D2" w:rsidP="001D5AC5">
      <w:pPr>
        <w:spacing w:line="360" w:lineRule="auto"/>
        <w:rPr>
          <w:rFonts w:ascii="Arial" w:hAnsi="Arial" w:cs="Arial"/>
          <w:sz w:val="22"/>
          <w:szCs w:val="22"/>
        </w:rPr>
      </w:pPr>
      <w:r w:rsidRPr="001D5AC5">
        <w:rPr>
          <w:rFonts w:ascii="Arial" w:hAnsi="Arial" w:cs="Arial"/>
          <w:sz w:val="22"/>
          <w:szCs w:val="22"/>
        </w:rPr>
        <w:t>Hospitals should provide staff development in communication, consent, equality and shared decision-making. Training should help professionals involve individuals meaningfully in discharge decisions, in line with NICE (2021). Supervision and reflection are also needed so that staff can apply this learning despite workload pressures.</w:t>
      </w:r>
      <w:r w:rsidR="00C97A63">
        <w:rPr>
          <w:rFonts w:ascii="Arial" w:hAnsi="Arial" w:cs="Arial"/>
          <w:sz w:val="22"/>
          <w:szCs w:val="22"/>
        </w:rPr>
        <w:t xml:space="preserve"> </w:t>
      </w:r>
      <w:r w:rsidR="00C97A63" w:rsidRPr="00747B91">
        <w:rPr>
          <w:rFonts w:ascii="Arial" w:hAnsi="Arial" w:cs="Arial"/>
          <w:color w:val="000000"/>
          <w:sz w:val="22"/>
          <w:szCs w:val="22"/>
        </w:rPr>
        <w:t>Evidence</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from</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Gonçalves-Bradley</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et</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al.</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(2022)</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found</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that</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personalised</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discharge</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planning</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can</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slightly</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reduce</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hospital</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stays</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and</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readmissions,</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supporting</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the</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need</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for</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clear</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referrals,</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coordinated</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community</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support</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and</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follow-up</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after</w:t>
      </w:r>
      <w:r w:rsidR="00C97A63" w:rsidRPr="00747B91">
        <w:rPr>
          <w:rStyle w:val="apple-converted-space"/>
          <w:rFonts w:ascii="Arial" w:hAnsi="Arial" w:cs="Arial"/>
          <w:color w:val="000000"/>
          <w:sz w:val="22"/>
          <w:szCs w:val="22"/>
        </w:rPr>
        <w:t> </w:t>
      </w:r>
      <w:r w:rsidR="00C97A63" w:rsidRPr="00747B91">
        <w:rPr>
          <w:rFonts w:ascii="Arial" w:hAnsi="Arial" w:cs="Arial"/>
          <w:color w:val="000000"/>
          <w:sz w:val="22"/>
          <w:szCs w:val="22"/>
        </w:rPr>
        <w:t>discharge.</w:t>
      </w:r>
    </w:p>
    <w:p w14:paraId="12DC6595" w14:textId="4EC5EDE6" w:rsidR="00A705D2" w:rsidRPr="001D5AC5" w:rsidRDefault="00A705D2" w:rsidP="001D5AC5">
      <w:pPr>
        <w:spacing w:line="360" w:lineRule="auto"/>
        <w:rPr>
          <w:rFonts w:ascii="Arial" w:hAnsi="Arial" w:cs="Arial"/>
          <w:sz w:val="22"/>
          <w:szCs w:val="22"/>
        </w:rPr>
      </w:pPr>
      <w:r w:rsidRPr="001D5AC5">
        <w:rPr>
          <w:rFonts w:ascii="Arial" w:hAnsi="Arial" w:cs="Arial"/>
          <w:sz w:val="22"/>
          <w:szCs w:val="22"/>
        </w:rPr>
        <w:t>Service-user involvement should be strengthened throughout discharge planning. Individuals should receive accessible information, discuss their priorities and understand the options available. Unpaid carers should be involved where appropriate, with respect for consent and confidentiality. Feedback after discharge should identify whether people felt listened to and received the agreed support.</w:t>
      </w:r>
    </w:p>
    <w:p w14:paraId="7C8E3E6C" w14:textId="2FCFFA78" w:rsidR="00747B91" w:rsidRPr="00747B91" w:rsidRDefault="00A705D2" w:rsidP="00747B91">
      <w:pPr>
        <w:spacing w:line="360" w:lineRule="auto"/>
        <w:rPr>
          <w:rFonts w:ascii="Arial" w:hAnsi="Arial" w:cs="Arial"/>
          <w:sz w:val="22"/>
          <w:szCs w:val="22"/>
        </w:rPr>
      </w:pPr>
      <w:r w:rsidRPr="001D5AC5">
        <w:rPr>
          <w:rFonts w:ascii="Arial" w:hAnsi="Arial" w:cs="Arial"/>
          <w:sz w:val="22"/>
          <w:szCs w:val="22"/>
        </w:rPr>
        <w:t xml:space="preserve">Hospitals, local authorities and community providers should improve referral procedures, clarify responsibilities and review outcomes collaboratively. Secure information-sharing and clear follow-up arrangements can improve continuity of care. </w:t>
      </w:r>
    </w:p>
    <w:p w14:paraId="1254F1EE" w14:textId="1113A7D6" w:rsidR="004C137A" w:rsidRPr="00747B91" w:rsidRDefault="004C137A" w:rsidP="00747B91">
      <w:pPr>
        <w:pStyle w:val="Heading1"/>
        <w:rPr>
          <w:rFonts w:ascii="Arial" w:hAnsi="Arial" w:cs="Arial"/>
          <w:sz w:val="28"/>
          <w:szCs w:val="28"/>
        </w:rPr>
      </w:pPr>
      <w:r w:rsidRPr="00747B91">
        <w:rPr>
          <w:rFonts w:ascii="Arial" w:hAnsi="Arial" w:cs="Arial"/>
          <w:sz w:val="28"/>
          <w:szCs w:val="28"/>
        </w:rPr>
        <w:t>9. Conclusion</w:t>
      </w:r>
    </w:p>
    <w:p w14:paraId="65C030E5" w14:textId="77777777" w:rsidR="00A705D2" w:rsidRPr="001D5AC5" w:rsidRDefault="00A705D2" w:rsidP="001D5AC5">
      <w:pPr>
        <w:spacing w:line="360" w:lineRule="auto"/>
        <w:rPr>
          <w:rFonts w:ascii="Arial" w:hAnsi="Arial" w:cs="Arial"/>
          <w:sz w:val="22"/>
          <w:szCs w:val="22"/>
        </w:rPr>
      </w:pPr>
      <w:r w:rsidRPr="001D5AC5">
        <w:rPr>
          <w:rFonts w:ascii="Arial" w:hAnsi="Arial" w:cs="Arial"/>
          <w:sz w:val="22"/>
          <w:szCs w:val="22"/>
        </w:rPr>
        <w:t>Person-centred care and partnership working support individual choice, coordinated services and effective health and social care. Hospital discharge planning demonstrates the importance of involving individuals while coordinating medical treatment, social care and community support. However, staff shortages, communication failures and limited resources can prevent these approaches from being fully implemented. Staff development, meaningful service-user involvement, clearer communication and regular evaluation of discharge outcomes are therefore recommended to improve care quality and continuity.</w:t>
      </w:r>
    </w:p>
    <w:p w14:paraId="6488E67D" w14:textId="6380F83D" w:rsidR="004C137A" w:rsidRPr="00A907BF" w:rsidRDefault="004C137A" w:rsidP="001D5AC5">
      <w:pPr>
        <w:pStyle w:val="Heading1"/>
        <w:spacing w:line="360" w:lineRule="auto"/>
        <w:rPr>
          <w:rFonts w:ascii="Arial" w:hAnsi="Arial" w:cs="Arial"/>
          <w:sz w:val="28"/>
          <w:szCs w:val="28"/>
        </w:rPr>
      </w:pPr>
      <w:r w:rsidRPr="00A907BF">
        <w:rPr>
          <w:rFonts w:ascii="Arial" w:hAnsi="Arial" w:cs="Arial"/>
          <w:sz w:val="28"/>
          <w:szCs w:val="28"/>
        </w:rPr>
        <w:lastRenderedPageBreak/>
        <w:t>References</w:t>
      </w:r>
    </w:p>
    <w:p w14:paraId="4145BC6E" w14:textId="0CE875E2" w:rsidR="004C137A" w:rsidRPr="005625E0" w:rsidRDefault="004C137A" w:rsidP="001D5AC5">
      <w:pPr>
        <w:spacing w:line="360" w:lineRule="auto"/>
        <w:rPr>
          <w:rFonts w:ascii="Arial" w:hAnsi="Arial" w:cs="Arial"/>
          <w:sz w:val="22"/>
          <w:szCs w:val="22"/>
        </w:rPr>
      </w:pPr>
      <w:r w:rsidRPr="005625E0">
        <w:rPr>
          <w:rFonts w:ascii="Arial" w:hAnsi="Arial" w:cs="Arial"/>
          <w:sz w:val="22"/>
          <w:szCs w:val="22"/>
        </w:rPr>
        <w:t xml:space="preserve">Beauchamp, T.L. and Childress, J.F. (2019) Principles of Biomedical Ethics. 8th </w:t>
      </w:r>
      <w:proofErr w:type="spellStart"/>
      <w:r w:rsidRPr="005625E0">
        <w:rPr>
          <w:rFonts w:ascii="Arial" w:hAnsi="Arial" w:cs="Arial"/>
          <w:sz w:val="22"/>
          <w:szCs w:val="22"/>
        </w:rPr>
        <w:t>edn</w:t>
      </w:r>
      <w:proofErr w:type="spellEnd"/>
      <w:r w:rsidRPr="005625E0">
        <w:rPr>
          <w:rFonts w:ascii="Arial" w:hAnsi="Arial" w:cs="Arial"/>
          <w:sz w:val="22"/>
          <w:szCs w:val="22"/>
        </w:rPr>
        <w:t>. New York: Oxford University Press.</w:t>
      </w:r>
    </w:p>
    <w:p w14:paraId="4F824132" w14:textId="4CFF21CA" w:rsidR="004C137A" w:rsidRPr="005625E0" w:rsidRDefault="004C137A" w:rsidP="001D5AC5">
      <w:pPr>
        <w:spacing w:line="360" w:lineRule="auto"/>
        <w:rPr>
          <w:rFonts w:ascii="Arial" w:hAnsi="Arial" w:cs="Arial"/>
          <w:sz w:val="22"/>
          <w:szCs w:val="22"/>
        </w:rPr>
      </w:pPr>
      <w:r w:rsidRPr="005625E0">
        <w:rPr>
          <w:rFonts w:ascii="Arial" w:hAnsi="Arial" w:cs="Arial"/>
          <w:sz w:val="22"/>
          <w:szCs w:val="22"/>
        </w:rPr>
        <w:t xml:space="preserve">Care Act 2014, c.23. Available at: </w:t>
      </w:r>
      <w:hyperlink r:id="rId7" w:history="1">
        <w:r w:rsidRPr="005625E0">
          <w:rPr>
            <w:rStyle w:val="Hyperlink"/>
            <w:rFonts w:ascii="Arial" w:hAnsi="Arial" w:cs="Arial"/>
            <w:sz w:val="22"/>
            <w:szCs w:val="22"/>
          </w:rPr>
          <w:t>https://www.legislation.gov.uk/ukpga/2014/23/contents</w:t>
        </w:r>
      </w:hyperlink>
      <w:r w:rsidRPr="005625E0">
        <w:rPr>
          <w:rFonts w:ascii="Arial" w:hAnsi="Arial" w:cs="Arial"/>
          <w:sz w:val="22"/>
          <w:szCs w:val="22"/>
        </w:rPr>
        <w:t xml:space="preserve">  (Accessed: 16 October 2026).</w:t>
      </w:r>
    </w:p>
    <w:p w14:paraId="0D07F5EF" w14:textId="72C00F2E" w:rsidR="004C137A" w:rsidRPr="005625E0" w:rsidRDefault="004C137A" w:rsidP="001D5AC5">
      <w:pPr>
        <w:spacing w:line="360" w:lineRule="auto"/>
        <w:rPr>
          <w:rFonts w:ascii="Arial" w:hAnsi="Arial" w:cs="Arial"/>
          <w:sz w:val="22"/>
          <w:szCs w:val="22"/>
        </w:rPr>
      </w:pPr>
      <w:r w:rsidRPr="005625E0">
        <w:rPr>
          <w:rFonts w:ascii="Arial" w:hAnsi="Arial" w:cs="Arial"/>
          <w:sz w:val="22"/>
          <w:szCs w:val="22"/>
        </w:rPr>
        <w:t xml:space="preserve">Department of Health and Social Care and NHS England (2024) Hospital discharge and community support guidance. Available at: </w:t>
      </w:r>
      <w:hyperlink r:id="rId8" w:history="1">
        <w:r w:rsidRPr="005625E0">
          <w:rPr>
            <w:rStyle w:val="Hyperlink"/>
            <w:rFonts w:ascii="Arial" w:hAnsi="Arial" w:cs="Arial"/>
            <w:sz w:val="22"/>
            <w:szCs w:val="22"/>
          </w:rPr>
          <w:t>https://www.gov.uk/government/publications/hospital-discharge-and-community-support-guidance</w:t>
        </w:r>
      </w:hyperlink>
      <w:r w:rsidRPr="005625E0">
        <w:rPr>
          <w:rFonts w:ascii="Arial" w:hAnsi="Arial" w:cs="Arial"/>
          <w:sz w:val="22"/>
          <w:szCs w:val="22"/>
        </w:rPr>
        <w:t xml:space="preserve">  (Accessed: 16 October 2026).</w:t>
      </w:r>
    </w:p>
    <w:p w14:paraId="17CC517D" w14:textId="4D135EE2" w:rsidR="004C137A" w:rsidRDefault="004C137A" w:rsidP="001D5AC5">
      <w:pPr>
        <w:spacing w:line="360" w:lineRule="auto"/>
        <w:rPr>
          <w:rFonts w:ascii="Arial" w:hAnsi="Arial" w:cs="Arial"/>
          <w:sz w:val="22"/>
          <w:szCs w:val="22"/>
        </w:rPr>
      </w:pPr>
      <w:r w:rsidRPr="005625E0">
        <w:rPr>
          <w:rFonts w:ascii="Arial" w:hAnsi="Arial" w:cs="Arial"/>
          <w:sz w:val="22"/>
          <w:szCs w:val="22"/>
        </w:rPr>
        <w:t xml:space="preserve">Equality Act 2010, c.15. Available at: </w:t>
      </w:r>
      <w:hyperlink r:id="rId9" w:history="1">
        <w:r w:rsidRPr="005625E0">
          <w:rPr>
            <w:rStyle w:val="Hyperlink"/>
            <w:rFonts w:ascii="Arial" w:hAnsi="Arial" w:cs="Arial"/>
            <w:sz w:val="22"/>
            <w:szCs w:val="22"/>
          </w:rPr>
          <w:t>https://www.legislation.gov.uk/ukpga/2010/15/contents</w:t>
        </w:r>
      </w:hyperlink>
      <w:r w:rsidRPr="005625E0">
        <w:rPr>
          <w:rFonts w:ascii="Arial" w:hAnsi="Arial" w:cs="Arial"/>
          <w:sz w:val="22"/>
          <w:szCs w:val="22"/>
        </w:rPr>
        <w:t xml:space="preserve">  (Accessed: 16 October 2026).</w:t>
      </w:r>
    </w:p>
    <w:p w14:paraId="4688BC57" w14:textId="780B1E9D" w:rsidR="00FE3273" w:rsidRDefault="00FE3273" w:rsidP="001D5AC5">
      <w:pPr>
        <w:spacing w:line="360" w:lineRule="auto"/>
        <w:rPr>
          <w:rFonts w:ascii="Arial" w:hAnsi="Arial" w:cs="Arial"/>
          <w:sz w:val="22"/>
          <w:szCs w:val="22"/>
        </w:rPr>
      </w:pPr>
      <w:r w:rsidRPr="00FE3273">
        <w:rPr>
          <w:rFonts w:ascii="Arial" w:hAnsi="Arial" w:cs="Arial"/>
          <w:sz w:val="22"/>
          <w:szCs w:val="22"/>
        </w:rPr>
        <w:t xml:space="preserve">Glasby, J. and Dickinson, H. (2014) </w:t>
      </w:r>
      <w:r w:rsidRPr="001C791C">
        <w:rPr>
          <w:rFonts w:ascii="Arial" w:hAnsi="Arial" w:cs="Arial"/>
          <w:i/>
          <w:iCs/>
          <w:sz w:val="22"/>
          <w:szCs w:val="22"/>
        </w:rPr>
        <w:t>Partnership Working in Health and Social Care: What Is Integrated Care and How Can We Deliver It?</w:t>
      </w:r>
      <w:r w:rsidRPr="00FE3273">
        <w:rPr>
          <w:rFonts w:ascii="Arial" w:hAnsi="Arial" w:cs="Arial"/>
          <w:sz w:val="22"/>
          <w:szCs w:val="22"/>
        </w:rPr>
        <w:t xml:space="preserve"> 2nd </w:t>
      </w:r>
      <w:proofErr w:type="spellStart"/>
      <w:r w:rsidRPr="00FE3273">
        <w:rPr>
          <w:rFonts w:ascii="Arial" w:hAnsi="Arial" w:cs="Arial"/>
          <w:sz w:val="22"/>
          <w:szCs w:val="22"/>
        </w:rPr>
        <w:t>edn</w:t>
      </w:r>
      <w:proofErr w:type="spellEnd"/>
      <w:r w:rsidRPr="00FE3273">
        <w:rPr>
          <w:rFonts w:ascii="Arial" w:hAnsi="Arial" w:cs="Arial"/>
          <w:sz w:val="22"/>
          <w:szCs w:val="22"/>
        </w:rPr>
        <w:t>. Bristol: Policy Press.</w:t>
      </w:r>
    </w:p>
    <w:p w14:paraId="45A790DC" w14:textId="47D27571" w:rsidR="00747B91" w:rsidRPr="005625E0" w:rsidRDefault="00747B91" w:rsidP="001D5AC5">
      <w:pPr>
        <w:spacing w:line="360" w:lineRule="auto"/>
        <w:rPr>
          <w:rFonts w:ascii="Arial" w:hAnsi="Arial" w:cs="Arial"/>
          <w:sz w:val="22"/>
          <w:szCs w:val="22"/>
        </w:rPr>
      </w:pPr>
      <w:r>
        <w:rPr>
          <w:color w:val="000000"/>
        </w:rPr>
        <w:t>Gonçalves-Bradley,</w:t>
      </w:r>
      <w:r>
        <w:rPr>
          <w:rStyle w:val="apple-converted-space"/>
          <w:color w:val="000000"/>
        </w:rPr>
        <w:t> </w:t>
      </w:r>
      <w:r>
        <w:rPr>
          <w:color w:val="000000"/>
        </w:rPr>
        <w:t>D.C.,</w:t>
      </w:r>
      <w:r>
        <w:rPr>
          <w:rStyle w:val="apple-converted-space"/>
          <w:color w:val="000000"/>
        </w:rPr>
        <w:t> </w:t>
      </w:r>
      <w:r>
        <w:rPr>
          <w:color w:val="000000"/>
        </w:rPr>
        <w:t>Lannin,</w:t>
      </w:r>
      <w:r>
        <w:rPr>
          <w:rStyle w:val="apple-converted-space"/>
          <w:color w:val="000000"/>
        </w:rPr>
        <w:t> </w:t>
      </w:r>
      <w:r>
        <w:rPr>
          <w:color w:val="000000"/>
        </w:rPr>
        <w:t>N.A.,</w:t>
      </w:r>
      <w:r>
        <w:rPr>
          <w:rStyle w:val="apple-converted-space"/>
          <w:color w:val="000000"/>
        </w:rPr>
        <w:t> </w:t>
      </w:r>
      <w:r>
        <w:rPr>
          <w:color w:val="000000"/>
        </w:rPr>
        <w:t>Clemson,</w:t>
      </w:r>
      <w:r>
        <w:rPr>
          <w:rStyle w:val="apple-converted-space"/>
          <w:color w:val="000000"/>
        </w:rPr>
        <w:t> </w:t>
      </w:r>
      <w:r>
        <w:rPr>
          <w:color w:val="000000"/>
        </w:rPr>
        <w:t>L.,</w:t>
      </w:r>
      <w:r>
        <w:rPr>
          <w:rStyle w:val="apple-converted-space"/>
          <w:color w:val="000000"/>
        </w:rPr>
        <w:t> </w:t>
      </w:r>
      <w:r>
        <w:rPr>
          <w:color w:val="000000"/>
        </w:rPr>
        <w:t>Cameron,</w:t>
      </w:r>
      <w:r>
        <w:rPr>
          <w:rStyle w:val="apple-converted-space"/>
          <w:color w:val="000000"/>
        </w:rPr>
        <w:t> </w:t>
      </w:r>
      <w:r>
        <w:rPr>
          <w:color w:val="000000"/>
        </w:rPr>
        <w:t>I.D.</w:t>
      </w:r>
      <w:r>
        <w:rPr>
          <w:rStyle w:val="apple-converted-space"/>
          <w:color w:val="000000"/>
        </w:rPr>
        <w:t> </w:t>
      </w:r>
      <w:r>
        <w:rPr>
          <w:color w:val="000000"/>
        </w:rPr>
        <w:t>and</w:t>
      </w:r>
      <w:r>
        <w:rPr>
          <w:rStyle w:val="apple-converted-space"/>
          <w:color w:val="000000"/>
        </w:rPr>
        <w:t> </w:t>
      </w:r>
      <w:r>
        <w:rPr>
          <w:color w:val="000000"/>
        </w:rPr>
        <w:t>Shepperd,</w:t>
      </w:r>
      <w:r>
        <w:rPr>
          <w:rStyle w:val="apple-converted-space"/>
          <w:color w:val="000000"/>
        </w:rPr>
        <w:t> </w:t>
      </w:r>
      <w:r>
        <w:rPr>
          <w:color w:val="000000"/>
        </w:rPr>
        <w:t>S.</w:t>
      </w:r>
      <w:r>
        <w:rPr>
          <w:rStyle w:val="apple-converted-space"/>
          <w:color w:val="000000"/>
        </w:rPr>
        <w:t> </w:t>
      </w:r>
      <w:r>
        <w:rPr>
          <w:color w:val="000000"/>
        </w:rPr>
        <w:t>(2022)</w:t>
      </w:r>
      <w:r>
        <w:rPr>
          <w:rStyle w:val="apple-converted-space"/>
          <w:color w:val="000000"/>
        </w:rPr>
        <w:t> </w:t>
      </w:r>
      <w:r>
        <w:rPr>
          <w:color w:val="000000"/>
        </w:rPr>
        <w:t>‘Discharge</w:t>
      </w:r>
      <w:r>
        <w:rPr>
          <w:rStyle w:val="apple-converted-space"/>
          <w:color w:val="000000"/>
        </w:rPr>
        <w:t> </w:t>
      </w:r>
      <w:r>
        <w:rPr>
          <w:color w:val="000000"/>
        </w:rPr>
        <w:t>planning</w:t>
      </w:r>
      <w:r>
        <w:rPr>
          <w:rStyle w:val="apple-converted-space"/>
          <w:color w:val="000000"/>
        </w:rPr>
        <w:t> </w:t>
      </w:r>
      <w:r>
        <w:rPr>
          <w:color w:val="000000"/>
        </w:rPr>
        <w:t>from</w:t>
      </w:r>
      <w:r>
        <w:rPr>
          <w:rStyle w:val="apple-converted-space"/>
          <w:color w:val="000000"/>
        </w:rPr>
        <w:t> </w:t>
      </w:r>
      <w:r>
        <w:rPr>
          <w:color w:val="000000"/>
        </w:rPr>
        <w:t>hospital’,</w:t>
      </w:r>
      <w:r>
        <w:rPr>
          <w:rStyle w:val="apple-converted-space"/>
          <w:color w:val="000000"/>
        </w:rPr>
        <w:t> </w:t>
      </w:r>
      <w:r>
        <w:rPr>
          <w:color w:val="000000"/>
        </w:rPr>
        <w:t>Cochrane</w:t>
      </w:r>
      <w:r>
        <w:rPr>
          <w:rStyle w:val="apple-converted-space"/>
          <w:color w:val="000000"/>
        </w:rPr>
        <w:t> </w:t>
      </w:r>
      <w:r>
        <w:rPr>
          <w:color w:val="000000"/>
        </w:rPr>
        <w:t>Database</w:t>
      </w:r>
      <w:r>
        <w:rPr>
          <w:rStyle w:val="apple-converted-space"/>
          <w:color w:val="000000"/>
        </w:rPr>
        <w:t> </w:t>
      </w:r>
      <w:r>
        <w:rPr>
          <w:color w:val="000000"/>
        </w:rPr>
        <w:t>of</w:t>
      </w:r>
      <w:r>
        <w:rPr>
          <w:rStyle w:val="apple-converted-space"/>
          <w:color w:val="000000"/>
        </w:rPr>
        <w:t> </w:t>
      </w:r>
      <w:r>
        <w:rPr>
          <w:color w:val="000000"/>
        </w:rPr>
        <w:t>Systematic</w:t>
      </w:r>
      <w:r>
        <w:rPr>
          <w:rStyle w:val="apple-converted-space"/>
          <w:color w:val="000000"/>
        </w:rPr>
        <w:t> </w:t>
      </w:r>
      <w:r>
        <w:rPr>
          <w:color w:val="000000"/>
        </w:rPr>
        <w:t>Reviews,</w:t>
      </w:r>
      <w:r>
        <w:rPr>
          <w:rStyle w:val="apple-converted-space"/>
          <w:color w:val="000000"/>
        </w:rPr>
        <w:t> </w:t>
      </w:r>
      <w:r>
        <w:rPr>
          <w:color w:val="000000"/>
        </w:rPr>
        <w:t>2022(2),</w:t>
      </w:r>
      <w:r>
        <w:rPr>
          <w:rStyle w:val="apple-converted-space"/>
          <w:color w:val="000000"/>
        </w:rPr>
        <w:t> </w:t>
      </w:r>
      <w:r>
        <w:rPr>
          <w:color w:val="000000"/>
        </w:rPr>
        <w:t>CD000313.</w:t>
      </w:r>
      <w:r>
        <w:rPr>
          <w:rStyle w:val="apple-converted-space"/>
          <w:color w:val="000000"/>
        </w:rPr>
        <w:t> </w:t>
      </w:r>
      <w:r>
        <w:rPr>
          <w:color w:val="000000"/>
        </w:rPr>
        <w:t>Available</w:t>
      </w:r>
      <w:r>
        <w:rPr>
          <w:rStyle w:val="apple-converted-space"/>
          <w:color w:val="000000"/>
        </w:rPr>
        <w:t> </w:t>
      </w:r>
      <w:r>
        <w:rPr>
          <w:color w:val="000000"/>
        </w:rPr>
        <w:t>at:</w:t>
      </w:r>
      <w:r>
        <w:rPr>
          <w:rStyle w:val="apple-converted-space"/>
          <w:color w:val="000000"/>
        </w:rPr>
        <w:t> </w:t>
      </w:r>
      <w:hyperlink r:id="rId10" w:history="1">
        <w:r>
          <w:rPr>
            <w:rStyle w:val="Hyperlink"/>
          </w:rPr>
          <w:t>https://doi.org/10.1002/14651858.CD000313.pub6</w:t>
        </w:r>
      </w:hyperlink>
      <w:r>
        <w:rPr>
          <w:color w:val="000000"/>
        </w:rPr>
        <w:t>. (</w:t>
      </w:r>
      <w:proofErr w:type="gramStart"/>
      <w:r>
        <w:rPr>
          <w:color w:val="000000"/>
        </w:rPr>
        <w:t>Accessed :</w:t>
      </w:r>
      <w:proofErr w:type="gramEnd"/>
      <w:r>
        <w:rPr>
          <w:color w:val="000000"/>
        </w:rPr>
        <w:t xml:space="preserve"> 23 October 2026)</w:t>
      </w:r>
    </w:p>
    <w:p w14:paraId="189EC8B0" w14:textId="7B2BD1A6" w:rsidR="004C137A" w:rsidRPr="005625E0" w:rsidRDefault="004C137A" w:rsidP="001D5AC5">
      <w:pPr>
        <w:spacing w:line="360" w:lineRule="auto"/>
        <w:rPr>
          <w:rFonts w:ascii="Arial" w:hAnsi="Arial" w:cs="Arial"/>
          <w:sz w:val="22"/>
          <w:szCs w:val="22"/>
        </w:rPr>
      </w:pPr>
      <w:r w:rsidRPr="005625E0">
        <w:rPr>
          <w:rFonts w:ascii="Arial" w:hAnsi="Arial" w:cs="Arial"/>
          <w:sz w:val="22"/>
          <w:szCs w:val="22"/>
        </w:rPr>
        <w:t xml:space="preserve">Health and Care Act 2022, c.31. Available at: </w:t>
      </w:r>
      <w:hyperlink r:id="rId11" w:history="1">
        <w:r w:rsidRPr="005625E0">
          <w:rPr>
            <w:rStyle w:val="Hyperlink"/>
            <w:rFonts w:ascii="Arial" w:hAnsi="Arial" w:cs="Arial"/>
            <w:sz w:val="22"/>
            <w:szCs w:val="22"/>
          </w:rPr>
          <w:t>https://www.legislation.gov.uk/ukpga/2022/31/contents</w:t>
        </w:r>
      </w:hyperlink>
      <w:r w:rsidRPr="005625E0">
        <w:rPr>
          <w:rFonts w:ascii="Arial" w:hAnsi="Arial" w:cs="Arial"/>
          <w:sz w:val="22"/>
          <w:szCs w:val="22"/>
        </w:rPr>
        <w:t xml:space="preserve">  (Accessed: 16 October 2026).</w:t>
      </w:r>
    </w:p>
    <w:p w14:paraId="0D7ECBA5" w14:textId="5B16CD6E" w:rsidR="004C137A" w:rsidRPr="005625E0" w:rsidRDefault="004C137A" w:rsidP="001D5AC5">
      <w:pPr>
        <w:spacing w:line="360" w:lineRule="auto"/>
        <w:rPr>
          <w:rFonts w:ascii="Arial" w:hAnsi="Arial" w:cs="Arial"/>
          <w:sz w:val="22"/>
          <w:szCs w:val="22"/>
        </w:rPr>
      </w:pPr>
      <w:r w:rsidRPr="005625E0">
        <w:rPr>
          <w:rFonts w:ascii="Arial" w:hAnsi="Arial" w:cs="Arial"/>
          <w:sz w:val="22"/>
          <w:szCs w:val="22"/>
        </w:rPr>
        <w:t xml:space="preserve">Health and Social Care Act 2008 (Regulated Activities) Regulations 2014, SI 2014/2936. Available at: </w:t>
      </w:r>
      <w:hyperlink r:id="rId12" w:history="1">
        <w:r w:rsidRPr="005625E0">
          <w:rPr>
            <w:rStyle w:val="Hyperlink"/>
            <w:rFonts w:ascii="Arial" w:hAnsi="Arial" w:cs="Arial"/>
            <w:sz w:val="22"/>
            <w:szCs w:val="22"/>
          </w:rPr>
          <w:t>https://www.legislation.gov.uk/uksi/2014/2936/contents</w:t>
        </w:r>
      </w:hyperlink>
      <w:r w:rsidRPr="005625E0">
        <w:rPr>
          <w:rFonts w:ascii="Arial" w:hAnsi="Arial" w:cs="Arial"/>
          <w:sz w:val="22"/>
          <w:szCs w:val="22"/>
        </w:rPr>
        <w:t xml:space="preserve"> (Accessed: 16 October 2026).</w:t>
      </w:r>
    </w:p>
    <w:p w14:paraId="379F5903" w14:textId="1F90A1A6" w:rsidR="00FE3273" w:rsidRDefault="00FE3273" w:rsidP="001D5AC5">
      <w:pPr>
        <w:spacing w:line="360" w:lineRule="auto"/>
        <w:rPr>
          <w:rFonts w:ascii="Arial" w:hAnsi="Arial" w:cs="Arial"/>
          <w:sz w:val="22"/>
          <w:szCs w:val="22"/>
        </w:rPr>
      </w:pPr>
      <w:proofErr w:type="spellStart"/>
      <w:r w:rsidRPr="00FE3273">
        <w:rPr>
          <w:rFonts w:ascii="Arial" w:hAnsi="Arial" w:cs="Arial"/>
          <w:sz w:val="22"/>
          <w:szCs w:val="22"/>
        </w:rPr>
        <w:t>Kitwood</w:t>
      </w:r>
      <w:proofErr w:type="spellEnd"/>
      <w:r w:rsidRPr="00FE3273">
        <w:rPr>
          <w:rFonts w:ascii="Arial" w:hAnsi="Arial" w:cs="Arial"/>
          <w:sz w:val="22"/>
          <w:szCs w:val="22"/>
        </w:rPr>
        <w:t>, T. (1997</w:t>
      </w:r>
      <w:r w:rsidRPr="001C791C">
        <w:rPr>
          <w:rFonts w:ascii="Arial" w:hAnsi="Arial" w:cs="Arial"/>
          <w:i/>
          <w:iCs/>
          <w:sz w:val="22"/>
          <w:szCs w:val="22"/>
        </w:rPr>
        <w:t>) Dementia Reconsidered:</w:t>
      </w:r>
      <w:r w:rsidRPr="00FE3273">
        <w:rPr>
          <w:rFonts w:ascii="Arial" w:hAnsi="Arial" w:cs="Arial"/>
          <w:sz w:val="22"/>
          <w:szCs w:val="22"/>
        </w:rPr>
        <w:t xml:space="preserve"> </w:t>
      </w:r>
      <w:r w:rsidRPr="001C791C">
        <w:rPr>
          <w:rFonts w:ascii="Arial" w:hAnsi="Arial" w:cs="Arial"/>
          <w:i/>
          <w:iCs/>
          <w:sz w:val="22"/>
          <w:szCs w:val="22"/>
        </w:rPr>
        <w:t>The Person Comes First.</w:t>
      </w:r>
      <w:r w:rsidRPr="00FE3273">
        <w:rPr>
          <w:rFonts w:ascii="Arial" w:hAnsi="Arial" w:cs="Arial"/>
          <w:sz w:val="22"/>
          <w:szCs w:val="22"/>
        </w:rPr>
        <w:t xml:space="preserve"> Buckingham: Open University Press.</w:t>
      </w:r>
    </w:p>
    <w:p w14:paraId="31D3B993" w14:textId="69C7CE05" w:rsidR="004C137A" w:rsidRPr="005625E0" w:rsidRDefault="004C137A" w:rsidP="001D5AC5">
      <w:pPr>
        <w:spacing w:line="360" w:lineRule="auto"/>
        <w:rPr>
          <w:rFonts w:ascii="Arial" w:hAnsi="Arial" w:cs="Arial"/>
          <w:sz w:val="22"/>
          <w:szCs w:val="22"/>
        </w:rPr>
      </w:pPr>
      <w:r w:rsidRPr="005625E0">
        <w:rPr>
          <w:rFonts w:ascii="Arial" w:hAnsi="Arial" w:cs="Arial"/>
          <w:sz w:val="22"/>
          <w:szCs w:val="22"/>
        </w:rPr>
        <w:t xml:space="preserve">McCormack, B. and McCance, T. (eds.) (2017) Person-Centred Practice in Nursing and Health Care: Theory and Practice. 2nd </w:t>
      </w:r>
      <w:proofErr w:type="spellStart"/>
      <w:r w:rsidRPr="005625E0">
        <w:rPr>
          <w:rFonts w:ascii="Arial" w:hAnsi="Arial" w:cs="Arial"/>
          <w:sz w:val="22"/>
          <w:szCs w:val="22"/>
        </w:rPr>
        <w:t>edn</w:t>
      </w:r>
      <w:proofErr w:type="spellEnd"/>
      <w:r w:rsidRPr="005625E0">
        <w:rPr>
          <w:rFonts w:ascii="Arial" w:hAnsi="Arial" w:cs="Arial"/>
          <w:sz w:val="22"/>
          <w:szCs w:val="22"/>
        </w:rPr>
        <w:t>. Chichester: Wiley-Blackwell.</w:t>
      </w:r>
    </w:p>
    <w:p w14:paraId="198BDF1D" w14:textId="14D3E62E" w:rsidR="004C137A" w:rsidRPr="005625E0" w:rsidRDefault="004C137A" w:rsidP="001D5AC5">
      <w:pPr>
        <w:spacing w:line="360" w:lineRule="auto"/>
        <w:rPr>
          <w:rFonts w:ascii="Arial" w:hAnsi="Arial" w:cs="Arial"/>
          <w:sz w:val="22"/>
          <w:szCs w:val="22"/>
        </w:rPr>
      </w:pPr>
      <w:r w:rsidRPr="005625E0">
        <w:rPr>
          <w:rFonts w:ascii="Arial" w:hAnsi="Arial" w:cs="Arial"/>
          <w:sz w:val="22"/>
          <w:szCs w:val="22"/>
        </w:rPr>
        <w:t xml:space="preserve">Mental Capacity Act 2005, c.9. Available at: </w:t>
      </w:r>
      <w:hyperlink r:id="rId13" w:history="1">
        <w:r w:rsidRPr="005625E0">
          <w:rPr>
            <w:rStyle w:val="Hyperlink"/>
            <w:rFonts w:ascii="Arial" w:hAnsi="Arial" w:cs="Arial"/>
            <w:sz w:val="22"/>
            <w:szCs w:val="22"/>
          </w:rPr>
          <w:t>https://www.legislation.gov.uk/ukpga/2005/9/contents</w:t>
        </w:r>
      </w:hyperlink>
      <w:r w:rsidRPr="005625E0">
        <w:rPr>
          <w:rFonts w:ascii="Arial" w:hAnsi="Arial" w:cs="Arial"/>
          <w:sz w:val="22"/>
          <w:szCs w:val="22"/>
        </w:rPr>
        <w:t xml:space="preserve">  (Accessed: 16 October 2026).</w:t>
      </w:r>
    </w:p>
    <w:p w14:paraId="2BE3331C" w14:textId="203237CC" w:rsidR="004C137A" w:rsidRPr="005625E0" w:rsidRDefault="004C137A" w:rsidP="001D5AC5">
      <w:pPr>
        <w:spacing w:line="360" w:lineRule="auto"/>
        <w:rPr>
          <w:rFonts w:ascii="Arial" w:hAnsi="Arial" w:cs="Arial"/>
          <w:sz w:val="22"/>
          <w:szCs w:val="22"/>
        </w:rPr>
      </w:pPr>
      <w:r w:rsidRPr="005625E0">
        <w:rPr>
          <w:rFonts w:ascii="Arial" w:hAnsi="Arial" w:cs="Arial"/>
          <w:sz w:val="22"/>
          <w:szCs w:val="22"/>
        </w:rPr>
        <w:lastRenderedPageBreak/>
        <w:t xml:space="preserve">National Institute for Health and Care Excellence (NICE) (2021) Shared decision making. NICE guideline NG197. Available at: </w:t>
      </w:r>
      <w:hyperlink r:id="rId14" w:history="1">
        <w:r w:rsidRPr="005625E0">
          <w:rPr>
            <w:rStyle w:val="Hyperlink"/>
            <w:rFonts w:ascii="Arial" w:hAnsi="Arial" w:cs="Arial"/>
            <w:sz w:val="22"/>
            <w:szCs w:val="22"/>
          </w:rPr>
          <w:t>https://www.nice.org.uk/guidance/ng197</w:t>
        </w:r>
      </w:hyperlink>
      <w:r w:rsidRPr="005625E0">
        <w:rPr>
          <w:rFonts w:ascii="Arial" w:hAnsi="Arial" w:cs="Arial"/>
          <w:sz w:val="22"/>
          <w:szCs w:val="22"/>
        </w:rPr>
        <w:t xml:space="preserve">  (Accessed: 16 October 2026).</w:t>
      </w:r>
    </w:p>
    <w:p w14:paraId="320325F6" w14:textId="419352B8" w:rsidR="004C137A" w:rsidRPr="005625E0" w:rsidRDefault="004C137A" w:rsidP="001D5AC5">
      <w:pPr>
        <w:spacing w:line="360" w:lineRule="auto"/>
        <w:rPr>
          <w:rFonts w:ascii="Arial" w:hAnsi="Arial" w:cs="Arial"/>
          <w:sz w:val="22"/>
          <w:szCs w:val="22"/>
        </w:rPr>
      </w:pPr>
      <w:r w:rsidRPr="005625E0">
        <w:rPr>
          <w:rFonts w:ascii="Arial" w:hAnsi="Arial" w:cs="Arial"/>
          <w:sz w:val="22"/>
          <w:szCs w:val="22"/>
        </w:rPr>
        <w:t xml:space="preserve">NHS England (n.d.) Comprehensive model of personalised care. Available at: </w:t>
      </w:r>
      <w:hyperlink r:id="rId15" w:history="1">
        <w:r w:rsidRPr="005625E0">
          <w:rPr>
            <w:rStyle w:val="Hyperlink"/>
            <w:rFonts w:ascii="Arial" w:hAnsi="Arial" w:cs="Arial"/>
            <w:sz w:val="22"/>
            <w:szCs w:val="22"/>
          </w:rPr>
          <w:t>https://www.england.nhs.uk/personalisedcare/comprehensive-model-of-personalised-care/</w:t>
        </w:r>
      </w:hyperlink>
      <w:r w:rsidRPr="005625E0">
        <w:rPr>
          <w:rFonts w:ascii="Arial" w:hAnsi="Arial" w:cs="Arial"/>
          <w:sz w:val="22"/>
          <w:szCs w:val="22"/>
        </w:rPr>
        <w:t xml:space="preserve"> (Accessed: 16 October 2026).</w:t>
      </w:r>
    </w:p>
    <w:p w14:paraId="68BCA041" w14:textId="2C5FA551" w:rsidR="004C137A" w:rsidRDefault="004C137A" w:rsidP="001D5AC5">
      <w:pPr>
        <w:spacing w:line="360" w:lineRule="auto"/>
        <w:rPr>
          <w:rFonts w:ascii="Arial" w:hAnsi="Arial" w:cs="Arial"/>
          <w:sz w:val="22"/>
          <w:szCs w:val="22"/>
        </w:rPr>
      </w:pPr>
      <w:r w:rsidRPr="005625E0">
        <w:rPr>
          <w:rFonts w:ascii="Arial" w:hAnsi="Arial" w:cs="Arial"/>
          <w:sz w:val="22"/>
          <w:szCs w:val="22"/>
        </w:rPr>
        <w:t xml:space="preserve">NHS England (2022) Working in partnership with people and communities: Statutory guidance. Available at: </w:t>
      </w:r>
      <w:hyperlink r:id="rId16" w:history="1">
        <w:r w:rsidRPr="005625E0">
          <w:rPr>
            <w:rStyle w:val="Hyperlink"/>
            <w:rFonts w:ascii="Arial" w:hAnsi="Arial" w:cs="Arial"/>
            <w:sz w:val="22"/>
            <w:szCs w:val="22"/>
          </w:rPr>
          <w:t>https://www.england.nhs.uk/long-read/working-in-partnership-with-people-and-communities-statutory-guidance/</w:t>
        </w:r>
      </w:hyperlink>
      <w:r w:rsidRPr="005625E0">
        <w:rPr>
          <w:rFonts w:ascii="Arial" w:hAnsi="Arial" w:cs="Arial"/>
          <w:sz w:val="22"/>
          <w:szCs w:val="22"/>
        </w:rPr>
        <w:t xml:space="preserve">  (Accessed: 16 October 2026).</w:t>
      </w:r>
    </w:p>
    <w:p w14:paraId="3AF66156" w14:textId="77E6AA59" w:rsidR="001C791C" w:rsidRDefault="001C791C" w:rsidP="001D5AC5">
      <w:pPr>
        <w:spacing w:line="360" w:lineRule="auto"/>
        <w:rPr>
          <w:rFonts w:ascii="Arial" w:hAnsi="Arial" w:cs="Arial"/>
          <w:sz w:val="22"/>
          <w:szCs w:val="22"/>
        </w:rPr>
      </w:pPr>
      <w:r w:rsidRPr="001C791C">
        <w:rPr>
          <w:rFonts w:ascii="Arial" w:hAnsi="Arial" w:cs="Arial"/>
          <w:sz w:val="22"/>
          <w:szCs w:val="22"/>
        </w:rPr>
        <w:t>Nolan, M.R., Brown, J., Davies, S., Nolan, J. and Keady, J. (2006) ‘The Senses Framework: improving care for older people through a relationship-centred approach’, Ageing &amp; Society, 26(4), pp. 459–477.</w:t>
      </w:r>
    </w:p>
    <w:p w14:paraId="7240800C" w14:textId="59934E8D" w:rsidR="001C791C" w:rsidRPr="005625E0" w:rsidRDefault="001C791C" w:rsidP="001D5AC5">
      <w:pPr>
        <w:spacing w:line="360" w:lineRule="auto"/>
        <w:rPr>
          <w:rFonts w:ascii="Arial" w:hAnsi="Arial" w:cs="Arial"/>
          <w:sz w:val="22"/>
          <w:szCs w:val="22"/>
        </w:rPr>
      </w:pPr>
      <w:r w:rsidRPr="001C791C">
        <w:rPr>
          <w:rFonts w:ascii="Arial" w:hAnsi="Arial" w:cs="Arial"/>
          <w:sz w:val="22"/>
          <w:szCs w:val="22"/>
        </w:rPr>
        <w:t xml:space="preserve">The Health Foundation (2014) </w:t>
      </w:r>
      <w:r w:rsidRPr="001C791C">
        <w:rPr>
          <w:rFonts w:ascii="Arial" w:hAnsi="Arial" w:cs="Arial"/>
          <w:i/>
          <w:iCs/>
          <w:sz w:val="22"/>
          <w:szCs w:val="22"/>
        </w:rPr>
        <w:t>Person-centred care made simple: what everyone should know about person-centred care. London: The Health Foundation</w:t>
      </w:r>
      <w:r w:rsidRPr="001C791C">
        <w:rPr>
          <w:rFonts w:ascii="Arial" w:hAnsi="Arial" w:cs="Arial"/>
          <w:sz w:val="22"/>
          <w:szCs w:val="22"/>
        </w:rPr>
        <w:t xml:space="preserve">. Available at: </w:t>
      </w:r>
      <w:hyperlink r:id="rId17" w:history="1">
        <w:r w:rsidRPr="00430D8A">
          <w:rPr>
            <w:rStyle w:val="Hyperlink"/>
            <w:rFonts w:ascii="Arial" w:hAnsi="Arial" w:cs="Arial"/>
            <w:sz w:val="22"/>
            <w:szCs w:val="22"/>
          </w:rPr>
          <w:t>https://www.health.org.uk/publications/person-centred-care-made-simple</w:t>
        </w:r>
      </w:hyperlink>
      <w:r>
        <w:rPr>
          <w:rFonts w:ascii="Arial" w:hAnsi="Arial" w:cs="Arial"/>
          <w:sz w:val="22"/>
          <w:szCs w:val="22"/>
        </w:rPr>
        <w:t xml:space="preserve"> </w:t>
      </w:r>
      <w:r w:rsidRPr="001C791C">
        <w:rPr>
          <w:rFonts w:ascii="Arial" w:hAnsi="Arial" w:cs="Arial"/>
          <w:sz w:val="22"/>
          <w:szCs w:val="22"/>
        </w:rPr>
        <w:t xml:space="preserve"> (Accessed: 17 October 2026).</w:t>
      </w:r>
    </w:p>
    <w:sectPr w:rsidR="001C791C" w:rsidRPr="005625E0">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368D8" w14:textId="77777777" w:rsidR="006B3422" w:rsidRDefault="006B3422" w:rsidP="004C137A">
      <w:pPr>
        <w:spacing w:after="0" w:line="240" w:lineRule="auto"/>
      </w:pPr>
      <w:r>
        <w:separator/>
      </w:r>
    </w:p>
  </w:endnote>
  <w:endnote w:type="continuationSeparator" w:id="0">
    <w:p w14:paraId="5F4522DE" w14:textId="77777777" w:rsidR="006B3422" w:rsidRDefault="006B3422" w:rsidP="004C13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81876421"/>
      <w:docPartObj>
        <w:docPartGallery w:val="Page Numbers (Bottom of Page)"/>
        <w:docPartUnique/>
      </w:docPartObj>
    </w:sdtPr>
    <w:sdtContent>
      <w:p w14:paraId="5D2710D2" w14:textId="7D3CCAD5" w:rsidR="004C137A" w:rsidRDefault="004C137A" w:rsidP="002619E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1AD33F" w14:textId="77777777" w:rsidR="004C137A" w:rsidRDefault="004C13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169887"/>
      <w:docPartObj>
        <w:docPartGallery w:val="Page Numbers (Bottom of Page)"/>
        <w:docPartUnique/>
      </w:docPartObj>
    </w:sdtPr>
    <w:sdtContent>
      <w:p w14:paraId="789ECA92" w14:textId="347A9EC1" w:rsidR="004C137A" w:rsidRDefault="004C137A" w:rsidP="002619E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7C5391" w14:textId="77777777" w:rsidR="004C137A" w:rsidRDefault="004C13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FCA4F" w14:textId="77777777" w:rsidR="006B3422" w:rsidRDefault="006B3422" w:rsidP="004C137A">
      <w:pPr>
        <w:spacing w:after="0" w:line="240" w:lineRule="auto"/>
      </w:pPr>
      <w:r>
        <w:separator/>
      </w:r>
    </w:p>
  </w:footnote>
  <w:footnote w:type="continuationSeparator" w:id="0">
    <w:p w14:paraId="1E8C894A" w14:textId="77777777" w:rsidR="006B3422" w:rsidRDefault="006B3422" w:rsidP="004C13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37A"/>
    <w:rsid w:val="00012EEF"/>
    <w:rsid w:val="000C2977"/>
    <w:rsid w:val="001C791C"/>
    <w:rsid w:val="001D5AC5"/>
    <w:rsid w:val="0025325E"/>
    <w:rsid w:val="002C02DC"/>
    <w:rsid w:val="00390681"/>
    <w:rsid w:val="003A3301"/>
    <w:rsid w:val="004C137A"/>
    <w:rsid w:val="00523C77"/>
    <w:rsid w:val="005625E0"/>
    <w:rsid w:val="005A5D74"/>
    <w:rsid w:val="005B17CD"/>
    <w:rsid w:val="006B3422"/>
    <w:rsid w:val="00747B91"/>
    <w:rsid w:val="00753758"/>
    <w:rsid w:val="00865B1B"/>
    <w:rsid w:val="00A705D2"/>
    <w:rsid w:val="00A907BF"/>
    <w:rsid w:val="00AB065F"/>
    <w:rsid w:val="00B21990"/>
    <w:rsid w:val="00C3101C"/>
    <w:rsid w:val="00C97A63"/>
    <w:rsid w:val="00CB59E0"/>
    <w:rsid w:val="00E70A49"/>
    <w:rsid w:val="00EF7A9B"/>
    <w:rsid w:val="00F10EB2"/>
    <w:rsid w:val="00FE32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46674"/>
  <w15:chartTrackingRefBased/>
  <w15:docId w15:val="{F56A6C77-53FD-404B-B6EF-609AB984A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13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13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13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13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13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13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13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13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13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13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C13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13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13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13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13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13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13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137A"/>
    <w:rPr>
      <w:rFonts w:eastAsiaTheme="majorEastAsia" w:cstheme="majorBidi"/>
      <w:color w:val="272727" w:themeColor="text1" w:themeTint="D8"/>
    </w:rPr>
  </w:style>
  <w:style w:type="paragraph" w:styleId="Title">
    <w:name w:val="Title"/>
    <w:basedOn w:val="Normal"/>
    <w:next w:val="Normal"/>
    <w:link w:val="TitleChar"/>
    <w:uiPriority w:val="10"/>
    <w:qFormat/>
    <w:rsid w:val="004C13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13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13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13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137A"/>
    <w:pPr>
      <w:spacing w:before="160"/>
      <w:jc w:val="center"/>
    </w:pPr>
    <w:rPr>
      <w:i/>
      <w:iCs/>
      <w:color w:val="404040" w:themeColor="text1" w:themeTint="BF"/>
    </w:rPr>
  </w:style>
  <w:style w:type="character" w:customStyle="1" w:styleId="QuoteChar">
    <w:name w:val="Quote Char"/>
    <w:basedOn w:val="DefaultParagraphFont"/>
    <w:link w:val="Quote"/>
    <w:uiPriority w:val="29"/>
    <w:rsid w:val="004C137A"/>
    <w:rPr>
      <w:i/>
      <w:iCs/>
      <w:color w:val="404040" w:themeColor="text1" w:themeTint="BF"/>
    </w:rPr>
  </w:style>
  <w:style w:type="paragraph" w:styleId="ListParagraph">
    <w:name w:val="List Paragraph"/>
    <w:basedOn w:val="Normal"/>
    <w:uiPriority w:val="34"/>
    <w:qFormat/>
    <w:rsid w:val="004C137A"/>
    <w:pPr>
      <w:ind w:left="720"/>
      <w:contextualSpacing/>
    </w:pPr>
  </w:style>
  <w:style w:type="character" w:styleId="IntenseEmphasis">
    <w:name w:val="Intense Emphasis"/>
    <w:basedOn w:val="DefaultParagraphFont"/>
    <w:uiPriority w:val="21"/>
    <w:qFormat/>
    <w:rsid w:val="004C137A"/>
    <w:rPr>
      <w:i/>
      <w:iCs/>
      <w:color w:val="0F4761" w:themeColor="accent1" w:themeShade="BF"/>
    </w:rPr>
  </w:style>
  <w:style w:type="paragraph" w:styleId="IntenseQuote">
    <w:name w:val="Intense Quote"/>
    <w:basedOn w:val="Normal"/>
    <w:next w:val="Normal"/>
    <w:link w:val="IntenseQuoteChar"/>
    <w:uiPriority w:val="30"/>
    <w:qFormat/>
    <w:rsid w:val="004C13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137A"/>
    <w:rPr>
      <w:i/>
      <w:iCs/>
      <w:color w:val="0F4761" w:themeColor="accent1" w:themeShade="BF"/>
    </w:rPr>
  </w:style>
  <w:style w:type="character" w:styleId="IntenseReference">
    <w:name w:val="Intense Reference"/>
    <w:basedOn w:val="DefaultParagraphFont"/>
    <w:uiPriority w:val="32"/>
    <w:qFormat/>
    <w:rsid w:val="004C137A"/>
    <w:rPr>
      <w:b/>
      <w:bCs/>
      <w:smallCaps/>
      <w:color w:val="0F4761" w:themeColor="accent1" w:themeShade="BF"/>
      <w:spacing w:val="5"/>
    </w:rPr>
  </w:style>
  <w:style w:type="paragraph" w:styleId="TOCHeading">
    <w:name w:val="TOC Heading"/>
    <w:basedOn w:val="Heading1"/>
    <w:next w:val="Normal"/>
    <w:uiPriority w:val="39"/>
    <w:unhideWhenUsed/>
    <w:qFormat/>
    <w:rsid w:val="004C137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C137A"/>
    <w:pPr>
      <w:spacing w:before="120" w:after="0"/>
    </w:pPr>
    <w:rPr>
      <w:b/>
      <w:bCs/>
      <w:i/>
      <w:iCs/>
    </w:rPr>
  </w:style>
  <w:style w:type="paragraph" w:styleId="TOC2">
    <w:name w:val="toc 2"/>
    <w:basedOn w:val="Normal"/>
    <w:next w:val="Normal"/>
    <w:autoRedefine/>
    <w:uiPriority w:val="39"/>
    <w:unhideWhenUsed/>
    <w:rsid w:val="004C137A"/>
    <w:pPr>
      <w:spacing w:before="120" w:after="0"/>
      <w:ind w:left="240"/>
    </w:pPr>
    <w:rPr>
      <w:b/>
      <w:bCs/>
      <w:sz w:val="22"/>
      <w:szCs w:val="22"/>
    </w:rPr>
  </w:style>
  <w:style w:type="paragraph" w:styleId="TOC3">
    <w:name w:val="toc 3"/>
    <w:basedOn w:val="Normal"/>
    <w:next w:val="Normal"/>
    <w:autoRedefine/>
    <w:uiPriority w:val="39"/>
    <w:semiHidden/>
    <w:unhideWhenUsed/>
    <w:rsid w:val="004C137A"/>
    <w:pPr>
      <w:spacing w:after="0"/>
      <w:ind w:left="480"/>
    </w:pPr>
    <w:rPr>
      <w:sz w:val="20"/>
      <w:szCs w:val="20"/>
    </w:rPr>
  </w:style>
  <w:style w:type="paragraph" w:styleId="TOC4">
    <w:name w:val="toc 4"/>
    <w:basedOn w:val="Normal"/>
    <w:next w:val="Normal"/>
    <w:autoRedefine/>
    <w:uiPriority w:val="39"/>
    <w:semiHidden/>
    <w:unhideWhenUsed/>
    <w:rsid w:val="004C137A"/>
    <w:pPr>
      <w:spacing w:after="0"/>
      <w:ind w:left="720"/>
    </w:pPr>
    <w:rPr>
      <w:sz w:val="20"/>
      <w:szCs w:val="20"/>
    </w:rPr>
  </w:style>
  <w:style w:type="paragraph" w:styleId="TOC5">
    <w:name w:val="toc 5"/>
    <w:basedOn w:val="Normal"/>
    <w:next w:val="Normal"/>
    <w:autoRedefine/>
    <w:uiPriority w:val="39"/>
    <w:semiHidden/>
    <w:unhideWhenUsed/>
    <w:rsid w:val="004C137A"/>
    <w:pPr>
      <w:spacing w:after="0"/>
      <w:ind w:left="960"/>
    </w:pPr>
    <w:rPr>
      <w:sz w:val="20"/>
      <w:szCs w:val="20"/>
    </w:rPr>
  </w:style>
  <w:style w:type="paragraph" w:styleId="TOC6">
    <w:name w:val="toc 6"/>
    <w:basedOn w:val="Normal"/>
    <w:next w:val="Normal"/>
    <w:autoRedefine/>
    <w:uiPriority w:val="39"/>
    <w:semiHidden/>
    <w:unhideWhenUsed/>
    <w:rsid w:val="004C137A"/>
    <w:pPr>
      <w:spacing w:after="0"/>
      <w:ind w:left="1200"/>
    </w:pPr>
    <w:rPr>
      <w:sz w:val="20"/>
      <w:szCs w:val="20"/>
    </w:rPr>
  </w:style>
  <w:style w:type="paragraph" w:styleId="TOC7">
    <w:name w:val="toc 7"/>
    <w:basedOn w:val="Normal"/>
    <w:next w:val="Normal"/>
    <w:autoRedefine/>
    <w:uiPriority w:val="39"/>
    <w:semiHidden/>
    <w:unhideWhenUsed/>
    <w:rsid w:val="004C137A"/>
    <w:pPr>
      <w:spacing w:after="0"/>
      <w:ind w:left="1440"/>
    </w:pPr>
    <w:rPr>
      <w:sz w:val="20"/>
      <w:szCs w:val="20"/>
    </w:rPr>
  </w:style>
  <w:style w:type="paragraph" w:styleId="TOC8">
    <w:name w:val="toc 8"/>
    <w:basedOn w:val="Normal"/>
    <w:next w:val="Normal"/>
    <w:autoRedefine/>
    <w:uiPriority w:val="39"/>
    <w:semiHidden/>
    <w:unhideWhenUsed/>
    <w:rsid w:val="004C137A"/>
    <w:pPr>
      <w:spacing w:after="0"/>
      <w:ind w:left="1680"/>
    </w:pPr>
    <w:rPr>
      <w:sz w:val="20"/>
      <w:szCs w:val="20"/>
    </w:rPr>
  </w:style>
  <w:style w:type="paragraph" w:styleId="TOC9">
    <w:name w:val="toc 9"/>
    <w:basedOn w:val="Normal"/>
    <w:next w:val="Normal"/>
    <w:autoRedefine/>
    <w:uiPriority w:val="39"/>
    <w:semiHidden/>
    <w:unhideWhenUsed/>
    <w:rsid w:val="004C137A"/>
    <w:pPr>
      <w:spacing w:after="0"/>
      <w:ind w:left="1920"/>
    </w:pPr>
    <w:rPr>
      <w:sz w:val="20"/>
      <w:szCs w:val="20"/>
    </w:rPr>
  </w:style>
  <w:style w:type="character" w:styleId="Hyperlink">
    <w:name w:val="Hyperlink"/>
    <w:basedOn w:val="DefaultParagraphFont"/>
    <w:uiPriority w:val="99"/>
    <w:unhideWhenUsed/>
    <w:rsid w:val="004C137A"/>
    <w:rPr>
      <w:color w:val="467886" w:themeColor="hyperlink"/>
      <w:u w:val="single"/>
    </w:rPr>
  </w:style>
  <w:style w:type="character" w:styleId="UnresolvedMention">
    <w:name w:val="Unresolved Mention"/>
    <w:basedOn w:val="DefaultParagraphFont"/>
    <w:uiPriority w:val="99"/>
    <w:semiHidden/>
    <w:unhideWhenUsed/>
    <w:rsid w:val="004C137A"/>
    <w:rPr>
      <w:color w:val="605E5C"/>
      <w:shd w:val="clear" w:color="auto" w:fill="E1DFDD"/>
    </w:rPr>
  </w:style>
  <w:style w:type="paragraph" w:styleId="Footer">
    <w:name w:val="footer"/>
    <w:basedOn w:val="Normal"/>
    <w:link w:val="FooterChar"/>
    <w:uiPriority w:val="99"/>
    <w:unhideWhenUsed/>
    <w:rsid w:val="004C13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137A"/>
  </w:style>
  <w:style w:type="character" w:styleId="PageNumber">
    <w:name w:val="page number"/>
    <w:basedOn w:val="DefaultParagraphFont"/>
    <w:uiPriority w:val="99"/>
    <w:semiHidden/>
    <w:unhideWhenUsed/>
    <w:rsid w:val="004C137A"/>
  </w:style>
  <w:style w:type="paragraph" w:styleId="NoSpacing">
    <w:name w:val="No Spacing"/>
    <w:uiPriority w:val="1"/>
    <w:qFormat/>
    <w:rsid w:val="00FE3273"/>
    <w:pPr>
      <w:spacing w:after="0" w:line="240" w:lineRule="auto"/>
    </w:pPr>
  </w:style>
  <w:style w:type="character" w:customStyle="1" w:styleId="apple-converted-space">
    <w:name w:val="apple-converted-space"/>
    <w:basedOn w:val="DefaultParagraphFont"/>
    <w:rsid w:val="00FE3273"/>
  </w:style>
  <w:style w:type="paragraph" w:styleId="NormalWeb">
    <w:name w:val="Normal (Web)"/>
    <w:basedOn w:val="Normal"/>
    <w:uiPriority w:val="99"/>
    <w:semiHidden/>
    <w:unhideWhenUsed/>
    <w:rsid w:val="00A705D2"/>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hospital-discharge-and-community-support-guidance" TargetMode="External"/><Relationship Id="rId13" Type="http://schemas.openxmlformats.org/officeDocument/2006/relationships/hyperlink" Target="https://www.legislation.gov.uk/ukpga/2005/9/contents"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legislation.gov.uk/ukpga/2014/23/contents" TargetMode="External"/><Relationship Id="rId12" Type="http://schemas.openxmlformats.org/officeDocument/2006/relationships/hyperlink" Target="https://www.legislation.gov.uk/uksi/2014/2936/contents" TargetMode="External"/><Relationship Id="rId17" Type="http://schemas.openxmlformats.org/officeDocument/2006/relationships/hyperlink" Target="https://www.health.org.uk/publications/person-centred-care-made-simple" TargetMode="External"/><Relationship Id="rId2" Type="http://schemas.openxmlformats.org/officeDocument/2006/relationships/styles" Target="styles.xml"/><Relationship Id="rId16" Type="http://schemas.openxmlformats.org/officeDocument/2006/relationships/hyperlink" Target="https://www.england.nhs.uk/long-read/working-in-partnership-with-people-and-communities-statutory-guidan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egislation.gov.uk/ukpga/2022/31/contents" TargetMode="External"/><Relationship Id="rId5" Type="http://schemas.openxmlformats.org/officeDocument/2006/relationships/footnotes" Target="footnotes.xml"/><Relationship Id="rId15" Type="http://schemas.openxmlformats.org/officeDocument/2006/relationships/hyperlink" Target="https://www.england.nhs.uk/personalisedcare/comprehensive-model-of-personalised-care/" TargetMode="External"/><Relationship Id="rId10" Type="http://schemas.openxmlformats.org/officeDocument/2006/relationships/hyperlink" Target="https://doi.org/10.1002/14651858.CD000313.pub6?utm_source=chatgpt.com"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legislation.gov.uk/ukpga/2010/15/contents" TargetMode="External"/><Relationship Id="rId14" Type="http://schemas.openxmlformats.org/officeDocument/2006/relationships/hyperlink" Target="https://www.nice.org.uk/guidance/ng1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95341-F219-1648-9E02-9840DBD40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3082</Words>
  <Characters>17573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Tamyne Summer Cossa (2507591)</dc:creator>
  <cp:keywords/>
  <dc:description/>
  <cp:lastModifiedBy>Tamyne Summer Cossa (2507591)</cp:lastModifiedBy>
  <cp:revision>2</cp:revision>
  <dcterms:created xsi:type="dcterms:W3CDTF">2026-10-23T16:04:00Z</dcterms:created>
  <dcterms:modified xsi:type="dcterms:W3CDTF">2026-10-23T16:04:00Z</dcterms:modified>
</cp:coreProperties>
</file>