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3E7B02" w14:textId="77777777" w:rsidR="00973D2A" w:rsidRPr="00756792" w:rsidRDefault="00B61730" w:rsidP="004A6CFA">
      <w:pPr>
        <w:spacing w:after="200" w:line="360" w:lineRule="auto"/>
        <w:ind w:firstLine="227"/>
        <w:contextualSpacing/>
        <w:jc w:val="center"/>
        <w:rPr>
          <w:b/>
          <w:bCs/>
          <w:sz w:val="28"/>
          <w:szCs w:val="28"/>
          <w:lang w:val="en-GB"/>
        </w:rPr>
      </w:pPr>
      <w:r w:rsidRPr="00756792">
        <w:rPr>
          <w:b/>
          <w:bCs/>
          <w:sz w:val="28"/>
          <w:szCs w:val="28"/>
          <w:lang w:val="en-GB"/>
        </w:rPr>
        <w:t>Critique arguments for teaching</w:t>
      </w:r>
      <w:r w:rsidR="00F3510F" w:rsidRPr="00756792">
        <w:rPr>
          <w:b/>
          <w:bCs/>
          <w:sz w:val="28"/>
          <w:szCs w:val="28"/>
          <w:lang w:val="en-GB"/>
        </w:rPr>
        <w:t xml:space="preserve"> Standard Varieties </w:t>
      </w:r>
      <w:r w:rsidRPr="00756792">
        <w:rPr>
          <w:b/>
          <w:bCs/>
          <w:sz w:val="28"/>
          <w:szCs w:val="28"/>
          <w:lang w:val="en-GB"/>
        </w:rPr>
        <w:t>of English</w:t>
      </w:r>
    </w:p>
    <w:p w14:paraId="7E01DC61" w14:textId="77777777" w:rsidR="00A2377D" w:rsidRPr="00756792" w:rsidRDefault="00B61730" w:rsidP="004A6CFA">
      <w:pPr>
        <w:spacing w:after="200" w:line="360" w:lineRule="auto"/>
        <w:ind w:firstLine="227"/>
        <w:contextualSpacing/>
        <w:jc w:val="center"/>
        <w:rPr>
          <w:rFonts w:eastAsia="PingFang TC"/>
          <w:b/>
          <w:bCs/>
          <w:lang w:val="en-GB"/>
        </w:rPr>
      </w:pPr>
      <w:r w:rsidRPr="00756792">
        <w:rPr>
          <w:b/>
          <w:bCs/>
          <w:lang w:val="en-GB"/>
        </w:rPr>
        <w:t>Lan KE</w:t>
      </w:r>
      <w:r w:rsidRPr="00756792">
        <w:rPr>
          <w:rFonts w:eastAsia="PingFang TC"/>
          <w:b/>
          <w:bCs/>
          <w:lang w:val="en-GB"/>
        </w:rPr>
        <w:t>, Terry</w:t>
      </w:r>
    </w:p>
    <w:p w14:paraId="28708195" w14:textId="77777777" w:rsidR="00A2377D" w:rsidRPr="00756792" w:rsidRDefault="00B61730" w:rsidP="004A6CFA">
      <w:pPr>
        <w:spacing w:after="200" w:line="360" w:lineRule="auto"/>
        <w:ind w:firstLine="227"/>
        <w:contextualSpacing/>
        <w:jc w:val="both"/>
        <w:rPr>
          <w:b/>
          <w:bCs/>
          <w:lang w:val="en-GB"/>
        </w:rPr>
      </w:pPr>
      <w:r w:rsidRPr="00756792">
        <w:rPr>
          <w:b/>
          <w:bCs/>
          <w:lang w:val="en-GB"/>
        </w:rPr>
        <w:t>Abstract</w:t>
      </w:r>
    </w:p>
    <w:p w14:paraId="7F27ECD8" w14:textId="77777777" w:rsidR="000A10C5" w:rsidRPr="00756792" w:rsidRDefault="00B61730" w:rsidP="004A6CFA">
      <w:pPr>
        <w:spacing w:after="200" w:line="360" w:lineRule="auto"/>
        <w:ind w:firstLine="227"/>
        <w:contextualSpacing/>
        <w:jc w:val="both"/>
        <w:rPr>
          <w:lang w:val="en-GB"/>
        </w:rPr>
      </w:pPr>
      <w:r w:rsidRPr="00756792">
        <w:rPr>
          <w:lang w:val="en-GB"/>
        </w:rPr>
        <w:t>In the critique, we</w:t>
      </w:r>
      <w:r w:rsidR="00B54749" w:rsidRPr="00756792">
        <w:rPr>
          <w:lang w:val="en-GB"/>
        </w:rPr>
        <w:t xml:space="preserve"> </w:t>
      </w:r>
      <w:r w:rsidRPr="00756792">
        <w:rPr>
          <w:lang w:val="en-GB"/>
        </w:rPr>
        <w:t xml:space="preserve">discuss the pros and cons of teaching Standard </w:t>
      </w:r>
      <w:r w:rsidR="005C71CB" w:rsidRPr="00756792">
        <w:rPr>
          <w:lang w:val="en-GB"/>
        </w:rPr>
        <w:t xml:space="preserve">Varieties of </w:t>
      </w:r>
      <w:r w:rsidRPr="00756792">
        <w:rPr>
          <w:lang w:val="en-GB"/>
        </w:rPr>
        <w:t xml:space="preserve">English (henceforth </w:t>
      </w:r>
      <w:r w:rsidR="00336ACD" w:rsidRPr="00756792">
        <w:rPr>
          <w:lang w:val="en-GB"/>
        </w:rPr>
        <w:t>SVE</w:t>
      </w:r>
      <w:r w:rsidRPr="00756792">
        <w:rPr>
          <w:lang w:val="en-GB"/>
        </w:rPr>
        <w:t>)</w:t>
      </w:r>
      <w:r w:rsidR="00184863" w:rsidRPr="00756792">
        <w:rPr>
          <w:lang w:val="en-GB"/>
        </w:rPr>
        <w:t xml:space="preserve">. </w:t>
      </w:r>
      <w:r w:rsidR="00612A3B" w:rsidRPr="00756792">
        <w:rPr>
          <w:lang w:val="en-GB"/>
        </w:rPr>
        <w:t>The argumentation is</w:t>
      </w:r>
      <w:r w:rsidR="00184863" w:rsidRPr="00756792">
        <w:rPr>
          <w:lang w:val="en-GB"/>
        </w:rPr>
        <w:t xml:space="preserve"> </w:t>
      </w:r>
      <w:r w:rsidR="00612A3B" w:rsidRPr="00756792">
        <w:rPr>
          <w:lang w:val="en-GB"/>
        </w:rPr>
        <w:t xml:space="preserve">characterised </w:t>
      </w:r>
      <w:r w:rsidR="00184863" w:rsidRPr="00756792">
        <w:rPr>
          <w:lang w:val="en-GB"/>
        </w:rPr>
        <w:t xml:space="preserve">with three meta-questions: </w:t>
      </w:r>
      <w:r w:rsidR="009D4229" w:rsidRPr="00756792">
        <w:rPr>
          <w:lang w:val="en-GB"/>
        </w:rPr>
        <w:t>W</w:t>
      </w:r>
      <w:r w:rsidR="00184863" w:rsidRPr="00756792">
        <w:rPr>
          <w:lang w:val="en-GB"/>
        </w:rPr>
        <w:t>hat</w:t>
      </w:r>
      <w:r w:rsidR="009D4229" w:rsidRPr="00756792">
        <w:rPr>
          <w:lang w:val="en-GB"/>
        </w:rPr>
        <w:t xml:space="preserve"> does one mean by </w:t>
      </w:r>
      <w:r w:rsidR="00336ACD" w:rsidRPr="00756792">
        <w:rPr>
          <w:lang w:val="en-GB"/>
        </w:rPr>
        <w:t>SVE</w:t>
      </w:r>
      <w:r w:rsidR="009D4229" w:rsidRPr="00756792">
        <w:rPr>
          <w:lang w:val="en-GB"/>
        </w:rPr>
        <w:t xml:space="preserve">? Why should we teach </w:t>
      </w:r>
      <w:r w:rsidR="00336ACD" w:rsidRPr="00756792">
        <w:rPr>
          <w:lang w:val="en-GB"/>
        </w:rPr>
        <w:t>SVE</w:t>
      </w:r>
      <w:r w:rsidR="009D4229" w:rsidRPr="00756792">
        <w:rPr>
          <w:lang w:val="en-GB"/>
        </w:rPr>
        <w:t xml:space="preserve">? How do we teach </w:t>
      </w:r>
      <w:r w:rsidR="00336ACD" w:rsidRPr="00756792">
        <w:rPr>
          <w:lang w:val="en-GB"/>
        </w:rPr>
        <w:t>SVE</w:t>
      </w:r>
      <w:r w:rsidR="009D4229" w:rsidRPr="00756792">
        <w:rPr>
          <w:lang w:val="en-GB"/>
        </w:rPr>
        <w:t>?</w:t>
      </w:r>
    </w:p>
    <w:p w14:paraId="39B611C1" w14:textId="77777777" w:rsidR="009D4229" w:rsidRPr="00756792" w:rsidRDefault="00B61730" w:rsidP="004A6CFA">
      <w:pPr>
        <w:spacing w:after="200" w:line="360" w:lineRule="auto"/>
        <w:ind w:firstLine="227"/>
        <w:contextualSpacing/>
        <w:jc w:val="both"/>
        <w:rPr>
          <w:lang w:val="en-GB"/>
        </w:rPr>
      </w:pPr>
      <w:r w:rsidRPr="00756792">
        <w:rPr>
          <w:lang w:val="en-GB"/>
        </w:rPr>
        <w:t xml:space="preserve">The first chapter addresses the definition of </w:t>
      </w:r>
      <w:r w:rsidR="005C71CB" w:rsidRPr="00756792">
        <w:rPr>
          <w:lang w:val="en-GB"/>
        </w:rPr>
        <w:t>Standard Varieties of English</w:t>
      </w:r>
      <w:r w:rsidRPr="00756792">
        <w:rPr>
          <w:lang w:val="en-GB"/>
        </w:rPr>
        <w:t xml:space="preserve">. The seemingly self-evident concept requires more critical analyses and theoretical clarifications to be rendered fully </w:t>
      </w:r>
      <w:r w:rsidR="00D01B3A" w:rsidRPr="00756792">
        <w:rPr>
          <w:lang w:val="en-GB"/>
        </w:rPr>
        <w:t>generalisable</w:t>
      </w:r>
      <w:r w:rsidRPr="00756792">
        <w:rPr>
          <w:lang w:val="en-GB"/>
        </w:rPr>
        <w:t xml:space="preserve">. </w:t>
      </w:r>
      <w:r w:rsidR="008660DD" w:rsidRPr="00756792">
        <w:rPr>
          <w:lang w:val="en-GB"/>
        </w:rPr>
        <w:t xml:space="preserve">This chapter will introduce </w:t>
      </w:r>
      <w:r w:rsidR="0031149B" w:rsidRPr="00756792">
        <w:rPr>
          <w:lang w:val="en-GB"/>
        </w:rPr>
        <w:t>several</w:t>
      </w:r>
      <w:r w:rsidR="008660DD" w:rsidRPr="00756792">
        <w:rPr>
          <w:lang w:val="en-GB"/>
        </w:rPr>
        <w:t xml:space="preserve"> currently existing models of world Englishes for clarifying the referent of </w:t>
      </w:r>
      <w:r w:rsidR="00336ACD" w:rsidRPr="00756792">
        <w:rPr>
          <w:lang w:val="en-GB"/>
        </w:rPr>
        <w:t>SVE</w:t>
      </w:r>
      <w:r w:rsidR="008660DD" w:rsidRPr="00756792">
        <w:rPr>
          <w:lang w:val="en-GB"/>
        </w:rPr>
        <w:t xml:space="preserve">. </w:t>
      </w:r>
      <w:r w:rsidR="005C71CB" w:rsidRPr="00756792">
        <w:rPr>
          <w:lang w:val="en-GB"/>
        </w:rPr>
        <w:t xml:space="preserve">The first </w:t>
      </w:r>
      <w:r w:rsidR="008660DD" w:rsidRPr="00756792">
        <w:rPr>
          <w:lang w:val="en-GB"/>
        </w:rPr>
        <w:t xml:space="preserve">chapter is also </w:t>
      </w:r>
      <w:r w:rsidR="001846AD" w:rsidRPr="00756792">
        <w:rPr>
          <w:lang w:val="en-GB"/>
        </w:rPr>
        <w:t>construct</w:t>
      </w:r>
      <w:r w:rsidR="00B54749" w:rsidRPr="00756792">
        <w:rPr>
          <w:lang w:val="en-GB"/>
        </w:rPr>
        <w:t>ed</w:t>
      </w:r>
      <w:r w:rsidR="001846AD" w:rsidRPr="00756792">
        <w:rPr>
          <w:lang w:val="en-GB"/>
        </w:rPr>
        <w:t xml:space="preserve"> </w:t>
      </w:r>
      <w:r w:rsidR="005C71CB" w:rsidRPr="00756792">
        <w:rPr>
          <w:lang w:val="en-GB"/>
        </w:rPr>
        <w:t xml:space="preserve">on </w:t>
      </w:r>
      <w:r w:rsidR="001846AD" w:rsidRPr="00756792">
        <w:rPr>
          <w:lang w:val="en-GB"/>
        </w:rPr>
        <w:t xml:space="preserve">Standard English, </w:t>
      </w:r>
      <w:r w:rsidRPr="00756792">
        <w:rPr>
          <w:lang w:val="en-GB"/>
        </w:rPr>
        <w:t xml:space="preserve">the </w:t>
      </w:r>
      <w:r w:rsidR="001846AD" w:rsidRPr="00756792">
        <w:rPr>
          <w:lang w:val="en-GB"/>
        </w:rPr>
        <w:t xml:space="preserve">umbrella term of </w:t>
      </w:r>
      <w:r w:rsidR="00336ACD" w:rsidRPr="00756792">
        <w:rPr>
          <w:lang w:val="en-GB"/>
        </w:rPr>
        <w:t>SVE</w:t>
      </w:r>
      <w:r w:rsidR="008660DD" w:rsidRPr="00756792">
        <w:rPr>
          <w:lang w:val="en-GB"/>
        </w:rPr>
        <w:t xml:space="preserve">. We argue for thoroughly comprehending the relationship between SE and </w:t>
      </w:r>
      <w:r w:rsidR="00336ACD" w:rsidRPr="00756792">
        <w:rPr>
          <w:lang w:val="en-GB"/>
        </w:rPr>
        <w:t>SVE</w:t>
      </w:r>
      <w:r w:rsidR="008660DD" w:rsidRPr="00756792">
        <w:rPr>
          <w:lang w:val="en-GB"/>
        </w:rPr>
        <w:t xml:space="preserve"> </w:t>
      </w:r>
      <w:r w:rsidR="00704C2A" w:rsidRPr="00756792">
        <w:rPr>
          <w:lang w:val="en-GB"/>
        </w:rPr>
        <w:t xml:space="preserve">as the former is </w:t>
      </w:r>
      <w:r w:rsidR="00D01B3A" w:rsidRPr="00756792">
        <w:rPr>
          <w:lang w:val="en-GB"/>
        </w:rPr>
        <w:t>irrespective</w:t>
      </w:r>
      <w:r w:rsidR="00704C2A" w:rsidRPr="00756792">
        <w:rPr>
          <w:lang w:val="en-GB"/>
        </w:rPr>
        <w:t xml:space="preserve"> of accents which the latter must factor in</w:t>
      </w:r>
      <w:r w:rsidR="001846AD" w:rsidRPr="00756792">
        <w:rPr>
          <w:lang w:val="en-GB"/>
        </w:rPr>
        <w:t>.</w:t>
      </w:r>
      <w:r w:rsidR="00704C2A" w:rsidRPr="00756792">
        <w:rPr>
          <w:lang w:val="en-GB"/>
        </w:rPr>
        <w:t xml:space="preserve"> </w:t>
      </w:r>
      <w:r w:rsidR="001846AD" w:rsidRPr="00756792">
        <w:rPr>
          <w:lang w:val="en-GB"/>
        </w:rPr>
        <w:t xml:space="preserve">This chapter ends with well-defined </w:t>
      </w:r>
      <w:r w:rsidR="00336ACD" w:rsidRPr="00756792">
        <w:rPr>
          <w:lang w:val="en-GB"/>
        </w:rPr>
        <w:t>SVE</w:t>
      </w:r>
      <w:r w:rsidR="001846AD" w:rsidRPr="00756792">
        <w:rPr>
          <w:lang w:val="en-GB"/>
        </w:rPr>
        <w:t xml:space="preserve"> </w:t>
      </w:r>
      <w:r w:rsidR="008660DD" w:rsidRPr="00756792">
        <w:rPr>
          <w:lang w:val="en-GB"/>
        </w:rPr>
        <w:t>for</w:t>
      </w:r>
      <w:r w:rsidR="001846AD" w:rsidRPr="00756792">
        <w:rPr>
          <w:lang w:val="en-GB"/>
        </w:rPr>
        <w:t xml:space="preserve"> chapter two </w:t>
      </w:r>
      <w:r w:rsidR="008660DD" w:rsidRPr="00756792">
        <w:rPr>
          <w:lang w:val="en-GB"/>
        </w:rPr>
        <w:t xml:space="preserve">to </w:t>
      </w:r>
      <w:r w:rsidR="001846AD" w:rsidRPr="00756792">
        <w:rPr>
          <w:lang w:val="en-GB"/>
        </w:rPr>
        <w:t>elaborate on.</w:t>
      </w:r>
    </w:p>
    <w:p w14:paraId="18D3F98C" w14:textId="77777777" w:rsidR="00704C2A" w:rsidRPr="00756792" w:rsidRDefault="00B61730" w:rsidP="004A6CFA">
      <w:pPr>
        <w:spacing w:after="200" w:line="360" w:lineRule="auto"/>
        <w:ind w:firstLine="227"/>
        <w:contextualSpacing/>
        <w:jc w:val="both"/>
        <w:rPr>
          <w:lang w:val="en-GB"/>
        </w:rPr>
      </w:pPr>
      <w:r w:rsidRPr="00756792">
        <w:rPr>
          <w:lang w:val="en-GB"/>
        </w:rPr>
        <w:t xml:space="preserve">The second chapter justifies teaching </w:t>
      </w:r>
      <w:r w:rsidR="00336ACD" w:rsidRPr="00756792">
        <w:rPr>
          <w:lang w:val="en-GB"/>
        </w:rPr>
        <w:t>SVE</w:t>
      </w:r>
      <w:r w:rsidRPr="00756792">
        <w:rPr>
          <w:lang w:val="en-GB"/>
        </w:rPr>
        <w:t xml:space="preserve">. It firstly illustrates the merits </w:t>
      </w:r>
      <w:r w:rsidR="00B54749" w:rsidRPr="00756792">
        <w:rPr>
          <w:lang w:val="en-GB"/>
        </w:rPr>
        <w:t xml:space="preserve">of </w:t>
      </w:r>
      <w:r w:rsidR="008660DD" w:rsidRPr="00756792">
        <w:rPr>
          <w:lang w:val="en-GB"/>
        </w:rPr>
        <w:t xml:space="preserve">promoting </w:t>
      </w:r>
      <w:r w:rsidR="00B54749" w:rsidRPr="00756792">
        <w:rPr>
          <w:lang w:val="en-GB"/>
        </w:rPr>
        <w:t xml:space="preserve">a certain </w:t>
      </w:r>
      <w:r w:rsidR="00336ACD" w:rsidRPr="00756792">
        <w:rPr>
          <w:lang w:val="en-GB"/>
        </w:rPr>
        <w:t>SVE</w:t>
      </w:r>
      <w:r w:rsidR="00B54749" w:rsidRPr="00756792">
        <w:rPr>
          <w:lang w:val="en-GB"/>
        </w:rPr>
        <w:t xml:space="preserve"> as the norm in English teaching. It does so by introducing the Received Pronunciation and General American, two </w:t>
      </w:r>
      <w:r w:rsidR="00336ACD" w:rsidRPr="00756792">
        <w:rPr>
          <w:lang w:val="en-GB"/>
        </w:rPr>
        <w:t>SVE</w:t>
      </w:r>
      <w:r w:rsidR="00B54749" w:rsidRPr="00756792">
        <w:rPr>
          <w:lang w:val="en-GB"/>
        </w:rPr>
        <w:t xml:space="preserve">s in the UK and the US, respectively. After the introduction, the chapter then proceeds to compare </w:t>
      </w:r>
      <w:r w:rsidR="00336ACD" w:rsidRPr="00756792">
        <w:rPr>
          <w:lang w:val="en-GB"/>
        </w:rPr>
        <w:t>SVE</w:t>
      </w:r>
      <w:r w:rsidR="008660DD" w:rsidRPr="00756792">
        <w:rPr>
          <w:lang w:val="en-GB"/>
        </w:rPr>
        <w:t>-based</w:t>
      </w:r>
      <w:r w:rsidR="00B54749" w:rsidRPr="00756792">
        <w:rPr>
          <w:lang w:val="en-GB"/>
        </w:rPr>
        <w:t xml:space="preserve"> teaching with other paradigms, such as ELF (English as a lingua franca) teaching. The comparison aims to visualise the </w:t>
      </w:r>
      <w:r w:rsidR="00D01B3A" w:rsidRPr="00756792">
        <w:rPr>
          <w:lang w:val="en-GB"/>
        </w:rPr>
        <w:t>merits</w:t>
      </w:r>
      <w:r w:rsidR="00B54749" w:rsidRPr="00756792">
        <w:rPr>
          <w:lang w:val="en-GB"/>
        </w:rPr>
        <w:t xml:space="preserve">, but it also touches on its downsides, such as stifling the establishment of emerging varieties and being irresponsive to </w:t>
      </w:r>
      <w:r w:rsidR="005C71CB" w:rsidRPr="00756792">
        <w:rPr>
          <w:lang w:val="en-GB"/>
        </w:rPr>
        <w:t>the local linguistic reality</w:t>
      </w:r>
      <w:r w:rsidR="00B54749" w:rsidRPr="00756792">
        <w:rPr>
          <w:lang w:val="en-GB"/>
        </w:rPr>
        <w:t>.</w:t>
      </w:r>
    </w:p>
    <w:p w14:paraId="63E8BECC" w14:textId="06415078" w:rsidR="004A6CFA" w:rsidRPr="00756792" w:rsidRDefault="00B61730" w:rsidP="00756792">
      <w:pPr>
        <w:spacing w:after="200" w:line="360" w:lineRule="auto"/>
        <w:ind w:firstLine="227"/>
        <w:contextualSpacing/>
        <w:jc w:val="both"/>
        <w:rPr>
          <w:lang w:val="en-GB"/>
        </w:rPr>
      </w:pPr>
      <w:r w:rsidRPr="00756792">
        <w:rPr>
          <w:lang w:val="en-GB"/>
        </w:rPr>
        <w:t>The last chapter serves as the bone of contention</w:t>
      </w:r>
      <w:r w:rsidR="00612A3B" w:rsidRPr="00756792">
        <w:rPr>
          <w:lang w:val="en-GB"/>
        </w:rPr>
        <w:t xml:space="preserve">, the approaches to teaching </w:t>
      </w:r>
      <w:r w:rsidR="00336ACD" w:rsidRPr="00756792">
        <w:rPr>
          <w:lang w:val="en-GB"/>
        </w:rPr>
        <w:t>SVE</w:t>
      </w:r>
      <w:r w:rsidR="00612A3B" w:rsidRPr="00756792">
        <w:rPr>
          <w:lang w:val="en-GB"/>
        </w:rPr>
        <w:t xml:space="preserve">. </w:t>
      </w:r>
      <w:r w:rsidR="00B3557F" w:rsidRPr="00756792">
        <w:rPr>
          <w:lang w:val="en-GB"/>
        </w:rPr>
        <w:t>The first half</w:t>
      </w:r>
      <w:r w:rsidRPr="00756792">
        <w:rPr>
          <w:lang w:val="en-GB"/>
        </w:rPr>
        <w:t xml:space="preserve"> argues for a </w:t>
      </w:r>
      <w:r w:rsidR="005C71CB" w:rsidRPr="00756792">
        <w:rPr>
          <w:lang w:val="en-GB"/>
        </w:rPr>
        <w:t xml:space="preserve">descriptive </w:t>
      </w:r>
      <w:r w:rsidRPr="00756792">
        <w:rPr>
          <w:lang w:val="en-GB"/>
        </w:rPr>
        <w:t xml:space="preserve">approach </w:t>
      </w:r>
      <w:r w:rsidR="00B3557F" w:rsidRPr="00756792">
        <w:rPr>
          <w:lang w:val="en-GB"/>
        </w:rPr>
        <w:t>rather than sticking coherently to its originalist doctrines</w:t>
      </w:r>
      <w:r w:rsidRPr="00756792">
        <w:rPr>
          <w:lang w:val="en-GB"/>
        </w:rPr>
        <w:t xml:space="preserve">. The illustration is unfolded </w:t>
      </w:r>
      <w:r w:rsidR="00B3557F" w:rsidRPr="00756792">
        <w:rPr>
          <w:lang w:val="en-GB"/>
        </w:rPr>
        <w:t>about</w:t>
      </w:r>
      <w:r w:rsidRPr="00756792">
        <w:rPr>
          <w:lang w:val="en-GB"/>
        </w:rPr>
        <w:t xml:space="preserve"> written and spoken form</w:t>
      </w:r>
      <w:r w:rsidR="00D977D7" w:rsidRPr="00756792">
        <w:rPr>
          <w:lang w:val="en-GB"/>
        </w:rPr>
        <w:t xml:space="preserve">s of </w:t>
      </w:r>
      <w:r w:rsidR="00336ACD" w:rsidRPr="00756792">
        <w:rPr>
          <w:lang w:val="en-GB"/>
        </w:rPr>
        <w:t>SVE</w:t>
      </w:r>
      <w:r w:rsidRPr="00756792">
        <w:rPr>
          <w:lang w:val="en-GB"/>
        </w:rPr>
        <w:t>.</w:t>
      </w:r>
      <w:r w:rsidR="00D977D7" w:rsidRPr="00756792">
        <w:rPr>
          <w:lang w:val="en-GB"/>
        </w:rPr>
        <w:t xml:space="preserve"> </w:t>
      </w:r>
      <w:r w:rsidRPr="00756792">
        <w:rPr>
          <w:lang w:val="en-GB"/>
        </w:rPr>
        <w:t xml:space="preserve">The former is discussed concerning grammar </w:t>
      </w:r>
      <w:r w:rsidR="005C71CB" w:rsidRPr="00756792">
        <w:rPr>
          <w:lang w:val="en-GB"/>
        </w:rPr>
        <w:t>changes</w:t>
      </w:r>
      <w:r w:rsidRPr="00756792">
        <w:rPr>
          <w:lang w:val="en-GB"/>
        </w:rPr>
        <w:t xml:space="preserve">, the latter through </w:t>
      </w:r>
      <w:r w:rsidR="005C71CB" w:rsidRPr="00756792">
        <w:rPr>
          <w:lang w:val="en-GB"/>
        </w:rPr>
        <w:t>accent changes</w:t>
      </w:r>
      <w:r w:rsidRPr="00756792">
        <w:rPr>
          <w:lang w:val="en-GB"/>
        </w:rPr>
        <w:t xml:space="preserve">. </w:t>
      </w:r>
      <w:r w:rsidR="00A044A6" w:rsidRPr="00756792">
        <w:rPr>
          <w:lang w:val="en-GB"/>
        </w:rPr>
        <w:t xml:space="preserve">Such </w:t>
      </w:r>
      <w:r w:rsidR="00D977D7" w:rsidRPr="00756792">
        <w:rPr>
          <w:lang w:val="en-GB"/>
        </w:rPr>
        <w:t xml:space="preserve">a </w:t>
      </w:r>
      <w:r w:rsidR="005C71CB" w:rsidRPr="00756792">
        <w:rPr>
          <w:lang w:val="en-GB"/>
        </w:rPr>
        <w:t xml:space="preserve">descriptive </w:t>
      </w:r>
      <w:r w:rsidR="00D977D7" w:rsidRPr="00756792">
        <w:rPr>
          <w:lang w:val="en-GB"/>
        </w:rPr>
        <w:t>approach</w:t>
      </w:r>
      <w:r w:rsidR="00A044A6" w:rsidRPr="00756792">
        <w:rPr>
          <w:lang w:val="en-GB"/>
        </w:rPr>
        <w:t xml:space="preserve">, the critique asserts, is owing to </w:t>
      </w:r>
      <w:r w:rsidR="00D977D7" w:rsidRPr="00756792">
        <w:rPr>
          <w:lang w:val="en-GB"/>
        </w:rPr>
        <w:t xml:space="preserve">the sensitive nature of </w:t>
      </w:r>
      <w:r w:rsidR="00336ACD" w:rsidRPr="00756792">
        <w:rPr>
          <w:lang w:val="en-GB"/>
        </w:rPr>
        <w:t>SVE</w:t>
      </w:r>
      <w:r w:rsidR="00D977D7" w:rsidRPr="00756792">
        <w:rPr>
          <w:lang w:val="en-GB"/>
        </w:rPr>
        <w:t xml:space="preserve"> to changes</w:t>
      </w:r>
      <w:r w:rsidR="008D2468" w:rsidRPr="00756792">
        <w:rPr>
          <w:lang w:val="en-GB"/>
        </w:rPr>
        <w:t xml:space="preserve">. The critique </w:t>
      </w:r>
      <w:r w:rsidR="00D977D7" w:rsidRPr="00756792">
        <w:rPr>
          <w:lang w:val="en-GB"/>
        </w:rPr>
        <w:t>raises</w:t>
      </w:r>
      <w:r w:rsidR="008D2468" w:rsidRPr="00756792">
        <w:rPr>
          <w:lang w:val="en-GB"/>
        </w:rPr>
        <w:t xml:space="preserve"> the Queen’s English and its divergence from modern RP</w:t>
      </w:r>
      <w:r w:rsidR="00D977D7" w:rsidRPr="00756792">
        <w:rPr>
          <w:lang w:val="en-GB"/>
        </w:rPr>
        <w:t xml:space="preserve"> as an example</w:t>
      </w:r>
      <w:r w:rsidR="008D2468" w:rsidRPr="00756792">
        <w:rPr>
          <w:lang w:val="en-GB"/>
        </w:rPr>
        <w:t xml:space="preserve">. </w:t>
      </w:r>
      <w:r w:rsidR="00B3557F" w:rsidRPr="00756792">
        <w:rPr>
          <w:lang w:val="en-GB"/>
        </w:rPr>
        <w:t xml:space="preserve">Concerning its heterogeneity of functions, the critique </w:t>
      </w:r>
      <w:r w:rsidR="00A044A6" w:rsidRPr="00756792">
        <w:rPr>
          <w:lang w:val="en-GB"/>
        </w:rPr>
        <w:t xml:space="preserve">assumes that SVE </w:t>
      </w:r>
      <w:r w:rsidR="00612A3B" w:rsidRPr="00756792">
        <w:rPr>
          <w:lang w:val="en-GB"/>
        </w:rPr>
        <w:t xml:space="preserve">serves different primary purposes </w:t>
      </w:r>
      <w:r w:rsidR="008D2468" w:rsidRPr="00756792">
        <w:rPr>
          <w:lang w:val="en-GB"/>
        </w:rPr>
        <w:t xml:space="preserve">across </w:t>
      </w:r>
      <w:r w:rsidR="00612A3B" w:rsidRPr="00756792">
        <w:rPr>
          <w:lang w:val="en-GB"/>
        </w:rPr>
        <w:t xml:space="preserve">different regions: </w:t>
      </w:r>
      <w:r w:rsidR="00D01B3A" w:rsidRPr="00756792">
        <w:rPr>
          <w:lang w:val="en-GB"/>
        </w:rPr>
        <w:t>standardisation</w:t>
      </w:r>
      <w:r w:rsidR="00A044A6" w:rsidRPr="00756792">
        <w:rPr>
          <w:lang w:val="en-GB"/>
        </w:rPr>
        <w:t xml:space="preserve"> in the inner circle, reference in the outer circle and communication in the expanding circle.</w:t>
      </w:r>
      <w:r w:rsidR="00D977D7" w:rsidRPr="00756792">
        <w:rPr>
          <w:lang w:val="en-GB"/>
        </w:rPr>
        <w:t xml:space="preserve"> Grounded on its fluid nature and </w:t>
      </w:r>
      <w:r w:rsidR="00D01B3A" w:rsidRPr="00756792">
        <w:rPr>
          <w:lang w:val="en-GB"/>
        </w:rPr>
        <w:t>functions</w:t>
      </w:r>
      <w:r w:rsidR="008D2468" w:rsidRPr="00756792">
        <w:rPr>
          <w:lang w:val="en-GB"/>
        </w:rPr>
        <w:t>, the</w:t>
      </w:r>
      <w:r w:rsidR="00B3557F" w:rsidRPr="00756792">
        <w:rPr>
          <w:lang w:val="en-GB"/>
        </w:rPr>
        <w:t xml:space="preserve"> </w:t>
      </w:r>
      <w:r w:rsidR="008D2468" w:rsidRPr="00756792">
        <w:rPr>
          <w:lang w:val="en-GB"/>
        </w:rPr>
        <w:t>s</w:t>
      </w:r>
      <w:r w:rsidR="00A044A6" w:rsidRPr="00756792">
        <w:rPr>
          <w:lang w:val="en-GB"/>
        </w:rPr>
        <w:t xml:space="preserve">ubsequent half of the chapter </w:t>
      </w:r>
      <w:r w:rsidR="00D01B3A" w:rsidRPr="00756792">
        <w:rPr>
          <w:lang w:val="en-GB"/>
        </w:rPr>
        <w:t>advocates</w:t>
      </w:r>
      <w:r w:rsidR="00A044A6" w:rsidRPr="00756792">
        <w:rPr>
          <w:lang w:val="en-GB"/>
        </w:rPr>
        <w:t xml:space="preserve"> for a personalised SVE-based teaching, asserting that the specific kinds of SVE adopted as the norm should vary across regions.</w:t>
      </w:r>
    </w:p>
    <w:p w14:paraId="3EDCD8D5" w14:textId="77777777" w:rsidR="00D977D7" w:rsidRPr="00756792" w:rsidRDefault="00B61730" w:rsidP="004A6CFA">
      <w:pPr>
        <w:pStyle w:val="NormalWeb"/>
        <w:numPr>
          <w:ilvl w:val="0"/>
          <w:numId w:val="6"/>
        </w:numPr>
        <w:spacing w:line="360" w:lineRule="auto"/>
        <w:ind w:firstLine="227"/>
        <w:contextualSpacing/>
        <w:jc w:val="both"/>
        <w:rPr>
          <w:b/>
          <w:bCs/>
          <w:lang w:val="en-GB"/>
        </w:rPr>
      </w:pPr>
      <w:r w:rsidRPr="00756792">
        <w:rPr>
          <w:b/>
          <w:bCs/>
          <w:lang w:val="en-GB"/>
        </w:rPr>
        <w:t xml:space="preserve"> What is </w:t>
      </w:r>
      <w:r w:rsidR="00336ACD" w:rsidRPr="00756792">
        <w:rPr>
          <w:b/>
          <w:bCs/>
          <w:lang w:val="en-GB"/>
        </w:rPr>
        <w:t>SVE</w:t>
      </w:r>
      <w:r w:rsidRPr="00756792">
        <w:rPr>
          <w:b/>
          <w:bCs/>
          <w:lang w:val="en-GB"/>
        </w:rPr>
        <w:t>?</w:t>
      </w:r>
    </w:p>
    <w:p w14:paraId="39772C36" w14:textId="77777777" w:rsidR="00AF16E3" w:rsidRPr="00756792" w:rsidRDefault="00B61730" w:rsidP="004A6CFA">
      <w:pPr>
        <w:pStyle w:val="NormalWeb"/>
        <w:spacing w:line="360" w:lineRule="auto"/>
        <w:ind w:firstLine="227"/>
        <w:contextualSpacing/>
        <w:jc w:val="both"/>
        <w:rPr>
          <w:lang w:val="en-GB"/>
        </w:rPr>
      </w:pPr>
      <w:r w:rsidRPr="00756792">
        <w:rPr>
          <w:lang w:val="en-GB"/>
        </w:rPr>
        <w:t xml:space="preserve">The term Standard English is subject to debate in sociolinguistics. The conventional wisdom has been that </w:t>
      </w:r>
      <w:r w:rsidR="00336ACD" w:rsidRPr="00756792">
        <w:rPr>
          <w:lang w:val="en-GB"/>
        </w:rPr>
        <w:t>SVE</w:t>
      </w:r>
      <w:r w:rsidRPr="00756792">
        <w:rPr>
          <w:lang w:val="en-GB"/>
        </w:rPr>
        <w:t xml:space="preserve"> refers to the norm of communication in the </w:t>
      </w:r>
      <w:r w:rsidR="00D01B3A" w:rsidRPr="00756792">
        <w:rPr>
          <w:lang w:val="en-GB"/>
        </w:rPr>
        <w:t>English-speaking</w:t>
      </w:r>
      <w:r w:rsidRPr="00756792">
        <w:rPr>
          <w:lang w:val="en-GB"/>
        </w:rPr>
        <w:t xml:space="preserve"> regions. However, in </w:t>
      </w:r>
      <w:r w:rsidRPr="00756792">
        <w:rPr>
          <w:lang w:val="en-GB"/>
        </w:rPr>
        <w:lastRenderedPageBreak/>
        <w:t xml:space="preserve">practice, it </w:t>
      </w:r>
      <w:r w:rsidR="00BF6D36" w:rsidRPr="00756792">
        <w:rPr>
          <w:lang w:val="en-GB"/>
        </w:rPr>
        <w:t>results in</w:t>
      </w:r>
      <w:r w:rsidRPr="00756792">
        <w:rPr>
          <w:lang w:val="en-GB"/>
        </w:rPr>
        <w:t xml:space="preserve"> different, sometimes opposite </w:t>
      </w:r>
      <w:r w:rsidR="00BF6D36" w:rsidRPr="00756792">
        <w:rPr>
          <w:lang w:val="en-GB"/>
        </w:rPr>
        <w:t>interpretations</w:t>
      </w:r>
      <w:r w:rsidRPr="00756792">
        <w:rPr>
          <w:lang w:val="en-GB"/>
        </w:rPr>
        <w:t xml:space="preserve"> </w:t>
      </w:r>
      <w:r w:rsidR="00BF6D36" w:rsidRPr="00756792">
        <w:rPr>
          <w:lang w:val="en-GB"/>
        </w:rPr>
        <w:t xml:space="preserve">due to the establishment of various national standards. As Crystal (2011) puts it, the </w:t>
      </w:r>
      <w:r w:rsidR="00D01B3A" w:rsidRPr="00756792">
        <w:rPr>
          <w:lang w:val="en-GB"/>
        </w:rPr>
        <w:t>meaning</w:t>
      </w:r>
      <w:r w:rsidR="00BF6D36" w:rsidRPr="00756792">
        <w:rPr>
          <w:lang w:val="en-GB"/>
        </w:rPr>
        <w:t xml:space="preserve"> of the term is increasingly more challenging to grasp as more and more people speak English as the first or the second language. </w:t>
      </w:r>
      <w:r w:rsidR="00D01B3A" w:rsidRPr="00756792">
        <w:rPr>
          <w:lang w:val="en-GB"/>
        </w:rPr>
        <w:t>Hickey (2010) traces the historical roots of SE, claiming it a development of the 18</w:t>
      </w:r>
      <w:r w:rsidR="00D01B3A" w:rsidRPr="00756792">
        <w:rPr>
          <w:vertAlign w:val="superscript"/>
          <w:lang w:val="en-GB"/>
        </w:rPr>
        <w:t>th</w:t>
      </w:r>
      <w:r w:rsidR="00D01B3A" w:rsidRPr="00756792">
        <w:rPr>
          <w:lang w:val="en-GB"/>
        </w:rPr>
        <w:t xml:space="preserve"> century. </w:t>
      </w:r>
      <w:r w:rsidR="00BF6D36" w:rsidRPr="00756792">
        <w:rPr>
          <w:lang w:val="en-GB"/>
        </w:rPr>
        <w:t>Smith (2003)</w:t>
      </w:r>
      <w:r w:rsidR="00D01B3A" w:rsidRPr="00756792">
        <w:rPr>
          <w:lang w:val="en-GB"/>
        </w:rPr>
        <w:t xml:space="preserve"> shares a similar point of view</w:t>
      </w:r>
      <w:r w:rsidR="00BF6D36" w:rsidRPr="00756792">
        <w:rPr>
          <w:lang w:val="en-GB"/>
        </w:rPr>
        <w:t>, characterising it as</w:t>
      </w:r>
      <w:r w:rsidR="00D01B3A" w:rsidRPr="00756792">
        <w:rPr>
          <w:lang w:val="en-GB"/>
        </w:rPr>
        <w:t xml:space="preserve"> the</w:t>
      </w:r>
      <w:r w:rsidR="00BF6D36" w:rsidRPr="00756792">
        <w:rPr>
          <w:lang w:val="en-GB"/>
        </w:rPr>
        <w:t xml:space="preserve"> generally accepted rules, the grammars of which are established in the 18th century. </w:t>
      </w:r>
      <w:r w:rsidR="007B7B4D" w:rsidRPr="00756792">
        <w:rPr>
          <w:lang w:val="en-GB"/>
        </w:rPr>
        <w:t xml:space="preserve">He asserts there are many registers for various purposes and to the different degree of formality within Standard English. Therefore, it does not have to be formal to be </w:t>
      </w:r>
      <w:r w:rsidR="00C96145" w:rsidRPr="00756792">
        <w:rPr>
          <w:lang w:val="en-GB"/>
        </w:rPr>
        <w:t>s</w:t>
      </w:r>
      <w:r w:rsidR="007B7B4D" w:rsidRPr="00756792">
        <w:rPr>
          <w:lang w:val="en-GB"/>
        </w:rPr>
        <w:t>tandard. Another feature of SE, as he notes, is that it tends to be more stable than non-standard counterparts in terms of vocabulary and grammar.</w:t>
      </w:r>
      <w:r w:rsidR="00955ADE" w:rsidRPr="00756792">
        <w:rPr>
          <w:lang w:val="en-GB"/>
        </w:rPr>
        <w:t xml:space="preserve"> The codification of SE is what distinguishes it from the other dialects.</w:t>
      </w:r>
    </w:p>
    <w:p w14:paraId="2BE7DC60" w14:textId="77777777" w:rsidR="00F80F63" w:rsidRPr="00756792" w:rsidRDefault="00B61730" w:rsidP="004A6CFA">
      <w:pPr>
        <w:pStyle w:val="NormalWeb"/>
        <w:spacing w:line="360" w:lineRule="auto"/>
        <w:ind w:firstLine="227"/>
        <w:contextualSpacing/>
        <w:jc w:val="both"/>
        <w:rPr>
          <w:lang w:val="en-GB"/>
        </w:rPr>
      </w:pPr>
      <w:r w:rsidRPr="00756792">
        <w:rPr>
          <w:lang w:val="en-GB"/>
        </w:rPr>
        <w:t xml:space="preserve">Trudgill and Hannah share similar points. They claim (2008) that the coining of the term is since English has become more than a </w:t>
      </w:r>
      <w:r w:rsidR="00C96145" w:rsidRPr="00756792">
        <w:rPr>
          <w:lang w:val="en-GB"/>
        </w:rPr>
        <w:t>national</w:t>
      </w:r>
      <w:r w:rsidRPr="00756792">
        <w:rPr>
          <w:lang w:val="en-GB"/>
        </w:rPr>
        <w:t xml:space="preserve"> language. The British colonisation has made the language a lingua franca, an international language of trade and commerce. </w:t>
      </w:r>
      <w:r w:rsidR="00135B5C" w:rsidRPr="00756792">
        <w:rPr>
          <w:lang w:val="en-GB"/>
        </w:rPr>
        <w:t>Despite a large number of native speakers,</w:t>
      </w:r>
      <w:r w:rsidRPr="00756792">
        <w:rPr>
          <w:lang w:val="en-GB"/>
        </w:rPr>
        <w:t xml:space="preserve"> English</w:t>
      </w:r>
      <w:r w:rsidR="00135B5C" w:rsidRPr="00756792">
        <w:rPr>
          <w:lang w:val="en-GB"/>
        </w:rPr>
        <w:t xml:space="preserve"> is also</w:t>
      </w:r>
      <w:r w:rsidRPr="00756792">
        <w:rPr>
          <w:lang w:val="en-GB"/>
        </w:rPr>
        <w:t xml:space="preserve"> the most widely </w:t>
      </w:r>
      <w:r w:rsidR="00C96145" w:rsidRPr="00756792">
        <w:rPr>
          <w:lang w:val="en-GB"/>
        </w:rPr>
        <w:t xml:space="preserve">spoken </w:t>
      </w:r>
      <w:r w:rsidRPr="00756792">
        <w:rPr>
          <w:lang w:val="en-GB"/>
        </w:rPr>
        <w:t>second language around the globe</w:t>
      </w:r>
      <w:r w:rsidR="00135B5C" w:rsidRPr="00756792">
        <w:rPr>
          <w:lang w:val="en-GB"/>
        </w:rPr>
        <w:t>, hence the need for standardisation. Trudgill and Hannah argue that such standardising process includes selection, codification and stabilisation, which altogether make the Standard English different from other local dialects.</w:t>
      </w:r>
      <w:r w:rsidR="00C96145" w:rsidRPr="00756792">
        <w:rPr>
          <w:lang w:val="en-GB"/>
        </w:rPr>
        <w:t xml:space="preserve"> They also indicate SE is a prestigious form of English in the sense that its grammar is described and recognised by the public and that its conduct is regarded as proper use of language.</w:t>
      </w:r>
      <w:r w:rsidR="002A6587" w:rsidRPr="00756792">
        <w:rPr>
          <w:lang w:val="en-GB"/>
        </w:rPr>
        <w:t xml:space="preserve"> </w:t>
      </w:r>
    </w:p>
    <w:p w14:paraId="78FE10A9" w14:textId="77777777" w:rsidR="00F80F63" w:rsidRPr="00756792" w:rsidRDefault="00B61730" w:rsidP="004A6CFA">
      <w:pPr>
        <w:pStyle w:val="NormalWeb"/>
        <w:spacing w:line="360" w:lineRule="auto"/>
        <w:ind w:firstLine="227"/>
        <w:contextualSpacing/>
        <w:jc w:val="both"/>
        <w:rPr>
          <w:lang w:val="en-GB"/>
        </w:rPr>
      </w:pPr>
      <w:r w:rsidRPr="00756792">
        <w:rPr>
          <w:lang w:val="en-GB"/>
        </w:rPr>
        <w:t>One thing is exact: the formation of Standard English has historical roots. Take the UK and the US as instances. The standardisation of British English variety took place dating back to as early as the 18</w:t>
      </w:r>
      <w:r w:rsidRPr="00756792">
        <w:rPr>
          <w:vertAlign w:val="superscript"/>
          <w:lang w:val="en-GB"/>
        </w:rPr>
        <w:t>th</w:t>
      </w:r>
      <w:r w:rsidRPr="00756792">
        <w:rPr>
          <w:lang w:val="en-GB"/>
        </w:rPr>
        <w:t xml:space="preserve"> century (Tieken-Boon van Ostade 2006). Samuel Johnson (1747) was the first person compiling a British dictionary</w:t>
      </w:r>
      <w:r w:rsidRPr="00756792">
        <w:rPr>
          <w:rFonts w:eastAsia="PingFang TC"/>
          <w:lang w:val="en-GB"/>
        </w:rPr>
        <w:t>. Meanwhile,</w:t>
      </w:r>
      <w:r w:rsidRPr="00756792">
        <w:rPr>
          <w:lang w:val="en-GB"/>
        </w:rPr>
        <w:t xml:space="preserve"> the codification of American English Variety was undertaken by Noah Webster (1789) as an intentional contrast to its former sovereign state. It continues to diverge from the British English and forms its entire system of spelling and phonology, as Schneider describes in his dynamic model (2003). </w:t>
      </w:r>
    </w:p>
    <w:p w14:paraId="45D20FAA" w14:textId="77777777" w:rsidR="002A6587" w:rsidRPr="00756792" w:rsidRDefault="00B61730" w:rsidP="004A6CFA">
      <w:pPr>
        <w:pStyle w:val="NormalWeb"/>
        <w:spacing w:line="360" w:lineRule="auto"/>
        <w:ind w:firstLine="227"/>
        <w:contextualSpacing/>
        <w:jc w:val="both"/>
        <w:rPr>
          <w:lang w:val="en-GB"/>
        </w:rPr>
      </w:pPr>
      <w:r w:rsidRPr="00756792">
        <w:rPr>
          <w:lang w:val="en-GB"/>
        </w:rPr>
        <w:t xml:space="preserve">When it comes to the grammatical peculiarities of SE, Trudgill and Hannah (2008) claim there are some subtle but essential features such as lacking negative concord, a strict semantic distinction between the past simple and past perfect and so forth. These grammars are peculiar in a sense most non-standard Englishes tend to have the opposite use, making SE the minority. However, that SE has some non-mainstream grammar rules does not make it more </w:t>
      </w:r>
      <w:r w:rsidR="00295105" w:rsidRPr="00756792">
        <w:rPr>
          <w:lang w:val="en-GB"/>
        </w:rPr>
        <w:t xml:space="preserve">or less </w:t>
      </w:r>
      <w:r w:rsidRPr="00756792">
        <w:rPr>
          <w:lang w:val="en-GB"/>
        </w:rPr>
        <w:t xml:space="preserve">formal. As is discussed above, </w:t>
      </w:r>
      <w:r w:rsidR="00EF5458" w:rsidRPr="00756792">
        <w:rPr>
          <w:lang w:val="en-GB"/>
        </w:rPr>
        <w:t>Standard English exist irrespective of styles, registers, and accents. One could be using SE in a highly informal setting.</w:t>
      </w:r>
    </w:p>
    <w:p w14:paraId="26AFD8BB" w14:textId="77777777" w:rsidR="004547AE" w:rsidRPr="00756792" w:rsidRDefault="00B61730" w:rsidP="004A6CFA">
      <w:pPr>
        <w:pStyle w:val="NormalWeb"/>
        <w:spacing w:line="360" w:lineRule="auto"/>
        <w:ind w:firstLine="227"/>
        <w:contextualSpacing/>
        <w:jc w:val="both"/>
        <w:rPr>
          <w:lang w:val="en-GB"/>
        </w:rPr>
      </w:pPr>
      <w:r w:rsidRPr="00756792">
        <w:rPr>
          <w:lang w:val="en-GB"/>
        </w:rPr>
        <w:t xml:space="preserve">This is where confusion kicks in. As Hickey (2012) notes, in English-speaking regions, there exists variation in terms of vocabulary, spelling and grammar. These differences are only "standard" to its </w:t>
      </w:r>
      <w:r w:rsidRPr="00756792">
        <w:rPr>
          <w:lang w:val="en-GB"/>
        </w:rPr>
        <w:lastRenderedPageBreak/>
        <w:t xml:space="preserve">people, and </w:t>
      </w:r>
      <w:r w:rsidR="007B6F5E" w:rsidRPr="00756792">
        <w:rPr>
          <w:lang w:val="en-GB"/>
        </w:rPr>
        <w:t>they become</w:t>
      </w:r>
      <w:r w:rsidRPr="00756792">
        <w:rPr>
          <w:lang w:val="en-GB"/>
        </w:rPr>
        <w:t xml:space="preserve"> errors beyond the borderlines. Though the syntactic structure of SE has been agreed upon with some adjustments in different regions, when it comes to the spoken form of SE, its divergence is not reconcilable. There is </w:t>
      </w:r>
      <w:r w:rsidR="003B2029" w:rsidRPr="00756792">
        <w:rPr>
          <w:lang w:val="en-GB"/>
        </w:rPr>
        <w:t xml:space="preserve">no consensus as to what its phonology should be like. </w:t>
      </w:r>
      <w:r w:rsidRPr="00756792">
        <w:rPr>
          <w:lang w:val="en-GB"/>
        </w:rPr>
        <w:t xml:space="preserve">The </w:t>
      </w:r>
      <w:r w:rsidR="003B2029" w:rsidRPr="00756792">
        <w:rPr>
          <w:lang w:val="en-GB"/>
        </w:rPr>
        <w:t xml:space="preserve">criteria of SE in </w:t>
      </w:r>
      <w:r w:rsidR="005D4A37" w:rsidRPr="00756792">
        <w:rPr>
          <w:lang w:val="en-GB"/>
        </w:rPr>
        <w:t>phonological terms</w:t>
      </w:r>
      <w:r w:rsidRPr="00756792">
        <w:rPr>
          <w:lang w:val="en-GB"/>
        </w:rPr>
        <w:t xml:space="preserve"> vary drastically from country to country, region to region</w:t>
      </w:r>
      <w:r w:rsidR="003B2029" w:rsidRPr="00756792">
        <w:rPr>
          <w:lang w:val="en-GB"/>
        </w:rPr>
        <w:t xml:space="preserve">. </w:t>
      </w:r>
    </w:p>
    <w:p w14:paraId="431A4DF5" w14:textId="77777777" w:rsidR="00EF5458" w:rsidRPr="00756792" w:rsidRDefault="00B61730" w:rsidP="004A6CFA">
      <w:pPr>
        <w:pStyle w:val="NormalWeb"/>
        <w:spacing w:line="360" w:lineRule="auto"/>
        <w:ind w:firstLine="227"/>
        <w:contextualSpacing/>
        <w:jc w:val="both"/>
        <w:rPr>
          <w:lang w:val="en-GB"/>
        </w:rPr>
      </w:pPr>
      <w:r w:rsidRPr="00756792">
        <w:rPr>
          <w:lang w:val="en-GB"/>
        </w:rPr>
        <w:t xml:space="preserve">In this respect, </w:t>
      </w:r>
      <w:r w:rsidR="00740E76" w:rsidRPr="00756792">
        <w:rPr>
          <w:lang w:val="en-GB"/>
        </w:rPr>
        <w:t>we should</w:t>
      </w:r>
      <w:r w:rsidR="007B6F5E" w:rsidRPr="00756792">
        <w:rPr>
          <w:lang w:val="en-GB"/>
        </w:rPr>
        <w:t xml:space="preserve"> employ a pluralistic approach</w:t>
      </w:r>
      <w:r w:rsidR="00740E76" w:rsidRPr="00756792">
        <w:rPr>
          <w:lang w:val="en-GB"/>
        </w:rPr>
        <w:t xml:space="preserve"> </w:t>
      </w:r>
      <w:r w:rsidR="007B6F5E" w:rsidRPr="00756792">
        <w:rPr>
          <w:lang w:val="en-GB"/>
        </w:rPr>
        <w:t xml:space="preserve">to </w:t>
      </w:r>
      <w:r w:rsidR="00740E76" w:rsidRPr="00756792">
        <w:rPr>
          <w:lang w:val="en-GB"/>
        </w:rPr>
        <w:t>better capture this linguistic reality</w:t>
      </w:r>
      <w:r w:rsidR="0038103F" w:rsidRPr="00756792">
        <w:rPr>
          <w:rFonts w:eastAsia="PingFang TC"/>
          <w:lang w:val="en-GB"/>
        </w:rPr>
        <w:t xml:space="preserve">. </w:t>
      </w:r>
      <w:r w:rsidR="007B6F5E" w:rsidRPr="00756792">
        <w:rPr>
          <w:rFonts w:eastAsia="PingFang TC"/>
          <w:lang w:val="en-GB"/>
        </w:rPr>
        <w:t>The critique herein argues for using the</w:t>
      </w:r>
      <w:r w:rsidR="007B6F5E" w:rsidRPr="00756792">
        <w:rPr>
          <w:lang w:val="en-GB"/>
        </w:rPr>
        <w:t xml:space="preserve"> </w:t>
      </w:r>
      <w:r w:rsidR="005C71CB" w:rsidRPr="00756792">
        <w:rPr>
          <w:lang w:val="en-GB"/>
        </w:rPr>
        <w:t>Standard Varieties of English</w:t>
      </w:r>
      <w:r w:rsidR="007B6F5E" w:rsidRPr="00756792">
        <w:rPr>
          <w:lang w:val="en-GB"/>
        </w:rPr>
        <w:t xml:space="preserve"> (</w:t>
      </w:r>
      <w:r w:rsidR="00336ACD" w:rsidRPr="00756792">
        <w:rPr>
          <w:lang w:val="en-GB"/>
        </w:rPr>
        <w:t>SVE</w:t>
      </w:r>
      <w:r w:rsidR="007B6F5E" w:rsidRPr="00756792">
        <w:rPr>
          <w:rFonts w:eastAsia="PingFang TC"/>
          <w:lang w:val="en-GB"/>
        </w:rPr>
        <w:t>), the hyponym of SE,</w:t>
      </w:r>
      <w:r w:rsidR="007B6F5E" w:rsidRPr="00756792">
        <w:rPr>
          <w:lang w:val="en-GB"/>
        </w:rPr>
        <w:t xml:space="preserve"> as the norm. This is because the term </w:t>
      </w:r>
      <w:r w:rsidR="00740E76" w:rsidRPr="00756792">
        <w:rPr>
          <w:lang w:val="en-GB"/>
        </w:rPr>
        <w:t xml:space="preserve">factors in the </w:t>
      </w:r>
      <w:r w:rsidR="004547AE" w:rsidRPr="00756792">
        <w:rPr>
          <w:lang w:val="en-GB"/>
        </w:rPr>
        <w:t>phonology of</w:t>
      </w:r>
      <w:r w:rsidR="00740E76" w:rsidRPr="00756792">
        <w:rPr>
          <w:lang w:val="en-GB"/>
        </w:rPr>
        <w:t xml:space="preserve"> a language. Unlike SE which few could explain in its entirety, </w:t>
      </w:r>
      <w:r w:rsidR="00336ACD" w:rsidRPr="00756792">
        <w:rPr>
          <w:lang w:val="en-GB"/>
        </w:rPr>
        <w:t>SVE</w:t>
      </w:r>
      <w:r w:rsidR="00740E76" w:rsidRPr="00756792">
        <w:rPr>
          <w:lang w:val="en-GB"/>
        </w:rPr>
        <w:t xml:space="preserve"> has specific referents. </w:t>
      </w:r>
      <w:r w:rsidR="00715FD3" w:rsidRPr="00756792">
        <w:rPr>
          <w:lang w:val="en-GB"/>
        </w:rPr>
        <w:t xml:space="preserve">A proper analogy of the relationship between the two terms is the one between the allophone and phoneme. A phoneme is the smallest unit of human sounds that makes sense. An allophone, on the other hand, is the realisation of such a phoneme under particular phonetic environment. The same goes for Standard English and its varieties. The former is the pluralistic whole, and the latter is its realisation in a specific country. So, it is safe to claim </w:t>
      </w:r>
      <w:r w:rsidR="00336ACD" w:rsidRPr="00756792">
        <w:rPr>
          <w:lang w:val="en-GB"/>
        </w:rPr>
        <w:t>SVE</w:t>
      </w:r>
      <w:r w:rsidR="00715FD3" w:rsidRPr="00756792">
        <w:rPr>
          <w:lang w:val="en-GB"/>
        </w:rPr>
        <w:t xml:space="preserve"> is SE constructed with a nationally recognised English phonology. </w:t>
      </w:r>
      <w:r w:rsidR="00740E76" w:rsidRPr="00756792">
        <w:rPr>
          <w:lang w:val="en-GB"/>
        </w:rPr>
        <w:t>In the context of British English, its Standard Variety is the Received Pronunciation</w:t>
      </w:r>
      <w:r w:rsidR="0038103F" w:rsidRPr="00756792">
        <w:rPr>
          <w:lang w:val="en-GB"/>
        </w:rPr>
        <w:t xml:space="preserve"> (RP)</w:t>
      </w:r>
      <w:r w:rsidR="00740E76" w:rsidRPr="00756792">
        <w:rPr>
          <w:lang w:val="en-GB"/>
        </w:rPr>
        <w:t>. In American English, it is the General American</w:t>
      </w:r>
      <w:r w:rsidR="0038103F" w:rsidRPr="00756792">
        <w:rPr>
          <w:lang w:val="en-GB"/>
        </w:rPr>
        <w:t xml:space="preserve"> (GA)</w:t>
      </w:r>
      <w:r w:rsidR="00740E76" w:rsidRPr="00756792">
        <w:rPr>
          <w:lang w:val="en-GB"/>
        </w:rPr>
        <w:t xml:space="preserve">. </w:t>
      </w:r>
      <w:r w:rsidR="004547AE" w:rsidRPr="00756792">
        <w:rPr>
          <w:lang w:val="en-GB"/>
        </w:rPr>
        <w:t>In Australian English, it is the General Australian (GA).</w:t>
      </w:r>
    </w:p>
    <w:p w14:paraId="632D898B" w14:textId="72EC728C" w:rsidR="008D64EF" w:rsidRPr="00756792" w:rsidRDefault="00B61730" w:rsidP="004A6CFA">
      <w:pPr>
        <w:pStyle w:val="NormalWeb"/>
        <w:spacing w:line="360" w:lineRule="auto"/>
        <w:ind w:firstLine="227"/>
        <w:contextualSpacing/>
        <w:jc w:val="both"/>
        <w:rPr>
          <w:lang w:val="en-GB"/>
        </w:rPr>
      </w:pPr>
      <w:r w:rsidRPr="00756792">
        <w:rPr>
          <w:lang w:val="en-GB"/>
        </w:rPr>
        <w:t xml:space="preserve">The critique advocates using </w:t>
      </w:r>
      <w:r w:rsidR="00336ACD" w:rsidRPr="00756792">
        <w:rPr>
          <w:lang w:val="en-GB"/>
        </w:rPr>
        <w:t>SVE</w:t>
      </w:r>
      <w:r w:rsidRPr="00756792">
        <w:rPr>
          <w:lang w:val="en-GB"/>
        </w:rPr>
        <w:t xml:space="preserve"> as the term in </w:t>
      </w:r>
      <w:r w:rsidR="00C567F7" w:rsidRPr="00756792">
        <w:rPr>
          <w:lang w:val="en-GB"/>
        </w:rPr>
        <w:t>the discussion</w:t>
      </w:r>
      <w:r w:rsidRPr="00756792">
        <w:rPr>
          <w:lang w:val="en-GB"/>
        </w:rPr>
        <w:t xml:space="preserve">. This is because </w:t>
      </w:r>
      <w:r w:rsidR="005B2E61" w:rsidRPr="00756792">
        <w:rPr>
          <w:lang w:val="en-GB"/>
        </w:rPr>
        <w:t xml:space="preserve">English teaching </w:t>
      </w:r>
      <w:r w:rsidR="001F615C" w:rsidRPr="00756792">
        <w:rPr>
          <w:lang w:val="en-GB"/>
        </w:rPr>
        <w:t>integrates not only grammar</w:t>
      </w:r>
      <w:r w:rsidR="005D4A37" w:rsidRPr="00756792">
        <w:rPr>
          <w:lang w:val="en-GB"/>
        </w:rPr>
        <w:t xml:space="preserve"> learning</w:t>
      </w:r>
      <w:r w:rsidR="001F615C" w:rsidRPr="00756792">
        <w:rPr>
          <w:lang w:val="en-GB"/>
        </w:rPr>
        <w:t xml:space="preserve"> but pronunciation acquisitions as well. Standard or otherwise, students will be hearing and imitating authentic English.</w:t>
      </w:r>
      <w:r w:rsidR="005D4A37" w:rsidRPr="00756792">
        <w:rPr>
          <w:lang w:val="en-GB"/>
        </w:rPr>
        <w:t xml:space="preserve"> It is not feasible to discuss Standard English without specifying its phonological settings. </w:t>
      </w:r>
    </w:p>
    <w:p w14:paraId="73F347E9" w14:textId="77777777" w:rsidR="004A6CFA" w:rsidRPr="00756792" w:rsidRDefault="004A6CFA" w:rsidP="004A6CFA">
      <w:pPr>
        <w:pStyle w:val="NormalWeb"/>
        <w:spacing w:line="360" w:lineRule="auto"/>
        <w:ind w:firstLine="227"/>
        <w:contextualSpacing/>
        <w:jc w:val="both"/>
        <w:rPr>
          <w:lang w:val="en-GB"/>
        </w:rPr>
      </w:pPr>
    </w:p>
    <w:p w14:paraId="650275A8" w14:textId="77777777" w:rsidR="00CF1961" w:rsidRPr="00756792" w:rsidRDefault="00B61730" w:rsidP="004A6CFA">
      <w:pPr>
        <w:pStyle w:val="NormalWeb"/>
        <w:numPr>
          <w:ilvl w:val="0"/>
          <w:numId w:val="6"/>
        </w:numPr>
        <w:spacing w:line="360" w:lineRule="auto"/>
        <w:ind w:firstLine="227"/>
        <w:contextualSpacing/>
        <w:jc w:val="both"/>
        <w:rPr>
          <w:b/>
          <w:bCs/>
          <w:lang w:val="en-GB"/>
        </w:rPr>
      </w:pPr>
      <w:r w:rsidRPr="00756792">
        <w:rPr>
          <w:b/>
          <w:bCs/>
          <w:lang w:val="en-GB"/>
        </w:rPr>
        <w:t xml:space="preserve">Why should we teach </w:t>
      </w:r>
      <w:r w:rsidR="00336ACD" w:rsidRPr="00756792">
        <w:rPr>
          <w:b/>
          <w:bCs/>
          <w:lang w:val="en-GB"/>
        </w:rPr>
        <w:t>SVE</w:t>
      </w:r>
      <w:r w:rsidRPr="00756792">
        <w:rPr>
          <w:b/>
          <w:bCs/>
          <w:lang w:val="en-GB"/>
        </w:rPr>
        <w:t>?</w:t>
      </w:r>
    </w:p>
    <w:p w14:paraId="2A6897E8" w14:textId="77777777" w:rsidR="005D4A37" w:rsidRPr="00756792" w:rsidRDefault="00B61730" w:rsidP="004A6CFA">
      <w:pPr>
        <w:pStyle w:val="NormalWeb"/>
        <w:spacing w:line="360" w:lineRule="auto"/>
        <w:ind w:firstLine="227"/>
        <w:contextualSpacing/>
        <w:jc w:val="both"/>
        <w:rPr>
          <w:lang w:val="en-GB"/>
        </w:rPr>
      </w:pPr>
      <w:r w:rsidRPr="00756792">
        <w:rPr>
          <w:lang w:val="en-GB"/>
        </w:rPr>
        <w:t xml:space="preserve">After clarifying the referent of </w:t>
      </w:r>
      <w:r w:rsidR="005C71CB" w:rsidRPr="00756792">
        <w:rPr>
          <w:lang w:val="en-GB"/>
        </w:rPr>
        <w:t>Standard Varieties of English</w:t>
      </w:r>
      <w:r w:rsidRPr="00756792">
        <w:rPr>
          <w:lang w:val="en-GB"/>
        </w:rPr>
        <w:t>, another ques</w:t>
      </w:r>
      <w:r w:rsidR="000604AA" w:rsidRPr="00756792">
        <w:rPr>
          <w:lang w:val="en-GB"/>
        </w:rPr>
        <w:t xml:space="preserve">tion ensues: </w:t>
      </w:r>
      <w:r w:rsidR="003713B5" w:rsidRPr="00756792">
        <w:rPr>
          <w:lang w:val="en-GB"/>
        </w:rPr>
        <w:t xml:space="preserve">Since regions such as mainland China and Korea have no standardised local English variety for historical reasons, </w:t>
      </w:r>
      <w:r w:rsidR="000604AA" w:rsidRPr="00756792">
        <w:rPr>
          <w:lang w:val="en-GB"/>
        </w:rPr>
        <w:t xml:space="preserve">which </w:t>
      </w:r>
      <w:r w:rsidR="00336ACD" w:rsidRPr="00756792">
        <w:rPr>
          <w:lang w:val="en-GB"/>
        </w:rPr>
        <w:t>SVE</w:t>
      </w:r>
      <w:r w:rsidR="000604AA" w:rsidRPr="00756792">
        <w:rPr>
          <w:lang w:val="en-GB"/>
        </w:rPr>
        <w:t xml:space="preserve"> should we adopt in teaching?</w:t>
      </w:r>
      <w:r w:rsidR="003713B5" w:rsidRPr="00756792">
        <w:rPr>
          <w:lang w:val="en-GB"/>
        </w:rPr>
        <w:t xml:space="preserve"> </w:t>
      </w:r>
      <w:r w:rsidR="000604AA" w:rsidRPr="00756792">
        <w:rPr>
          <w:lang w:val="en-GB"/>
        </w:rPr>
        <w:t xml:space="preserve">Before answering the question, it is worth referencing to existing models of </w:t>
      </w:r>
      <w:r w:rsidR="00F85320" w:rsidRPr="00756792">
        <w:rPr>
          <w:lang w:val="en-GB"/>
        </w:rPr>
        <w:t xml:space="preserve">World Englishes. The critique argues </w:t>
      </w:r>
      <w:r w:rsidR="000933A6" w:rsidRPr="00756792">
        <w:rPr>
          <w:lang w:val="en-GB"/>
        </w:rPr>
        <w:t xml:space="preserve">that by looking at the current ways </w:t>
      </w:r>
      <w:r w:rsidR="00336ACD" w:rsidRPr="00756792">
        <w:rPr>
          <w:lang w:val="en-GB"/>
        </w:rPr>
        <w:t>SVE</w:t>
      </w:r>
      <w:r w:rsidR="000933A6" w:rsidRPr="00756792">
        <w:rPr>
          <w:lang w:val="en-GB"/>
        </w:rPr>
        <w:t>s function in different regions, we will have a</w:t>
      </w:r>
      <w:r w:rsidR="008D64EF" w:rsidRPr="00756792">
        <w:rPr>
          <w:lang w:val="en-GB"/>
        </w:rPr>
        <w:t xml:space="preserve"> more insightful </w:t>
      </w:r>
      <w:r w:rsidR="000933A6" w:rsidRPr="00756792">
        <w:rPr>
          <w:lang w:val="en-GB"/>
        </w:rPr>
        <w:t xml:space="preserve">understanding of its imposition in </w:t>
      </w:r>
      <w:r w:rsidR="003713B5" w:rsidRPr="00756792">
        <w:rPr>
          <w:lang w:val="en-GB"/>
        </w:rPr>
        <w:t>the places as mentioned earlier.</w:t>
      </w:r>
      <w:r w:rsidR="000933A6" w:rsidRPr="00756792">
        <w:rPr>
          <w:lang w:val="en-GB"/>
        </w:rPr>
        <w:t xml:space="preserve">  </w:t>
      </w:r>
    </w:p>
    <w:p w14:paraId="09986C03" w14:textId="77777777" w:rsidR="006D4554" w:rsidRPr="00756792" w:rsidRDefault="00B61730" w:rsidP="004A6CFA">
      <w:pPr>
        <w:pStyle w:val="NormalWeb"/>
        <w:spacing w:line="360" w:lineRule="auto"/>
        <w:ind w:firstLine="227"/>
        <w:contextualSpacing/>
        <w:jc w:val="both"/>
        <w:rPr>
          <w:lang w:val="en-GB"/>
        </w:rPr>
      </w:pPr>
      <w:r w:rsidRPr="00756792">
        <w:rPr>
          <w:lang w:val="en-GB"/>
        </w:rPr>
        <w:t xml:space="preserve">In the chronological order of English spreading, Jenkins (2006) </w:t>
      </w:r>
      <w:r w:rsidR="00E179FD" w:rsidRPr="00756792">
        <w:rPr>
          <w:lang w:val="en-GB"/>
        </w:rPr>
        <w:t xml:space="preserve">summarises </w:t>
      </w:r>
      <w:r w:rsidR="003D5CB7" w:rsidRPr="00756792">
        <w:rPr>
          <w:lang w:val="en-GB"/>
        </w:rPr>
        <w:t xml:space="preserve">that </w:t>
      </w:r>
      <w:r w:rsidR="00E179FD" w:rsidRPr="00756792">
        <w:rPr>
          <w:lang w:val="en-GB"/>
        </w:rPr>
        <w:t xml:space="preserve">there is generally </w:t>
      </w:r>
      <w:r w:rsidRPr="00756792">
        <w:rPr>
          <w:lang w:val="en-GB"/>
        </w:rPr>
        <w:t xml:space="preserve">three </w:t>
      </w:r>
      <w:r w:rsidR="00E179FD" w:rsidRPr="00756792">
        <w:rPr>
          <w:lang w:val="en-GB"/>
        </w:rPr>
        <w:t>statu</w:t>
      </w:r>
      <w:r w:rsidRPr="00756792">
        <w:rPr>
          <w:lang w:val="en-GB"/>
        </w:rPr>
        <w:t>s of English: English as Native Language (ENL), English as Second Language (ESL) and English as Foreign Language (EFL)</w:t>
      </w:r>
      <w:r w:rsidR="00E179FD" w:rsidRPr="00756792">
        <w:rPr>
          <w:lang w:val="en-GB"/>
        </w:rPr>
        <w:t xml:space="preserve">. </w:t>
      </w:r>
      <w:r w:rsidR="001D4001" w:rsidRPr="00756792">
        <w:rPr>
          <w:lang w:val="en-GB"/>
        </w:rPr>
        <w:t xml:space="preserve">Besides chronological factors, </w:t>
      </w:r>
      <w:r w:rsidR="00E179FD" w:rsidRPr="00756792">
        <w:rPr>
          <w:lang w:val="en-GB"/>
        </w:rPr>
        <w:t>Kachru (</w:t>
      </w:r>
      <w:r w:rsidR="001D4001" w:rsidRPr="00756792">
        <w:rPr>
          <w:lang w:val="en-GB"/>
        </w:rPr>
        <w:t>1985</w:t>
      </w:r>
      <w:r w:rsidR="00E179FD" w:rsidRPr="00756792">
        <w:rPr>
          <w:lang w:val="en-GB"/>
        </w:rPr>
        <w:t>)</w:t>
      </w:r>
      <w:r w:rsidR="001D4001" w:rsidRPr="00756792">
        <w:rPr>
          <w:lang w:val="en-GB"/>
        </w:rPr>
        <w:t xml:space="preserve"> also incorporates how British colonisation shapes </w:t>
      </w:r>
      <w:r w:rsidR="00336ACD" w:rsidRPr="00756792">
        <w:rPr>
          <w:lang w:val="en-GB"/>
        </w:rPr>
        <w:t>SVE</w:t>
      </w:r>
      <w:r w:rsidR="001D4001" w:rsidRPr="00756792">
        <w:rPr>
          <w:lang w:val="en-GB"/>
        </w:rPr>
        <w:t xml:space="preserve"> in the different former colonies. He proposes three concentric circles of English: the inner circle, the outer </w:t>
      </w:r>
      <w:r w:rsidRPr="00756792">
        <w:rPr>
          <w:lang w:val="en-GB"/>
        </w:rPr>
        <w:t>circle,</w:t>
      </w:r>
      <w:r w:rsidR="001D4001" w:rsidRPr="00756792">
        <w:rPr>
          <w:lang w:val="en-GB"/>
        </w:rPr>
        <w:t xml:space="preserve"> and the expanding circle. As Trudgill and Hannah (2008) suggest, there is a high degree of overlap between the referents of the two models. In most inner-circle countries, English is also the native language to most of the population. In regions of the </w:t>
      </w:r>
      <w:r w:rsidR="001D4001" w:rsidRPr="00756792">
        <w:rPr>
          <w:lang w:val="en-GB"/>
        </w:rPr>
        <w:lastRenderedPageBreak/>
        <w:t>outer circle, English is one of the official languages and a second language to many. The same applies to the expanding circle, where English is also a foreign language.</w:t>
      </w:r>
    </w:p>
    <w:p w14:paraId="37746291" w14:textId="77777777" w:rsidR="00860A3B" w:rsidRPr="00756792" w:rsidRDefault="00B61730" w:rsidP="004A6CFA">
      <w:pPr>
        <w:pStyle w:val="NormalWeb"/>
        <w:spacing w:line="360" w:lineRule="auto"/>
        <w:ind w:firstLine="227"/>
        <w:contextualSpacing/>
        <w:jc w:val="both"/>
        <w:rPr>
          <w:lang w:val="en-GB"/>
        </w:rPr>
      </w:pPr>
      <w:r w:rsidRPr="00756792">
        <w:rPr>
          <w:lang w:val="en-GB"/>
        </w:rPr>
        <w:t xml:space="preserve">With many </w:t>
      </w:r>
      <w:r w:rsidR="00336ACD" w:rsidRPr="00756792">
        <w:rPr>
          <w:lang w:val="en-GB"/>
        </w:rPr>
        <w:t>SVE</w:t>
      </w:r>
      <w:r w:rsidRPr="00756792">
        <w:rPr>
          <w:lang w:val="en-GB"/>
        </w:rPr>
        <w:t xml:space="preserve">s emerging as the </w:t>
      </w:r>
      <w:r w:rsidR="008B15F5" w:rsidRPr="00756792">
        <w:rPr>
          <w:lang w:val="en-GB"/>
        </w:rPr>
        <w:t xml:space="preserve">national standards, which one/ones should the EFL countries adopt? The critique intends to answer the question from a purely linguistic perspective. We propose using phoneme as the sheer criteria in measuring the efficacy of a </w:t>
      </w:r>
      <w:r w:rsidR="00336ACD" w:rsidRPr="00756792">
        <w:rPr>
          <w:lang w:val="en-GB"/>
        </w:rPr>
        <w:t>SVE</w:t>
      </w:r>
      <w:r w:rsidR="008B15F5" w:rsidRPr="00756792">
        <w:rPr>
          <w:lang w:val="en-GB"/>
        </w:rPr>
        <w:t xml:space="preserve"> in teaching. The justification is two-fold: on the one hand, the EFL regions/expanding circle</w:t>
      </w:r>
      <w:r w:rsidR="009419CF" w:rsidRPr="00756792">
        <w:rPr>
          <w:rFonts w:eastAsia="PingFang TC"/>
          <w:lang w:val="en-GB"/>
        </w:rPr>
        <w:t xml:space="preserve"> </w:t>
      </w:r>
      <w:r w:rsidR="008B15F5" w:rsidRPr="00756792">
        <w:rPr>
          <w:lang w:val="en-GB"/>
        </w:rPr>
        <w:t>do not have a great deal of historical baggage when it comes to setting national standards.</w:t>
      </w:r>
      <w:r w:rsidR="009419CF" w:rsidRPr="00756792">
        <w:rPr>
          <w:lang w:val="en-GB"/>
        </w:rPr>
        <w:t xml:space="preserve"> Most of these regions were not former British colonies, and English has never played a role, official or otherwise. As is discussed in the previous chapter, </w:t>
      </w:r>
      <w:r w:rsidR="00512C76" w:rsidRPr="00756792">
        <w:rPr>
          <w:lang w:val="en-GB"/>
        </w:rPr>
        <w:t xml:space="preserve">the codification of some </w:t>
      </w:r>
      <w:r w:rsidR="00336ACD" w:rsidRPr="00756792">
        <w:rPr>
          <w:lang w:val="en-GB"/>
        </w:rPr>
        <w:t>SVE</w:t>
      </w:r>
      <w:r w:rsidR="00512C76" w:rsidRPr="00756792">
        <w:rPr>
          <w:lang w:val="en-GB"/>
        </w:rPr>
        <w:t xml:space="preserve">, </w:t>
      </w:r>
      <w:r w:rsidRPr="00756792">
        <w:rPr>
          <w:lang w:val="en-GB"/>
        </w:rPr>
        <w:t xml:space="preserve">such as the General American, </w:t>
      </w:r>
      <w:r w:rsidR="00512C76" w:rsidRPr="00756792">
        <w:rPr>
          <w:lang w:val="en-GB"/>
        </w:rPr>
        <w:t>has historical roots.</w:t>
      </w:r>
      <w:r w:rsidRPr="00756792">
        <w:rPr>
          <w:lang w:val="en-GB"/>
        </w:rPr>
        <w:t xml:space="preserve"> It</w:t>
      </w:r>
      <w:r w:rsidR="009419CF" w:rsidRPr="00756792">
        <w:rPr>
          <w:lang w:val="en-GB"/>
        </w:rPr>
        <w:t xml:space="preserve"> was </w:t>
      </w:r>
      <w:r w:rsidRPr="00756792">
        <w:rPr>
          <w:lang w:val="en-GB"/>
        </w:rPr>
        <w:t>standardised</w:t>
      </w:r>
      <w:r w:rsidR="009419CF" w:rsidRPr="00756792">
        <w:rPr>
          <w:lang w:val="en-GB"/>
        </w:rPr>
        <w:t xml:space="preserve"> as an intentional contrast to British English</w:t>
      </w:r>
      <w:r w:rsidRPr="00756792">
        <w:rPr>
          <w:lang w:val="en-GB"/>
        </w:rPr>
        <w:t xml:space="preserve">. </w:t>
      </w:r>
      <w:r w:rsidR="009419CF" w:rsidRPr="00756792">
        <w:rPr>
          <w:lang w:val="en-GB"/>
        </w:rPr>
        <w:t>Nevertheless, the promotion of standard English varieties in the EFL regions are free from such ideological constraints.</w:t>
      </w:r>
      <w:r w:rsidRPr="00756792">
        <w:rPr>
          <w:lang w:val="en-GB"/>
        </w:rPr>
        <w:t xml:space="preserve"> </w:t>
      </w:r>
      <w:r w:rsidR="00BC0368" w:rsidRPr="00756792">
        <w:rPr>
          <w:lang w:val="en-GB"/>
        </w:rPr>
        <w:t>Therefore,</w:t>
      </w:r>
      <w:r w:rsidRPr="00756792">
        <w:rPr>
          <w:lang w:val="en-GB"/>
        </w:rPr>
        <w:t xml:space="preserve"> we should measure the </w:t>
      </w:r>
      <w:r w:rsidR="00336ACD" w:rsidRPr="00756792">
        <w:rPr>
          <w:lang w:val="en-GB"/>
        </w:rPr>
        <w:t>SVE</w:t>
      </w:r>
      <w:r w:rsidRPr="00756792">
        <w:rPr>
          <w:lang w:val="en-GB"/>
        </w:rPr>
        <w:t xml:space="preserve"> on a more practical level: to what extent the mastery of the variety helps us to communicate better.  </w:t>
      </w:r>
    </w:p>
    <w:p w14:paraId="06F6265A" w14:textId="77777777" w:rsidR="00BA217C" w:rsidRPr="00756792" w:rsidRDefault="00B61730" w:rsidP="004A6CFA">
      <w:pPr>
        <w:pStyle w:val="NormalWeb"/>
        <w:spacing w:line="360" w:lineRule="auto"/>
        <w:ind w:firstLine="227"/>
        <w:contextualSpacing/>
        <w:jc w:val="both"/>
        <w:rPr>
          <w:lang w:val="en-GB"/>
        </w:rPr>
      </w:pPr>
      <w:r w:rsidRPr="00756792">
        <w:rPr>
          <w:lang w:val="en-GB"/>
        </w:rPr>
        <w:t xml:space="preserve">With communicative purposes being the core of teaching a </w:t>
      </w:r>
      <w:r w:rsidR="00336ACD" w:rsidRPr="00756792">
        <w:rPr>
          <w:lang w:val="en-GB"/>
        </w:rPr>
        <w:t>SVE</w:t>
      </w:r>
      <w:r w:rsidRPr="00756792">
        <w:rPr>
          <w:lang w:val="en-GB"/>
        </w:rPr>
        <w:t>, phoneme becomes a very illustrative parameter</w:t>
      </w:r>
      <w:r w:rsidR="00C64351" w:rsidRPr="00756792">
        <w:rPr>
          <w:lang w:val="en-GB"/>
        </w:rPr>
        <w:t>. It is the smallest sound unit from which human can extract meanings. Therefore, the more phonemes a variety has, the more meaning distinctions it can produce.</w:t>
      </w:r>
      <w:r w:rsidR="00BC0368" w:rsidRPr="00756792">
        <w:rPr>
          <w:lang w:val="en-GB"/>
        </w:rPr>
        <w:t xml:space="preserve"> It is worth noting that n</w:t>
      </w:r>
      <w:r w:rsidR="00C64351" w:rsidRPr="00756792">
        <w:rPr>
          <w:lang w:val="en-GB"/>
        </w:rPr>
        <w:t xml:space="preserve">ot all varieties have similar numbers of phonemes. Phonemes of consonants are relatively stable across major </w:t>
      </w:r>
      <w:r w:rsidR="00336ACD" w:rsidRPr="00756792">
        <w:rPr>
          <w:lang w:val="en-GB"/>
        </w:rPr>
        <w:t>SVE</w:t>
      </w:r>
      <w:r w:rsidR="00C64351" w:rsidRPr="00756792">
        <w:rPr>
          <w:lang w:val="en-GB"/>
        </w:rPr>
        <w:t xml:space="preserve">s, but the ones of vowels vary drastically from dialect to dialect. For instance, </w:t>
      </w:r>
      <w:r w:rsidR="00336ACD" w:rsidRPr="00756792">
        <w:rPr>
          <w:lang w:val="en-GB"/>
        </w:rPr>
        <w:t xml:space="preserve">the phonemic inventory of </w:t>
      </w:r>
      <w:r w:rsidR="00C64351" w:rsidRPr="00756792">
        <w:rPr>
          <w:lang w:val="en-GB"/>
        </w:rPr>
        <w:t xml:space="preserve">General American </w:t>
      </w:r>
      <w:r w:rsidR="00336ACD" w:rsidRPr="00756792">
        <w:rPr>
          <w:lang w:val="en-GB"/>
        </w:rPr>
        <w:t xml:space="preserve">is </w:t>
      </w:r>
      <w:r w:rsidR="00BC0368" w:rsidRPr="00756792">
        <w:rPr>
          <w:lang w:val="en-GB"/>
        </w:rPr>
        <w:t>16</w:t>
      </w:r>
      <w:r w:rsidR="00336ACD" w:rsidRPr="00756792">
        <w:rPr>
          <w:lang w:val="en-GB"/>
        </w:rPr>
        <w:t xml:space="preserve">, </w:t>
      </w:r>
      <w:r w:rsidR="00BC0368" w:rsidRPr="00756792">
        <w:rPr>
          <w:lang w:val="en-GB"/>
        </w:rPr>
        <w:t xml:space="preserve">General Australian 20. The </w:t>
      </w:r>
      <w:r w:rsidR="00C64351" w:rsidRPr="00756792">
        <w:rPr>
          <w:lang w:val="en-GB"/>
        </w:rPr>
        <w:t>Received Pronunciation</w:t>
      </w:r>
      <w:r w:rsidR="00BC0368" w:rsidRPr="00756792">
        <w:rPr>
          <w:lang w:val="en-GB"/>
        </w:rPr>
        <w:t>, meanwhile,</w:t>
      </w:r>
      <w:r w:rsidR="00C64351" w:rsidRPr="00756792">
        <w:rPr>
          <w:lang w:val="en-GB"/>
        </w:rPr>
        <w:t xml:space="preserve"> has </w:t>
      </w:r>
      <w:r w:rsidR="00336ACD" w:rsidRPr="00756792">
        <w:rPr>
          <w:lang w:val="en-GB"/>
        </w:rPr>
        <w:t>a whopping of</w:t>
      </w:r>
      <w:r w:rsidR="00C64351" w:rsidRPr="00756792">
        <w:rPr>
          <w:lang w:val="en-GB"/>
        </w:rPr>
        <w:t xml:space="preserve"> </w:t>
      </w:r>
      <w:r w:rsidR="004F4FD0" w:rsidRPr="00756792">
        <w:rPr>
          <w:lang w:val="en-GB"/>
        </w:rPr>
        <w:t>25 phonemic contrast</w:t>
      </w:r>
      <w:r w:rsidR="005025D2" w:rsidRPr="00756792">
        <w:rPr>
          <w:lang w:val="en-GB"/>
        </w:rPr>
        <w:t xml:space="preserve">s, </w:t>
      </w:r>
      <w:r w:rsidR="00BC0368" w:rsidRPr="00756792">
        <w:rPr>
          <w:lang w:val="en-GB"/>
        </w:rPr>
        <w:t xml:space="preserve">making it the most productive </w:t>
      </w:r>
      <w:r w:rsidR="00336ACD" w:rsidRPr="00756792">
        <w:rPr>
          <w:lang w:val="en-GB"/>
        </w:rPr>
        <w:t>SVE</w:t>
      </w:r>
      <w:r w:rsidR="00BC0368" w:rsidRPr="00756792">
        <w:rPr>
          <w:lang w:val="en-GB"/>
        </w:rPr>
        <w:t xml:space="preserve"> in meaning distinction.</w:t>
      </w:r>
    </w:p>
    <w:p w14:paraId="2C29FDB9" w14:textId="77777777" w:rsidR="00BA217C" w:rsidRPr="00756792" w:rsidRDefault="00B61730" w:rsidP="004A6CFA">
      <w:pPr>
        <w:pStyle w:val="NormalWeb"/>
        <w:spacing w:line="360" w:lineRule="auto"/>
        <w:ind w:firstLine="227"/>
        <w:contextualSpacing/>
        <w:jc w:val="both"/>
        <w:rPr>
          <w:lang w:val="en-GB"/>
        </w:rPr>
      </w:pPr>
      <w:r w:rsidRPr="00756792">
        <w:rPr>
          <w:lang w:val="en-GB"/>
        </w:rPr>
        <w:t xml:space="preserve">To further substantiate our argument, we would like a make a comparison between the RP and </w:t>
      </w:r>
      <w:r w:rsidR="009873B7" w:rsidRPr="00756792">
        <w:rPr>
          <w:lang w:val="en-GB"/>
        </w:rPr>
        <w:t>one native</w:t>
      </w:r>
      <w:r w:rsidRPr="00756792">
        <w:rPr>
          <w:lang w:val="en-GB"/>
        </w:rPr>
        <w:t xml:space="preserve"> English variet</w:t>
      </w:r>
      <w:r w:rsidR="009873B7" w:rsidRPr="00756792">
        <w:rPr>
          <w:lang w:val="en-GB"/>
        </w:rPr>
        <w:t>y</w:t>
      </w:r>
      <w:r w:rsidRPr="00756792">
        <w:rPr>
          <w:lang w:val="en-GB"/>
        </w:rPr>
        <w:t xml:space="preserve">, which in the case, </w:t>
      </w:r>
      <w:r w:rsidR="009873B7" w:rsidRPr="00756792">
        <w:rPr>
          <w:lang w:val="en-GB"/>
        </w:rPr>
        <w:t>is</w:t>
      </w:r>
      <w:r w:rsidRPr="00756792">
        <w:rPr>
          <w:lang w:val="en-GB"/>
        </w:rPr>
        <w:t xml:space="preserve"> Hong Kong English (HKE). HKE is a </w:t>
      </w:r>
      <w:r w:rsidR="004F4FD0" w:rsidRPr="00756792">
        <w:rPr>
          <w:lang w:val="en-GB"/>
        </w:rPr>
        <w:t>nativ</w:t>
      </w:r>
      <w:r w:rsidRPr="00756792">
        <w:rPr>
          <w:lang w:val="en-GB"/>
        </w:rPr>
        <w:t xml:space="preserve">e English variety functioning as an auxiliary language. </w:t>
      </w:r>
      <w:r w:rsidR="008667ED" w:rsidRPr="00756792">
        <w:rPr>
          <w:lang w:val="en-GB"/>
        </w:rPr>
        <w:t xml:space="preserve">It has many distinctive features different from the current mainstream </w:t>
      </w:r>
      <w:r w:rsidR="00336ACD" w:rsidRPr="00756792">
        <w:rPr>
          <w:lang w:val="en-GB"/>
        </w:rPr>
        <w:t>SVE</w:t>
      </w:r>
      <w:r w:rsidR="008667ED" w:rsidRPr="00756792">
        <w:rPr>
          <w:lang w:val="en-GB"/>
        </w:rPr>
        <w:t>s such as the merger of alveolar nasal [n] and alveolar lateral approximant [l]</w:t>
      </w:r>
      <w:r w:rsidR="004F4FD0" w:rsidRPr="00756792">
        <w:rPr>
          <w:lang w:val="en-GB"/>
        </w:rPr>
        <w:t xml:space="preserve"> in the onset position of a syllable</w:t>
      </w:r>
      <w:r w:rsidR="008667ED" w:rsidRPr="00756792">
        <w:rPr>
          <w:lang w:val="en-GB"/>
        </w:rPr>
        <w:t xml:space="preserve">, </w:t>
      </w:r>
      <w:r w:rsidR="004F4FD0" w:rsidRPr="00756792">
        <w:rPr>
          <w:lang w:val="en-GB"/>
        </w:rPr>
        <w:t xml:space="preserve">or </w:t>
      </w:r>
      <w:r w:rsidR="008667ED" w:rsidRPr="00756792">
        <w:rPr>
          <w:lang w:val="en-GB"/>
        </w:rPr>
        <w:t>the replacement of the voiced labiodental fricative [v] as its voiceless counterpart [f] or the labio-velar approximant [w] (Luke and Richards, 1982)</w:t>
      </w:r>
      <w:r w:rsidR="000D3CA9" w:rsidRPr="00756792">
        <w:rPr>
          <w:lang w:val="en-GB"/>
        </w:rPr>
        <w:t xml:space="preserve">. Another feature is its </w:t>
      </w:r>
      <w:r w:rsidR="007F61F1" w:rsidRPr="00756792">
        <w:rPr>
          <w:lang w:val="en-GB"/>
        </w:rPr>
        <w:t xml:space="preserve">occasional </w:t>
      </w:r>
      <w:r w:rsidR="000D3CA9" w:rsidRPr="00756792">
        <w:rPr>
          <w:lang w:val="en-GB"/>
        </w:rPr>
        <w:t>omission of consonants</w:t>
      </w:r>
      <w:r w:rsidR="007F61F1" w:rsidRPr="00756792">
        <w:rPr>
          <w:lang w:val="en-GB"/>
        </w:rPr>
        <w:t xml:space="preserve"> at the end of a syllable (Bolton and Kwok, 1990). Such a seemingly occasional deletion of consonants is specified as the deletion of alveolar stops ([t] and [d]) in consonant clusters in specific phonological contexts (Peng and Setter, 2000). H</w:t>
      </w:r>
      <w:r w:rsidR="00336ACD" w:rsidRPr="00756792">
        <w:rPr>
          <w:lang w:val="en-GB"/>
        </w:rPr>
        <w:t>ung (2000) depicts the phonology of HKE. He points out there HKE has a noticeably smaller phonemic inventory, with 20 consonant</w:t>
      </w:r>
      <w:r w:rsidR="005025D2" w:rsidRPr="00756792">
        <w:rPr>
          <w:lang w:val="en-GB"/>
        </w:rPr>
        <w:t>s</w:t>
      </w:r>
      <w:r w:rsidR="00336ACD" w:rsidRPr="00756792">
        <w:rPr>
          <w:lang w:val="en-GB"/>
        </w:rPr>
        <w:t xml:space="preserve"> and seven vowel</w:t>
      </w:r>
      <w:r w:rsidR="005025D2" w:rsidRPr="00756792">
        <w:rPr>
          <w:lang w:val="en-GB"/>
        </w:rPr>
        <w:t>s</w:t>
      </w:r>
      <w:r w:rsidR="00336ACD" w:rsidRPr="00756792">
        <w:rPr>
          <w:lang w:val="en-GB"/>
        </w:rPr>
        <w:t>, compared with RP’s 24 consonant</w:t>
      </w:r>
      <w:r w:rsidR="005025D2" w:rsidRPr="00756792">
        <w:rPr>
          <w:lang w:val="en-GB"/>
        </w:rPr>
        <w:t>s</w:t>
      </w:r>
      <w:r w:rsidR="00336ACD" w:rsidRPr="00756792">
        <w:rPr>
          <w:lang w:val="en-GB"/>
        </w:rPr>
        <w:t xml:space="preserve"> and 12 vowel</w:t>
      </w:r>
      <w:r w:rsidR="005025D2" w:rsidRPr="00756792">
        <w:rPr>
          <w:lang w:val="en-GB"/>
        </w:rPr>
        <w:t>s</w:t>
      </w:r>
      <w:r w:rsidR="00336ACD" w:rsidRPr="00756792">
        <w:rPr>
          <w:lang w:val="en-GB"/>
        </w:rPr>
        <w:t>.</w:t>
      </w:r>
    </w:p>
    <w:p w14:paraId="6CA11E13" w14:textId="04ACE040" w:rsidR="00241048" w:rsidRPr="00756792" w:rsidRDefault="00B61730" w:rsidP="004A6CFA">
      <w:pPr>
        <w:pStyle w:val="NormalWeb"/>
        <w:spacing w:line="360" w:lineRule="auto"/>
        <w:ind w:firstLine="227"/>
        <w:contextualSpacing/>
        <w:jc w:val="both"/>
        <w:rPr>
          <w:rFonts w:eastAsia="PingFang TC"/>
          <w:lang w:val="en-GB"/>
        </w:rPr>
      </w:pPr>
      <w:r w:rsidRPr="00756792">
        <w:rPr>
          <w:lang w:val="en-GB"/>
        </w:rPr>
        <w:t xml:space="preserve">As the critique argues, we believe the size of phonemic inventory is a direct parameter measured against the intelligibility of an SVE. The more expansive the inventory, the more understandable a </w:t>
      </w:r>
      <w:r w:rsidRPr="00756792">
        <w:rPr>
          <w:lang w:val="en-GB"/>
        </w:rPr>
        <w:lastRenderedPageBreak/>
        <w:t>variety is.</w:t>
      </w:r>
      <w:r w:rsidR="00CC5DA0" w:rsidRPr="00756792">
        <w:rPr>
          <w:lang w:val="en-GB"/>
        </w:rPr>
        <w:t xml:space="preserve"> Such comparison aims to disclose the lack of phonemic contrast may cause misunderstanding in communication. </w:t>
      </w:r>
      <w:r w:rsidRPr="00756792">
        <w:rPr>
          <w:lang w:val="en-GB"/>
        </w:rPr>
        <w:t xml:space="preserve">It is generalisable that in HKE, there is a systemic loss of voiced consonants. An instance is the loss of voiced labiodental fricative [v] in HKE. The phonemic vacuum is replaced either with its voiceless counterpart [f] or the labio-velar approximant [w]. As a result, </w:t>
      </w:r>
      <w:r w:rsidRPr="00756792">
        <w:rPr>
          <w:b/>
          <w:bCs/>
          <w:i/>
          <w:iCs/>
          <w:lang w:val="en-GB"/>
        </w:rPr>
        <w:t>Vivian</w:t>
      </w:r>
      <w:r w:rsidRPr="00756792">
        <w:rPr>
          <w:lang w:val="en-GB"/>
        </w:rPr>
        <w:t xml:space="preserve"> in HKE becomes </w:t>
      </w:r>
      <w:r w:rsidRPr="00756792">
        <w:rPr>
          <w:b/>
          <w:bCs/>
          <w:i/>
          <w:iCs/>
          <w:lang w:val="en-GB"/>
        </w:rPr>
        <w:t>Fifian</w:t>
      </w:r>
      <w:r w:rsidRPr="00756792">
        <w:rPr>
          <w:lang w:val="en-GB"/>
        </w:rPr>
        <w:t xml:space="preserve">; </w:t>
      </w:r>
      <w:r w:rsidRPr="00756792">
        <w:rPr>
          <w:b/>
          <w:bCs/>
          <w:i/>
          <w:iCs/>
          <w:lang w:val="en-GB"/>
        </w:rPr>
        <w:t>Oven</w:t>
      </w:r>
      <w:r w:rsidRPr="00756792">
        <w:rPr>
          <w:lang w:val="en-GB"/>
        </w:rPr>
        <w:t xml:space="preserve"> becomes </w:t>
      </w:r>
      <w:r w:rsidRPr="00756792">
        <w:rPr>
          <w:b/>
          <w:bCs/>
          <w:i/>
          <w:iCs/>
          <w:lang w:val="en-GB"/>
        </w:rPr>
        <w:t>Owen</w:t>
      </w:r>
      <w:r w:rsidRPr="00756792">
        <w:rPr>
          <w:rFonts w:eastAsia="PingFang TC"/>
          <w:lang w:val="en-GB"/>
        </w:rPr>
        <w:t xml:space="preserve">. Another instance is the missing of voiced alveolar fricative [z]. The missing phoneme is collectively substituted with its voiceless counterpart [s]. Consequently, </w:t>
      </w:r>
      <w:r w:rsidRPr="00756792">
        <w:rPr>
          <w:rFonts w:eastAsia="PingFang TC"/>
          <w:b/>
          <w:bCs/>
          <w:i/>
          <w:iCs/>
          <w:lang w:val="en-GB"/>
        </w:rPr>
        <w:t>zoo</w:t>
      </w:r>
      <w:r w:rsidRPr="00756792">
        <w:rPr>
          <w:rFonts w:eastAsia="PingFang TC"/>
          <w:lang w:val="en-GB"/>
        </w:rPr>
        <w:t xml:space="preserve"> becomes</w:t>
      </w:r>
      <w:r w:rsidRPr="00756792">
        <w:rPr>
          <w:rFonts w:eastAsia="PingFang TC"/>
          <w:b/>
          <w:bCs/>
          <w:i/>
          <w:iCs/>
          <w:lang w:val="en-GB"/>
        </w:rPr>
        <w:t xml:space="preserve"> sue </w:t>
      </w:r>
      <w:r w:rsidRPr="00756792">
        <w:rPr>
          <w:rFonts w:eastAsia="PingFang TC"/>
          <w:lang w:val="en-GB"/>
        </w:rPr>
        <w:t xml:space="preserve">and </w:t>
      </w:r>
      <w:r w:rsidRPr="00756792">
        <w:rPr>
          <w:rFonts w:eastAsia="PingFang TC"/>
          <w:b/>
          <w:bCs/>
          <w:i/>
          <w:iCs/>
          <w:lang w:val="en-GB"/>
        </w:rPr>
        <w:t>practi</w:t>
      </w:r>
      <w:r w:rsidR="009B1A95" w:rsidRPr="00756792">
        <w:rPr>
          <w:rFonts w:eastAsia="PingFang TC"/>
          <w:b/>
          <w:bCs/>
          <w:i/>
          <w:iCs/>
          <w:lang w:val="en-GB"/>
        </w:rPr>
        <w:t>s</w:t>
      </w:r>
      <w:r w:rsidRPr="00756792">
        <w:rPr>
          <w:rFonts w:eastAsia="PingFang TC"/>
          <w:b/>
          <w:bCs/>
          <w:i/>
          <w:iCs/>
          <w:lang w:val="en-GB"/>
        </w:rPr>
        <w:t xml:space="preserve">e </w:t>
      </w:r>
      <w:r w:rsidRPr="00756792">
        <w:rPr>
          <w:rFonts w:eastAsia="PingFang TC"/>
          <w:lang w:val="en-GB"/>
        </w:rPr>
        <w:t>is identical with</w:t>
      </w:r>
      <w:r w:rsidRPr="00756792">
        <w:rPr>
          <w:rFonts w:eastAsia="PingFang TC"/>
          <w:b/>
          <w:bCs/>
          <w:i/>
          <w:iCs/>
          <w:lang w:val="en-GB"/>
        </w:rPr>
        <w:t xml:space="preserve"> practi</w:t>
      </w:r>
      <w:r w:rsidR="009B1A95" w:rsidRPr="00756792">
        <w:rPr>
          <w:rFonts w:eastAsia="PingFang TC"/>
          <w:b/>
          <w:bCs/>
          <w:i/>
          <w:iCs/>
          <w:lang w:val="en-GB"/>
        </w:rPr>
        <w:t>c</w:t>
      </w:r>
      <w:r w:rsidRPr="00756792">
        <w:rPr>
          <w:rFonts w:eastAsia="PingFang TC"/>
          <w:b/>
          <w:bCs/>
          <w:i/>
          <w:iCs/>
          <w:lang w:val="en-GB"/>
        </w:rPr>
        <w:t>e</w:t>
      </w:r>
      <w:r w:rsidRPr="00756792">
        <w:rPr>
          <w:rFonts w:eastAsia="PingFang TC"/>
          <w:lang w:val="en-GB"/>
        </w:rPr>
        <w:t xml:space="preserve">. </w:t>
      </w:r>
    </w:p>
    <w:p w14:paraId="7C0BB13D" w14:textId="77777777" w:rsidR="004F4FD0" w:rsidRPr="00756792" w:rsidRDefault="00B61730" w:rsidP="004A6CFA">
      <w:pPr>
        <w:pStyle w:val="NormalWeb"/>
        <w:spacing w:line="360" w:lineRule="auto"/>
        <w:ind w:firstLine="227"/>
        <w:contextualSpacing/>
        <w:jc w:val="both"/>
        <w:rPr>
          <w:rFonts w:eastAsia="PingFang TC"/>
          <w:lang w:val="en-GB"/>
        </w:rPr>
      </w:pPr>
      <w:r w:rsidRPr="00756792">
        <w:rPr>
          <w:rFonts w:eastAsia="PingFang TC"/>
          <w:lang w:val="en-GB"/>
        </w:rPr>
        <w:t xml:space="preserve">When it comes to phonemic contrasts of a vowel, the situation becomes even more </w:t>
      </w:r>
      <w:r w:rsidR="009B1A95" w:rsidRPr="00756792">
        <w:rPr>
          <w:rFonts w:eastAsia="PingFang TC"/>
          <w:lang w:val="en-GB"/>
        </w:rPr>
        <w:t>problematic.</w:t>
      </w:r>
      <w:r w:rsidRPr="00756792">
        <w:rPr>
          <w:rFonts w:eastAsia="PingFang TC"/>
          <w:lang w:val="en-GB"/>
        </w:rPr>
        <w:t xml:space="preserve"> </w:t>
      </w:r>
      <w:r w:rsidRPr="00756792">
        <w:rPr>
          <w:lang w:val="en-GB"/>
        </w:rPr>
        <w:t>T</w:t>
      </w:r>
      <w:r w:rsidR="00CC5DA0" w:rsidRPr="00756792">
        <w:rPr>
          <w:lang w:val="en-GB"/>
        </w:rPr>
        <w:t xml:space="preserve">here is not phonemic contrast between the close front unrounded vowel [i] and its near-close counterpart [ɪ]. In RP, the </w:t>
      </w:r>
      <w:r w:rsidR="00CC5DA0" w:rsidRPr="00756792">
        <w:rPr>
          <w:b/>
          <w:bCs/>
          <w:i/>
          <w:iCs/>
          <w:lang w:val="en-GB"/>
        </w:rPr>
        <w:t>sheet</w:t>
      </w:r>
      <w:r w:rsidR="00CC5DA0" w:rsidRPr="00756792">
        <w:rPr>
          <w:lang w:val="en-GB"/>
        </w:rPr>
        <w:t xml:space="preserve"> and </w:t>
      </w:r>
      <w:r w:rsidR="00CC5DA0" w:rsidRPr="00756792">
        <w:rPr>
          <w:b/>
          <w:bCs/>
          <w:i/>
          <w:iCs/>
          <w:lang w:val="en-GB"/>
        </w:rPr>
        <w:t>shit</w:t>
      </w:r>
      <w:r w:rsidR="00CC5DA0" w:rsidRPr="00756792">
        <w:rPr>
          <w:lang w:val="en-GB"/>
        </w:rPr>
        <w:t xml:space="preserve"> compose a minimal pair, but in HKE they are merged altogether. If HKE is adopted as the norm, a dramatic condition would be that its learners will not even distinguish </w:t>
      </w:r>
      <w:r w:rsidRPr="00756792">
        <w:rPr>
          <w:b/>
          <w:bCs/>
          <w:i/>
          <w:iCs/>
          <w:lang w:val="en-GB"/>
        </w:rPr>
        <w:t>the</w:t>
      </w:r>
      <w:r w:rsidRPr="00756792">
        <w:rPr>
          <w:lang w:val="en-GB"/>
        </w:rPr>
        <w:t xml:space="preserve"> </w:t>
      </w:r>
      <w:r w:rsidR="00CC5DA0" w:rsidRPr="00756792">
        <w:rPr>
          <w:b/>
          <w:bCs/>
          <w:i/>
          <w:iCs/>
          <w:lang w:val="en-GB"/>
        </w:rPr>
        <w:t>sun of a beach</w:t>
      </w:r>
      <w:r w:rsidR="00CC5DA0" w:rsidRPr="00756792">
        <w:rPr>
          <w:lang w:val="en-GB"/>
        </w:rPr>
        <w:t xml:space="preserve"> from </w:t>
      </w:r>
      <w:r w:rsidRPr="00756792">
        <w:rPr>
          <w:b/>
          <w:bCs/>
          <w:i/>
          <w:iCs/>
          <w:lang w:val="en-GB"/>
        </w:rPr>
        <w:t>the</w:t>
      </w:r>
      <w:r w:rsidRPr="00756792">
        <w:rPr>
          <w:lang w:val="en-GB"/>
        </w:rPr>
        <w:t xml:space="preserve"> </w:t>
      </w:r>
      <w:r w:rsidR="00CC5DA0" w:rsidRPr="00756792">
        <w:rPr>
          <w:b/>
          <w:bCs/>
          <w:i/>
          <w:iCs/>
          <w:lang w:val="en-GB"/>
        </w:rPr>
        <w:t>son of a bitch.</w:t>
      </w:r>
      <w:r w:rsidR="00D0129B" w:rsidRPr="00756792">
        <w:rPr>
          <w:lang w:val="en-GB"/>
        </w:rPr>
        <w:t xml:space="preserve"> </w:t>
      </w:r>
      <w:r w:rsidR="009B1A95" w:rsidRPr="00756792">
        <w:rPr>
          <w:lang w:val="en-GB"/>
        </w:rPr>
        <w:t xml:space="preserve">Another example is the merger </w:t>
      </w:r>
      <w:r w:rsidR="00E72A31" w:rsidRPr="00756792">
        <w:rPr>
          <w:lang w:val="en-GB"/>
        </w:rPr>
        <w:t xml:space="preserve">of </w:t>
      </w:r>
      <w:r w:rsidR="00E72A31" w:rsidRPr="00756792">
        <w:rPr>
          <w:b/>
          <w:bCs/>
          <w:i/>
          <w:iCs/>
          <w:lang w:val="en-GB"/>
        </w:rPr>
        <w:t>bad</w:t>
      </w:r>
      <w:r w:rsidR="00E72A31" w:rsidRPr="00756792">
        <w:rPr>
          <w:lang w:val="en-GB"/>
        </w:rPr>
        <w:t xml:space="preserve"> and </w:t>
      </w:r>
      <w:r w:rsidR="00E72A31" w:rsidRPr="00756792">
        <w:rPr>
          <w:b/>
          <w:bCs/>
          <w:i/>
          <w:iCs/>
          <w:lang w:val="en-GB"/>
        </w:rPr>
        <w:t>bed</w:t>
      </w:r>
      <w:r w:rsidR="00E72A31" w:rsidRPr="00756792">
        <w:rPr>
          <w:rFonts w:eastAsia="PingFang TC"/>
          <w:lang w:val="en-GB"/>
        </w:rPr>
        <w:t xml:space="preserve">, in HKE the near-open front rounded vowel [æ] is missing and merges with the [ɛ], the open-mid front unrounded vowel into the same phoneme. A consequence of this merger is that HKE speakers rarely distinguish </w:t>
      </w:r>
      <w:r w:rsidR="00E72A31" w:rsidRPr="00756792">
        <w:rPr>
          <w:rFonts w:eastAsia="PingFang TC"/>
          <w:b/>
          <w:bCs/>
          <w:i/>
          <w:iCs/>
          <w:lang w:val="en-GB"/>
        </w:rPr>
        <w:t>man</w:t>
      </w:r>
      <w:r w:rsidR="00E72A31" w:rsidRPr="00756792">
        <w:rPr>
          <w:rFonts w:eastAsia="PingFang TC"/>
          <w:lang w:val="en-GB"/>
        </w:rPr>
        <w:t xml:space="preserve"> from </w:t>
      </w:r>
      <w:r w:rsidR="00E72A31" w:rsidRPr="00756792">
        <w:rPr>
          <w:rFonts w:eastAsia="PingFang TC"/>
          <w:b/>
          <w:bCs/>
          <w:i/>
          <w:iCs/>
          <w:lang w:val="en-GB"/>
        </w:rPr>
        <w:t>men</w:t>
      </w:r>
      <w:r w:rsidR="00E72A31" w:rsidRPr="00756792">
        <w:rPr>
          <w:rFonts w:eastAsia="PingFang TC"/>
          <w:lang w:val="en-GB"/>
        </w:rPr>
        <w:t>.</w:t>
      </w:r>
    </w:p>
    <w:p w14:paraId="679B788E" w14:textId="77777777" w:rsidR="0075790B" w:rsidRPr="00756792" w:rsidRDefault="00B61730" w:rsidP="004A6CFA">
      <w:pPr>
        <w:pStyle w:val="NormalWeb"/>
        <w:spacing w:line="360" w:lineRule="auto"/>
        <w:ind w:firstLine="227"/>
        <w:contextualSpacing/>
        <w:jc w:val="both"/>
        <w:rPr>
          <w:lang w:val="en-GB"/>
        </w:rPr>
      </w:pPr>
      <w:r w:rsidRPr="00756792">
        <w:rPr>
          <w:rFonts w:eastAsia="PingFang TC"/>
          <w:lang w:val="en-GB"/>
        </w:rPr>
        <w:t xml:space="preserve">The critique cites the above examples, not to illustrate that one SVE is inferior to another. We do believe, however, when it comes to teaching, there are some pre-existing models that teachers could capitalise on. </w:t>
      </w:r>
      <w:r w:rsidRPr="00756792">
        <w:rPr>
          <w:lang w:val="en-GB"/>
        </w:rPr>
        <w:t>All the communicative problems caused by the lack of specific phonemes, as are in the case of HKE, could simply be solved</w:t>
      </w:r>
      <w:r w:rsidRPr="00756792">
        <w:rPr>
          <w:rFonts w:eastAsia="PingFang TC"/>
          <w:lang w:val="en-GB"/>
        </w:rPr>
        <w:t xml:space="preserve"> by introducing another ENL variety as the norm. These models are valuable resources in achieving the goal of teaching comprehensible English. Furthermore, the critique argues that RP</w:t>
      </w:r>
      <w:r w:rsidR="00FC2C34" w:rsidRPr="00756792">
        <w:rPr>
          <w:rFonts w:eastAsia="PingFang TC"/>
          <w:lang w:val="en-GB"/>
        </w:rPr>
        <w:t xml:space="preserve">, or other </w:t>
      </w:r>
      <w:r w:rsidRPr="00756792">
        <w:rPr>
          <w:rFonts w:eastAsia="PingFang TC"/>
          <w:lang w:val="en-GB"/>
        </w:rPr>
        <w:t>ENL varieties,</w:t>
      </w:r>
      <w:r w:rsidR="00FC2C34" w:rsidRPr="00756792">
        <w:rPr>
          <w:rFonts w:eastAsia="PingFang TC"/>
          <w:lang w:val="en-GB"/>
        </w:rPr>
        <w:t xml:space="preserve"> </w:t>
      </w:r>
      <w:r w:rsidRPr="00756792">
        <w:rPr>
          <w:rFonts w:eastAsia="PingFang TC"/>
          <w:lang w:val="en-GB"/>
        </w:rPr>
        <w:t>are a suitable reference in the regard.</w:t>
      </w:r>
      <w:r w:rsidR="00FC2C34" w:rsidRPr="00756792">
        <w:rPr>
          <w:lang w:val="en-GB"/>
        </w:rPr>
        <w:t xml:space="preserve"> </w:t>
      </w:r>
    </w:p>
    <w:p w14:paraId="526CC21E" w14:textId="77777777" w:rsidR="00E72A31" w:rsidRPr="00756792" w:rsidRDefault="00B61730" w:rsidP="004A6CFA">
      <w:pPr>
        <w:pStyle w:val="NormalWeb"/>
        <w:spacing w:line="360" w:lineRule="auto"/>
        <w:ind w:firstLine="227"/>
        <w:contextualSpacing/>
        <w:jc w:val="both"/>
        <w:rPr>
          <w:rFonts w:eastAsia="PingFang TC"/>
          <w:lang w:val="en-GB"/>
        </w:rPr>
      </w:pPr>
      <w:r w:rsidRPr="00756792">
        <w:rPr>
          <w:lang w:val="en-GB"/>
        </w:rPr>
        <w:t>We also believe the feasibility of</w:t>
      </w:r>
      <w:r w:rsidRPr="00756792">
        <w:rPr>
          <w:rFonts w:eastAsia="PingFang TC"/>
          <w:lang w:val="en-GB"/>
        </w:rPr>
        <w:t xml:space="preserve"> teaching pronunciation modelled on </w:t>
      </w:r>
      <w:r w:rsidR="0075790B" w:rsidRPr="00756792">
        <w:rPr>
          <w:rFonts w:eastAsia="PingFang TC"/>
          <w:lang w:val="en-GB"/>
        </w:rPr>
        <w:t>ENL varieties</w:t>
      </w:r>
      <w:r w:rsidRPr="00756792">
        <w:rPr>
          <w:rFonts w:eastAsia="PingFang TC"/>
          <w:lang w:val="en-GB"/>
        </w:rPr>
        <w:t xml:space="preserve"> is no longer a concern. The internet </w:t>
      </w:r>
      <w:r w:rsidR="00F35C84" w:rsidRPr="00756792">
        <w:rPr>
          <w:rFonts w:eastAsia="PingFang TC"/>
          <w:lang w:val="en-GB"/>
        </w:rPr>
        <w:t xml:space="preserve">has made </w:t>
      </w:r>
      <w:r w:rsidRPr="00756792">
        <w:rPr>
          <w:rFonts w:eastAsia="PingFang TC"/>
          <w:lang w:val="en-GB"/>
        </w:rPr>
        <w:t>relevant materials</w:t>
      </w:r>
      <w:r w:rsidR="0075790B" w:rsidRPr="00756792">
        <w:rPr>
          <w:rFonts w:eastAsia="PingFang TC"/>
          <w:lang w:val="en-GB"/>
        </w:rPr>
        <w:t>,</w:t>
      </w:r>
      <w:r w:rsidRPr="00756792">
        <w:rPr>
          <w:rFonts w:eastAsia="PingFang TC"/>
          <w:lang w:val="en-GB"/>
        </w:rPr>
        <w:t xml:space="preserve"> either as videos or in audio forms</w:t>
      </w:r>
      <w:r w:rsidR="0075790B" w:rsidRPr="00756792">
        <w:rPr>
          <w:rFonts w:eastAsia="PingFang TC"/>
          <w:lang w:val="en-GB"/>
        </w:rPr>
        <w:t>,</w:t>
      </w:r>
      <w:r w:rsidR="00F35C84" w:rsidRPr="00756792">
        <w:rPr>
          <w:rFonts w:eastAsia="PingFang TC"/>
          <w:lang w:val="en-GB"/>
        </w:rPr>
        <w:t xml:space="preserve"> available with a blink of an eye</w:t>
      </w:r>
      <w:r w:rsidRPr="00756792">
        <w:rPr>
          <w:rFonts w:eastAsia="PingFang TC"/>
          <w:lang w:val="en-GB"/>
        </w:rPr>
        <w:t xml:space="preserve">. </w:t>
      </w:r>
      <w:r w:rsidR="00E20F7E" w:rsidRPr="00756792">
        <w:rPr>
          <w:rFonts w:eastAsia="PingFang TC"/>
          <w:lang w:val="en-GB"/>
        </w:rPr>
        <w:t xml:space="preserve">Unlike teaching decades ago, where teachers should be a perfect model </w:t>
      </w:r>
      <w:r w:rsidR="0075790B" w:rsidRPr="00756792">
        <w:rPr>
          <w:rFonts w:eastAsia="PingFang TC"/>
          <w:lang w:val="en-GB"/>
        </w:rPr>
        <w:t xml:space="preserve">themselves </w:t>
      </w:r>
      <w:r w:rsidR="00E20F7E" w:rsidRPr="00756792">
        <w:rPr>
          <w:rFonts w:eastAsia="PingFang TC"/>
          <w:lang w:val="en-GB"/>
        </w:rPr>
        <w:t>to demonstrate</w:t>
      </w:r>
      <w:r w:rsidR="00F35C84" w:rsidRPr="00756792">
        <w:rPr>
          <w:rFonts w:eastAsia="PingFang TC"/>
          <w:lang w:val="en-GB"/>
        </w:rPr>
        <w:t xml:space="preserve"> the subtle difference of the sounds</w:t>
      </w:r>
      <w:r w:rsidR="00E20F7E" w:rsidRPr="00756792">
        <w:rPr>
          <w:rFonts w:eastAsia="PingFang TC"/>
          <w:lang w:val="en-GB"/>
        </w:rPr>
        <w:t xml:space="preserve">, the teaching today requires teachers to be more aware of </w:t>
      </w:r>
      <w:r w:rsidR="00F35C84" w:rsidRPr="00756792">
        <w:rPr>
          <w:rFonts w:eastAsia="PingFang TC"/>
          <w:lang w:val="en-GB"/>
        </w:rPr>
        <w:t>material selection</w:t>
      </w:r>
      <w:r w:rsidR="00E20F7E" w:rsidRPr="00756792">
        <w:rPr>
          <w:rFonts w:eastAsia="PingFang TC"/>
          <w:lang w:val="en-GB"/>
        </w:rPr>
        <w:t>.</w:t>
      </w:r>
      <w:r w:rsidR="00F35C84" w:rsidRPr="00756792">
        <w:rPr>
          <w:rFonts w:eastAsia="PingFang TC"/>
          <w:lang w:val="en-GB"/>
        </w:rPr>
        <w:t xml:space="preserve"> For instance, in teaching the glottal stop, teachers do not even have to be able to demonstrate the sound in all phonological environments fully. The lacking could be supplemented with videos on YouTube where there are many native speakers of British English.</w:t>
      </w:r>
      <w:r w:rsidR="0075790B" w:rsidRPr="00756792">
        <w:rPr>
          <w:rFonts w:eastAsia="PingFang TC"/>
          <w:lang w:val="en-GB"/>
        </w:rPr>
        <w:t xml:space="preserve"> In this sense, the teaching of an ENL variety no longer has to be done by a teacher from ENL regions.</w:t>
      </w:r>
    </w:p>
    <w:p w14:paraId="315FCD45" w14:textId="77777777" w:rsidR="006B0B35" w:rsidRPr="00756792" w:rsidRDefault="00B61730" w:rsidP="004A6CFA">
      <w:pPr>
        <w:pStyle w:val="NormalWeb"/>
        <w:spacing w:line="360" w:lineRule="auto"/>
        <w:ind w:firstLine="227"/>
        <w:contextualSpacing/>
        <w:jc w:val="both"/>
        <w:rPr>
          <w:lang w:val="en-GB"/>
        </w:rPr>
      </w:pPr>
      <w:r w:rsidRPr="00756792">
        <w:rPr>
          <w:rFonts w:eastAsia="PingFang TC"/>
          <w:lang w:val="en-GB"/>
        </w:rPr>
        <w:t>Despite its advantages in English teaching, the critique is aware there are reservations about the use of ENL varieties. The most obvious counterargument is that EFL and ESL speakers have long outnumbered the native speakers</w:t>
      </w:r>
      <w:r w:rsidR="00BE7E0C" w:rsidRPr="00756792">
        <w:rPr>
          <w:rFonts w:eastAsia="PingFang TC"/>
          <w:lang w:val="en-GB"/>
        </w:rPr>
        <w:t>. It is argued that as a lingua franca, English is increasingly detached from the historical and cultural background of the inner circle regions. As a result, English teaching should also follow suit by providing a more neural variety</w:t>
      </w:r>
      <w:r w:rsidR="00A257BA" w:rsidRPr="00756792">
        <w:rPr>
          <w:rFonts w:eastAsia="PingFang TC"/>
          <w:lang w:val="en-GB"/>
        </w:rPr>
        <w:t xml:space="preserve">. </w:t>
      </w:r>
      <w:r w:rsidR="00A257BA" w:rsidRPr="00756792">
        <w:rPr>
          <w:lang w:val="en-GB"/>
        </w:rPr>
        <w:t xml:space="preserve">Trudgill and Hannah (2008) raises the </w:t>
      </w:r>
      <w:r w:rsidR="00A257BA" w:rsidRPr="00756792">
        <w:rPr>
          <w:lang w:val="en-GB"/>
        </w:rPr>
        <w:lastRenderedPageBreak/>
        <w:t xml:space="preserve">dental fricatives ([θ] and [ð]) as an example, saying that it is pedantic sticking to their correct pronunciations, as more often than not, the conversation takes place between two non-native English speakers, neither of whom knows the correct pronunciation.  </w:t>
      </w:r>
    </w:p>
    <w:p w14:paraId="435297C6" w14:textId="77777777" w:rsidR="00A609F1" w:rsidRPr="00756792" w:rsidRDefault="00B61730" w:rsidP="004A6CFA">
      <w:pPr>
        <w:pStyle w:val="NormalWeb"/>
        <w:spacing w:line="360" w:lineRule="auto"/>
        <w:ind w:firstLine="227"/>
        <w:contextualSpacing/>
        <w:jc w:val="both"/>
        <w:rPr>
          <w:lang w:val="en-GB"/>
        </w:rPr>
      </w:pPr>
      <w:r w:rsidRPr="00756792">
        <w:rPr>
          <w:lang w:val="en-GB"/>
        </w:rPr>
        <w:t xml:space="preserve">Being pedantic is not the only </w:t>
      </w:r>
      <w:r w:rsidR="006E31C1" w:rsidRPr="00756792">
        <w:rPr>
          <w:lang w:val="en-GB"/>
        </w:rPr>
        <w:t>concern</w:t>
      </w:r>
      <w:r w:rsidRPr="00756792">
        <w:rPr>
          <w:lang w:val="en-GB"/>
        </w:rPr>
        <w:t xml:space="preserve">. In ESL/outer circle regions, there is a more profound controversy of clinging to the ENL varieties. Some </w:t>
      </w:r>
      <w:r w:rsidR="006E31C1" w:rsidRPr="00756792">
        <w:rPr>
          <w:lang w:val="en-GB"/>
        </w:rPr>
        <w:t>studies</w:t>
      </w:r>
      <w:r w:rsidRPr="00756792">
        <w:rPr>
          <w:lang w:val="en-GB"/>
        </w:rPr>
        <w:t xml:space="preserve"> (Smitherman, 2003; Trudgill and Hannah, 2008) reveal the promotion of the one form of language risks alienating bilinguals by constraining their options for voice, hence </w:t>
      </w:r>
      <w:r w:rsidR="001C7E6B" w:rsidRPr="00756792">
        <w:rPr>
          <w:lang w:val="en-GB"/>
        </w:rPr>
        <w:t xml:space="preserve">a </w:t>
      </w:r>
      <w:r w:rsidRPr="00756792">
        <w:rPr>
          <w:lang w:val="en-GB"/>
        </w:rPr>
        <w:t>hindrance to the emergence of a new variety. They claim by using ENL varieties in English teaching, speakers of ESL varieties might have the feeling of inferiority.</w:t>
      </w:r>
    </w:p>
    <w:p w14:paraId="52955A40" w14:textId="571ABAF1" w:rsidR="00BC0368" w:rsidRPr="00756792" w:rsidRDefault="00B61730" w:rsidP="004A6CFA">
      <w:pPr>
        <w:pStyle w:val="NormalWeb"/>
        <w:spacing w:line="360" w:lineRule="auto"/>
        <w:ind w:firstLine="227"/>
        <w:contextualSpacing/>
        <w:jc w:val="both"/>
        <w:rPr>
          <w:lang w:val="en-GB"/>
        </w:rPr>
      </w:pPr>
      <w:r w:rsidRPr="00756792">
        <w:rPr>
          <w:lang w:val="en-GB"/>
        </w:rPr>
        <w:t>These counterarguments demand critical reflections. However, as the next chapter will illustrate, the concerns above are more of a technicality than of principles. The drawbacks of promoting ENL varieties could be well addressed with a fluid</w:t>
      </w:r>
      <w:r w:rsidR="001C7E6B" w:rsidRPr="00756792">
        <w:rPr>
          <w:lang w:val="en-GB"/>
        </w:rPr>
        <w:t xml:space="preserve"> and descriptive</w:t>
      </w:r>
      <w:r w:rsidRPr="00756792">
        <w:rPr>
          <w:lang w:val="en-GB"/>
        </w:rPr>
        <w:t xml:space="preserve"> approach to teaching. </w:t>
      </w:r>
    </w:p>
    <w:p w14:paraId="37828EC9" w14:textId="77777777" w:rsidR="004A6CFA" w:rsidRPr="00756792" w:rsidRDefault="004A6CFA" w:rsidP="004A6CFA">
      <w:pPr>
        <w:pStyle w:val="NormalWeb"/>
        <w:spacing w:line="360" w:lineRule="auto"/>
        <w:ind w:firstLine="227"/>
        <w:contextualSpacing/>
        <w:jc w:val="both"/>
        <w:rPr>
          <w:lang w:val="en-GB"/>
        </w:rPr>
      </w:pPr>
    </w:p>
    <w:p w14:paraId="46B4227D" w14:textId="77777777" w:rsidR="001C7E6B" w:rsidRPr="00756792" w:rsidRDefault="00B61730" w:rsidP="004A6CFA">
      <w:pPr>
        <w:pStyle w:val="NormalWeb"/>
        <w:numPr>
          <w:ilvl w:val="0"/>
          <w:numId w:val="6"/>
        </w:numPr>
        <w:spacing w:line="360" w:lineRule="auto"/>
        <w:ind w:firstLine="227"/>
        <w:contextualSpacing/>
        <w:jc w:val="both"/>
        <w:rPr>
          <w:b/>
          <w:bCs/>
          <w:lang w:val="en-GB"/>
        </w:rPr>
      </w:pPr>
      <w:r w:rsidRPr="00756792">
        <w:rPr>
          <w:b/>
          <w:bCs/>
          <w:lang w:val="en-GB"/>
        </w:rPr>
        <w:t>How do we teach SVE?</w:t>
      </w:r>
    </w:p>
    <w:p w14:paraId="079BFC11" w14:textId="77777777" w:rsidR="00C661EA" w:rsidRPr="00756792" w:rsidRDefault="00B61730" w:rsidP="004A6CFA">
      <w:pPr>
        <w:pStyle w:val="NormalWeb"/>
        <w:spacing w:line="360" w:lineRule="auto"/>
        <w:ind w:firstLine="227"/>
        <w:contextualSpacing/>
        <w:jc w:val="both"/>
        <w:rPr>
          <w:lang w:val="en-GB"/>
        </w:rPr>
      </w:pPr>
      <w:r w:rsidRPr="00756792">
        <w:rPr>
          <w:lang w:val="en-GB"/>
        </w:rPr>
        <w:t>The critique argues for the introduction of ENL</w:t>
      </w:r>
      <w:r w:rsidR="008A2517" w:rsidRPr="00756792">
        <w:rPr>
          <w:lang w:val="en-GB"/>
        </w:rPr>
        <w:t xml:space="preserve"> varieties as the norm in English teaching. Its implementation, nonetheless, should be descriptively and fluidly. To elaborate on the matter in more details, the chapter is further split up into three parts: written SVE teaching, spoken SVE teaching and the multi-speed agenda. The pedagogical ideology of fluidity and descriptiveness is throughout the entire process. </w:t>
      </w:r>
    </w:p>
    <w:p w14:paraId="0621C5D0" w14:textId="77777777" w:rsidR="00C661EA" w:rsidRPr="00756792" w:rsidRDefault="00B61730" w:rsidP="004A6CFA">
      <w:pPr>
        <w:pStyle w:val="NormalWeb"/>
        <w:spacing w:line="360" w:lineRule="auto"/>
        <w:ind w:firstLine="227"/>
        <w:contextualSpacing/>
        <w:jc w:val="both"/>
        <w:rPr>
          <w:lang w:val="en-GB"/>
        </w:rPr>
      </w:pPr>
      <w:r w:rsidRPr="00756792">
        <w:rPr>
          <w:lang w:val="en-GB"/>
        </w:rPr>
        <w:t xml:space="preserve">When we talk about "fluid", we believe the approach to teaching should be grounded on the fact that language is consistently changing, despite its relatively intact structure. </w:t>
      </w:r>
      <w:r w:rsidR="00986F67" w:rsidRPr="00756792">
        <w:rPr>
          <w:lang w:val="en-GB"/>
        </w:rPr>
        <w:t>Therefore,</w:t>
      </w:r>
      <w:r w:rsidRPr="00756792">
        <w:rPr>
          <w:lang w:val="en-GB"/>
        </w:rPr>
        <w:t xml:space="preserve"> the way of acquiring the language should </w:t>
      </w:r>
      <w:r w:rsidR="00986F67" w:rsidRPr="00756792">
        <w:rPr>
          <w:lang w:val="en-GB"/>
        </w:rPr>
        <w:t>also be pluralistic. There ought not to be too many formalistic limits as to how students learn the SVE and how teachers teach it. Students and teachers should be free to make use of all their linguistic repertoire in the process as SVE teaching is outcome-oriented.</w:t>
      </w:r>
      <w:r w:rsidRPr="00756792">
        <w:rPr>
          <w:lang w:val="en-GB"/>
        </w:rPr>
        <w:t xml:space="preserve"> Speaking of "descriptive", we assert that the role of introducing a model in teaching is not to constrain students' exploration of language use, but to inform them of</w:t>
      </w:r>
      <w:r w:rsidR="00986F67" w:rsidRPr="00756792">
        <w:rPr>
          <w:lang w:val="en-GB"/>
        </w:rPr>
        <w:t xml:space="preserve"> the </w:t>
      </w:r>
      <w:r w:rsidR="00FC0313" w:rsidRPr="00756792">
        <w:rPr>
          <w:lang w:val="en-GB"/>
        </w:rPr>
        <w:t>language paradigm</w:t>
      </w:r>
      <w:r w:rsidR="00986F67" w:rsidRPr="00756792">
        <w:rPr>
          <w:lang w:val="en-GB"/>
        </w:rPr>
        <w:t xml:space="preserve"> merely. As Andrews (2006) puts it, when descriptively teaching grammar, one should focus on what a language </w:t>
      </w:r>
      <w:r w:rsidR="00FC0313" w:rsidRPr="00756792">
        <w:rPr>
          <w:lang w:val="en-GB"/>
        </w:rPr>
        <w:t>IS</w:t>
      </w:r>
      <w:r w:rsidR="00986F67" w:rsidRPr="00756792">
        <w:rPr>
          <w:lang w:val="en-GB"/>
        </w:rPr>
        <w:t xml:space="preserve"> like, rather than what it </w:t>
      </w:r>
      <w:r w:rsidR="00FC0313" w:rsidRPr="00756792">
        <w:rPr>
          <w:lang w:val="en-GB"/>
        </w:rPr>
        <w:t>SHOULD</w:t>
      </w:r>
      <w:r w:rsidR="00986F67" w:rsidRPr="00756792">
        <w:rPr>
          <w:lang w:val="en-GB"/>
        </w:rPr>
        <w:t xml:space="preserve"> be like, even though occasionally the conclusion remains the same between the two perspectives. He raises the example of </w:t>
      </w:r>
      <w:r w:rsidR="00986F67" w:rsidRPr="00756792">
        <w:rPr>
          <w:b/>
          <w:bCs/>
          <w:i/>
          <w:iCs/>
          <w:lang w:val="en-GB"/>
        </w:rPr>
        <w:t>fewer</w:t>
      </w:r>
      <w:r w:rsidR="00986F67" w:rsidRPr="00756792">
        <w:rPr>
          <w:lang w:val="en-GB"/>
        </w:rPr>
        <w:t xml:space="preserve"> vs </w:t>
      </w:r>
      <w:r w:rsidR="00986F67" w:rsidRPr="00756792">
        <w:rPr>
          <w:b/>
          <w:bCs/>
          <w:i/>
          <w:iCs/>
          <w:lang w:val="en-GB"/>
        </w:rPr>
        <w:t>less</w:t>
      </w:r>
      <w:r w:rsidR="00FE4FF9" w:rsidRPr="00756792">
        <w:rPr>
          <w:b/>
          <w:bCs/>
          <w:i/>
          <w:iCs/>
          <w:lang w:val="en-GB"/>
        </w:rPr>
        <w:t xml:space="preserve"> </w:t>
      </w:r>
      <w:r w:rsidR="00FE4FF9" w:rsidRPr="00756792">
        <w:rPr>
          <w:lang w:val="en-GB"/>
        </w:rPr>
        <w:t>to illustrate that irrespective of their difference in grammar books, in today’s daily communication, these two words serve to express the same meanings and are increasingly interchangeable.</w:t>
      </w:r>
    </w:p>
    <w:p w14:paraId="58AE616D" w14:textId="77777777" w:rsidR="003414D5" w:rsidRPr="00756792" w:rsidRDefault="00B61730" w:rsidP="004A6CFA">
      <w:pPr>
        <w:pStyle w:val="NormalWeb"/>
        <w:spacing w:line="360" w:lineRule="auto"/>
        <w:ind w:firstLine="227"/>
        <w:contextualSpacing/>
        <w:jc w:val="both"/>
        <w:rPr>
          <w:lang w:val="en-GB"/>
        </w:rPr>
      </w:pPr>
      <w:r w:rsidRPr="00756792">
        <w:rPr>
          <w:lang w:val="en-GB"/>
        </w:rPr>
        <w:t xml:space="preserve">The fluid and descriptive approach are incredibly inspiring to teaching written </w:t>
      </w:r>
      <w:r w:rsidR="005C71CB" w:rsidRPr="00756792">
        <w:rPr>
          <w:lang w:val="en-GB"/>
        </w:rPr>
        <w:t>SVE</w:t>
      </w:r>
      <w:r w:rsidRPr="00756792">
        <w:rPr>
          <w:lang w:val="en-GB"/>
        </w:rPr>
        <w:t>, especially grammar.</w:t>
      </w:r>
      <w:r w:rsidR="0091707B" w:rsidRPr="00756792">
        <w:rPr>
          <w:lang w:val="en-GB"/>
        </w:rPr>
        <w:t xml:space="preserve"> Ashcroft et al. (2003) </w:t>
      </w:r>
      <w:r w:rsidR="001024D7" w:rsidRPr="00756792">
        <w:rPr>
          <w:lang w:val="en-GB"/>
        </w:rPr>
        <w:t xml:space="preserve">study how English changes as the British Empire brings it to the colonies. They claim language is not only the medium of communication but of power as well. As the former British colonies gained independence, they capitalise on their SVE as the weapon against the </w:t>
      </w:r>
      <w:r w:rsidR="001024D7" w:rsidRPr="00756792">
        <w:rPr>
          <w:lang w:val="en-GB"/>
        </w:rPr>
        <w:lastRenderedPageBreak/>
        <w:t>British metropolitan power. English language and its change, consequently, is both a natural and intentional procedure. They claim there are two processes in the changes in English. The first is to abrogate the language by denying its prestigious role, as it once happened in the outer circle regions.</w:t>
      </w:r>
      <w:r w:rsidR="004D7CAF" w:rsidRPr="00756792">
        <w:rPr>
          <w:lang w:val="en-GB"/>
        </w:rPr>
        <w:t xml:space="preserve"> The second is language appropriation to reconstruct, recapture and remould the language to new usages. A new problem emerges: the new usage is not compatible under the grammatical framework of a </w:t>
      </w:r>
      <w:r w:rsidR="005C71CB" w:rsidRPr="00756792">
        <w:rPr>
          <w:lang w:val="en-GB"/>
        </w:rPr>
        <w:t>SVE</w:t>
      </w:r>
      <w:r w:rsidR="004D7CAF" w:rsidRPr="00756792">
        <w:rPr>
          <w:lang w:val="en-GB"/>
        </w:rPr>
        <w:t xml:space="preserve"> but is widely accepted in a community</w:t>
      </w:r>
      <w:r w:rsidR="00280523" w:rsidRPr="00756792">
        <w:rPr>
          <w:lang w:val="en-GB"/>
        </w:rPr>
        <w:t>. Take the double negatives in Black English as an example. In Black English, there are two grammatical negations used in a sentence of negation. The sentence “</w:t>
      </w:r>
      <w:r w:rsidR="00280523" w:rsidRPr="00756792">
        <w:rPr>
          <w:b/>
          <w:bCs/>
          <w:i/>
          <w:iCs/>
          <w:lang w:val="en-GB"/>
        </w:rPr>
        <w:t>I will not tell anyone.</w:t>
      </w:r>
      <w:r w:rsidR="00280523" w:rsidRPr="00756792">
        <w:rPr>
          <w:lang w:val="en-GB"/>
        </w:rPr>
        <w:t xml:space="preserve">” in </w:t>
      </w:r>
      <w:r w:rsidR="00D03406" w:rsidRPr="00756792">
        <w:rPr>
          <w:lang w:val="en-GB"/>
        </w:rPr>
        <w:t>SVE</w:t>
      </w:r>
      <w:r w:rsidR="00280523" w:rsidRPr="00756792">
        <w:rPr>
          <w:lang w:val="en-GB"/>
        </w:rPr>
        <w:t xml:space="preserve"> will become</w:t>
      </w:r>
      <w:r w:rsidR="00280523" w:rsidRPr="00756792">
        <w:rPr>
          <w:b/>
          <w:bCs/>
          <w:i/>
          <w:iCs/>
          <w:lang w:val="en-GB"/>
        </w:rPr>
        <w:t xml:space="preserve"> </w:t>
      </w:r>
      <w:r w:rsidR="00280523" w:rsidRPr="00756792">
        <w:rPr>
          <w:b/>
          <w:bCs/>
          <w:lang w:val="en-GB"/>
        </w:rPr>
        <w:t xml:space="preserve">“Me </w:t>
      </w:r>
      <w:r w:rsidR="00280523" w:rsidRPr="00756792">
        <w:rPr>
          <w:b/>
          <w:bCs/>
          <w:i/>
          <w:iCs/>
          <w:lang w:val="en-GB"/>
        </w:rPr>
        <w:t>ain’t tell no one.</w:t>
      </w:r>
      <w:r w:rsidR="00280523" w:rsidRPr="00756792">
        <w:rPr>
          <w:lang w:val="en-GB"/>
        </w:rPr>
        <w:t>” in the Black English. So how do teachers deal with the contradiction?</w:t>
      </w:r>
    </w:p>
    <w:p w14:paraId="34DC7A86" w14:textId="77777777" w:rsidR="00886700" w:rsidRPr="00756792" w:rsidRDefault="00B61730" w:rsidP="004A6CFA">
      <w:pPr>
        <w:pStyle w:val="NormalWeb"/>
        <w:spacing w:line="360" w:lineRule="auto"/>
        <w:ind w:firstLine="227"/>
        <w:contextualSpacing/>
        <w:jc w:val="both"/>
        <w:rPr>
          <w:lang w:val="en-GB"/>
        </w:rPr>
      </w:pPr>
      <w:r w:rsidRPr="00756792">
        <w:rPr>
          <w:lang w:val="en-GB"/>
        </w:rPr>
        <w:t>This is where the descriptive</w:t>
      </w:r>
      <w:r w:rsidR="00081DA6" w:rsidRPr="00756792">
        <w:rPr>
          <w:lang w:val="en-GB"/>
        </w:rPr>
        <w:t xml:space="preserve"> approach helps</w:t>
      </w:r>
      <w:r w:rsidR="00280523" w:rsidRPr="00756792">
        <w:rPr>
          <w:lang w:val="en-GB"/>
        </w:rPr>
        <w:t xml:space="preserve">. </w:t>
      </w:r>
      <w:r w:rsidR="001954EF" w:rsidRPr="00756792">
        <w:rPr>
          <w:lang w:val="en-GB"/>
        </w:rPr>
        <w:t xml:space="preserve">A prescriptive approach would be to simply </w:t>
      </w:r>
      <w:r w:rsidR="00280523" w:rsidRPr="00756792">
        <w:rPr>
          <w:lang w:val="en-GB"/>
        </w:rPr>
        <w:t>attribute the usage of double negatives to ungrammatical usage or more bluntly put, wrong. Nevertheless, it cannot explain why double negatives are increasingly seen not just among the African Americans, but on the internet in general. The descriptive approach, on the other hand, will be to describe the double negatives as a feature prevailing in the black communit</w:t>
      </w:r>
      <w:r w:rsidR="00D03406" w:rsidRPr="00756792">
        <w:rPr>
          <w:lang w:val="en-GB"/>
        </w:rPr>
        <w:t xml:space="preserve">y and gaining popularity in oral English. Instead of labelling the double negatives as wrong or unauthentic, a descriptive approach would suggest learners refrain </w:t>
      </w:r>
      <w:r w:rsidR="00FD6C48" w:rsidRPr="00756792">
        <w:rPr>
          <w:lang w:val="en-GB"/>
        </w:rPr>
        <w:t xml:space="preserve">themselves </w:t>
      </w:r>
      <w:r w:rsidR="00D03406" w:rsidRPr="00756792">
        <w:rPr>
          <w:lang w:val="en-GB"/>
        </w:rPr>
        <w:t xml:space="preserve">from </w:t>
      </w:r>
      <w:r w:rsidR="00FD6C48" w:rsidRPr="00756792">
        <w:rPr>
          <w:lang w:val="en-GB"/>
        </w:rPr>
        <w:t>using</w:t>
      </w:r>
      <w:r w:rsidR="00D03406" w:rsidRPr="00756792">
        <w:rPr>
          <w:lang w:val="en-GB"/>
        </w:rPr>
        <w:t xml:space="preserve"> this feature</w:t>
      </w:r>
      <w:r w:rsidR="00FD6C48" w:rsidRPr="00756792">
        <w:rPr>
          <w:lang w:val="en-GB"/>
        </w:rPr>
        <w:t xml:space="preserve"> in writing formally because the majority in the English-speaking world do not use it this way. </w:t>
      </w:r>
    </w:p>
    <w:p w14:paraId="09553E0D" w14:textId="77777777" w:rsidR="00035CF2" w:rsidRPr="00756792" w:rsidRDefault="00B61730" w:rsidP="004A6CFA">
      <w:pPr>
        <w:pStyle w:val="NormalWeb"/>
        <w:spacing w:line="360" w:lineRule="auto"/>
        <w:ind w:firstLine="227"/>
        <w:contextualSpacing/>
        <w:jc w:val="both"/>
        <w:rPr>
          <w:lang w:val="en-GB"/>
        </w:rPr>
      </w:pPr>
      <w:r w:rsidRPr="00756792">
        <w:rPr>
          <w:lang w:val="en-GB"/>
        </w:rPr>
        <w:t>It is also worth noting through the</w:t>
      </w:r>
      <w:r w:rsidR="00FD6C48" w:rsidRPr="00756792">
        <w:rPr>
          <w:lang w:val="en-GB"/>
        </w:rPr>
        <w:t xml:space="preserve"> descriptive lens</w:t>
      </w:r>
      <w:r w:rsidRPr="00756792">
        <w:rPr>
          <w:lang w:val="en-GB"/>
        </w:rPr>
        <w:t xml:space="preserve"> the </w:t>
      </w:r>
      <w:r w:rsidR="00FD6C48" w:rsidRPr="00756792">
        <w:rPr>
          <w:lang w:val="en-GB"/>
        </w:rPr>
        <w:t>standards</w:t>
      </w:r>
      <w:r w:rsidRPr="00756792">
        <w:rPr>
          <w:lang w:val="en-GB"/>
        </w:rPr>
        <w:t xml:space="preserve"> of SVE teaching do not relax</w:t>
      </w:r>
      <w:r w:rsidR="00FD6C48" w:rsidRPr="00756792">
        <w:rPr>
          <w:lang w:val="en-GB"/>
        </w:rPr>
        <w:t>. Instead, it is a fine-grained analysis that compartmentalises grammar into different situations, each of which has its boundaries. In so doing, it accepts the space for the evolution of English</w:t>
      </w:r>
      <w:r w:rsidRPr="00756792">
        <w:rPr>
          <w:lang w:val="en-GB"/>
        </w:rPr>
        <w:t xml:space="preserve"> legitimises nativisation of English as a beneficial attempt to make the language more inclusive towards reality. </w:t>
      </w:r>
    </w:p>
    <w:p w14:paraId="263A2442" w14:textId="77777777" w:rsidR="00167644" w:rsidRPr="00756792" w:rsidRDefault="00B61730" w:rsidP="004A6CFA">
      <w:pPr>
        <w:pStyle w:val="NormalWeb"/>
        <w:spacing w:line="360" w:lineRule="auto"/>
        <w:ind w:firstLine="227"/>
        <w:contextualSpacing/>
        <w:jc w:val="both"/>
        <w:rPr>
          <w:lang w:val="en-GB"/>
        </w:rPr>
      </w:pPr>
      <w:r w:rsidRPr="00756792">
        <w:rPr>
          <w:lang w:val="en-GB"/>
        </w:rPr>
        <w:t xml:space="preserve">It is not just the written form of SVE that requires a new approach to teaching. The spoken form, especially </w:t>
      </w:r>
      <w:r w:rsidR="00D0779D" w:rsidRPr="00756792">
        <w:rPr>
          <w:lang w:val="en-GB"/>
        </w:rPr>
        <w:t>in terms of its accent part, is in even more volatile changes.</w:t>
      </w:r>
      <w:r w:rsidRPr="00756792">
        <w:t xml:space="preserve"> </w:t>
      </w:r>
      <w:r w:rsidRPr="00756792">
        <w:rPr>
          <w:lang w:val="en-GB"/>
        </w:rPr>
        <w:t xml:space="preserve">An example is the glottalisation of [t] in British English. This trend happens across </w:t>
      </w:r>
      <w:r w:rsidR="0031149B" w:rsidRPr="00756792">
        <w:rPr>
          <w:lang w:val="en-GB"/>
        </w:rPr>
        <w:t xml:space="preserve">varieties of all </w:t>
      </w:r>
      <w:r w:rsidRPr="00756792">
        <w:rPr>
          <w:lang w:val="en-GB"/>
        </w:rPr>
        <w:t>social strata, even amongst RP speakers (Fabricius</w:t>
      </w:r>
      <w:r w:rsidR="009E163C" w:rsidRPr="00756792">
        <w:rPr>
          <w:lang w:val="en-GB"/>
        </w:rPr>
        <w:t>,</w:t>
      </w:r>
      <w:r w:rsidRPr="00756792">
        <w:rPr>
          <w:lang w:val="en-GB"/>
        </w:rPr>
        <w:t xml:space="preserve"> 2002). </w:t>
      </w:r>
    </w:p>
    <w:p w14:paraId="1F8DBFE9" w14:textId="77777777" w:rsidR="007F21A1" w:rsidRPr="00756792" w:rsidRDefault="00B61730" w:rsidP="004A6CFA">
      <w:pPr>
        <w:pStyle w:val="NormalWeb"/>
        <w:spacing w:line="360" w:lineRule="auto"/>
        <w:ind w:firstLine="227"/>
        <w:contextualSpacing/>
        <w:jc w:val="both"/>
        <w:rPr>
          <w:lang w:val="en-GB"/>
        </w:rPr>
      </w:pPr>
      <w:r w:rsidRPr="00756792">
        <w:t xml:space="preserve">Another example is on how the Queen changes her speech throughout the years. </w:t>
      </w:r>
      <w:r w:rsidR="00F843AD" w:rsidRPr="00756792">
        <w:rPr>
          <w:lang w:val="en-GB"/>
        </w:rPr>
        <w:t xml:space="preserve">There </w:t>
      </w:r>
      <w:r w:rsidRPr="00756792">
        <w:rPr>
          <w:lang w:val="en-GB"/>
        </w:rPr>
        <w:t xml:space="preserve">are </w:t>
      </w:r>
      <w:r w:rsidR="00F843AD" w:rsidRPr="00756792">
        <w:rPr>
          <w:lang w:val="en-GB"/>
        </w:rPr>
        <w:t>research</w:t>
      </w:r>
      <w:r w:rsidRPr="00756792">
        <w:rPr>
          <w:lang w:val="en-GB"/>
        </w:rPr>
        <w:t>es</w:t>
      </w:r>
      <w:r w:rsidR="00F843AD" w:rsidRPr="00756792">
        <w:rPr>
          <w:lang w:val="en-GB"/>
        </w:rPr>
        <w:t xml:space="preserve"> (</w:t>
      </w:r>
      <w:r w:rsidR="00F843AD" w:rsidRPr="00756792">
        <w:t>Harrington, 2006, 2007; Harrington et al., 2000, 2005)</w:t>
      </w:r>
      <w:r w:rsidR="00F843AD" w:rsidRPr="00756792">
        <w:rPr>
          <w:lang w:val="en-GB"/>
        </w:rPr>
        <w:t xml:space="preserve"> on the English spoken by</w:t>
      </w:r>
      <w:r w:rsidR="00D0779D" w:rsidRPr="00756792">
        <w:rPr>
          <w:lang w:val="en-GB"/>
        </w:rPr>
        <w:t xml:space="preserve"> HRH Queen Elizabeth II, the incarnation </w:t>
      </w:r>
      <w:r w:rsidR="00A3213B" w:rsidRPr="00756792">
        <w:rPr>
          <w:lang w:val="en-GB"/>
        </w:rPr>
        <w:t xml:space="preserve">of </w:t>
      </w:r>
      <w:r w:rsidR="00D0779D" w:rsidRPr="00756792">
        <w:rPr>
          <w:lang w:val="en-GB"/>
        </w:rPr>
        <w:t>the Queen’s English.</w:t>
      </w:r>
      <w:r w:rsidR="00A3213B" w:rsidRPr="00756792">
        <w:rPr>
          <w:lang w:val="en-GB"/>
        </w:rPr>
        <w:t xml:space="preserve"> </w:t>
      </w:r>
      <w:r w:rsidRPr="00756792">
        <w:rPr>
          <w:lang w:val="en-GB"/>
        </w:rPr>
        <w:t>They reveal</w:t>
      </w:r>
      <w:r w:rsidR="00A3213B" w:rsidRPr="00756792">
        <w:rPr>
          <w:lang w:val="en-GB"/>
        </w:rPr>
        <w:t xml:space="preserve"> that even the Queen herself has changed her accent</w:t>
      </w:r>
      <w:r w:rsidR="00A609F1" w:rsidRPr="00756792">
        <w:rPr>
          <w:lang w:val="en-GB"/>
        </w:rPr>
        <w:t>.</w:t>
      </w:r>
      <w:r w:rsidR="00F843AD" w:rsidRPr="00756792">
        <w:rPr>
          <w:lang w:val="en-GB"/>
        </w:rPr>
        <w:t xml:space="preserve"> </w:t>
      </w:r>
      <w:r w:rsidR="00A609F1" w:rsidRPr="00756792">
        <w:rPr>
          <w:lang w:val="en-GB"/>
        </w:rPr>
        <w:t xml:space="preserve">Jiang et al. (2020) conduct a </w:t>
      </w:r>
      <w:r w:rsidR="00F843AD" w:rsidRPr="00756792">
        <w:rPr>
          <w:lang w:val="en-GB"/>
        </w:rPr>
        <w:t>diachronic</w:t>
      </w:r>
      <w:r w:rsidR="002A27A3" w:rsidRPr="00756792">
        <w:rPr>
          <w:lang w:val="en-GB"/>
        </w:rPr>
        <w:t xml:space="preserve"> study and share a similar conclusion. They notice the Queen's English has undergone a shift towards the English of the commons, </w:t>
      </w:r>
      <w:r w:rsidR="00F843AD" w:rsidRPr="00756792">
        <w:rPr>
          <w:lang w:val="en-GB"/>
        </w:rPr>
        <w:t xml:space="preserve">both </w:t>
      </w:r>
      <w:r w:rsidR="002A27A3" w:rsidRPr="00756792">
        <w:rPr>
          <w:lang w:val="en-GB"/>
        </w:rPr>
        <w:t xml:space="preserve">in </w:t>
      </w:r>
      <w:r w:rsidR="00F843AD" w:rsidRPr="00756792">
        <w:rPr>
          <w:lang w:val="en-GB"/>
        </w:rPr>
        <w:t xml:space="preserve">lexical, </w:t>
      </w:r>
      <w:r w:rsidRPr="00756792">
        <w:rPr>
          <w:lang w:val="en-GB"/>
        </w:rPr>
        <w:t>syntactic,</w:t>
      </w:r>
      <w:r w:rsidR="00F843AD" w:rsidRPr="00756792">
        <w:rPr>
          <w:lang w:val="en-GB"/>
        </w:rPr>
        <w:t xml:space="preserve"> </w:t>
      </w:r>
      <w:r w:rsidR="002A27A3" w:rsidRPr="00756792">
        <w:rPr>
          <w:lang w:val="en-GB"/>
        </w:rPr>
        <w:t>and phonolog</w:t>
      </w:r>
      <w:r w:rsidR="00F843AD" w:rsidRPr="00756792">
        <w:rPr>
          <w:lang w:val="en-GB"/>
        </w:rPr>
        <w:t>ical terms</w:t>
      </w:r>
      <w:r w:rsidR="002A27A3" w:rsidRPr="00756792">
        <w:rPr>
          <w:lang w:val="en-GB"/>
        </w:rPr>
        <w:t>.</w:t>
      </w:r>
      <w:r w:rsidR="00F843AD" w:rsidRPr="00756792">
        <w:rPr>
          <w:lang w:val="en-GB"/>
        </w:rPr>
        <w:t xml:space="preserve"> </w:t>
      </w:r>
    </w:p>
    <w:p w14:paraId="1C080F82" w14:textId="77777777" w:rsidR="00B62F29" w:rsidRPr="00756792" w:rsidRDefault="00B61730" w:rsidP="004A6CFA">
      <w:pPr>
        <w:pStyle w:val="NormalWeb"/>
        <w:spacing w:line="360" w:lineRule="auto"/>
        <w:ind w:firstLine="227"/>
        <w:contextualSpacing/>
        <w:jc w:val="both"/>
      </w:pPr>
      <w:r w:rsidRPr="00756792">
        <w:rPr>
          <w:lang w:val="en-GB"/>
        </w:rPr>
        <w:t xml:space="preserve">Of all the changes, the most obvious one is the reduction of the </w:t>
      </w:r>
      <w:r w:rsidR="007F21A1" w:rsidRPr="00756792">
        <w:rPr>
          <w:lang w:val="en-GB"/>
        </w:rPr>
        <w:t xml:space="preserve">mid front rounded vowel </w:t>
      </w:r>
      <w:r w:rsidRPr="00756792">
        <w:rPr>
          <w:lang w:val="en-GB"/>
        </w:rPr>
        <w:t xml:space="preserve">[ɛ]. </w:t>
      </w:r>
      <w:r w:rsidR="007F21A1" w:rsidRPr="00756792">
        <w:rPr>
          <w:lang w:val="en-GB"/>
        </w:rPr>
        <w:t>As a feature of the Queen’s English, this vowel used to be</w:t>
      </w:r>
      <w:r w:rsidRPr="00756792">
        <w:rPr>
          <w:lang w:val="en-GB"/>
        </w:rPr>
        <w:t xml:space="preserve"> consistent</w:t>
      </w:r>
      <w:r w:rsidR="007F21A1" w:rsidRPr="00756792">
        <w:rPr>
          <w:lang w:val="en-GB"/>
        </w:rPr>
        <w:t xml:space="preserve"> </w:t>
      </w:r>
      <w:r w:rsidRPr="00756792">
        <w:rPr>
          <w:lang w:val="en-GB"/>
        </w:rPr>
        <w:t xml:space="preserve">in words such as </w:t>
      </w:r>
      <w:r w:rsidRPr="00756792">
        <w:rPr>
          <w:b/>
          <w:bCs/>
          <w:i/>
          <w:iCs/>
          <w:lang w:val="en-GB"/>
        </w:rPr>
        <w:t xml:space="preserve">can, ban </w:t>
      </w:r>
      <w:r w:rsidRPr="00756792">
        <w:rPr>
          <w:lang w:val="en-GB"/>
        </w:rPr>
        <w:t>and</w:t>
      </w:r>
      <w:r w:rsidRPr="00756792">
        <w:rPr>
          <w:b/>
          <w:bCs/>
          <w:i/>
          <w:iCs/>
          <w:lang w:val="en-GB"/>
        </w:rPr>
        <w:t xml:space="preserve"> land</w:t>
      </w:r>
      <w:r w:rsidR="0031149B" w:rsidRPr="00756792">
        <w:rPr>
          <w:rFonts w:eastAsia="PingFang TC"/>
          <w:lang w:val="en-GB"/>
        </w:rPr>
        <w:t>. T</w:t>
      </w:r>
      <w:r w:rsidR="007F21A1" w:rsidRPr="00756792">
        <w:rPr>
          <w:lang w:val="en-GB"/>
        </w:rPr>
        <w:t>he</w:t>
      </w:r>
      <w:r w:rsidR="0031149B" w:rsidRPr="00756792">
        <w:rPr>
          <w:lang w:val="en-GB"/>
        </w:rPr>
        <w:t xml:space="preserve"> vowels of these words are pronounced in</w:t>
      </w:r>
      <w:r w:rsidR="007F21A1" w:rsidRPr="00756792">
        <w:rPr>
          <w:lang w:val="en-GB"/>
        </w:rPr>
        <w:t xml:space="preserve"> o</w:t>
      </w:r>
      <w:r w:rsidRPr="00756792">
        <w:rPr>
          <w:lang w:val="en-GB"/>
        </w:rPr>
        <w:t>rdinary British English</w:t>
      </w:r>
      <w:r w:rsidR="007F21A1" w:rsidRPr="00756792">
        <w:rPr>
          <w:lang w:val="en-GB"/>
        </w:rPr>
        <w:t xml:space="preserve"> as</w:t>
      </w:r>
      <w:r w:rsidRPr="00756792">
        <w:rPr>
          <w:lang w:val="en-GB"/>
        </w:rPr>
        <w:t xml:space="preserve"> [æ]</w:t>
      </w:r>
      <w:r w:rsidR="007F21A1" w:rsidRPr="00756792">
        <w:rPr>
          <w:lang w:val="en-GB"/>
        </w:rPr>
        <w:t xml:space="preserve">, a more open front </w:t>
      </w:r>
      <w:r w:rsidR="007F21A1" w:rsidRPr="00756792">
        <w:rPr>
          <w:lang w:val="en-GB"/>
        </w:rPr>
        <w:lastRenderedPageBreak/>
        <w:t xml:space="preserve">rounded counterpart. But the studies reveal that the Queen no longer uses the [ɛ] sound </w:t>
      </w:r>
      <w:r w:rsidR="00FC0313" w:rsidRPr="00756792">
        <w:rPr>
          <w:lang w:val="en-GB"/>
        </w:rPr>
        <w:t>as</w:t>
      </w:r>
      <w:r w:rsidR="0031149B" w:rsidRPr="00756792">
        <w:rPr>
          <w:lang w:val="en-GB"/>
        </w:rPr>
        <w:t xml:space="preserve"> frequently</w:t>
      </w:r>
      <w:r w:rsidR="00FC0313" w:rsidRPr="00756792">
        <w:rPr>
          <w:lang w:val="en-GB"/>
        </w:rPr>
        <w:t xml:space="preserve"> </w:t>
      </w:r>
      <w:r w:rsidR="0031149B" w:rsidRPr="00756792">
        <w:rPr>
          <w:lang w:val="en-GB"/>
        </w:rPr>
        <w:t>as she did in the 1950s</w:t>
      </w:r>
      <w:r w:rsidR="007F21A1" w:rsidRPr="00756792">
        <w:rPr>
          <w:b/>
          <w:bCs/>
          <w:lang w:val="en-GB"/>
        </w:rPr>
        <w:t>.</w:t>
      </w:r>
      <w:r w:rsidR="007F21A1" w:rsidRPr="00756792">
        <w:rPr>
          <w:lang w:val="en-GB"/>
        </w:rPr>
        <w:t xml:space="preserve"> She is </w:t>
      </w:r>
      <w:r w:rsidR="0031149B" w:rsidRPr="00756792">
        <w:rPr>
          <w:lang w:val="en-GB"/>
        </w:rPr>
        <w:t xml:space="preserve">speaking </w:t>
      </w:r>
      <w:r w:rsidR="007F21A1" w:rsidRPr="00756792">
        <w:rPr>
          <w:lang w:val="en-GB"/>
        </w:rPr>
        <w:t xml:space="preserve">more similarly to the ordinary British people today by pronouncing word </w:t>
      </w:r>
      <w:r w:rsidR="007F21A1" w:rsidRPr="00756792">
        <w:rPr>
          <w:b/>
          <w:bCs/>
          <w:i/>
          <w:iCs/>
          <w:lang w:val="en-GB"/>
        </w:rPr>
        <w:t>land</w:t>
      </w:r>
      <w:r w:rsidR="007F21A1" w:rsidRPr="00756792">
        <w:t xml:space="preserve"> as [l</w:t>
      </w:r>
      <w:r w:rsidR="007F21A1" w:rsidRPr="00756792">
        <w:rPr>
          <w:lang w:val="en-GB"/>
        </w:rPr>
        <w:t>ænd</w:t>
      </w:r>
      <w:r w:rsidR="007F21A1" w:rsidRPr="00756792">
        <w:t>], rather than [l</w:t>
      </w:r>
      <w:r w:rsidR="007F21A1" w:rsidRPr="00756792">
        <w:rPr>
          <w:lang w:val="en-GB"/>
        </w:rPr>
        <w:t>ɛnd</w:t>
      </w:r>
      <w:r w:rsidR="007F21A1" w:rsidRPr="00756792">
        <w:t>]</w:t>
      </w:r>
      <w:r w:rsidR="00FC0313" w:rsidRPr="00756792">
        <w:t xml:space="preserve"> (closer to </w:t>
      </w:r>
      <w:r w:rsidR="00FC0313" w:rsidRPr="00756792">
        <w:rPr>
          <w:b/>
          <w:bCs/>
          <w:i/>
          <w:iCs/>
        </w:rPr>
        <w:t>lend</w:t>
      </w:r>
      <w:r w:rsidR="00FC0313" w:rsidRPr="00756792">
        <w:t>)</w:t>
      </w:r>
      <w:r w:rsidR="007F21A1" w:rsidRPr="00756792">
        <w:t xml:space="preserve"> as she </w:t>
      </w:r>
      <w:r w:rsidR="0031149B" w:rsidRPr="00756792">
        <w:t>once did</w:t>
      </w:r>
      <w:r w:rsidR="007F21A1" w:rsidRPr="00756792">
        <w:t>.</w:t>
      </w:r>
    </w:p>
    <w:p w14:paraId="7C47BB1A" w14:textId="77777777" w:rsidR="00FC0313" w:rsidRPr="00756792" w:rsidRDefault="00B61730" w:rsidP="004A6CFA">
      <w:pPr>
        <w:pStyle w:val="NormalWeb"/>
        <w:spacing w:line="360" w:lineRule="auto"/>
        <w:ind w:firstLine="227"/>
        <w:contextualSpacing/>
        <w:jc w:val="both"/>
        <w:rPr>
          <w:lang w:val="en-GB"/>
        </w:rPr>
      </w:pPr>
      <w:r w:rsidRPr="00756792">
        <w:rPr>
          <w:lang w:val="en-GB"/>
        </w:rPr>
        <w:t>We can infer from the example above</w:t>
      </w:r>
      <w:r w:rsidR="00465634" w:rsidRPr="00756792">
        <w:rPr>
          <w:lang w:val="en-GB"/>
        </w:rPr>
        <w:t xml:space="preserve"> of</w:t>
      </w:r>
      <w:r w:rsidRPr="00756792">
        <w:rPr>
          <w:lang w:val="en-GB"/>
        </w:rPr>
        <w:t xml:space="preserve"> two possible interpretations. As teachers we can either </w:t>
      </w:r>
      <w:r w:rsidR="00F843AD" w:rsidRPr="00756792">
        <w:rPr>
          <w:lang w:val="en-GB"/>
        </w:rPr>
        <w:t xml:space="preserve">prescriptively claim the Queen </w:t>
      </w:r>
      <w:r w:rsidRPr="00756792">
        <w:rPr>
          <w:lang w:val="en-GB"/>
        </w:rPr>
        <w:t>is losing her</w:t>
      </w:r>
      <w:r w:rsidR="00F843AD" w:rsidRPr="00756792">
        <w:rPr>
          <w:lang w:val="en-GB"/>
        </w:rPr>
        <w:t xml:space="preserve"> Queen’s English,</w:t>
      </w:r>
      <w:r w:rsidRPr="00756792">
        <w:rPr>
          <w:lang w:val="en-GB"/>
        </w:rPr>
        <w:t xml:space="preserve"> or we can employ</w:t>
      </w:r>
      <w:r w:rsidR="00F843AD" w:rsidRPr="00756792">
        <w:rPr>
          <w:lang w:val="en-GB"/>
        </w:rPr>
        <w:t xml:space="preserve"> a more descriptive approach</w:t>
      </w:r>
      <w:r w:rsidRPr="00756792">
        <w:rPr>
          <w:lang w:val="en-GB"/>
        </w:rPr>
        <w:t>, explain</w:t>
      </w:r>
      <w:r w:rsidR="00465634" w:rsidRPr="00756792">
        <w:rPr>
          <w:lang w:val="en-GB"/>
        </w:rPr>
        <w:t>ing</w:t>
      </w:r>
      <w:r w:rsidRPr="00756792">
        <w:rPr>
          <w:lang w:val="en-GB"/>
        </w:rPr>
        <w:t xml:space="preserve"> to students that</w:t>
      </w:r>
      <w:r w:rsidR="00F843AD" w:rsidRPr="00756792">
        <w:rPr>
          <w:lang w:val="en-GB"/>
        </w:rPr>
        <w:t xml:space="preserve"> there is a paradigm shift</w:t>
      </w:r>
      <w:r w:rsidR="0031149B" w:rsidRPr="00756792">
        <w:rPr>
          <w:lang w:val="en-GB"/>
        </w:rPr>
        <w:t xml:space="preserve">, not only to the Queen but to RP English generally, </w:t>
      </w:r>
      <w:r w:rsidRPr="00756792">
        <w:rPr>
          <w:lang w:val="en-GB"/>
        </w:rPr>
        <w:t xml:space="preserve">that </w:t>
      </w:r>
      <w:r w:rsidR="00F843AD" w:rsidRPr="00756792">
        <w:rPr>
          <w:lang w:val="en-GB"/>
        </w:rPr>
        <w:t>somehow chang</w:t>
      </w:r>
      <w:r w:rsidRPr="00756792">
        <w:rPr>
          <w:lang w:val="en-GB"/>
        </w:rPr>
        <w:t>es</w:t>
      </w:r>
      <w:r w:rsidR="00F843AD" w:rsidRPr="00756792">
        <w:rPr>
          <w:lang w:val="en-GB"/>
        </w:rPr>
        <w:t xml:space="preserve"> the substance</w:t>
      </w:r>
      <w:r w:rsidRPr="00756792">
        <w:rPr>
          <w:lang w:val="en-GB"/>
        </w:rPr>
        <w:t xml:space="preserve"> of the Queen’s English</w:t>
      </w:r>
      <w:r w:rsidR="00F843AD" w:rsidRPr="00756792">
        <w:rPr>
          <w:lang w:val="en-GB"/>
        </w:rPr>
        <w:t xml:space="preserve">. </w:t>
      </w:r>
    </w:p>
    <w:p w14:paraId="66E1BC38" w14:textId="77777777" w:rsidR="00F843AD" w:rsidRPr="00756792" w:rsidRDefault="00B61730" w:rsidP="004A6CFA">
      <w:pPr>
        <w:pStyle w:val="NormalWeb"/>
        <w:spacing w:line="360" w:lineRule="auto"/>
        <w:ind w:firstLine="227"/>
        <w:contextualSpacing/>
        <w:jc w:val="both"/>
        <w:rPr>
          <w:lang w:val="en-GB"/>
        </w:rPr>
      </w:pPr>
      <w:r w:rsidRPr="00756792">
        <w:rPr>
          <w:lang w:val="en-GB"/>
        </w:rPr>
        <w:t>S</w:t>
      </w:r>
      <w:r w:rsidR="004D04B6" w:rsidRPr="00756792">
        <w:rPr>
          <w:lang w:val="en-GB"/>
        </w:rPr>
        <w:t xml:space="preserve">uch explanatory power is the strength of the descriptive approach in English teaching. </w:t>
      </w:r>
      <w:r w:rsidR="00867AEA" w:rsidRPr="00756792">
        <w:rPr>
          <w:lang w:val="en-GB"/>
        </w:rPr>
        <w:t>The traditional prescriptive approach narrows</w:t>
      </w:r>
      <w:r w:rsidR="0031149B" w:rsidRPr="00756792">
        <w:rPr>
          <w:lang w:val="en-GB"/>
        </w:rPr>
        <w:t xml:space="preserve"> down</w:t>
      </w:r>
      <w:r w:rsidR="00867AEA" w:rsidRPr="00756792">
        <w:rPr>
          <w:lang w:val="en-GB"/>
        </w:rPr>
        <w:t xml:space="preserve"> teachers’ horizon by regarding a </w:t>
      </w:r>
      <w:r w:rsidR="005C71CB" w:rsidRPr="00756792">
        <w:rPr>
          <w:lang w:val="en-GB"/>
        </w:rPr>
        <w:t>SVE</w:t>
      </w:r>
      <w:r w:rsidR="00867AEA" w:rsidRPr="00756792">
        <w:rPr>
          <w:lang w:val="en-GB"/>
        </w:rPr>
        <w:t xml:space="preserve"> as an intact point. Any deviation from the point is seen as an error. In the descriptive lens, meanwhile, the </w:t>
      </w:r>
      <w:r w:rsidR="005C71CB" w:rsidRPr="00756792">
        <w:rPr>
          <w:lang w:val="en-GB"/>
        </w:rPr>
        <w:t>SVE</w:t>
      </w:r>
      <w:r w:rsidR="00867AEA" w:rsidRPr="00756792">
        <w:rPr>
          <w:lang w:val="en-GB"/>
        </w:rPr>
        <w:t xml:space="preserve"> is a continuum </w:t>
      </w:r>
      <w:r w:rsidRPr="00756792">
        <w:rPr>
          <w:lang w:val="en-GB"/>
        </w:rPr>
        <w:t>of</w:t>
      </w:r>
      <w:r w:rsidR="00867AEA" w:rsidRPr="00756792">
        <w:rPr>
          <w:lang w:val="en-GB"/>
        </w:rPr>
        <w:t xml:space="preserve"> a range of features. The substitution of one feature does not bring about the </w:t>
      </w:r>
      <w:r w:rsidRPr="00756792">
        <w:rPr>
          <w:lang w:val="en-GB"/>
        </w:rPr>
        <w:t xml:space="preserve">nullification </w:t>
      </w:r>
      <w:r w:rsidR="00867AEA" w:rsidRPr="00756792">
        <w:rPr>
          <w:lang w:val="en-GB"/>
        </w:rPr>
        <w:t xml:space="preserve">of the term. </w:t>
      </w:r>
    </w:p>
    <w:p w14:paraId="7CFEA035" w14:textId="77777777" w:rsidR="0031149B" w:rsidRPr="00756792" w:rsidRDefault="00B61730" w:rsidP="004A6CFA">
      <w:pPr>
        <w:pStyle w:val="NormalWeb"/>
        <w:spacing w:line="360" w:lineRule="auto"/>
        <w:ind w:firstLine="227"/>
        <w:contextualSpacing/>
        <w:jc w:val="both"/>
        <w:rPr>
          <w:lang w:val="en-GB"/>
        </w:rPr>
      </w:pPr>
      <w:r w:rsidRPr="00756792">
        <w:rPr>
          <w:lang w:val="en-GB"/>
        </w:rPr>
        <w:t xml:space="preserve">After addressing the changes in written and spoken </w:t>
      </w:r>
      <w:r w:rsidR="005C71CB" w:rsidRPr="00756792">
        <w:rPr>
          <w:lang w:val="en-GB"/>
        </w:rPr>
        <w:t>SVE</w:t>
      </w:r>
      <w:r w:rsidRPr="00756792">
        <w:rPr>
          <w:lang w:val="en-GB"/>
        </w:rPr>
        <w:t xml:space="preserve"> descriptively, there is one more concern. People who oppose introducing a </w:t>
      </w:r>
      <w:r w:rsidR="005C71CB" w:rsidRPr="00756792">
        <w:rPr>
          <w:lang w:val="en-GB"/>
        </w:rPr>
        <w:t>SVE</w:t>
      </w:r>
      <w:r w:rsidRPr="00756792">
        <w:rPr>
          <w:lang w:val="en-GB"/>
        </w:rPr>
        <w:t xml:space="preserve"> as the norm </w:t>
      </w:r>
      <w:r w:rsidR="00405AFB" w:rsidRPr="00756792">
        <w:rPr>
          <w:lang w:val="en-GB"/>
        </w:rPr>
        <w:t xml:space="preserve">fear it might </w:t>
      </w:r>
      <w:r w:rsidRPr="00756792">
        <w:rPr>
          <w:lang w:val="en-GB"/>
        </w:rPr>
        <w:t>stifl</w:t>
      </w:r>
      <w:r w:rsidR="00405AFB" w:rsidRPr="00756792">
        <w:rPr>
          <w:lang w:val="en-GB"/>
        </w:rPr>
        <w:t>e</w:t>
      </w:r>
      <w:r w:rsidRPr="00756792">
        <w:rPr>
          <w:lang w:val="en-GB"/>
        </w:rPr>
        <w:t xml:space="preserve"> </w:t>
      </w:r>
      <w:r w:rsidR="00405AFB" w:rsidRPr="00756792">
        <w:rPr>
          <w:lang w:val="en-GB"/>
        </w:rPr>
        <w:t xml:space="preserve">the </w:t>
      </w:r>
      <w:r w:rsidRPr="00756792">
        <w:rPr>
          <w:lang w:val="en-GB"/>
        </w:rPr>
        <w:t>emerging new variet</w:t>
      </w:r>
      <w:r w:rsidR="00405AFB" w:rsidRPr="00756792">
        <w:rPr>
          <w:lang w:val="en-GB"/>
        </w:rPr>
        <w:t>y. The concern is especially noted in the outer circle regions where English is spoken as the second language while the teaching heavily relies on SNL varieties as the model.</w:t>
      </w:r>
      <w:r w:rsidRPr="00756792">
        <w:rPr>
          <w:lang w:val="en-GB"/>
        </w:rPr>
        <w:t xml:space="preserve"> We should examine the premise the question before answering it: Is the new variety existent? </w:t>
      </w:r>
      <w:r w:rsidR="00405AFB" w:rsidRPr="00756792">
        <w:rPr>
          <w:lang w:val="en-GB"/>
        </w:rPr>
        <w:t xml:space="preserve">More precisely, is the establishment of a new standard variety possible? </w:t>
      </w:r>
      <w:r w:rsidR="00664FC4" w:rsidRPr="00756792">
        <w:rPr>
          <w:lang w:val="en-GB"/>
        </w:rPr>
        <w:t>The critique believes Schneider's Dynamic Model should be referred to in examining the question.</w:t>
      </w:r>
    </w:p>
    <w:p w14:paraId="4F5518B9" w14:textId="77777777" w:rsidR="00D72059" w:rsidRPr="00756792" w:rsidRDefault="00B61730" w:rsidP="004A6CFA">
      <w:pPr>
        <w:pStyle w:val="NormalWeb"/>
        <w:spacing w:line="360" w:lineRule="auto"/>
        <w:ind w:firstLine="227"/>
        <w:contextualSpacing/>
        <w:jc w:val="both"/>
        <w:rPr>
          <w:lang w:val="en-GB"/>
        </w:rPr>
      </w:pPr>
      <w:r w:rsidRPr="00756792">
        <w:rPr>
          <w:lang w:val="en-GB"/>
        </w:rPr>
        <w:t xml:space="preserve">The model was put forward by Schneider (2007) in </w:t>
      </w:r>
      <w:r w:rsidRPr="00756792">
        <w:rPr>
          <w:i/>
          <w:iCs/>
          <w:lang w:val="en-GB"/>
        </w:rPr>
        <w:t>Postcolonial English: Varieties around the world.</w:t>
      </w:r>
      <w:r w:rsidRPr="00756792">
        <w:rPr>
          <w:lang w:val="en-GB"/>
        </w:rPr>
        <w:t xml:space="preserve"> He delineates five stages in the establishment of an English variety</w:t>
      </w:r>
      <w:r w:rsidR="0031149B" w:rsidRPr="00756792">
        <w:rPr>
          <w:lang w:val="en-GB"/>
        </w:rPr>
        <w:t xml:space="preserve">. </w:t>
      </w:r>
      <w:r w:rsidRPr="00756792">
        <w:rPr>
          <w:lang w:val="en-GB"/>
        </w:rPr>
        <w:t xml:space="preserve">The first stage is the Foundation. This is where English is newly imported to the new colony. As the colonies establish, English stabilises exonormatively. It becomes what Ferguson (1959) </w:t>
      </w:r>
      <w:r w:rsidR="00465634" w:rsidRPr="00756792">
        <w:rPr>
          <w:lang w:val="en-GB"/>
        </w:rPr>
        <w:t xml:space="preserve">calls the High Variety </w:t>
      </w:r>
      <w:r w:rsidR="003C2959" w:rsidRPr="00756792">
        <w:rPr>
          <w:lang w:val="en-GB"/>
        </w:rPr>
        <w:t>as the colony becomes</w:t>
      </w:r>
      <w:r w:rsidR="00465634" w:rsidRPr="00756792">
        <w:rPr>
          <w:lang w:val="en-GB"/>
        </w:rPr>
        <w:t xml:space="preserve"> </w:t>
      </w:r>
      <w:r w:rsidR="003C2959" w:rsidRPr="00756792">
        <w:rPr>
          <w:lang w:val="en-GB"/>
        </w:rPr>
        <w:t>diglossic. As English becomes more frequently used by the lower class, the language comes into the third phase of Nativisation. New words are introduced en mass in response to the local realities. Afterwards, the local variety of English stabilises endonormatively as a new identity for the colony, usually in stark contrast with the English used in the metropolitan centre. Finally,</w:t>
      </w:r>
      <w:r w:rsidRPr="00756792">
        <w:rPr>
          <w:lang w:val="en-GB"/>
        </w:rPr>
        <w:t xml:space="preserve"> the fifth phase is Differentiation, where </w:t>
      </w:r>
      <w:r w:rsidR="003C2959" w:rsidRPr="00756792">
        <w:rPr>
          <w:lang w:val="en-GB"/>
        </w:rPr>
        <w:t xml:space="preserve">internal variation </w:t>
      </w:r>
      <w:r w:rsidRPr="00756792">
        <w:rPr>
          <w:lang w:val="en-GB"/>
        </w:rPr>
        <w:t>occurs to</w:t>
      </w:r>
      <w:r w:rsidR="003C2959" w:rsidRPr="00756792">
        <w:rPr>
          <w:lang w:val="en-GB"/>
        </w:rPr>
        <w:t xml:space="preserve"> the newly emergent SVE</w:t>
      </w:r>
      <w:r w:rsidR="0031149B" w:rsidRPr="00756792">
        <w:rPr>
          <w:lang w:val="en-GB"/>
        </w:rPr>
        <w:t>,</w:t>
      </w:r>
      <w:r w:rsidR="003C2959" w:rsidRPr="00756792">
        <w:rPr>
          <w:lang w:val="en-GB"/>
        </w:rPr>
        <w:t xml:space="preserve"> </w:t>
      </w:r>
      <w:r w:rsidRPr="00756792">
        <w:rPr>
          <w:lang w:val="en-GB"/>
        </w:rPr>
        <w:t>producing secondary varieties such as</w:t>
      </w:r>
      <w:r w:rsidR="003C2959" w:rsidRPr="00756792">
        <w:rPr>
          <w:lang w:val="en-GB"/>
        </w:rPr>
        <w:t xml:space="preserve"> regional accents, </w:t>
      </w:r>
      <w:r w:rsidRPr="00756792">
        <w:rPr>
          <w:lang w:val="en-GB"/>
        </w:rPr>
        <w:t xml:space="preserve">registers of strata. </w:t>
      </w:r>
    </w:p>
    <w:p w14:paraId="0EA25AA2" w14:textId="77777777" w:rsidR="00D72059" w:rsidRPr="00756792" w:rsidRDefault="00B61730" w:rsidP="004A6CFA">
      <w:pPr>
        <w:pStyle w:val="NormalWeb"/>
        <w:spacing w:line="360" w:lineRule="auto"/>
        <w:ind w:firstLine="227"/>
        <w:contextualSpacing/>
        <w:jc w:val="both"/>
        <w:rPr>
          <w:lang w:val="en-GB"/>
        </w:rPr>
      </w:pPr>
      <w:r w:rsidRPr="00756792">
        <w:rPr>
          <w:lang w:val="en-GB"/>
        </w:rPr>
        <w:t>It is true that some nativised English varieties become recognised and develop standards of their own, such as Irish English or Singaporean English. These newly recognised varieties</w:t>
      </w:r>
      <w:r w:rsidR="0047061C" w:rsidRPr="00756792">
        <w:rPr>
          <w:lang w:val="en-GB"/>
        </w:rPr>
        <w:t xml:space="preserve"> </w:t>
      </w:r>
      <w:r w:rsidRPr="00756792">
        <w:rPr>
          <w:lang w:val="en-GB"/>
        </w:rPr>
        <w:t>are</w:t>
      </w:r>
      <w:r w:rsidR="0047061C" w:rsidRPr="00756792">
        <w:rPr>
          <w:lang w:val="en-GB"/>
        </w:rPr>
        <w:t xml:space="preserve"> by and large</w:t>
      </w:r>
      <w:r w:rsidRPr="00756792">
        <w:rPr>
          <w:lang w:val="en-GB"/>
        </w:rPr>
        <w:t xml:space="preserve"> in the outer circle</w:t>
      </w:r>
      <w:r w:rsidR="0047061C" w:rsidRPr="00756792">
        <w:rPr>
          <w:lang w:val="en-GB"/>
        </w:rPr>
        <w:t xml:space="preserve"> where </w:t>
      </w:r>
      <w:r w:rsidRPr="00756792">
        <w:rPr>
          <w:lang w:val="en-GB"/>
        </w:rPr>
        <w:t xml:space="preserve">English has long played an official role and </w:t>
      </w:r>
      <w:r w:rsidR="0047061C" w:rsidRPr="00756792">
        <w:rPr>
          <w:lang w:val="en-GB"/>
        </w:rPr>
        <w:t>is</w:t>
      </w:r>
      <w:r w:rsidRPr="00756792">
        <w:rPr>
          <w:lang w:val="en-GB"/>
        </w:rPr>
        <w:t xml:space="preserve"> part of their nationals' identity. When teaching an SVE, </w:t>
      </w:r>
      <w:r w:rsidR="0047061C" w:rsidRPr="00756792">
        <w:rPr>
          <w:lang w:val="en-GB"/>
        </w:rPr>
        <w:t>teachers should</w:t>
      </w:r>
      <w:r w:rsidRPr="00756792">
        <w:rPr>
          <w:lang w:val="en-GB"/>
        </w:rPr>
        <w:t xml:space="preserve"> look up to their local standards instead of the </w:t>
      </w:r>
      <w:r w:rsidR="0047061C" w:rsidRPr="00756792">
        <w:rPr>
          <w:lang w:val="en-GB"/>
        </w:rPr>
        <w:t xml:space="preserve">varieties like the RP or GA as the norm. However, </w:t>
      </w:r>
      <w:r w:rsidRPr="00756792">
        <w:rPr>
          <w:lang w:val="en-GB"/>
        </w:rPr>
        <w:t>not all varieties manage to</w:t>
      </w:r>
      <w:r w:rsidR="001E409C" w:rsidRPr="00756792">
        <w:rPr>
          <w:lang w:val="en-GB"/>
        </w:rPr>
        <w:t xml:space="preserve"> get</w:t>
      </w:r>
      <w:r w:rsidRPr="00756792">
        <w:rPr>
          <w:lang w:val="en-GB"/>
        </w:rPr>
        <w:t xml:space="preserve"> </w:t>
      </w:r>
      <w:r w:rsidR="001E409C" w:rsidRPr="00756792">
        <w:rPr>
          <w:lang w:val="en-GB"/>
        </w:rPr>
        <w:t>legitimised</w:t>
      </w:r>
      <w:r w:rsidRPr="00756792">
        <w:rPr>
          <w:lang w:val="en-GB"/>
        </w:rPr>
        <w:t xml:space="preserve"> as a Standard Variety. </w:t>
      </w:r>
      <w:r w:rsidRPr="00756792">
        <w:rPr>
          <w:lang w:val="en-GB"/>
        </w:rPr>
        <w:lastRenderedPageBreak/>
        <w:t xml:space="preserve">There are </w:t>
      </w:r>
      <w:r w:rsidR="0047061C" w:rsidRPr="00756792">
        <w:rPr>
          <w:lang w:val="en-GB"/>
        </w:rPr>
        <w:t xml:space="preserve">more local English varieties that never reach the final phase, especially in the expanding circle where English is neither native nor official language to the people. </w:t>
      </w:r>
    </w:p>
    <w:p w14:paraId="057BC223" w14:textId="77777777" w:rsidR="00D4728B" w:rsidRPr="00756792" w:rsidRDefault="00B61730" w:rsidP="004A6CFA">
      <w:pPr>
        <w:pStyle w:val="NormalWeb"/>
        <w:spacing w:line="360" w:lineRule="auto"/>
        <w:ind w:firstLine="227"/>
        <w:contextualSpacing/>
        <w:jc w:val="both"/>
        <w:rPr>
          <w:lang w:val="en-GB"/>
        </w:rPr>
      </w:pPr>
      <w:r w:rsidRPr="00756792">
        <w:rPr>
          <w:lang w:val="en-GB"/>
        </w:rPr>
        <w:t>Grounded</w:t>
      </w:r>
      <w:r w:rsidR="0031149B" w:rsidRPr="00756792">
        <w:rPr>
          <w:lang w:val="en-GB"/>
        </w:rPr>
        <w:t xml:space="preserve"> on</w:t>
      </w:r>
      <w:r w:rsidRPr="00756792">
        <w:rPr>
          <w:lang w:val="en-GB"/>
        </w:rPr>
        <w:t xml:space="preserve"> the facts above, we propose a multi-speed agenda for teaching SVE. The idea envisages that various concentric circles of world Englishes should promote SVE at various speed</w:t>
      </w:r>
      <w:r w:rsidR="0031149B" w:rsidRPr="00756792">
        <w:rPr>
          <w:lang w:val="en-GB"/>
        </w:rPr>
        <w:t>s</w:t>
      </w:r>
      <w:r w:rsidRPr="00756792">
        <w:rPr>
          <w:lang w:val="en-GB"/>
        </w:rPr>
        <w:t xml:space="preserve"> and extent</w:t>
      </w:r>
      <w:r w:rsidR="0031149B" w:rsidRPr="00756792">
        <w:rPr>
          <w:lang w:val="en-GB"/>
        </w:rPr>
        <w:t>s</w:t>
      </w:r>
      <w:r w:rsidR="001E409C" w:rsidRPr="00756792">
        <w:rPr>
          <w:lang w:val="en-GB"/>
        </w:rPr>
        <w:t xml:space="preserve">. </w:t>
      </w:r>
      <w:r w:rsidR="00D830F2" w:rsidRPr="00756792">
        <w:rPr>
          <w:lang w:val="en-GB"/>
        </w:rPr>
        <w:t xml:space="preserve">In the inner circle, SVE </w:t>
      </w:r>
      <w:r w:rsidR="007F185C" w:rsidRPr="00756792">
        <w:rPr>
          <w:lang w:val="en-GB"/>
        </w:rPr>
        <w:t xml:space="preserve">is spoken </w:t>
      </w:r>
      <w:r w:rsidR="00A92629" w:rsidRPr="00756792">
        <w:rPr>
          <w:lang w:val="en-GB"/>
        </w:rPr>
        <w:t>as</w:t>
      </w:r>
      <w:r w:rsidR="00D830F2" w:rsidRPr="00756792">
        <w:rPr>
          <w:lang w:val="en-GB"/>
        </w:rPr>
        <w:t xml:space="preserve"> a </w:t>
      </w:r>
      <w:r w:rsidR="007F185C" w:rsidRPr="00756792">
        <w:rPr>
          <w:lang w:val="en-GB"/>
        </w:rPr>
        <w:t xml:space="preserve">sign of </w:t>
      </w:r>
      <w:r w:rsidR="0031149B" w:rsidRPr="00756792">
        <w:rPr>
          <w:lang w:val="en-GB"/>
        </w:rPr>
        <w:t xml:space="preserve">high </w:t>
      </w:r>
      <w:r w:rsidR="007F185C" w:rsidRPr="00756792">
        <w:rPr>
          <w:lang w:val="en-GB"/>
        </w:rPr>
        <w:t>social strat</w:t>
      </w:r>
      <w:r w:rsidR="0031149B" w:rsidRPr="00756792">
        <w:rPr>
          <w:lang w:val="en-GB"/>
        </w:rPr>
        <w:t>um</w:t>
      </w:r>
      <w:r w:rsidR="007F185C" w:rsidRPr="00756792">
        <w:rPr>
          <w:lang w:val="en-GB"/>
        </w:rPr>
        <w:t xml:space="preserve"> and education. It</w:t>
      </w:r>
      <w:r w:rsidR="00A92629" w:rsidRPr="00756792">
        <w:rPr>
          <w:lang w:val="en-GB"/>
        </w:rPr>
        <w:t xml:space="preserve"> </w:t>
      </w:r>
      <w:r w:rsidR="007F185C" w:rsidRPr="00756792">
        <w:rPr>
          <w:lang w:val="en-GB"/>
        </w:rPr>
        <w:t>has demonstrated to the other regions the attractiveness of</w:t>
      </w:r>
      <w:r w:rsidR="00D739F5" w:rsidRPr="00756792">
        <w:rPr>
          <w:lang w:val="en-GB"/>
        </w:rPr>
        <w:t xml:space="preserve"> learning a</w:t>
      </w:r>
      <w:r w:rsidR="007F185C" w:rsidRPr="00756792">
        <w:rPr>
          <w:lang w:val="en-GB"/>
        </w:rPr>
        <w:t xml:space="preserve"> prestigious language</w:t>
      </w:r>
      <w:r w:rsidR="00D830F2" w:rsidRPr="00756792">
        <w:rPr>
          <w:lang w:val="en-GB"/>
        </w:rPr>
        <w:t>. In the outer circle, if the emerging native variety has met the threshold as a nationally accepted independent variety, such as Philippine English (Borlongan, 2016)</w:t>
      </w:r>
      <w:r w:rsidR="007F185C" w:rsidRPr="00756792">
        <w:rPr>
          <w:lang w:val="en-GB"/>
        </w:rPr>
        <w:t>,</w:t>
      </w:r>
      <w:r w:rsidR="00D830F2" w:rsidRPr="00756792">
        <w:rPr>
          <w:lang w:val="en-GB"/>
        </w:rPr>
        <w:t xml:space="preserve"> it should also be </w:t>
      </w:r>
      <w:r w:rsidR="00A92629" w:rsidRPr="00756792">
        <w:rPr>
          <w:lang w:val="en-GB"/>
        </w:rPr>
        <w:t>permitted as the norm in English</w:t>
      </w:r>
      <w:r w:rsidR="007F185C" w:rsidRPr="00756792">
        <w:rPr>
          <w:lang w:val="en-GB"/>
        </w:rPr>
        <w:t xml:space="preserve"> teaching</w:t>
      </w:r>
      <w:r w:rsidR="00A92629" w:rsidRPr="00756792">
        <w:rPr>
          <w:lang w:val="en-GB"/>
        </w:rPr>
        <w:t xml:space="preserve">. </w:t>
      </w:r>
      <w:r w:rsidRPr="00756792">
        <w:rPr>
          <w:lang w:val="en-GB"/>
        </w:rPr>
        <w:t xml:space="preserve">This is because these varieties are more available to learn, its phonological system resembles the phonology of the native languages, and its local vocabulary is a better reflection of its society and culture. </w:t>
      </w:r>
      <w:r w:rsidR="00A92629" w:rsidRPr="00756792">
        <w:rPr>
          <w:lang w:val="en-GB"/>
        </w:rPr>
        <w:t xml:space="preserve">However, we also agree </w:t>
      </w:r>
      <w:r w:rsidR="007F185C" w:rsidRPr="00756792">
        <w:rPr>
          <w:lang w:val="en-GB"/>
        </w:rPr>
        <w:t xml:space="preserve">that </w:t>
      </w:r>
      <w:r w:rsidR="00A92629" w:rsidRPr="00756792">
        <w:rPr>
          <w:lang w:val="en-GB"/>
        </w:rPr>
        <w:t>the ENL varieties where these regions used to look upon should be accepted as the co-existing norm</w:t>
      </w:r>
      <w:r w:rsidR="007F185C" w:rsidRPr="00756792">
        <w:rPr>
          <w:lang w:val="en-GB"/>
        </w:rPr>
        <w:t xml:space="preserve"> for linguistic conservatism.  </w:t>
      </w:r>
    </w:p>
    <w:p w14:paraId="77D35E8D" w14:textId="77777777" w:rsidR="007606E0" w:rsidRPr="00756792" w:rsidRDefault="00B61730" w:rsidP="004A6CFA">
      <w:pPr>
        <w:pStyle w:val="NormalWeb"/>
        <w:spacing w:line="360" w:lineRule="auto"/>
        <w:ind w:firstLine="227"/>
        <w:contextualSpacing/>
        <w:jc w:val="both"/>
        <w:rPr>
          <w:rFonts w:eastAsia="PingFang TC"/>
          <w:color w:val="000000" w:themeColor="text1"/>
          <w:lang w:val="en-GB"/>
        </w:rPr>
      </w:pPr>
      <w:r w:rsidRPr="00756792">
        <w:rPr>
          <w:lang w:val="en-GB"/>
        </w:rPr>
        <w:t>In the expanding circle/EFL regions, we argue to retain ENL varieties as the standard because codification of the local variety never occurs.</w:t>
      </w:r>
      <w:r w:rsidR="007F185C" w:rsidRPr="00756792">
        <w:rPr>
          <w:lang w:val="en-GB"/>
        </w:rPr>
        <w:t xml:space="preserve"> We also advocate for more fluid and flexible methods to implement teaching the </w:t>
      </w:r>
      <w:r w:rsidR="005C71CB" w:rsidRPr="00756792">
        <w:rPr>
          <w:lang w:val="en-GB"/>
        </w:rPr>
        <w:t>SVE</w:t>
      </w:r>
      <w:r w:rsidR="007F185C" w:rsidRPr="00756792">
        <w:rPr>
          <w:lang w:val="en-GB"/>
        </w:rPr>
        <w:t xml:space="preserve">s. </w:t>
      </w:r>
      <w:r w:rsidR="00D4728B" w:rsidRPr="00756792">
        <w:rPr>
          <w:lang w:val="en-GB"/>
        </w:rPr>
        <w:t>Unlike English</w:t>
      </w:r>
      <w:r w:rsidR="00D739F5" w:rsidRPr="00756792">
        <w:rPr>
          <w:lang w:val="en-GB"/>
        </w:rPr>
        <w:t>es</w:t>
      </w:r>
      <w:r w:rsidR="00D4728B" w:rsidRPr="00756792">
        <w:rPr>
          <w:lang w:val="en-GB"/>
        </w:rPr>
        <w:t xml:space="preserve"> in the inner and outer circles that function to shape the imagined community, </w:t>
      </w:r>
      <w:r w:rsidR="007F185C" w:rsidRPr="00756792">
        <w:rPr>
          <w:color w:val="000000" w:themeColor="text1"/>
          <w:lang w:val="en-GB"/>
        </w:rPr>
        <w:t>acquiring</w:t>
      </w:r>
      <w:r w:rsidR="00F80F63" w:rsidRPr="00756792">
        <w:rPr>
          <w:color w:val="000000" w:themeColor="text1"/>
          <w:lang w:val="en-GB"/>
        </w:rPr>
        <w:t xml:space="preserve"> English </w:t>
      </w:r>
      <w:r w:rsidR="007F185C" w:rsidRPr="00756792">
        <w:rPr>
          <w:color w:val="000000" w:themeColor="text1"/>
          <w:lang w:val="en-GB"/>
        </w:rPr>
        <w:t xml:space="preserve">in the EFL regions </w:t>
      </w:r>
      <w:r w:rsidR="00F80F63" w:rsidRPr="00756792">
        <w:rPr>
          <w:color w:val="000000" w:themeColor="text1"/>
          <w:lang w:val="en-GB"/>
        </w:rPr>
        <w:t xml:space="preserve">is for a pure communicative purpose. This sheer pragmatic orientation allows teachers to be less constrained by formalism </w:t>
      </w:r>
      <w:r w:rsidR="00D4728B" w:rsidRPr="00756792">
        <w:rPr>
          <w:color w:val="000000" w:themeColor="text1"/>
          <w:lang w:val="en-GB"/>
        </w:rPr>
        <w:t xml:space="preserve">and nationalism </w:t>
      </w:r>
      <w:r w:rsidR="00F80F63" w:rsidRPr="00756792">
        <w:rPr>
          <w:color w:val="000000" w:themeColor="text1"/>
          <w:lang w:val="en-GB"/>
        </w:rPr>
        <w:t>when developing teaching materials</w:t>
      </w:r>
      <w:r w:rsidR="00F80F63" w:rsidRPr="00756792">
        <w:rPr>
          <w:rFonts w:eastAsia="PingFang TC"/>
          <w:color w:val="000000" w:themeColor="text1"/>
          <w:lang w:val="en-GB"/>
        </w:rPr>
        <w:t xml:space="preserve">. Take </w:t>
      </w:r>
      <w:r w:rsidR="00F80F63" w:rsidRPr="00756792">
        <w:rPr>
          <w:rFonts w:eastAsia="PingFang TC"/>
          <w:i/>
          <w:iCs/>
          <w:color w:val="000000" w:themeColor="text1"/>
          <w:lang w:val="en-GB"/>
        </w:rPr>
        <w:t>English</w:t>
      </w:r>
      <w:r w:rsidR="00F80F63" w:rsidRPr="00756792">
        <w:rPr>
          <w:rFonts w:eastAsia="PingFang TC"/>
          <w:color w:val="000000" w:themeColor="text1"/>
          <w:lang w:val="en-GB"/>
        </w:rPr>
        <w:t xml:space="preserve"> of People’s Education Press as an example. The textbook is enshrined </w:t>
      </w:r>
      <w:r w:rsidR="002046C7" w:rsidRPr="00756792">
        <w:rPr>
          <w:rFonts w:eastAsia="PingFang TC"/>
          <w:color w:val="000000" w:themeColor="text1"/>
          <w:lang w:val="en-GB"/>
        </w:rPr>
        <w:t xml:space="preserve">as part of the national curriculum for Chinese students. </w:t>
      </w:r>
      <w:r w:rsidR="00D739F5" w:rsidRPr="00756792">
        <w:rPr>
          <w:rFonts w:eastAsia="PingFang TC"/>
          <w:color w:val="000000" w:themeColor="text1"/>
          <w:lang w:val="en-GB"/>
        </w:rPr>
        <w:t>Received Pronunciation</w:t>
      </w:r>
      <w:r w:rsidR="002046C7" w:rsidRPr="00756792">
        <w:rPr>
          <w:rFonts w:eastAsia="PingFang TC"/>
          <w:color w:val="000000" w:themeColor="text1"/>
          <w:lang w:val="en-GB"/>
        </w:rPr>
        <w:t xml:space="preserve"> </w:t>
      </w:r>
      <w:r w:rsidR="006F57DB" w:rsidRPr="00756792">
        <w:rPr>
          <w:rFonts w:eastAsia="PingFang TC"/>
          <w:color w:val="000000" w:themeColor="text1"/>
          <w:lang w:val="en-GB"/>
        </w:rPr>
        <w:t>speakers read its audiobook,</w:t>
      </w:r>
      <w:r w:rsidR="002046C7" w:rsidRPr="00756792">
        <w:rPr>
          <w:rFonts w:eastAsia="PingFang TC"/>
          <w:color w:val="000000" w:themeColor="text1"/>
          <w:lang w:val="en-GB"/>
        </w:rPr>
        <w:t xml:space="preserve"> but the spelling</w:t>
      </w:r>
      <w:r w:rsidR="006F57DB" w:rsidRPr="00756792">
        <w:rPr>
          <w:rFonts w:eastAsia="PingFang TC"/>
          <w:color w:val="000000" w:themeColor="text1"/>
          <w:lang w:val="en-GB"/>
        </w:rPr>
        <w:t xml:space="preserve"> and </w:t>
      </w:r>
      <w:r w:rsidR="002046C7" w:rsidRPr="00756792">
        <w:rPr>
          <w:rFonts w:eastAsia="PingFang TC"/>
          <w:color w:val="000000" w:themeColor="text1"/>
          <w:lang w:val="en-GB"/>
        </w:rPr>
        <w:t xml:space="preserve">the grammar are </w:t>
      </w:r>
      <w:r w:rsidR="00D739F5" w:rsidRPr="00756792">
        <w:rPr>
          <w:rFonts w:eastAsia="PingFang TC"/>
          <w:color w:val="000000" w:themeColor="text1"/>
          <w:lang w:val="en-GB"/>
        </w:rPr>
        <w:t>modelled on</w:t>
      </w:r>
      <w:r w:rsidR="002046C7" w:rsidRPr="00756792">
        <w:rPr>
          <w:rFonts w:eastAsia="PingFang TC"/>
          <w:color w:val="000000" w:themeColor="text1"/>
          <w:lang w:val="en-GB"/>
        </w:rPr>
        <w:t xml:space="preserve"> </w:t>
      </w:r>
      <w:r w:rsidR="00D739F5" w:rsidRPr="00756792">
        <w:rPr>
          <w:rFonts w:eastAsia="PingFang TC"/>
          <w:color w:val="000000" w:themeColor="text1"/>
          <w:lang w:val="en-GB"/>
        </w:rPr>
        <w:t xml:space="preserve">General </w:t>
      </w:r>
      <w:r w:rsidR="002046C7" w:rsidRPr="00756792">
        <w:rPr>
          <w:rFonts w:eastAsia="PingFang TC"/>
          <w:color w:val="000000" w:themeColor="text1"/>
          <w:lang w:val="en-GB"/>
        </w:rPr>
        <w:t>American</w:t>
      </w:r>
      <w:r w:rsidR="00D739F5" w:rsidRPr="00756792">
        <w:rPr>
          <w:rFonts w:eastAsia="PingFang TC"/>
          <w:color w:val="000000" w:themeColor="text1"/>
          <w:lang w:val="en-GB"/>
        </w:rPr>
        <w:t>,</w:t>
      </w:r>
      <w:r w:rsidR="006F57DB" w:rsidRPr="00756792">
        <w:rPr>
          <w:rFonts w:eastAsia="PingFang TC"/>
          <w:color w:val="000000" w:themeColor="text1"/>
          <w:lang w:val="en-GB"/>
        </w:rPr>
        <w:t xml:space="preserve"> e.g., </w:t>
      </w:r>
      <w:r w:rsidR="002046C7" w:rsidRPr="00756792">
        <w:rPr>
          <w:rFonts w:eastAsia="PingFang TC"/>
          <w:b/>
          <w:bCs/>
          <w:i/>
          <w:iCs/>
          <w:color w:val="000000" w:themeColor="text1"/>
          <w:lang w:val="en-GB"/>
        </w:rPr>
        <w:t>gotten</w:t>
      </w:r>
      <w:r w:rsidR="007F185C" w:rsidRPr="00756792">
        <w:rPr>
          <w:rFonts w:eastAsia="PingFang TC"/>
          <w:color w:val="000000" w:themeColor="text1"/>
          <w:lang w:val="en-GB"/>
        </w:rPr>
        <w:t xml:space="preserve"> </w:t>
      </w:r>
      <w:r w:rsidR="006F57DB" w:rsidRPr="00756792">
        <w:rPr>
          <w:rFonts w:eastAsia="PingFang TC"/>
          <w:color w:val="000000" w:themeColor="text1"/>
          <w:lang w:val="en-GB"/>
        </w:rPr>
        <w:t>being the</w:t>
      </w:r>
      <w:r w:rsidR="002046C7" w:rsidRPr="00756792">
        <w:rPr>
          <w:rFonts w:eastAsia="PingFang TC"/>
          <w:color w:val="000000" w:themeColor="text1"/>
          <w:lang w:val="en-GB"/>
        </w:rPr>
        <w:t xml:space="preserve"> past perfect of </w:t>
      </w:r>
      <w:r w:rsidR="002046C7" w:rsidRPr="00756792">
        <w:rPr>
          <w:rFonts w:eastAsia="PingFang TC"/>
          <w:b/>
          <w:bCs/>
          <w:i/>
          <w:iCs/>
          <w:color w:val="000000" w:themeColor="text1"/>
          <w:lang w:val="en-GB"/>
        </w:rPr>
        <w:t>get</w:t>
      </w:r>
      <w:r w:rsidR="002046C7" w:rsidRPr="00756792">
        <w:rPr>
          <w:rFonts w:eastAsia="PingFang TC"/>
          <w:color w:val="000000" w:themeColor="text1"/>
          <w:lang w:val="en-GB"/>
        </w:rPr>
        <w:t>.</w:t>
      </w:r>
      <w:r w:rsidR="006F57DB" w:rsidRPr="00756792">
        <w:rPr>
          <w:rFonts w:eastAsia="PingFang TC"/>
          <w:color w:val="000000" w:themeColor="text1"/>
          <w:lang w:val="en-GB"/>
        </w:rPr>
        <w:t xml:space="preserve"> </w:t>
      </w:r>
      <w:r w:rsidR="009F6049" w:rsidRPr="00756792">
        <w:rPr>
          <w:rFonts w:eastAsia="PingFang TC"/>
          <w:color w:val="000000" w:themeColor="text1"/>
          <w:lang w:val="en-GB"/>
        </w:rPr>
        <w:t>Such flexibility, the critique argues, helps learners get more exposed to the real linguistic environment</w:t>
      </w:r>
      <w:r w:rsidR="00D4728B" w:rsidRPr="00756792">
        <w:rPr>
          <w:rFonts w:eastAsia="PingFang TC"/>
          <w:color w:val="000000" w:themeColor="text1"/>
          <w:lang w:val="en-GB"/>
        </w:rPr>
        <w:t xml:space="preserve">. </w:t>
      </w:r>
      <w:r w:rsidR="00167644" w:rsidRPr="00756792">
        <w:rPr>
          <w:rFonts w:eastAsia="PingFang TC"/>
          <w:color w:val="000000" w:themeColor="text1"/>
          <w:lang w:val="en-GB"/>
        </w:rPr>
        <w:t>And English teaching is responsible for reflecting this fact because w</w:t>
      </w:r>
      <w:r w:rsidR="009F6049" w:rsidRPr="00756792">
        <w:rPr>
          <w:rFonts w:eastAsia="PingFang TC"/>
          <w:color w:val="000000" w:themeColor="text1"/>
          <w:lang w:val="en-GB"/>
        </w:rPr>
        <w:t xml:space="preserve">e </w:t>
      </w:r>
      <w:r w:rsidR="00167644" w:rsidRPr="00756792">
        <w:rPr>
          <w:rFonts w:eastAsia="PingFang TC"/>
          <w:color w:val="000000" w:themeColor="text1"/>
          <w:lang w:val="en-GB"/>
        </w:rPr>
        <w:t>do not</w:t>
      </w:r>
      <w:r w:rsidR="009F6049" w:rsidRPr="00756792">
        <w:rPr>
          <w:rFonts w:eastAsia="PingFang TC"/>
          <w:color w:val="000000" w:themeColor="text1"/>
          <w:lang w:val="en-GB"/>
        </w:rPr>
        <w:t xml:space="preserve"> </w:t>
      </w:r>
      <w:r w:rsidR="00D4728B" w:rsidRPr="00756792">
        <w:rPr>
          <w:rFonts w:eastAsia="PingFang TC"/>
          <w:color w:val="000000" w:themeColor="text1"/>
          <w:lang w:val="en-GB"/>
        </w:rPr>
        <w:t xml:space="preserve">decide </w:t>
      </w:r>
      <w:r w:rsidR="00D739F5" w:rsidRPr="00756792">
        <w:rPr>
          <w:rFonts w:eastAsia="PingFang TC"/>
          <w:color w:val="000000" w:themeColor="text1"/>
          <w:lang w:val="en-GB"/>
        </w:rPr>
        <w:t>the</w:t>
      </w:r>
      <w:r w:rsidR="00D4728B" w:rsidRPr="00756792">
        <w:rPr>
          <w:rFonts w:eastAsia="PingFang TC"/>
          <w:color w:val="000000" w:themeColor="text1"/>
          <w:lang w:val="en-GB"/>
        </w:rPr>
        <w:t xml:space="preserve"> English others use to our liking</w:t>
      </w:r>
      <w:r w:rsidR="00167644" w:rsidRPr="00756792">
        <w:rPr>
          <w:rFonts w:eastAsia="PingFang TC"/>
          <w:color w:val="000000" w:themeColor="text1"/>
          <w:lang w:val="en-GB"/>
        </w:rPr>
        <w:t xml:space="preserve"> in real communication</w:t>
      </w:r>
      <w:r w:rsidR="00D4728B" w:rsidRPr="00756792">
        <w:rPr>
          <w:rFonts w:eastAsia="PingFang TC"/>
          <w:color w:val="000000" w:themeColor="text1"/>
          <w:lang w:val="en-GB"/>
        </w:rPr>
        <w:t xml:space="preserve">. </w:t>
      </w:r>
    </w:p>
    <w:p w14:paraId="02DF3D04" w14:textId="77777777" w:rsidR="000878FA" w:rsidRPr="00756792" w:rsidRDefault="00B61730" w:rsidP="004A6CFA">
      <w:pPr>
        <w:pStyle w:val="NormalWeb"/>
        <w:spacing w:line="360" w:lineRule="auto"/>
        <w:ind w:firstLine="227"/>
        <w:contextualSpacing/>
        <w:jc w:val="both"/>
        <w:rPr>
          <w:color w:val="538135" w:themeColor="accent6" w:themeShade="BF"/>
          <w:lang w:val="en-GB"/>
        </w:rPr>
      </w:pPr>
      <w:r w:rsidRPr="00756792">
        <w:rPr>
          <w:rFonts w:eastAsia="PingFang TC"/>
          <w:color w:val="000000" w:themeColor="text1"/>
          <w:lang w:val="en-GB"/>
        </w:rPr>
        <w:t xml:space="preserve">It is worth noting that even if </w:t>
      </w:r>
      <w:r w:rsidR="005C71CB" w:rsidRPr="00756792">
        <w:rPr>
          <w:rFonts w:eastAsia="PingFang TC"/>
          <w:color w:val="000000" w:themeColor="text1"/>
          <w:lang w:val="en-GB"/>
        </w:rPr>
        <w:t>SVE</w:t>
      </w:r>
      <w:r w:rsidRPr="00756792">
        <w:rPr>
          <w:rFonts w:eastAsia="PingFang TC"/>
          <w:color w:val="000000" w:themeColor="text1"/>
          <w:lang w:val="en-GB"/>
        </w:rPr>
        <w:t xml:space="preserve">s are introduced and promoted as the norm, </w:t>
      </w:r>
      <w:r w:rsidR="000711FF" w:rsidRPr="00756792">
        <w:rPr>
          <w:rFonts w:eastAsia="PingFang TC"/>
          <w:color w:val="000000" w:themeColor="text1"/>
          <w:lang w:val="en-GB"/>
        </w:rPr>
        <w:t xml:space="preserve">creative use of English is still possible. To learn a Standard Variety of English requires us to regard the existent grammar seriously. Nevertheless, on the lexical level, there is space for the introduction of new words to reflect the local reality. </w:t>
      </w:r>
      <w:r w:rsidR="00AD3499" w:rsidRPr="00756792">
        <w:rPr>
          <w:rFonts w:eastAsia="PingFang TC"/>
          <w:color w:val="000000" w:themeColor="text1"/>
          <w:lang w:val="en-GB"/>
        </w:rPr>
        <w:t xml:space="preserve">There are always fields it does not reach to cover. And this is where language modification takes place. </w:t>
      </w:r>
      <w:r w:rsidR="000711FF" w:rsidRPr="00756792">
        <w:rPr>
          <w:rFonts w:eastAsia="PingFang TC"/>
          <w:color w:val="000000" w:themeColor="text1"/>
          <w:lang w:val="en-GB"/>
        </w:rPr>
        <w:t>By coining new words</w:t>
      </w:r>
      <w:r w:rsidR="00AD3499" w:rsidRPr="00756792">
        <w:rPr>
          <w:rFonts w:eastAsia="PingFang TC"/>
          <w:color w:val="000000" w:themeColor="text1"/>
          <w:lang w:val="en-GB"/>
        </w:rPr>
        <w:t xml:space="preserve"> and </w:t>
      </w:r>
      <w:r w:rsidR="000711FF" w:rsidRPr="00756792">
        <w:rPr>
          <w:rFonts w:eastAsia="PingFang TC"/>
          <w:color w:val="000000" w:themeColor="text1"/>
          <w:lang w:val="en-GB"/>
        </w:rPr>
        <w:t xml:space="preserve">appropriating </w:t>
      </w:r>
      <w:r w:rsidR="00AD3499" w:rsidRPr="00756792">
        <w:rPr>
          <w:rFonts w:eastAsia="PingFang TC"/>
          <w:color w:val="000000" w:themeColor="text1"/>
          <w:lang w:val="en-GB"/>
        </w:rPr>
        <w:t xml:space="preserve">existing words, we could push forward the linguistic boundary under the </w:t>
      </w:r>
      <w:r w:rsidR="005C71CB" w:rsidRPr="00756792">
        <w:rPr>
          <w:rFonts w:eastAsia="PingFang TC"/>
          <w:color w:val="000000" w:themeColor="text1"/>
          <w:lang w:val="en-GB"/>
        </w:rPr>
        <w:t>SVE</w:t>
      </w:r>
      <w:r w:rsidR="00AD3499" w:rsidRPr="00756792">
        <w:rPr>
          <w:rFonts w:eastAsia="PingFang TC"/>
          <w:color w:val="000000" w:themeColor="text1"/>
          <w:lang w:val="en-GB"/>
        </w:rPr>
        <w:t xml:space="preserve"> framework. </w:t>
      </w:r>
    </w:p>
    <w:p w14:paraId="3AE1CD41" w14:textId="77777777" w:rsidR="004A6CFA" w:rsidRPr="00756792" w:rsidRDefault="004A6CFA" w:rsidP="004A6CFA">
      <w:pPr>
        <w:pStyle w:val="NormalWeb"/>
        <w:spacing w:line="360" w:lineRule="auto"/>
        <w:ind w:firstLine="227"/>
        <w:contextualSpacing/>
        <w:jc w:val="both"/>
        <w:rPr>
          <w:rFonts w:eastAsia="PingFang TC"/>
          <w:b/>
          <w:bCs/>
          <w:color w:val="000000" w:themeColor="text1"/>
          <w:lang w:val="en-GB"/>
        </w:rPr>
      </w:pPr>
    </w:p>
    <w:p w14:paraId="4934643F" w14:textId="20B42AFC" w:rsidR="00035CF2" w:rsidRPr="00756792" w:rsidRDefault="00B61730" w:rsidP="004A6CFA">
      <w:pPr>
        <w:pStyle w:val="NormalWeb"/>
        <w:spacing w:line="360" w:lineRule="auto"/>
        <w:ind w:firstLine="227"/>
        <w:contextualSpacing/>
        <w:jc w:val="both"/>
        <w:rPr>
          <w:rFonts w:eastAsia="PingFang TC"/>
          <w:b/>
          <w:bCs/>
          <w:color w:val="000000" w:themeColor="text1"/>
          <w:lang w:val="en-GB"/>
        </w:rPr>
      </w:pPr>
      <w:r w:rsidRPr="00756792">
        <w:rPr>
          <w:rFonts w:eastAsia="PingFang TC"/>
          <w:b/>
          <w:bCs/>
          <w:color w:val="000000" w:themeColor="text1"/>
          <w:lang w:val="en-GB"/>
        </w:rPr>
        <w:t>Conclusion</w:t>
      </w:r>
    </w:p>
    <w:p w14:paraId="53C4E50A" w14:textId="77777777" w:rsidR="004A6CFA" w:rsidRPr="00756792" w:rsidRDefault="00B61730" w:rsidP="004A6CFA">
      <w:pPr>
        <w:pStyle w:val="NormalWeb"/>
        <w:spacing w:line="360" w:lineRule="auto"/>
        <w:ind w:firstLine="227"/>
        <w:contextualSpacing/>
        <w:jc w:val="both"/>
        <w:rPr>
          <w:rFonts w:eastAsia="PingFang TC"/>
          <w:color w:val="000000" w:themeColor="text1"/>
          <w:lang w:val="en-GB"/>
        </w:rPr>
      </w:pPr>
      <w:r w:rsidRPr="00756792">
        <w:rPr>
          <w:rFonts w:eastAsia="PingFang TC"/>
          <w:color w:val="000000" w:themeColor="text1"/>
          <w:lang w:val="en-GB"/>
        </w:rPr>
        <w:t xml:space="preserve">In the first chapter, the critique clarifies the definition of SVE, claiming it is a realisation of SE in a certain national setting. It is the Standard English constructed with a nationally recognised phonology. </w:t>
      </w:r>
    </w:p>
    <w:p w14:paraId="7A159622" w14:textId="292D8E9D" w:rsidR="004A6CFA" w:rsidRPr="00756792" w:rsidRDefault="00B61730" w:rsidP="004A6CFA">
      <w:pPr>
        <w:pStyle w:val="NormalWeb"/>
        <w:spacing w:line="360" w:lineRule="auto"/>
        <w:ind w:firstLine="227"/>
        <w:contextualSpacing/>
        <w:jc w:val="both"/>
        <w:rPr>
          <w:rFonts w:eastAsia="PingFang TC"/>
          <w:color w:val="000000" w:themeColor="text1"/>
          <w:lang w:val="en-GB"/>
        </w:rPr>
      </w:pPr>
      <w:r w:rsidRPr="00756792">
        <w:rPr>
          <w:rFonts w:eastAsia="PingFang TC"/>
          <w:color w:val="000000" w:themeColor="text1"/>
          <w:lang w:val="en-GB"/>
        </w:rPr>
        <w:lastRenderedPageBreak/>
        <w:t xml:space="preserve">We then proceed to contemplate on the merits and downsides of promoting SVE. We believe that despite the potential discouragement </w:t>
      </w:r>
      <w:r w:rsidR="000878FA" w:rsidRPr="00756792">
        <w:rPr>
          <w:rFonts w:eastAsia="PingFang TC"/>
          <w:color w:val="000000" w:themeColor="text1"/>
          <w:lang w:val="en-GB"/>
        </w:rPr>
        <w:t>to the creative use of language, the merits of teaching SVE outweighs its problems. Introducing SVE in teaching helps to standardise the learning model. It is relatively stable compared with the local variety that is in volatile change.</w:t>
      </w:r>
      <w:r w:rsidR="004A6CFA" w:rsidRPr="00756792">
        <w:rPr>
          <w:rFonts w:eastAsia="PingFang TC"/>
          <w:color w:val="000000" w:themeColor="text1"/>
          <w:lang w:val="en-GB"/>
        </w:rPr>
        <w:t xml:space="preserve"> </w:t>
      </w:r>
      <w:r w:rsidR="000878FA" w:rsidRPr="00756792">
        <w:rPr>
          <w:rFonts w:eastAsia="PingFang TC"/>
          <w:color w:val="000000" w:themeColor="text1"/>
          <w:lang w:val="en-GB"/>
        </w:rPr>
        <w:t xml:space="preserve">Furthermore, the relevant studies on </w:t>
      </w:r>
      <w:r w:rsidR="005C71CB" w:rsidRPr="00756792">
        <w:rPr>
          <w:rFonts w:eastAsia="PingFang TC"/>
          <w:color w:val="000000" w:themeColor="text1"/>
          <w:lang w:val="en-GB"/>
        </w:rPr>
        <w:t>SVE</w:t>
      </w:r>
      <w:r w:rsidR="000878FA" w:rsidRPr="00756792">
        <w:rPr>
          <w:rFonts w:eastAsia="PingFang TC"/>
          <w:color w:val="000000" w:themeColor="text1"/>
          <w:lang w:val="en-GB"/>
        </w:rPr>
        <w:t xml:space="preserve">s are abundant, making its teaching materials accessible. </w:t>
      </w:r>
    </w:p>
    <w:p w14:paraId="04BE538D" w14:textId="0A33A38A" w:rsidR="00D739F5" w:rsidRPr="00756792" w:rsidRDefault="000878FA" w:rsidP="004A6CFA">
      <w:pPr>
        <w:pStyle w:val="NormalWeb"/>
        <w:spacing w:line="360" w:lineRule="auto"/>
        <w:ind w:firstLine="227"/>
        <w:contextualSpacing/>
        <w:jc w:val="both"/>
        <w:rPr>
          <w:rFonts w:eastAsia="PingFang TC"/>
          <w:color w:val="000000" w:themeColor="text1"/>
          <w:lang w:val="en-GB"/>
        </w:rPr>
      </w:pPr>
      <w:r w:rsidRPr="00756792">
        <w:rPr>
          <w:rFonts w:eastAsia="PingFang TC"/>
          <w:color w:val="000000" w:themeColor="text1"/>
          <w:lang w:val="en-GB"/>
        </w:rPr>
        <w:t xml:space="preserve">In the last chapter, the critique addresses the concerns of teaching SVEs, proposing </w:t>
      </w:r>
      <w:r w:rsidR="00AD3499" w:rsidRPr="00756792">
        <w:rPr>
          <w:rFonts w:eastAsia="PingFang TC"/>
          <w:color w:val="000000" w:themeColor="text1"/>
          <w:lang w:val="en-GB"/>
        </w:rPr>
        <w:t xml:space="preserve">a descriptive approach to teaching SVE. Instead of imposing it like an ultimatum onto its learners, teachers could </w:t>
      </w:r>
      <w:r w:rsidR="00F3510F" w:rsidRPr="00756792">
        <w:rPr>
          <w:rFonts w:eastAsia="PingFang TC"/>
          <w:color w:val="000000" w:themeColor="text1"/>
          <w:lang w:val="en-GB"/>
        </w:rPr>
        <w:t xml:space="preserve">treat SVE </w:t>
      </w:r>
      <w:r w:rsidR="00AD3499" w:rsidRPr="00756792">
        <w:rPr>
          <w:rFonts w:eastAsia="PingFang TC"/>
          <w:color w:val="000000" w:themeColor="text1"/>
          <w:lang w:val="en-GB"/>
        </w:rPr>
        <w:t xml:space="preserve">as the description of </w:t>
      </w:r>
      <w:r w:rsidR="00F3510F" w:rsidRPr="00756792">
        <w:rPr>
          <w:rFonts w:eastAsia="PingFang TC"/>
          <w:color w:val="000000" w:themeColor="text1"/>
          <w:lang w:val="en-GB"/>
        </w:rPr>
        <w:t>language use</w:t>
      </w:r>
      <w:r w:rsidR="00AD3499" w:rsidRPr="00756792">
        <w:rPr>
          <w:rFonts w:eastAsia="PingFang TC"/>
          <w:color w:val="000000" w:themeColor="text1"/>
          <w:lang w:val="en-GB"/>
        </w:rPr>
        <w:t xml:space="preserve">d by the educated. </w:t>
      </w:r>
      <w:r w:rsidR="00F3510F" w:rsidRPr="00756792">
        <w:rPr>
          <w:rFonts w:eastAsia="PingFang TC"/>
          <w:color w:val="000000" w:themeColor="text1"/>
          <w:lang w:val="en-GB"/>
        </w:rPr>
        <w:t xml:space="preserve">The critique in the end advocates for </w:t>
      </w:r>
      <w:r w:rsidRPr="00756792">
        <w:rPr>
          <w:rFonts w:eastAsia="PingFang TC"/>
          <w:color w:val="000000" w:themeColor="text1"/>
          <w:lang w:val="en-GB"/>
        </w:rPr>
        <w:t>a multi-speed agenda where different concentric circles might promote SVEs at a different pace and to different extents</w:t>
      </w:r>
      <w:r w:rsidR="00F3510F" w:rsidRPr="00756792">
        <w:rPr>
          <w:rFonts w:eastAsia="PingFang TC"/>
          <w:color w:val="000000" w:themeColor="text1"/>
          <w:lang w:val="en-GB"/>
        </w:rPr>
        <w:t>. It states that creative use of language will not be stifled so long as it is rhetorically and contextually motivated. Language is destined to be pluralised and enriched as it settles in a new place. Using the pre-existing model for reference does not hinder the process.</w:t>
      </w:r>
    </w:p>
    <w:p w14:paraId="54C3447E" w14:textId="77777777" w:rsidR="00756792" w:rsidRDefault="00756792" w:rsidP="004A6CFA">
      <w:pPr>
        <w:pStyle w:val="NormalWeb"/>
        <w:spacing w:line="360" w:lineRule="auto"/>
        <w:ind w:firstLine="227"/>
        <w:contextualSpacing/>
        <w:jc w:val="both"/>
        <w:rPr>
          <w:rFonts w:eastAsia="PingFang TC"/>
          <w:b/>
          <w:bCs/>
          <w:color w:val="000000" w:themeColor="text1"/>
          <w:lang w:val="en-GB"/>
        </w:rPr>
      </w:pPr>
    </w:p>
    <w:p w14:paraId="22279B36" w14:textId="77777777" w:rsidR="00756792" w:rsidRDefault="00756792" w:rsidP="004A6CFA">
      <w:pPr>
        <w:pStyle w:val="NormalWeb"/>
        <w:spacing w:line="360" w:lineRule="auto"/>
        <w:ind w:firstLine="227"/>
        <w:contextualSpacing/>
        <w:jc w:val="both"/>
        <w:rPr>
          <w:rFonts w:eastAsia="PingFang TC"/>
          <w:b/>
          <w:bCs/>
          <w:color w:val="000000" w:themeColor="text1"/>
          <w:lang w:val="en-GB"/>
        </w:rPr>
      </w:pPr>
    </w:p>
    <w:p w14:paraId="3F558DB4" w14:textId="77777777" w:rsidR="00756792" w:rsidRDefault="00756792" w:rsidP="004A6CFA">
      <w:pPr>
        <w:pStyle w:val="NormalWeb"/>
        <w:spacing w:line="360" w:lineRule="auto"/>
        <w:ind w:firstLine="227"/>
        <w:contextualSpacing/>
        <w:jc w:val="both"/>
        <w:rPr>
          <w:rFonts w:eastAsia="PingFang TC"/>
          <w:b/>
          <w:bCs/>
          <w:color w:val="000000" w:themeColor="text1"/>
          <w:lang w:val="en-GB"/>
        </w:rPr>
      </w:pPr>
    </w:p>
    <w:p w14:paraId="79579744" w14:textId="77777777" w:rsidR="00756792" w:rsidRDefault="00756792" w:rsidP="004A6CFA">
      <w:pPr>
        <w:pStyle w:val="NormalWeb"/>
        <w:spacing w:line="360" w:lineRule="auto"/>
        <w:ind w:firstLine="227"/>
        <w:contextualSpacing/>
        <w:jc w:val="both"/>
        <w:rPr>
          <w:rFonts w:eastAsia="PingFang TC"/>
          <w:b/>
          <w:bCs/>
          <w:color w:val="000000" w:themeColor="text1"/>
          <w:lang w:val="en-GB"/>
        </w:rPr>
      </w:pPr>
    </w:p>
    <w:p w14:paraId="7A141672" w14:textId="77777777" w:rsidR="00756792" w:rsidRDefault="00756792" w:rsidP="004A6CFA">
      <w:pPr>
        <w:pStyle w:val="NormalWeb"/>
        <w:spacing w:line="360" w:lineRule="auto"/>
        <w:ind w:firstLine="227"/>
        <w:contextualSpacing/>
        <w:jc w:val="both"/>
        <w:rPr>
          <w:rFonts w:eastAsia="PingFang TC"/>
          <w:b/>
          <w:bCs/>
          <w:color w:val="000000" w:themeColor="text1"/>
          <w:lang w:val="en-GB"/>
        </w:rPr>
      </w:pPr>
    </w:p>
    <w:p w14:paraId="031C92C5" w14:textId="77777777" w:rsidR="00756792" w:rsidRDefault="00756792" w:rsidP="004A6CFA">
      <w:pPr>
        <w:pStyle w:val="NormalWeb"/>
        <w:spacing w:line="360" w:lineRule="auto"/>
        <w:ind w:firstLine="227"/>
        <w:contextualSpacing/>
        <w:jc w:val="both"/>
        <w:rPr>
          <w:rFonts w:eastAsia="PingFang TC"/>
          <w:b/>
          <w:bCs/>
          <w:color w:val="000000" w:themeColor="text1"/>
          <w:lang w:val="en-GB"/>
        </w:rPr>
      </w:pPr>
    </w:p>
    <w:p w14:paraId="33C65DAC" w14:textId="77777777" w:rsidR="00756792" w:rsidRDefault="00756792" w:rsidP="004A6CFA">
      <w:pPr>
        <w:pStyle w:val="NormalWeb"/>
        <w:spacing w:line="360" w:lineRule="auto"/>
        <w:ind w:firstLine="227"/>
        <w:contextualSpacing/>
        <w:jc w:val="both"/>
        <w:rPr>
          <w:rFonts w:eastAsia="PingFang TC"/>
          <w:b/>
          <w:bCs/>
          <w:color w:val="000000" w:themeColor="text1"/>
          <w:lang w:val="en-GB"/>
        </w:rPr>
      </w:pPr>
    </w:p>
    <w:p w14:paraId="30942377" w14:textId="77777777" w:rsidR="00756792" w:rsidRDefault="00756792" w:rsidP="004A6CFA">
      <w:pPr>
        <w:pStyle w:val="NormalWeb"/>
        <w:spacing w:line="360" w:lineRule="auto"/>
        <w:ind w:firstLine="227"/>
        <w:contextualSpacing/>
        <w:jc w:val="both"/>
        <w:rPr>
          <w:rFonts w:eastAsia="PingFang TC"/>
          <w:b/>
          <w:bCs/>
          <w:color w:val="000000" w:themeColor="text1"/>
          <w:lang w:val="en-GB"/>
        </w:rPr>
      </w:pPr>
    </w:p>
    <w:p w14:paraId="1DB5477F" w14:textId="77777777" w:rsidR="00756792" w:rsidRDefault="00756792" w:rsidP="004A6CFA">
      <w:pPr>
        <w:pStyle w:val="NormalWeb"/>
        <w:spacing w:line="360" w:lineRule="auto"/>
        <w:ind w:firstLine="227"/>
        <w:contextualSpacing/>
        <w:jc w:val="both"/>
        <w:rPr>
          <w:rFonts w:eastAsia="PingFang TC"/>
          <w:b/>
          <w:bCs/>
          <w:color w:val="000000" w:themeColor="text1"/>
          <w:lang w:val="en-GB"/>
        </w:rPr>
      </w:pPr>
    </w:p>
    <w:p w14:paraId="4E973669" w14:textId="77777777" w:rsidR="00756792" w:rsidRDefault="00756792" w:rsidP="004A6CFA">
      <w:pPr>
        <w:pStyle w:val="NormalWeb"/>
        <w:spacing w:line="360" w:lineRule="auto"/>
        <w:ind w:firstLine="227"/>
        <w:contextualSpacing/>
        <w:jc w:val="both"/>
        <w:rPr>
          <w:rFonts w:eastAsia="PingFang TC"/>
          <w:b/>
          <w:bCs/>
          <w:color w:val="000000" w:themeColor="text1"/>
          <w:lang w:val="en-GB"/>
        </w:rPr>
      </w:pPr>
    </w:p>
    <w:p w14:paraId="1590C799" w14:textId="77777777" w:rsidR="00756792" w:rsidRDefault="00756792" w:rsidP="00756792">
      <w:pPr>
        <w:pStyle w:val="NormalWeb"/>
        <w:spacing w:line="360" w:lineRule="auto"/>
        <w:contextualSpacing/>
        <w:jc w:val="both"/>
        <w:rPr>
          <w:rFonts w:eastAsia="PingFang TC"/>
          <w:b/>
          <w:bCs/>
          <w:color w:val="000000" w:themeColor="text1"/>
          <w:lang w:val="en-GB"/>
        </w:rPr>
      </w:pPr>
    </w:p>
    <w:p w14:paraId="0E6EEB3E" w14:textId="77777777" w:rsidR="00756792" w:rsidRDefault="00756792" w:rsidP="00756792">
      <w:pPr>
        <w:pStyle w:val="NormalWeb"/>
        <w:spacing w:line="360" w:lineRule="auto"/>
        <w:contextualSpacing/>
        <w:jc w:val="both"/>
        <w:rPr>
          <w:rFonts w:eastAsia="PingFang TC"/>
          <w:b/>
          <w:bCs/>
          <w:color w:val="000000" w:themeColor="text1"/>
          <w:lang w:val="en-GB"/>
        </w:rPr>
      </w:pPr>
    </w:p>
    <w:p w14:paraId="426DA505" w14:textId="77777777" w:rsidR="00756792" w:rsidRDefault="00756792" w:rsidP="00756792">
      <w:pPr>
        <w:pStyle w:val="NormalWeb"/>
        <w:spacing w:line="360" w:lineRule="auto"/>
        <w:contextualSpacing/>
        <w:jc w:val="both"/>
        <w:rPr>
          <w:rFonts w:eastAsia="PingFang TC"/>
          <w:b/>
          <w:bCs/>
          <w:color w:val="000000" w:themeColor="text1"/>
          <w:lang w:val="en-GB"/>
        </w:rPr>
      </w:pPr>
    </w:p>
    <w:p w14:paraId="274CFC61" w14:textId="77777777" w:rsidR="00756792" w:rsidRDefault="00756792" w:rsidP="00756792">
      <w:pPr>
        <w:pStyle w:val="NormalWeb"/>
        <w:spacing w:line="360" w:lineRule="auto"/>
        <w:contextualSpacing/>
        <w:jc w:val="both"/>
        <w:rPr>
          <w:rFonts w:eastAsia="PingFang TC"/>
          <w:b/>
          <w:bCs/>
          <w:color w:val="000000" w:themeColor="text1"/>
          <w:lang w:val="en-GB"/>
        </w:rPr>
      </w:pPr>
    </w:p>
    <w:p w14:paraId="3A10257D" w14:textId="77777777" w:rsidR="00756792" w:rsidRDefault="00756792" w:rsidP="00756792">
      <w:pPr>
        <w:pStyle w:val="NormalWeb"/>
        <w:spacing w:line="360" w:lineRule="auto"/>
        <w:contextualSpacing/>
        <w:jc w:val="both"/>
        <w:rPr>
          <w:rFonts w:eastAsia="PingFang TC"/>
          <w:b/>
          <w:bCs/>
          <w:color w:val="000000" w:themeColor="text1"/>
          <w:lang w:val="en-GB"/>
        </w:rPr>
      </w:pPr>
    </w:p>
    <w:p w14:paraId="4443C48F" w14:textId="77777777" w:rsidR="00756792" w:rsidRDefault="00756792" w:rsidP="00756792">
      <w:pPr>
        <w:pStyle w:val="NormalWeb"/>
        <w:spacing w:line="360" w:lineRule="auto"/>
        <w:contextualSpacing/>
        <w:jc w:val="both"/>
        <w:rPr>
          <w:rFonts w:eastAsia="PingFang TC"/>
          <w:b/>
          <w:bCs/>
          <w:color w:val="000000" w:themeColor="text1"/>
          <w:lang w:val="en-GB"/>
        </w:rPr>
      </w:pPr>
    </w:p>
    <w:p w14:paraId="688AD7A4" w14:textId="77777777" w:rsidR="00756792" w:rsidRDefault="00756792" w:rsidP="00756792">
      <w:pPr>
        <w:pStyle w:val="NormalWeb"/>
        <w:spacing w:line="360" w:lineRule="auto"/>
        <w:contextualSpacing/>
        <w:jc w:val="both"/>
        <w:rPr>
          <w:rFonts w:eastAsia="PingFang TC"/>
          <w:b/>
          <w:bCs/>
          <w:color w:val="000000" w:themeColor="text1"/>
          <w:lang w:val="en-GB"/>
        </w:rPr>
      </w:pPr>
    </w:p>
    <w:p w14:paraId="08169AB7" w14:textId="77777777" w:rsidR="00756792" w:rsidRDefault="00756792" w:rsidP="00756792">
      <w:pPr>
        <w:pStyle w:val="NormalWeb"/>
        <w:spacing w:line="360" w:lineRule="auto"/>
        <w:contextualSpacing/>
        <w:jc w:val="both"/>
        <w:rPr>
          <w:rFonts w:eastAsia="PingFang TC"/>
          <w:b/>
          <w:bCs/>
          <w:color w:val="000000" w:themeColor="text1"/>
          <w:lang w:val="en-GB"/>
        </w:rPr>
      </w:pPr>
    </w:p>
    <w:p w14:paraId="5C3FFC24" w14:textId="77777777" w:rsidR="00756792" w:rsidRDefault="00756792" w:rsidP="00756792">
      <w:pPr>
        <w:pStyle w:val="NormalWeb"/>
        <w:spacing w:line="360" w:lineRule="auto"/>
        <w:contextualSpacing/>
        <w:jc w:val="both"/>
        <w:rPr>
          <w:rFonts w:eastAsia="PingFang TC"/>
          <w:b/>
          <w:bCs/>
          <w:color w:val="000000" w:themeColor="text1"/>
          <w:lang w:val="en-GB"/>
        </w:rPr>
      </w:pPr>
    </w:p>
    <w:p w14:paraId="575E533F" w14:textId="77777777" w:rsidR="00756792" w:rsidRDefault="00756792" w:rsidP="00756792">
      <w:pPr>
        <w:pStyle w:val="NormalWeb"/>
        <w:spacing w:line="360" w:lineRule="auto"/>
        <w:contextualSpacing/>
        <w:jc w:val="both"/>
        <w:rPr>
          <w:rFonts w:eastAsia="PingFang TC"/>
          <w:b/>
          <w:bCs/>
          <w:color w:val="000000" w:themeColor="text1"/>
          <w:lang w:val="en-GB"/>
        </w:rPr>
      </w:pPr>
    </w:p>
    <w:p w14:paraId="6BDB6F7F" w14:textId="77777777" w:rsidR="00756792" w:rsidRDefault="00756792" w:rsidP="00756792">
      <w:pPr>
        <w:pStyle w:val="NormalWeb"/>
        <w:spacing w:line="360" w:lineRule="auto"/>
        <w:contextualSpacing/>
        <w:jc w:val="both"/>
        <w:rPr>
          <w:rFonts w:eastAsia="PingFang TC"/>
          <w:b/>
          <w:bCs/>
          <w:color w:val="000000" w:themeColor="text1"/>
          <w:lang w:val="en-GB"/>
        </w:rPr>
      </w:pPr>
    </w:p>
    <w:p w14:paraId="4AC20B6D" w14:textId="77777777" w:rsidR="00756792" w:rsidRDefault="00756792" w:rsidP="00756792">
      <w:pPr>
        <w:pStyle w:val="NormalWeb"/>
        <w:spacing w:line="360" w:lineRule="auto"/>
        <w:contextualSpacing/>
        <w:jc w:val="both"/>
        <w:rPr>
          <w:rFonts w:eastAsia="PingFang TC"/>
          <w:b/>
          <w:bCs/>
          <w:color w:val="000000" w:themeColor="text1"/>
          <w:lang w:val="en-GB"/>
        </w:rPr>
      </w:pPr>
    </w:p>
    <w:p w14:paraId="149801B2" w14:textId="5EC1C57C" w:rsidR="00A2377D" w:rsidRPr="00756792" w:rsidRDefault="00B61730" w:rsidP="00756792">
      <w:pPr>
        <w:pStyle w:val="NormalWeb"/>
        <w:spacing w:line="360" w:lineRule="auto"/>
        <w:contextualSpacing/>
        <w:jc w:val="both"/>
        <w:rPr>
          <w:b/>
          <w:bCs/>
          <w:lang w:val="en-GB"/>
        </w:rPr>
      </w:pPr>
      <w:r w:rsidRPr="00756792">
        <w:rPr>
          <w:rFonts w:eastAsia="PingFang TC"/>
          <w:b/>
          <w:bCs/>
          <w:color w:val="000000" w:themeColor="text1"/>
          <w:lang w:val="en-GB"/>
        </w:rPr>
        <w:lastRenderedPageBreak/>
        <w:t>Reference</w:t>
      </w:r>
    </w:p>
    <w:p w14:paraId="2685C95B" w14:textId="77777777" w:rsidR="00A2377D" w:rsidRPr="00756792" w:rsidRDefault="00B61730" w:rsidP="004A6CFA">
      <w:pPr>
        <w:pStyle w:val="ListParagraph"/>
        <w:numPr>
          <w:ilvl w:val="0"/>
          <w:numId w:val="9"/>
        </w:numPr>
        <w:spacing w:line="360" w:lineRule="auto"/>
        <w:jc w:val="both"/>
        <w:rPr>
          <w:sz w:val="24"/>
          <w:szCs w:val="24"/>
        </w:rPr>
      </w:pPr>
      <w:r w:rsidRPr="00756792">
        <w:rPr>
          <w:color w:val="222222"/>
          <w:sz w:val="24"/>
          <w:szCs w:val="24"/>
          <w:shd w:val="clear" w:color="auto" w:fill="FFFFFF"/>
        </w:rPr>
        <w:t>Andrews, L., 2006. </w:t>
      </w:r>
      <w:r w:rsidRPr="00756792">
        <w:rPr>
          <w:i/>
          <w:iCs/>
          <w:color w:val="222222"/>
          <w:sz w:val="24"/>
          <w:szCs w:val="24"/>
        </w:rPr>
        <w:t>Language exploration and awareness: A resource book for teachers</w:t>
      </w:r>
      <w:r w:rsidRPr="00756792">
        <w:rPr>
          <w:color w:val="222222"/>
          <w:sz w:val="24"/>
          <w:szCs w:val="24"/>
          <w:shd w:val="clear" w:color="auto" w:fill="FFFFFF"/>
        </w:rPr>
        <w:t>. Psychology Press.</w:t>
      </w:r>
    </w:p>
    <w:p w14:paraId="758A6AAB" w14:textId="77777777" w:rsidR="00A2377D" w:rsidRPr="00756792" w:rsidRDefault="00B61730" w:rsidP="004A6CFA">
      <w:pPr>
        <w:pStyle w:val="ListParagraph"/>
        <w:numPr>
          <w:ilvl w:val="0"/>
          <w:numId w:val="9"/>
        </w:numPr>
        <w:spacing w:line="360" w:lineRule="auto"/>
        <w:jc w:val="both"/>
        <w:rPr>
          <w:color w:val="000000" w:themeColor="text1"/>
          <w:sz w:val="24"/>
          <w:szCs w:val="24"/>
        </w:rPr>
      </w:pPr>
      <w:r w:rsidRPr="00756792">
        <w:rPr>
          <w:color w:val="000000" w:themeColor="text1"/>
          <w:sz w:val="24"/>
          <w:szCs w:val="24"/>
          <w:shd w:val="clear" w:color="auto" w:fill="FFFFFF"/>
        </w:rPr>
        <w:t>Ashcroft, B., Griffiths, G. and Tiffin, H., 2003.</w:t>
      </w:r>
      <w:r w:rsidRPr="00756792">
        <w:rPr>
          <w:rStyle w:val="apple-converted-space"/>
          <w:color w:val="000000" w:themeColor="text1"/>
          <w:sz w:val="24"/>
          <w:szCs w:val="24"/>
          <w:shd w:val="clear" w:color="auto" w:fill="FFFFFF"/>
        </w:rPr>
        <w:t> </w:t>
      </w:r>
      <w:r w:rsidRPr="00756792">
        <w:rPr>
          <w:i/>
          <w:iCs/>
          <w:color w:val="000000" w:themeColor="text1"/>
          <w:sz w:val="24"/>
          <w:szCs w:val="24"/>
        </w:rPr>
        <w:t>The empire writes back: Theory and practice in postcolonial literatures</w:t>
      </w:r>
      <w:r w:rsidRPr="00756792">
        <w:rPr>
          <w:color w:val="000000" w:themeColor="text1"/>
          <w:sz w:val="24"/>
          <w:szCs w:val="24"/>
          <w:shd w:val="clear" w:color="auto" w:fill="FFFFFF"/>
        </w:rPr>
        <w:t>. Routledge.</w:t>
      </w:r>
    </w:p>
    <w:p w14:paraId="5A2B0E51" w14:textId="77777777" w:rsidR="00A2377D" w:rsidRPr="00756792" w:rsidRDefault="00B61730" w:rsidP="004A6CFA">
      <w:pPr>
        <w:pStyle w:val="ListParagraph"/>
        <w:numPr>
          <w:ilvl w:val="0"/>
          <w:numId w:val="9"/>
        </w:numPr>
        <w:spacing w:line="360" w:lineRule="auto"/>
        <w:jc w:val="both"/>
        <w:rPr>
          <w:sz w:val="24"/>
          <w:szCs w:val="24"/>
        </w:rPr>
      </w:pPr>
      <w:r w:rsidRPr="00756792">
        <w:rPr>
          <w:color w:val="222222"/>
          <w:sz w:val="24"/>
          <w:szCs w:val="24"/>
          <w:shd w:val="clear" w:color="auto" w:fill="FFFFFF"/>
        </w:rPr>
        <w:t>Bolton, K. and Kwok, H., 1990. The dynamics of the Hong Kong accent: Social identity and sociolinguistic description. </w:t>
      </w:r>
      <w:r w:rsidRPr="00756792">
        <w:rPr>
          <w:i/>
          <w:iCs/>
          <w:color w:val="222222"/>
          <w:sz w:val="24"/>
          <w:szCs w:val="24"/>
        </w:rPr>
        <w:t>Journal of Asian Pacific Communication</w:t>
      </w:r>
      <w:r w:rsidRPr="00756792">
        <w:rPr>
          <w:color w:val="222222"/>
          <w:sz w:val="24"/>
          <w:szCs w:val="24"/>
          <w:shd w:val="clear" w:color="auto" w:fill="FFFFFF"/>
        </w:rPr>
        <w:t>, </w:t>
      </w:r>
      <w:r w:rsidRPr="00756792">
        <w:rPr>
          <w:i/>
          <w:iCs/>
          <w:color w:val="222222"/>
          <w:sz w:val="24"/>
          <w:szCs w:val="24"/>
        </w:rPr>
        <w:t>1</w:t>
      </w:r>
      <w:r w:rsidRPr="00756792">
        <w:rPr>
          <w:color w:val="222222"/>
          <w:sz w:val="24"/>
          <w:szCs w:val="24"/>
          <w:shd w:val="clear" w:color="auto" w:fill="FFFFFF"/>
        </w:rPr>
        <w:t>(1), pp.147-172.</w:t>
      </w:r>
    </w:p>
    <w:p w14:paraId="40D11E5B" w14:textId="77777777" w:rsidR="00A2377D" w:rsidRPr="00756792" w:rsidRDefault="00B61730" w:rsidP="004A6CFA">
      <w:pPr>
        <w:pStyle w:val="ListParagraph"/>
        <w:numPr>
          <w:ilvl w:val="0"/>
          <w:numId w:val="9"/>
        </w:numPr>
        <w:spacing w:line="360" w:lineRule="auto"/>
        <w:jc w:val="both"/>
        <w:rPr>
          <w:color w:val="000000" w:themeColor="text1"/>
          <w:sz w:val="24"/>
          <w:szCs w:val="24"/>
        </w:rPr>
      </w:pPr>
      <w:r w:rsidRPr="00756792">
        <w:rPr>
          <w:color w:val="000000" w:themeColor="text1"/>
          <w:sz w:val="24"/>
          <w:szCs w:val="24"/>
          <w:shd w:val="clear" w:color="auto" w:fill="FFFFFF"/>
        </w:rPr>
        <w:t>Borlongan, A.M., 2016. Relocating Philippine English in Schneider’s dynamic model.</w:t>
      </w:r>
      <w:r w:rsidRPr="00756792">
        <w:rPr>
          <w:rStyle w:val="apple-converted-space"/>
          <w:color w:val="000000" w:themeColor="text1"/>
          <w:sz w:val="24"/>
          <w:szCs w:val="24"/>
          <w:shd w:val="clear" w:color="auto" w:fill="FFFFFF"/>
        </w:rPr>
        <w:t> </w:t>
      </w:r>
      <w:r w:rsidRPr="00756792">
        <w:rPr>
          <w:i/>
          <w:iCs/>
          <w:color w:val="000000" w:themeColor="text1"/>
          <w:sz w:val="24"/>
          <w:szCs w:val="24"/>
        </w:rPr>
        <w:t>Asian Englishes</w:t>
      </w:r>
      <w:r w:rsidRPr="00756792">
        <w:rPr>
          <w:color w:val="000000" w:themeColor="text1"/>
          <w:sz w:val="24"/>
          <w:szCs w:val="24"/>
          <w:shd w:val="clear" w:color="auto" w:fill="FFFFFF"/>
        </w:rPr>
        <w:t>,</w:t>
      </w:r>
      <w:r w:rsidRPr="00756792">
        <w:rPr>
          <w:rStyle w:val="apple-converted-space"/>
          <w:color w:val="000000" w:themeColor="text1"/>
          <w:sz w:val="24"/>
          <w:szCs w:val="24"/>
          <w:shd w:val="clear" w:color="auto" w:fill="FFFFFF"/>
        </w:rPr>
        <w:t> </w:t>
      </w:r>
      <w:r w:rsidRPr="00756792">
        <w:rPr>
          <w:i/>
          <w:iCs/>
          <w:color w:val="000000" w:themeColor="text1"/>
          <w:sz w:val="24"/>
          <w:szCs w:val="24"/>
        </w:rPr>
        <w:t>18</w:t>
      </w:r>
      <w:r w:rsidRPr="00756792">
        <w:rPr>
          <w:color w:val="000000" w:themeColor="text1"/>
          <w:sz w:val="24"/>
          <w:szCs w:val="24"/>
          <w:shd w:val="clear" w:color="auto" w:fill="FFFFFF"/>
        </w:rPr>
        <w:t>(3), pp.232-241.</w:t>
      </w:r>
    </w:p>
    <w:p w14:paraId="3186563C" w14:textId="77777777" w:rsidR="00A2377D" w:rsidRPr="00756792" w:rsidRDefault="00B61730" w:rsidP="004A6CFA">
      <w:pPr>
        <w:pStyle w:val="NormalWeb"/>
        <w:numPr>
          <w:ilvl w:val="0"/>
          <w:numId w:val="9"/>
        </w:numPr>
        <w:spacing w:line="360" w:lineRule="auto"/>
        <w:contextualSpacing/>
        <w:jc w:val="both"/>
        <w:rPr>
          <w:color w:val="000000" w:themeColor="text1"/>
          <w:shd w:val="clear" w:color="auto" w:fill="FFFFFF"/>
          <w:lang w:val="en-GB"/>
        </w:rPr>
      </w:pPr>
      <w:r w:rsidRPr="00756792">
        <w:rPr>
          <w:color w:val="000000" w:themeColor="text1"/>
          <w:shd w:val="clear" w:color="auto" w:fill="FFFFFF"/>
          <w:lang w:val="en-GB"/>
        </w:rPr>
        <w:t>Crystal, D., 2011. </w:t>
      </w:r>
      <w:r w:rsidRPr="00756792">
        <w:rPr>
          <w:i/>
          <w:iCs/>
          <w:color w:val="000000" w:themeColor="text1"/>
          <w:lang w:val="en-GB"/>
        </w:rPr>
        <w:t>A dictionary of linguistics and phonetics</w:t>
      </w:r>
      <w:r w:rsidRPr="00756792">
        <w:rPr>
          <w:color w:val="000000" w:themeColor="text1"/>
          <w:shd w:val="clear" w:color="auto" w:fill="FFFFFF"/>
          <w:lang w:val="en-GB"/>
        </w:rPr>
        <w:t> (Vol. 30). John Wiley &amp; Sons.</w:t>
      </w:r>
    </w:p>
    <w:p w14:paraId="09A71916" w14:textId="77777777" w:rsidR="00A2377D" w:rsidRPr="00756792" w:rsidRDefault="00B61730" w:rsidP="004A6CFA">
      <w:pPr>
        <w:pStyle w:val="ListParagraph"/>
        <w:numPr>
          <w:ilvl w:val="0"/>
          <w:numId w:val="9"/>
        </w:numPr>
        <w:spacing w:line="360" w:lineRule="auto"/>
        <w:jc w:val="both"/>
        <w:rPr>
          <w:sz w:val="24"/>
          <w:szCs w:val="24"/>
        </w:rPr>
      </w:pPr>
      <w:r w:rsidRPr="00756792">
        <w:rPr>
          <w:color w:val="222222"/>
          <w:sz w:val="24"/>
          <w:szCs w:val="24"/>
          <w:shd w:val="clear" w:color="auto" w:fill="FFFFFF"/>
        </w:rPr>
        <w:t>Fabricius, A., 2002. Ongoing change in modern RP: Evidence for the disappearing stigma of t-glottalling. </w:t>
      </w:r>
      <w:r w:rsidRPr="00756792">
        <w:rPr>
          <w:i/>
          <w:iCs/>
          <w:color w:val="222222"/>
          <w:sz w:val="24"/>
          <w:szCs w:val="24"/>
        </w:rPr>
        <w:t>English world-wide</w:t>
      </w:r>
      <w:r w:rsidRPr="00756792">
        <w:rPr>
          <w:color w:val="222222"/>
          <w:sz w:val="24"/>
          <w:szCs w:val="24"/>
          <w:shd w:val="clear" w:color="auto" w:fill="FFFFFF"/>
        </w:rPr>
        <w:t>, </w:t>
      </w:r>
      <w:r w:rsidRPr="00756792">
        <w:rPr>
          <w:i/>
          <w:iCs/>
          <w:color w:val="222222"/>
          <w:sz w:val="24"/>
          <w:szCs w:val="24"/>
        </w:rPr>
        <w:t>23</w:t>
      </w:r>
      <w:r w:rsidRPr="00756792">
        <w:rPr>
          <w:color w:val="222222"/>
          <w:sz w:val="24"/>
          <w:szCs w:val="24"/>
          <w:shd w:val="clear" w:color="auto" w:fill="FFFFFF"/>
        </w:rPr>
        <w:t>(1), pp.115-136.</w:t>
      </w:r>
    </w:p>
    <w:p w14:paraId="6A7A19EF" w14:textId="77777777" w:rsidR="00A2377D" w:rsidRPr="00756792" w:rsidRDefault="00B61730" w:rsidP="004A6CFA">
      <w:pPr>
        <w:pStyle w:val="ListParagraph"/>
        <w:numPr>
          <w:ilvl w:val="0"/>
          <w:numId w:val="9"/>
        </w:numPr>
        <w:spacing w:line="360" w:lineRule="auto"/>
        <w:jc w:val="both"/>
        <w:rPr>
          <w:color w:val="000000" w:themeColor="text1"/>
          <w:sz w:val="24"/>
          <w:szCs w:val="24"/>
        </w:rPr>
      </w:pPr>
      <w:r w:rsidRPr="00756792">
        <w:rPr>
          <w:color w:val="000000" w:themeColor="text1"/>
          <w:sz w:val="24"/>
          <w:szCs w:val="24"/>
          <w:shd w:val="clear" w:color="auto" w:fill="FFFFFF"/>
        </w:rPr>
        <w:t>Ferguson, C.A., 1959. Diglossia.</w:t>
      </w:r>
      <w:r w:rsidRPr="00756792">
        <w:rPr>
          <w:rStyle w:val="apple-converted-space"/>
          <w:color w:val="000000" w:themeColor="text1"/>
          <w:sz w:val="24"/>
          <w:szCs w:val="24"/>
          <w:shd w:val="clear" w:color="auto" w:fill="FFFFFF"/>
        </w:rPr>
        <w:t> </w:t>
      </w:r>
      <w:r w:rsidRPr="00756792">
        <w:rPr>
          <w:i/>
          <w:iCs/>
          <w:color w:val="000000" w:themeColor="text1"/>
          <w:sz w:val="24"/>
          <w:szCs w:val="24"/>
        </w:rPr>
        <w:t>word</w:t>
      </w:r>
      <w:r w:rsidRPr="00756792">
        <w:rPr>
          <w:color w:val="000000" w:themeColor="text1"/>
          <w:sz w:val="24"/>
          <w:szCs w:val="24"/>
          <w:shd w:val="clear" w:color="auto" w:fill="FFFFFF"/>
        </w:rPr>
        <w:t>,</w:t>
      </w:r>
      <w:r w:rsidRPr="00756792">
        <w:rPr>
          <w:rStyle w:val="apple-converted-space"/>
          <w:color w:val="000000" w:themeColor="text1"/>
          <w:sz w:val="24"/>
          <w:szCs w:val="24"/>
          <w:shd w:val="clear" w:color="auto" w:fill="FFFFFF"/>
        </w:rPr>
        <w:t> </w:t>
      </w:r>
      <w:r w:rsidRPr="00756792">
        <w:rPr>
          <w:i/>
          <w:iCs/>
          <w:color w:val="000000" w:themeColor="text1"/>
          <w:sz w:val="24"/>
          <w:szCs w:val="24"/>
        </w:rPr>
        <w:t>15</w:t>
      </w:r>
      <w:r w:rsidRPr="00756792">
        <w:rPr>
          <w:color w:val="000000" w:themeColor="text1"/>
          <w:sz w:val="24"/>
          <w:szCs w:val="24"/>
          <w:shd w:val="clear" w:color="auto" w:fill="FFFFFF"/>
        </w:rPr>
        <w:t>(2)</w:t>
      </w:r>
    </w:p>
    <w:p w14:paraId="6941E7D3" w14:textId="77777777" w:rsidR="00A2377D" w:rsidRPr="00756792" w:rsidRDefault="00B61730" w:rsidP="004A6CFA">
      <w:pPr>
        <w:pStyle w:val="ListParagraph"/>
        <w:numPr>
          <w:ilvl w:val="0"/>
          <w:numId w:val="9"/>
        </w:numPr>
        <w:spacing w:line="360" w:lineRule="auto"/>
        <w:jc w:val="both"/>
        <w:rPr>
          <w:sz w:val="24"/>
          <w:szCs w:val="24"/>
        </w:rPr>
      </w:pPr>
      <w:r w:rsidRPr="00756792">
        <w:rPr>
          <w:color w:val="222222"/>
          <w:sz w:val="24"/>
          <w:szCs w:val="24"/>
          <w:shd w:val="clear" w:color="auto" w:fill="FFFFFF"/>
        </w:rPr>
        <w:t>Harrington, J., 2006. An acoustic analysis of ‘happy-tensing’ in the Queen's Christmas broadcasts. </w:t>
      </w:r>
      <w:r w:rsidRPr="00756792">
        <w:rPr>
          <w:i/>
          <w:iCs/>
          <w:color w:val="222222"/>
          <w:sz w:val="24"/>
          <w:szCs w:val="24"/>
        </w:rPr>
        <w:t>Journal of Phonetics</w:t>
      </w:r>
      <w:r w:rsidRPr="00756792">
        <w:rPr>
          <w:color w:val="222222"/>
          <w:sz w:val="24"/>
          <w:szCs w:val="24"/>
          <w:shd w:val="clear" w:color="auto" w:fill="FFFFFF"/>
        </w:rPr>
        <w:t>, </w:t>
      </w:r>
      <w:r w:rsidRPr="00756792">
        <w:rPr>
          <w:i/>
          <w:iCs/>
          <w:color w:val="222222"/>
          <w:sz w:val="24"/>
          <w:szCs w:val="24"/>
        </w:rPr>
        <w:t>34</w:t>
      </w:r>
      <w:r w:rsidRPr="00756792">
        <w:rPr>
          <w:color w:val="222222"/>
          <w:sz w:val="24"/>
          <w:szCs w:val="24"/>
          <w:shd w:val="clear" w:color="auto" w:fill="FFFFFF"/>
        </w:rPr>
        <w:t>(4), pp.439-457.</w:t>
      </w:r>
    </w:p>
    <w:p w14:paraId="2067691D" w14:textId="77777777" w:rsidR="00A2377D" w:rsidRPr="00756792" w:rsidRDefault="00B61730" w:rsidP="004A6CFA">
      <w:pPr>
        <w:pStyle w:val="ListParagraph"/>
        <w:numPr>
          <w:ilvl w:val="0"/>
          <w:numId w:val="9"/>
        </w:numPr>
        <w:spacing w:line="360" w:lineRule="auto"/>
        <w:jc w:val="both"/>
        <w:rPr>
          <w:sz w:val="24"/>
          <w:szCs w:val="24"/>
        </w:rPr>
      </w:pPr>
      <w:r w:rsidRPr="00756792">
        <w:rPr>
          <w:color w:val="222222"/>
          <w:sz w:val="24"/>
          <w:szCs w:val="24"/>
          <w:shd w:val="clear" w:color="auto" w:fill="FFFFFF"/>
        </w:rPr>
        <w:t>Harrington, J., 2007. Evidence for a relationship between synchronic variability and diachronic change in the Queen’s annual Christmas broadcasts. </w:t>
      </w:r>
      <w:r w:rsidRPr="00756792">
        <w:rPr>
          <w:i/>
          <w:iCs/>
          <w:color w:val="222222"/>
          <w:sz w:val="24"/>
          <w:szCs w:val="24"/>
        </w:rPr>
        <w:t>Laboratory phonology</w:t>
      </w:r>
      <w:r w:rsidRPr="00756792">
        <w:rPr>
          <w:color w:val="222222"/>
          <w:sz w:val="24"/>
          <w:szCs w:val="24"/>
          <w:shd w:val="clear" w:color="auto" w:fill="FFFFFF"/>
        </w:rPr>
        <w:t>, </w:t>
      </w:r>
      <w:r w:rsidRPr="00756792">
        <w:rPr>
          <w:i/>
          <w:iCs/>
          <w:color w:val="222222"/>
          <w:sz w:val="24"/>
          <w:szCs w:val="24"/>
        </w:rPr>
        <w:t>9</w:t>
      </w:r>
      <w:r w:rsidRPr="00756792">
        <w:rPr>
          <w:color w:val="222222"/>
          <w:sz w:val="24"/>
          <w:szCs w:val="24"/>
          <w:shd w:val="clear" w:color="auto" w:fill="FFFFFF"/>
        </w:rPr>
        <w:t>, pp.125-143.</w:t>
      </w:r>
    </w:p>
    <w:p w14:paraId="3A3840BF" w14:textId="77777777" w:rsidR="00A2377D" w:rsidRPr="00756792" w:rsidRDefault="00B61730" w:rsidP="004A6CFA">
      <w:pPr>
        <w:pStyle w:val="ListParagraph"/>
        <w:numPr>
          <w:ilvl w:val="0"/>
          <w:numId w:val="9"/>
        </w:numPr>
        <w:spacing w:line="360" w:lineRule="auto"/>
        <w:jc w:val="both"/>
        <w:rPr>
          <w:sz w:val="24"/>
          <w:szCs w:val="24"/>
        </w:rPr>
      </w:pPr>
      <w:r w:rsidRPr="00756792">
        <w:rPr>
          <w:color w:val="222222"/>
          <w:sz w:val="24"/>
          <w:szCs w:val="24"/>
          <w:shd w:val="clear" w:color="auto" w:fill="FFFFFF"/>
        </w:rPr>
        <w:t>Harrington, J., Palethorpe, S. and Watson, C.I., 2000. Does the Queen speak the Queen's English? </w:t>
      </w:r>
      <w:r w:rsidRPr="00756792">
        <w:rPr>
          <w:i/>
          <w:iCs/>
          <w:color w:val="222222"/>
          <w:sz w:val="24"/>
          <w:szCs w:val="24"/>
        </w:rPr>
        <w:t>Nature</w:t>
      </w:r>
      <w:r w:rsidRPr="00756792">
        <w:rPr>
          <w:color w:val="222222"/>
          <w:sz w:val="24"/>
          <w:szCs w:val="24"/>
          <w:shd w:val="clear" w:color="auto" w:fill="FFFFFF"/>
        </w:rPr>
        <w:t>, </w:t>
      </w:r>
      <w:r w:rsidRPr="00756792">
        <w:rPr>
          <w:i/>
          <w:iCs/>
          <w:color w:val="222222"/>
          <w:sz w:val="24"/>
          <w:szCs w:val="24"/>
        </w:rPr>
        <w:t>408</w:t>
      </w:r>
      <w:r w:rsidRPr="00756792">
        <w:rPr>
          <w:color w:val="222222"/>
          <w:sz w:val="24"/>
          <w:szCs w:val="24"/>
          <w:shd w:val="clear" w:color="auto" w:fill="FFFFFF"/>
        </w:rPr>
        <w:t>(6815), pp.927-928.</w:t>
      </w:r>
    </w:p>
    <w:p w14:paraId="1B18B69B" w14:textId="77777777" w:rsidR="00A2377D" w:rsidRPr="00756792" w:rsidRDefault="00B61730" w:rsidP="004A6CFA">
      <w:pPr>
        <w:pStyle w:val="ListParagraph"/>
        <w:numPr>
          <w:ilvl w:val="0"/>
          <w:numId w:val="9"/>
        </w:numPr>
        <w:spacing w:line="360" w:lineRule="auto"/>
        <w:jc w:val="both"/>
        <w:rPr>
          <w:color w:val="222222"/>
          <w:sz w:val="24"/>
          <w:szCs w:val="24"/>
          <w:shd w:val="clear" w:color="auto" w:fill="FFFFFF"/>
        </w:rPr>
      </w:pPr>
      <w:r w:rsidRPr="00756792">
        <w:rPr>
          <w:color w:val="222222"/>
          <w:sz w:val="24"/>
          <w:szCs w:val="24"/>
          <w:shd w:val="clear" w:color="auto" w:fill="FFFFFF"/>
        </w:rPr>
        <w:t>Harrington, J., Palethorpe, S. and Watson, C., 2005. Deepening or lessening the divide between diphthongs? An analysis of the Queen’s annual Christmas broadcasts. </w:t>
      </w:r>
      <w:r w:rsidRPr="00756792">
        <w:rPr>
          <w:i/>
          <w:iCs/>
          <w:color w:val="222222"/>
          <w:sz w:val="24"/>
          <w:szCs w:val="24"/>
        </w:rPr>
        <w:t>A figure of speech: A festschrift for John Laver</w:t>
      </w:r>
      <w:r w:rsidRPr="00756792">
        <w:rPr>
          <w:color w:val="222222"/>
          <w:sz w:val="24"/>
          <w:szCs w:val="24"/>
          <w:shd w:val="clear" w:color="auto" w:fill="FFFFFF"/>
        </w:rPr>
        <w:t xml:space="preserve">, pp.227-261. </w:t>
      </w:r>
    </w:p>
    <w:p w14:paraId="1E221C45" w14:textId="77777777" w:rsidR="00A2377D" w:rsidRPr="00756792" w:rsidRDefault="00B61730" w:rsidP="004A6CFA">
      <w:pPr>
        <w:pStyle w:val="ListParagraph"/>
        <w:numPr>
          <w:ilvl w:val="0"/>
          <w:numId w:val="9"/>
        </w:numPr>
        <w:spacing w:line="360" w:lineRule="auto"/>
        <w:jc w:val="both"/>
        <w:rPr>
          <w:color w:val="000000" w:themeColor="text1"/>
          <w:sz w:val="24"/>
          <w:szCs w:val="24"/>
        </w:rPr>
      </w:pPr>
      <w:r w:rsidRPr="00756792">
        <w:rPr>
          <w:color w:val="000000" w:themeColor="text1"/>
          <w:sz w:val="24"/>
          <w:szCs w:val="24"/>
          <w:shd w:val="clear" w:color="auto" w:fill="FFFFFF"/>
        </w:rPr>
        <w:t>Hickey, R., 2012. Standard English and standards of English.</w:t>
      </w:r>
      <w:r w:rsidRPr="00756792">
        <w:rPr>
          <w:rStyle w:val="apple-converted-space"/>
          <w:color w:val="000000" w:themeColor="text1"/>
          <w:sz w:val="24"/>
          <w:szCs w:val="24"/>
          <w:shd w:val="clear" w:color="auto" w:fill="FFFFFF"/>
        </w:rPr>
        <w:t> </w:t>
      </w:r>
      <w:r w:rsidRPr="00756792">
        <w:rPr>
          <w:i/>
          <w:iCs/>
          <w:color w:val="000000" w:themeColor="text1"/>
          <w:sz w:val="24"/>
          <w:szCs w:val="24"/>
        </w:rPr>
        <w:t>Standards of English: Codified varieties around the world</w:t>
      </w:r>
      <w:r w:rsidRPr="00756792">
        <w:rPr>
          <w:color w:val="000000" w:themeColor="text1"/>
          <w:sz w:val="24"/>
          <w:szCs w:val="24"/>
          <w:shd w:val="clear" w:color="auto" w:fill="FFFFFF"/>
        </w:rPr>
        <w:t>, pp.1-33.</w:t>
      </w:r>
    </w:p>
    <w:p w14:paraId="1DA3533E" w14:textId="77777777" w:rsidR="00A2377D" w:rsidRPr="00756792" w:rsidRDefault="00B61730" w:rsidP="004A6CFA">
      <w:pPr>
        <w:pStyle w:val="ListParagraph"/>
        <w:numPr>
          <w:ilvl w:val="0"/>
          <w:numId w:val="9"/>
        </w:numPr>
        <w:spacing w:line="360" w:lineRule="auto"/>
        <w:jc w:val="both"/>
        <w:rPr>
          <w:sz w:val="24"/>
          <w:szCs w:val="24"/>
        </w:rPr>
      </w:pPr>
      <w:r w:rsidRPr="00756792">
        <w:rPr>
          <w:color w:val="222222"/>
          <w:sz w:val="24"/>
          <w:szCs w:val="24"/>
          <w:shd w:val="clear" w:color="auto" w:fill="FFFFFF"/>
        </w:rPr>
        <w:t>Hung, T.T., 2000. Towards a phonology of Hong Kong English. </w:t>
      </w:r>
      <w:r w:rsidRPr="00756792">
        <w:rPr>
          <w:i/>
          <w:iCs/>
          <w:color w:val="222222"/>
          <w:sz w:val="24"/>
          <w:szCs w:val="24"/>
        </w:rPr>
        <w:t>World Englishes</w:t>
      </w:r>
      <w:r w:rsidRPr="00756792">
        <w:rPr>
          <w:color w:val="222222"/>
          <w:sz w:val="24"/>
          <w:szCs w:val="24"/>
          <w:shd w:val="clear" w:color="auto" w:fill="FFFFFF"/>
        </w:rPr>
        <w:t>, </w:t>
      </w:r>
      <w:r w:rsidRPr="00756792">
        <w:rPr>
          <w:i/>
          <w:iCs/>
          <w:color w:val="222222"/>
          <w:sz w:val="24"/>
          <w:szCs w:val="24"/>
        </w:rPr>
        <w:t>19</w:t>
      </w:r>
      <w:r w:rsidRPr="00756792">
        <w:rPr>
          <w:color w:val="222222"/>
          <w:sz w:val="24"/>
          <w:szCs w:val="24"/>
          <w:shd w:val="clear" w:color="auto" w:fill="FFFFFF"/>
        </w:rPr>
        <w:t>(3), pp.337-356.</w:t>
      </w:r>
    </w:p>
    <w:p w14:paraId="1DBD32A3" w14:textId="77777777" w:rsidR="00A2377D" w:rsidRPr="00756792" w:rsidRDefault="00B61730" w:rsidP="004A6CFA">
      <w:pPr>
        <w:pStyle w:val="ListParagraph"/>
        <w:numPr>
          <w:ilvl w:val="0"/>
          <w:numId w:val="9"/>
        </w:numPr>
        <w:spacing w:line="360" w:lineRule="auto"/>
        <w:jc w:val="both"/>
        <w:rPr>
          <w:sz w:val="24"/>
          <w:szCs w:val="24"/>
        </w:rPr>
      </w:pPr>
      <w:r w:rsidRPr="00756792">
        <w:rPr>
          <w:color w:val="222222"/>
          <w:sz w:val="24"/>
          <w:szCs w:val="24"/>
          <w:shd w:val="clear" w:color="auto" w:fill="FFFFFF"/>
        </w:rPr>
        <w:t>Jenkins, J., 2006. Current perspectives on teaching world Englishes and English as a lingua franca. </w:t>
      </w:r>
      <w:r w:rsidRPr="00756792">
        <w:rPr>
          <w:i/>
          <w:iCs/>
          <w:color w:val="222222"/>
          <w:sz w:val="24"/>
          <w:szCs w:val="24"/>
        </w:rPr>
        <w:t>TESOL Quarterly</w:t>
      </w:r>
      <w:r w:rsidRPr="00756792">
        <w:rPr>
          <w:color w:val="222222"/>
          <w:sz w:val="24"/>
          <w:szCs w:val="24"/>
          <w:shd w:val="clear" w:color="auto" w:fill="FFFFFF"/>
        </w:rPr>
        <w:t>, </w:t>
      </w:r>
      <w:r w:rsidRPr="00756792">
        <w:rPr>
          <w:i/>
          <w:iCs/>
          <w:color w:val="222222"/>
          <w:sz w:val="24"/>
          <w:szCs w:val="24"/>
        </w:rPr>
        <w:t>40</w:t>
      </w:r>
      <w:r w:rsidRPr="00756792">
        <w:rPr>
          <w:color w:val="222222"/>
          <w:sz w:val="24"/>
          <w:szCs w:val="24"/>
          <w:shd w:val="clear" w:color="auto" w:fill="FFFFFF"/>
        </w:rPr>
        <w:t>, pp.157-181.</w:t>
      </w:r>
    </w:p>
    <w:p w14:paraId="7E4C6B22" w14:textId="77777777" w:rsidR="00A2377D" w:rsidRPr="00756792" w:rsidRDefault="00B61730" w:rsidP="004A6CFA">
      <w:pPr>
        <w:pStyle w:val="ListParagraph"/>
        <w:numPr>
          <w:ilvl w:val="0"/>
          <w:numId w:val="9"/>
        </w:numPr>
        <w:spacing w:line="360" w:lineRule="auto"/>
        <w:jc w:val="both"/>
        <w:rPr>
          <w:color w:val="000000" w:themeColor="text1"/>
          <w:sz w:val="24"/>
          <w:szCs w:val="24"/>
        </w:rPr>
      </w:pPr>
      <w:r w:rsidRPr="00756792">
        <w:rPr>
          <w:color w:val="000000" w:themeColor="text1"/>
          <w:sz w:val="24"/>
          <w:szCs w:val="24"/>
          <w:shd w:val="clear" w:color="auto" w:fill="FFFFFF"/>
        </w:rPr>
        <w:t>Jiang, X., Jiang, Y. and Hoi, CKW, 2020. Is Queen's English Drifting Towards Common People's English? —Quantifying Diachronic Changes of Queen’s Christmas Messages (1952–2018) with Reference to BNC.</w:t>
      </w:r>
      <w:r w:rsidRPr="00756792">
        <w:rPr>
          <w:rStyle w:val="apple-converted-space"/>
          <w:color w:val="000000" w:themeColor="text1"/>
          <w:sz w:val="24"/>
          <w:szCs w:val="24"/>
          <w:shd w:val="clear" w:color="auto" w:fill="FFFFFF"/>
        </w:rPr>
        <w:t> </w:t>
      </w:r>
      <w:r w:rsidRPr="00756792">
        <w:rPr>
          <w:i/>
          <w:iCs/>
          <w:color w:val="000000" w:themeColor="text1"/>
          <w:sz w:val="24"/>
          <w:szCs w:val="24"/>
        </w:rPr>
        <w:t>Journal of Quantitative Linguistics</w:t>
      </w:r>
      <w:r w:rsidRPr="00756792">
        <w:rPr>
          <w:color w:val="000000" w:themeColor="text1"/>
          <w:sz w:val="24"/>
          <w:szCs w:val="24"/>
          <w:shd w:val="clear" w:color="auto" w:fill="FFFFFF"/>
        </w:rPr>
        <w:t>, pp.1-36.</w:t>
      </w:r>
    </w:p>
    <w:p w14:paraId="54B6E1F9" w14:textId="77777777" w:rsidR="00A2377D" w:rsidRPr="00756792" w:rsidRDefault="00B61730" w:rsidP="004A6CFA">
      <w:pPr>
        <w:pStyle w:val="ListParagraph"/>
        <w:numPr>
          <w:ilvl w:val="0"/>
          <w:numId w:val="9"/>
        </w:numPr>
        <w:spacing w:line="360" w:lineRule="auto"/>
        <w:jc w:val="both"/>
        <w:rPr>
          <w:sz w:val="24"/>
          <w:szCs w:val="24"/>
        </w:rPr>
      </w:pPr>
      <w:r w:rsidRPr="00756792">
        <w:rPr>
          <w:color w:val="222222"/>
          <w:sz w:val="24"/>
          <w:szCs w:val="24"/>
          <w:shd w:val="clear" w:color="auto" w:fill="FFFFFF"/>
        </w:rPr>
        <w:t>Johnson, S. and Malone, E., 1755. </w:t>
      </w:r>
      <w:r w:rsidRPr="00756792">
        <w:rPr>
          <w:i/>
          <w:iCs/>
          <w:color w:val="222222"/>
          <w:sz w:val="24"/>
          <w:szCs w:val="24"/>
        </w:rPr>
        <w:t>A Dictionary of the English Language... The Second Edition</w:t>
      </w:r>
      <w:r w:rsidRPr="00756792">
        <w:rPr>
          <w:color w:val="222222"/>
          <w:sz w:val="24"/>
          <w:szCs w:val="24"/>
          <w:shd w:val="clear" w:color="auto" w:fill="FFFFFF"/>
        </w:rPr>
        <w:t>. J. &amp; P. Knapton.</w:t>
      </w:r>
    </w:p>
    <w:p w14:paraId="0707F995" w14:textId="77777777" w:rsidR="00A2377D" w:rsidRPr="00756792" w:rsidRDefault="00B61730" w:rsidP="004A6CFA">
      <w:pPr>
        <w:pStyle w:val="ListParagraph"/>
        <w:numPr>
          <w:ilvl w:val="0"/>
          <w:numId w:val="9"/>
        </w:numPr>
        <w:spacing w:line="360" w:lineRule="auto"/>
        <w:jc w:val="both"/>
        <w:rPr>
          <w:sz w:val="24"/>
          <w:szCs w:val="24"/>
        </w:rPr>
      </w:pPr>
      <w:r w:rsidRPr="00756792">
        <w:rPr>
          <w:color w:val="222222"/>
          <w:sz w:val="24"/>
          <w:szCs w:val="24"/>
          <w:shd w:val="clear" w:color="auto" w:fill="FFFFFF"/>
        </w:rPr>
        <w:lastRenderedPageBreak/>
        <w:t>Kachru, B.B., 1985. The bilinguals' creativity. </w:t>
      </w:r>
      <w:r w:rsidRPr="00756792">
        <w:rPr>
          <w:i/>
          <w:iCs/>
          <w:color w:val="222222"/>
          <w:sz w:val="24"/>
          <w:szCs w:val="24"/>
        </w:rPr>
        <w:t>Annual Review of Applied Linguistics</w:t>
      </w:r>
      <w:r w:rsidRPr="00756792">
        <w:rPr>
          <w:color w:val="222222"/>
          <w:sz w:val="24"/>
          <w:szCs w:val="24"/>
          <w:shd w:val="clear" w:color="auto" w:fill="FFFFFF"/>
        </w:rPr>
        <w:t>, </w:t>
      </w:r>
      <w:r w:rsidRPr="00756792">
        <w:rPr>
          <w:i/>
          <w:iCs/>
          <w:color w:val="222222"/>
          <w:sz w:val="24"/>
          <w:szCs w:val="24"/>
        </w:rPr>
        <w:t>6</w:t>
      </w:r>
      <w:r w:rsidRPr="00756792">
        <w:rPr>
          <w:color w:val="222222"/>
          <w:sz w:val="24"/>
          <w:szCs w:val="24"/>
          <w:shd w:val="clear" w:color="auto" w:fill="FFFFFF"/>
        </w:rPr>
        <w:t>, pp.20-33.</w:t>
      </w:r>
    </w:p>
    <w:p w14:paraId="57FE80B9" w14:textId="77777777" w:rsidR="00A2377D" w:rsidRPr="00756792" w:rsidRDefault="00B61730" w:rsidP="004A6CFA">
      <w:pPr>
        <w:pStyle w:val="ListParagraph"/>
        <w:numPr>
          <w:ilvl w:val="0"/>
          <w:numId w:val="9"/>
        </w:numPr>
        <w:spacing w:line="360" w:lineRule="auto"/>
        <w:jc w:val="both"/>
        <w:rPr>
          <w:sz w:val="24"/>
          <w:szCs w:val="24"/>
        </w:rPr>
      </w:pPr>
      <w:r w:rsidRPr="00756792">
        <w:rPr>
          <w:color w:val="222222"/>
          <w:sz w:val="24"/>
          <w:szCs w:val="24"/>
          <w:shd w:val="clear" w:color="auto" w:fill="FFFFFF"/>
        </w:rPr>
        <w:t>Luke, K.K. and Richards, J.C., 1982. English in Hong Kong: functions and status. </w:t>
      </w:r>
      <w:r w:rsidRPr="00756792">
        <w:rPr>
          <w:i/>
          <w:iCs/>
          <w:color w:val="222222"/>
          <w:sz w:val="24"/>
          <w:szCs w:val="24"/>
        </w:rPr>
        <w:t>English World-Wide</w:t>
      </w:r>
      <w:r w:rsidRPr="00756792">
        <w:rPr>
          <w:color w:val="222222"/>
          <w:sz w:val="24"/>
          <w:szCs w:val="24"/>
          <w:shd w:val="clear" w:color="auto" w:fill="FFFFFF"/>
        </w:rPr>
        <w:t>, </w:t>
      </w:r>
      <w:r w:rsidRPr="00756792">
        <w:rPr>
          <w:i/>
          <w:iCs/>
          <w:color w:val="222222"/>
          <w:sz w:val="24"/>
          <w:szCs w:val="24"/>
        </w:rPr>
        <w:t>3</w:t>
      </w:r>
      <w:r w:rsidRPr="00756792">
        <w:rPr>
          <w:color w:val="222222"/>
          <w:sz w:val="24"/>
          <w:szCs w:val="24"/>
          <w:shd w:val="clear" w:color="auto" w:fill="FFFFFF"/>
        </w:rPr>
        <w:t>(1), pp.47-64.</w:t>
      </w:r>
    </w:p>
    <w:p w14:paraId="599D30DE" w14:textId="77777777" w:rsidR="00A2377D" w:rsidRPr="00756792" w:rsidRDefault="00B61730" w:rsidP="004A6CFA">
      <w:pPr>
        <w:pStyle w:val="ListParagraph"/>
        <w:numPr>
          <w:ilvl w:val="0"/>
          <w:numId w:val="9"/>
        </w:numPr>
        <w:spacing w:line="360" w:lineRule="auto"/>
        <w:jc w:val="both"/>
        <w:rPr>
          <w:color w:val="000000" w:themeColor="text1"/>
          <w:sz w:val="24"/>
          <w:szCs w:val="24"/>
        </w:rPr>
      </w:pPr>
      <w:r w:rsidRPr="00756792">
        <w:rPr>
          <w:color w:val="000000" w:themeColor="text1"/>
          <w:sz w:val="24"/>
          <w:szCs w:val="24"/>
          <w:shd w:val="clear" w:color="auto" w:fill="FFFFFF"/>
        </w:rPr>
        <w:t>Peng, L. and Setter, J., 2000. The emergence of systematicity in the English pronunciations of two Cantonese-speaking adults in Hong Kong.</w:t>
      </w:r>
      <w:r w:rsidRPr="00756792">
        <w:rPr>
          <w:rStyle w:val="apple-converted-space"/>
          <w:color w:val="000000" w:themeColor="text1"/>
          <w:sz w:val="24"/>
          <w:szCs w:val="24"/>
          <w:shd w:val="clear" w:color="auto" w:fill="FFFFFF"/>
        </w:rPr>
        <w:t> </w:t>
      </w:r>
      <w:r w:rsidRPr="00756792">
        <w:rPr>
          <w:i/>
          <w:iCs/>
          <w:color w:val="000000" w:themeColor="text1"/>
          <w:sz w:val="24"/>
          <w:szCs w:val="24"/>
        </w:rPr>
        <w:t>English World-Wide</w:t>
      </w:r>
      <w:r w:rsidRPr="00756792">
        <w:rPr>
          <w:color w:val="000000" w:themeColor="text1"/>
          <w:sz w:val="24"/>
          <w:szCs w:val="24"/>
          <w:shd w:val="clear" w:color="auto" w:fill="FFFFFF"/>
        </w:rPr>
        <w:t>,</w:t>
      </w:r>
      <w:r w:rsidRPr="00756792">
        <w:rPr>
          <w:rStyle w:val="apple-converted-space"/>
          <w:color w:val="000000" w:themeColor="text1"/>
          <w:sz w:val="24"/>
          <w:szCs w:val="24"/>
          <w:shd w:val="clear" w:color="auto" w:fill="FFFFFF"/>
        </w:rPr>
        <w:t> </w:t>
      </w:r>
      <w:r w:rsidRPr="00756792">
        <w:rPr>
          <w:i/>
          <w:iCs/>
          <w:color w:val="000000" w:themeColor="text1"/>
          <w:sz w:val="24"/>
          <w:szCs w:val="24"/>
        </w:rPr>
        <w:t>21</w:t>
      </w:r>
      <w:r w:rsidRPr="00756792">
        <w:rPr>
          <w:color w:val="000000" w:themeColor="text1"/>
          <w:sz w:val="24"/>
          <w:szCs w:val="24"/>
          <w:shd w:val="clear" w:color="auto" w:fill="FFFFFF"/>
        </w:rPr>
        <w:t>(1), pp.81-108.</w:t>
      </w:r>
    </w:p>
    <w:p w14:paraId="7E68918E" w14:textId="77777777" w:rsidR="00A2377D" w:rsidRPr="00756792" w:rsidRDefault="00B61730" w:rsidP="004A6CFA">
      <w:pPr>
        <w:pStyle w:val="ListParagraph"/>
        <w:numPr>
          <w:ilvl w:val="0"/>
          <w:numId w:val="9"/>
        </w:numPr>
        <w:spacing w:before="100" w:beforeAutospacing="1" w:after="100" w:afterAutospacing="1" w:line="360" w:lineRule="auto"/>
        <w:jc w:val="both"/>
        <w:rPr>
          <w:sz w:val="24"/>
          <w:szCs w:val="24"/>
        </w:rPr>
      </w:pPr>
      <w:r w:rsidRPr="00756792">
        <w:rPr>
          <w:sz w:val="24"/>
          <w:szCs w:val="24"/>
        </w:rPr>
        <w:t xml:space="preserve">Schneider, Edgar W. 2003a. ‘The dynamics of New Englishes: From identity construction to dialect birth’, </w:t>
      </w:r>
      <w:r w:rsidRPr="00756792">
        <w:rPr>
          <w:i/>
          <w:iCs/>
          <w:sz w:val="24"/>
          <w:szCs w:val="24"/>
        </w:rPr>
        <w:t>Language</w:t>
      </w:r>
      <w:r w:rsidRPr="00756792">
        <w:rPr>
          <w:sz w:val="24"/>
          <w:szCs w:val="24"/>
        </w:rPr>
        <w:t xml:space="preserve"> 79.2: 233-281</w:t>
      </w:r>
    </w:p>
    <w:p w14:paraId="0CA4FDC8" w14:textId="77777777" w:rsidR="00A2377D" w:rsidRPr="00756792" w:rsidRDefault="00B61730" w:rsidP="004A6CFA">
      <w:pPr>
        <w:pStyle w:val="ListParagraph"/>
        <w:numPr>
          <w:ilvl w:val="0"/>
          <w:numId w:val="9"/>
        </w:numPr>
        <w:spacing w:line="360" w:lineRule="auto"/>
        <w:jc w:val="both"/>
        <w:rPr>
          <w:sz w:val="24"/>
          <w:szCs w:val="24"/>
        </w:rPr>
      </w:pPr>
      <w:r w:rsidRPr="00756792">
        <w:rPr>
          <w:color w:val="222222"/>
          <w:sz w:val="24"/>
          <w:szCs w:val="24"/>
          <w:shd w:val="clear" w:color="auto" w:fill="FFFFFF"/>
        </w:rPr>
        <w:t>Schneider, E.W., 2007. </w:t>
      </w:r>
      <w:r w:rsidRPr="00756792">
        <w:rPr>
          <w:i/>
          <w:iCs/>
          <w:color w:val="222222"/>
          <w:sz w:val="24"/>
          <w:szCs w:val="24"/>
        </w:rPr>
        <w:t>Postcolonial English: Varieties around the world</w:t>
      </w:r>
      <w:r w:rsidRPr="00756792">
        <w:rPr>
          <w:color w:val="222222"/>
          <w:sz w:val="24"/>
          <w:szCs w:val="24"/>
          <w:shd w:val="clear" w:color="auto" w:fill="FFFFFF"/>
        </w:rPr>
        <w:t>. Cambridge University Press.</w:t>
      </w:r>
    </w:p>
    <w:p w14:paraId="30A8AB9D" w14:textId="77777777" w:rsidR="00A2377D" w:rsidRPr="00756792" w:rsidRDefault="00B61730" w:rsidP="004A6CFA">
      <w:pPr>
        <w:pStyle w:val="NormalWeb"/>
        <w:numPr>
          <w:ilvl w:val="0"/>
          <w:numId w:val="9"/>
        </w:numPr>
        <w:spacing w:line="360" w:lineRule="auto"/>
        <w:contextualSpacing/>
        <w:jc w:val="both"/>
        <w:rPr>
          <w:color w:val="000000" w:themeColor="text1"/>
          <w:shd w:val="clear" w:color="auto" w:fill="FFFFFF"/>
          <w:lang w:val="en-GB"/>
        </w:rPr>
      </w:pPr>
      <w:r w:rsidRPr="00756792">
        <w:rPr>
          <w:color w:val="000000" w:themeColor="text1"/>
          <w:shd w:val="clear" w:color="auto" w:fill="FFFFFF"/>
          <w:lang w:val="en-GB"/>
        </w:rPr>
        <w:t>Smith, J., 2003. </w:t>
      </w:r>
      <w:r w:rsidRPr="00756792">
        <w:rPr>
          <w:i/>
          <w:iCs/>
          <w:color w:val="000000" w:themeColor="text1"/>
          <w:lang w:val="en-GB"/>
        </w:rPr>
        <w:t>A historical study of English: Function, Form and change</w:t>
      </w:r>
      <w:r w:rsidRPr="00756792">
        <w:rPr>
          <w:color w:val="000000" w:themeColor="text1"/>
          <w:shd w:val="clear" w:color="auto" w:fill="FFFFFF"/>
          <w:lang w:val="en-GB"/>
        </w:rPr>
        <w:t>. Routledge.</w:t>
      </w:r>
    </w:p>
    <w:p w14:paraId="51CC643A" w14:textId="77777777" w:rsidR="00A2377D" w:rsidRPr="00756792" w:rsidRDefault="00B61730" w:rsidP="004A6CFA">
      <w:pPr>
        <w:pStyle w:val="ListParagraph"/>
        <w:numPr>
          <w:ilvl w:val="0"/>
          <w:numId w:val="9"/>
        </w:numPr>
        <w:spacing w:line="360" w:lineRule="auto"/>
        <w:jc w:val="both"/>
        <w:rPr>
          <w:sz w:val="24"/>
          <w:szCs w:val="24"/>
        </w:rPr>
      </w:pPr>
      <w:r w:rsidRPr="00756792">
        <w:rPr>
          <w:color w:val="222222"/>
          <w:sz w:val="24"/>
          <w:szCs w:val="24"/>
          <w:shd w:val="clear" w:color="auto" w:fill="FFFFFF"/>
        </w:rPr>
        <w:t>Smitherman, G., 2003. The historical struggle for language rights in CCCC. </w:t>
      </w:r>
      <w:r w:rsidRPr="00756792">
        <w:rPr>
          <w:i/>
          <w:iCs/>
          <w:color w:val="222222"/>
          <w:sz w:val="24"/>
          <w:szCs w:val="24"/>
        </w:rPr>
        <w:t>Language diversity in the classroom: From intention to practice</w:t>
      </w:r>
      <w:r w:rsidRPr="00756792">
        <w:rPr>
          <w:color w:val="222222"/>
          <w:sz w:val="24"/>
          <w:szCs w:val="24"/>
          <w:shd w:val="clear" w:color="auto" w:fill="FFFFFF"/>
        </w:rPr>
        <w:t>, pp.7-39.</w:t>
      </w:r>
    </w:p>
    <w:p w14:paraId="292DD5C5" w14:textId="77777777" w:rsidR="00A2377D" w:rsidRPr="00756792" w:rsidRDefault="00B61730" w:rsidP="004A6CFA">
      <w:pPr>
        <w:pStyle w:val="NormalWeb"/>
        <w:numPr>
          <w:ilvl w:val="0"/>
          <w:numId w:val="9"/>
        </w:numPr>
        <w:spacing w:line="360" w:lineRule="auto"/>
        <w:contextualSpacing/>
        <w:jc w:val="both"/>
        <w:rPr>
          <w:color w:val="000000" w:themeColor="text1"/>
          <w:lang w:val="en-GB"/>
        </w:rPr>
      </w:pPr>
      <w:r w:rsidRPr="00756792">
        <w:rPr>
          <w:color w:val="000000" w:themeColor="text1"/>
          <w:shd w:val="clear" w:color="auto" w:fill="FFFFFF"/>
          <w:lang w:val="en-GB"/>
        </w:rPr>
        <w:t>Trudgill, P. and Hannah, J., 2008. </w:t>
      </w:r>
      <w:r w:rsidRPr="00756792">
        <w:rPr>
          <w:i/>
          <w:iCs/>
          <w:color w:val="000000" w:themeColor="text1"/>
          <w:lang w:val="en-GB"/>
        </w:rPr>
        <w:t>International English: A guide to varieties of Standard English</w:t>
      </w:r>
      <w:r w:rsidRPr="00756792">
        <w:rPr>
          <w:color w:val="000000" w:themeColor="text1"/>
          <w:shd w:val="clear" w:color="auto" w:fill="FFFFFF"/>
          <w:lang w:val="en-GB"/>
        </w:rPr>
        <w:t>. Routledge.</w:t>
      </w:r>
    </w:p>
    <w:p w14:paraId="5E6EB218" w14:textId="77777777" w:rsidR="00A2377D" w:rsidRPr="00756792" w:rsidRDefault="00B61730" w:rsidP="004A6CFA">
      <w:pPr>
        <w:pStyle w:val="ListParagraph"/>
        <w:numPr>
          <w:ilvl w:val="0"/>
          <w:numId w:val="9"/>
        </w:numPr>
        <w:spacing w:line="360" w:lineRule="auto"/>
        <w:jc w:val="both"/>
        <w:rPr>
          <w:sz w:val="24"/>
          <w:szCs w:val="24"/>
        </w:rPr>
      </w:pPr>
      <w:r w:rsidRPr="00756792">
        <w:rPr>
          <w:color w:val="222222"/>
          <w:sz w:val="24"/>
          <w:szCs w:val="24"/>
          <w:shd w:val="clear" w:color="auto" w:fill="FFFFFF"/>
        </w:rPr>
        <w:t>Tieken‐Boon van Ostade, I., 2006. Eighteenth‐century Prescriptivism and the Norm of Correctness. </w:t>
      </w:r>
      <w:r w:rsidRPr="00756792">
        <w:rPr>
          <w:i/>
          <w:iCs/>
          <w:color w:val="222222"/>
          <w:sz w:val="24"/>
          <w:szCs w:val="24"/>
        </w:rPr>
        <w:t>The handbook of the history of English</w:t>
      </w:r>
      <w:r w:rsidRPr="00756792">
        <w:rPr>
          <w:color w:val="222222"/>
          <w:sz w:val="24"/>
          <w:szCs w:val="24"/>
          <w:shd w:val="clear" w:color="auto" w:fill="FFFFFF"/>
        </w:rPr>
        <w:t>, pp.538-557.</w:t>
      </w:r>
    </w:p>
    <w:p w14:paraId="6284F4E6" w14:textId="50DF5E04" w:rsidR="003B4FD5" w:rsidRPr="00756792" w:rsidRDefault="00B61730" w:rsidP="004A6CFA">
      <w:pPr>
        <w:pStyle w:val="ListParagraph"/>
        <w:numPr>
          <w:ilvl w:val="0"/>
          <w:numId w:val="9"/>
        </w:numPr>
        <w:spacing w:line="360" w:lineRule="auto"/>
        <w:jc w:val="both"/>
        <w:rPr>
          <w:sz w:val="24"/>
          <w:szCs w:val="24"/>
        </w:rPr>
      </w:pPr>
      <w:r w:rsidRPr="00756792">
        <w:rPr>
          <w:color w:val="222222"/>
          <w:sz w:val="24"/>
          <w:szCs w:val="24"/>
          <w:shd w:val="clear" w:color="auto" w:fill="FFFFFF"/>
        </w:rPr>
        <w:t>Webster, N., 1789. Dissertations on the English Language: With Notes. </w:t>
      </w:r>
      <w:r w:rsidRPr="00756792">
        <w:rPr>
          <w:i/>
          <w:iCs/>
          <w:color w:val="222222"/>
          <w:sz w:val="24"/>
          <w:szCs w:val="24"/>
        </w:rPr>
        <w:t>Historical and Critical, excerpted as" Declaration of Linguistic Independence," in Language Loyalties</w:t>
      </w:r>
      <w:r w:rsidRPr="00756792">
        <w:rPr>
          <w:color w:val="222222"/>
          <w:sz w:val="24"/>
          <w:szCs w:val="24"/>
          <w:shd w:val="clear" w:color="auto" w:fill="FFFFFF"/>
        </w:rPr>
        <w:t>, p.35.</w:t>
      </w:r>
    </w:p>
    <w:sectPr w:rsidR="003B4FD5" w:rsidRPr="00756792" w:rsidSect="00CF4A4D">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PingFang TC">
    <w:altName w:val="﷽﷽﷽﷽﷽﷽﷽﷽ TC"/>
    <w:panose1 w:val="020B0400000000000000"/>
    <w:charset w:val="88"/>
    <w:family w:val="swiss"/>
    <w:pitch w:val="variable"/>
    <w:sig w:usb0="A00002FF" w:usb1="7ACFFDFB" w:usb2="00000017" w:usb3="00000000" w:csb0="001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5E4172"/>
    <w:multiLevelType w:val="hybridMultilevel"/>
    <w:tmpl w:val="087A80DA"/>
    <w:lvl w:ilvl="0" w:tplc="C32AB844">
      <w:start w:val="1"/>
      <w:numFmt w:val="decimal"/>
      <w:lvlText w:val="%1)"/>
      <w:lvlJc w:val="left"/>
      <w:pPr>
        <w:ind w:left="720" w:hanging="360"/>
      </w:pPr>
    </w:lvl>
    <w:lvl w:ilvl="1" w:tplc="9E302F3E" w:tentative="1">
      <w:start w:val="1"/>
      <w:numFmt w:val="lowerLetter"/>
      <w:lvlText w:val="%2."/>
      <w:lvlJc w:val="left"/>
      <w:pPr>
        <w:ind w:left="1440" w:hanging="360"/>
      </w:pPr>
    </w:lvl>
    <w:lvl w:ilvl="2" w:tplc="DF6CDA46" w:tentative="1">
      <w:start w:val="1"/>
      <w:numFmt w:val="lowerRoman"/>
      <w:lvlText w:val="%3."/>
      <w:lvlJc w:val="right"/>
      <w:pPr>
        <w:ind w:left="2160" w:hanging="180"/>
      </w:pPr>
    </w:lvl>
    <w:lvl w:ilvl="3" w:tplc="543E4478" w:tentative="1">
      <w:start w:val="1"/>
      <w:numFmt w:val="decimal"/>
      <w:lvlText w:val="%4."/>
      <w:lvlJc w:val="left"/>
      <w:pPr>
        <w:ind w:left="2880" w:hanging="360"/>
      </w:pPr>
    </w:lvl>
    <w:lvl w:ilvl="4" w:tplc="13841E76" w:tentative="1">
      <w:start w:val="1"/>
      <w:numFmt w:val="lowerLetter"/>
      <w:lvlText w:val="%5."/>
      <w:lvlJc w:val="left"/>
      <w:pPr>
        <w:ind w:left="3600" w:hanging="360"/>
      </w:pPr>
    </w:lvl>
    <w:lvl w:ilvl="5" w:tplc="16729A2A" w:tentative="1">
      <w:start w:val="1"/>
      <w:numFmt w:val="lowerRoman"/>
      <w:lvlText w:val="%6."/>
      <w:lvlJc w:val="right"/>
      <w:pPr>
        <w:ind w:left="4320" w:hanging="180"/>
      </w:pPr>
    </w:lvl>
    <w:lvl w:ilvl="6" w:tplc="D99A879E" w:tentative="1">
      <w:start w:val="1"/>
      <w:numFmt w:val="decimal"/>
      <w:lvlText w:val="%7."/>
      <w:lvlJc w:val="left"/>
      <w:pPr>
        <w:ind w:left="5040" w:hanging="360"/>
      </w:pPr>
    </w:lvl>
    <w:lvl w:ilvl="7" w:tplc="510E1826" w:tentative="1">
      <w:start w:val="1"/>
      <w:numFmt w:val="lowerLetter"/>
      <w:lvlText w:val="%8."/>
      <w:lvlJc w:val="left"/>
      <w:pPr>
        <w:ind w:left="5760" w:hanging="360"/>
      </w:pPr>
    </w:lvl>
    <w:lvl w:ilvl="8" w:tplc="E21E59A8" w:tentative="1">
      <w:start w:val="1"/>
      <w:numFmt w:val="lowerRoman"/>
      <w:lvlText w:val="%9."/>
      <w:lvlJc w:val="right"/>
      <w:pPr>
        <w:ind w:left="6480" w:hanging="180"/>
      </w:pPr>
    </w:lvl>
  </w:abstractNum>
  <w:abstractNum w:abstractNumId="1" w15:restartNumberingAfterBreak="0">
    <w:nsid w:val="245467B1"/>
    <w:multiLevelType w:val="multilevel"/>
    <w:tmpl w:val="CF3E37E6"/>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F90E4E"/>
    <w:multiLevelType w:val="multilevel"/>
    <w:tmpl w:val="11B813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C91402"/>
    <w:multiLevelType w:val="hybridMultilevel"/>
    <w:tmpl w:val="C32C167E"/>
    <w:lvl w:ilvl="0" w:tplc="C888A08C">
      <w:start w:val="1"/>
      <w:numFmt w:val="decimal"/>
      <w:lvlText w:val="%1."/>
      <w:lvlJc w:val="left"/>
      <w:pPr>
        <w:ind w:left="720" w:hanging="360"/>
      </w:pPr>
    </w:lvl>
    <w:lvl w:ilvl="1" w:tplc="A5D67B40" w:tentative="1">
      <w:start w:val="1"/>
      <w:numFmt w:val="lowerLetter"/>
      <w:lvlText w:val="%2."/>
      <w:lvlJc w:val="left"/>
      <w:pPr>
        <w:ind w:left="1440" w:hanging="360"/>
      </w:pPr>
    </w:lvl>
    <w:lvl w:ilvl="2" w:tplc="DE9C850E" w:tentative="1">
      <w:start w:val="1"/>
      <w:numFmt w:val="lowerRoman"/>
      <w:lvlText w:val="%3."/>
      <w:lvlJc w:val="right"/>
      <w:pPr>
        <w:ind w:left="2160" w:hanging="180"/>
      </w:pPr>
    </w:lvl>
    <w:lvl w:ilvl="3" w:tplc="018495BE" w:tentative="1">
      <w:start w:val="1"/>
      <w:numFmt w:val="decimal"/>
      <w:lvlText w:val="%4."/>
      <w:lvlJc w:val="left"/>
      <w:pPr>
        <w:ind w:left="2880" w:hanging="360"/>
      </w:pPr>
    </w:lvl>
    <w:lvl w:ilvl="4" w:tplc="FD9CE290" w:tentative="1">
      <w:start w:val="1"/>
      <w:numFmt w:val="lowerLetter"/>
      <w:lvlText w:val="%5."/>
      <w:lvlJc w:val="left"/>
      <w:pPr>
        <w:ind w:left="3600" w:hanging="360"/>
      </w:pPr>
    </w:lvl>
    <w:lvl w:ilvl="5" w:tplc="3FC0F984" w:tentative="1">
      <w:start w:val="1"/>
      <w:numFmt w:val="lowerRoman"/>
      <w:lvlText w:val="%6."/>
      <w:lvlJc w:val="right"/>
      <w:pPr>
        <w:ind w:left="4320" w:hanging="180"/>
      </w:pPr>
    </w:lvl>
    <w:lvl w:ilvl="6" w:tplc="04F8FB30" w:tentative="1">
      <w:start w:val="1"/>
      <w:numFmt w:val="decimal"/>
      <w:lvlText w:val="%7."/>
      <w:lvlJc w:val="left"/>
      <w:pPr>
        <w:ind w:left="5040" w:hanging="360"/>
      </w:pPr>
    </w:lvl>
    <w:lvl w:ilvl="7" w:tplc="2BE2CB08" w:tentative="1">
      <w:start w:val="1"/>
      <w:numFmt w:val="lowerLetter"/>
      <w:lvlText w:val="%8."/>
      <w:lvlJc w:val="left"/>
      <w:pPr>
        <w:ind w:left="5760" w:hanging="360"/>
      </w:pPr>
    </w:lvl>
    <w:lvl w:ilvl="8" w:tplc="816A4760" w:tentative="1">
      <w:start w:val="1"/>
      <w:numFmt w:val="lowerRoman"/>
      <w:lvlText w:val="%9."/>
      <w:lvlJc w:val="right"/>
      <w:pPr>
        <w:ind w:left="6480" w:hanging="180"/>
      </w:pPr>
    </w:lvl>
  </w:abstractNum>
  <w:abstractNum w:abstractNumId="4" w15:restartNumberingAfterBreak="0">
    <w:nsid w:val="395F2872"/>
    <w:multiLevelType w:val="hybridMultilevel"/>
    <w:tmpl w:val="D1C4C7B8"/>
    <w:lvl w:ilvl="0" w:tplc="6D22523C">
      <w:start w:val="1"/>
      <w:numFmt w:val="decimal"/>
      <w:lvlText w:val="%1."/>
      <w:lvlJc w:val="left"/>
      <w:pPr>
        <w:ind w:left="360" w:hanging="360"/>
      </w:pPr>
    </w:lvl>
    <w:lvl w:ilvl="1" w:tplc="21F06F30" w:tentative="1">
      <w:start w:val="1"/>
      <w:numFmt w:val="lowerLetter"/>
      <w:lvlText w:val="%2."/>
      <w:lvlJc w:val="left"/>
      <w:pPr>
        <w:ind w:left="1080" w:hanging="360"/>
      </w:pPr>
    </w:lvl>
    <w:lvl w:ilvl="2" w:tplc="EE0CF724" w:tentative="1">
      <w:start w:val="1"/>
      <w:numFmt w:val="lowerRoman"/>
      <w:lvlText w:val="%3."/>
      <w:lvlJc w:val="right"/>
      <w:pPr>
        <w:ind w:left="1800" w:hanging="180"/>
      </w:pPr>
    </w:lvl>
    <w:lvl w:ilvl="3" w:tplc="D4D45F02" w:tentative="1">
      <w:start w:val="1"/>
      <w:numFmt w:val="decimal"/>
      <w:lvlText w:val="%4."/>
      <w:lvlJc w:val="left"/>
      <w:pPr>
        <w:ind w:left="2520" w:hanging="360"/>
      </w:pPr>
    </w:lvl>
    <w:lvl w:ilvl="4" w:tplc="6D14153A" w:tentative="1">
      <w:start w:val="1"/>
      <w:numFmt w:val="lowerLetter"/>
      <w:lvlText w:val="%5."/>
      <w:lvlJc w:val="left"/>
      <w:pPr>
        <w:ind w:left="3240" w:hanging="360"/>
      </w:pPr>
    </w:lvl>
    <w:lvl w:ilvl="5" w:tplc="A610564E" w:tentative="1">
      <w:start w:val="1"/>
      <w:numFmt w:val="lowerRoman"/>
      <w:lvlText w:val="%6."/>
      <w:lvlJc w:val="right"/>
      <w:pPr>
        <w:ind w:left="3960" w:hanging="180"/>
      </w:pPr>
    </w:lvl>
    <w:lvl w:ilvl="6" w:tplc="42785062" w:tentative="1">
      <w:start w:val="1"/>
      <w:numFmt w:val="decimal"/>
      <w:lvlText w:val="%7."/>
      <w:lvlJc w:val="left"/>
      <w:pPr>
        <w:ind w:left="4680" w:hanging="360"/>
      </w:pPr>
    </w:lvl>
    <w:lvl w:ilvl="7" w:tplc="2A5ED39A" w:tentative="1">
      <w:start w:val="1"/>
      <w:numFmt w:val="lowerLetter"/>
      <w:lvlText w:val="%8."/>
      <w:lvlJc w:val="left"/>
      <w:pPr>
        <w:ind w:left="5400" w:hanging="360"/>
      </w:pPr>
    </w:lvl>
    <w:lvl w:ilvl="8" w:tplc="639A8434" w:tentative="1">
      <w:start w:val="1"/>
      <w:numFmt w:val="lowerRoman"/>
      <w:lvlText w:val="%9."/>
      <w:lvlJc w:val="right"/>
      <w:pPr>
        <w:ind w:left="6120" w:hanging="180"/>
      </w:pPr>
    </w:lvl>
  </w:abstractNum>
  <w:abstractNum w:abstractNumId="5" w15:restartNumberingAfterBreak="0">
    <w:nsid w:val="42410310"/>
    <w:multiLevelType w:val="hybridMultilevel"/>
    <w:tmpl w:val="700602B6"/>
    <w:lvl w:ilvl="0" w:tplc="9190B52A">
      <w:start w:val="1"/>
      <w:numFmt w:val="decimal"/>
      <w:lvlText w:val="%1."/>
      <w:lvlJc w:val="left"/>
      <w:pPr>
        <w:ind w:left="720" w:hanging="360"/>
      </w:pPr>
    </w:lvl>
    <w:lvl w:ilvl="1" w:tplc="AF2A7F9E" w:tentative="1">
      <w:start w:val="1"/>
      <w:numFmt w:val="lowerLetter"/>
      <w:lvlText w:val="%2."/>
      <w:lvlJc w:val="left"/>
      <w:pPr>
        <w:ind w:left="1440" w:hanging="360"/>
      </w:pPr>
    </w:lvl>
    <w:lvl w:ilvl="2" w:tplc="70FE5860" w:tentative="1">
      <w:start w:val="1"/>
      <w:numFmt w:val="lowerRoman"/>
      <w:lvlText w:val="%3."/>
      <w:lvlJc w:val="right"/>
      <w:pPr>
        <w:ind w:left="2160" w:hanging="180"/>
      </w:pPr>
    </w:lvl>
    <w:lvl w:ilvl="3" w:tplc="F02EC478" w:tentative="1">
      <w:start w:val="1"/>
      <w:numFmt w:val="decimal"/>
      <w:lvlText w:val="%4."/>
      <w:lvlJc w:val="left"/>
      <w:pPr>
        <w:ind w:left="2880" w:hanging="360"/>
      </w:pPr>
    </w:lvl>
    <w:lvl w:ilvl="4" w:tplc="DA768CE6" w:tentative="1">
      <w:start w:val="1"/>
      <w:numFmt w:val="lowerLetter"/>
      <w:lvlText w:val="%5."/>
      <w:lvlJc w:val="left"/>
      <w:pPr>
        <w:ind w:left="3600" w:hanging="360"/>
      </w:pPr>
    </w:lvl>
    <w:lvl w:ilvl="5" w:tplc="FB7E95B6" w:tentative="1">
      <w:start w:val="1"/>
      <w:numFmt w:val="lowerRoman"/>
      <w:lvlText w:val="%6."/>
      <w:lvlJc w:val="right"/>
      <w:pPr>
        <w:ind w:left="4320" w:hanging="180"/>
      </w:pPr>
    </w:lvl>
    <w:lvl w:ilvl="6" w:tplc="05AC1052" w:tentative="1">
      <w:start w:val="1"/>
      <w:numFmt w:val="decimal"/>
      <w:lvlText w:val="%7."/>
      <w:lvlJc w:val="left"/>
      <w:pPr>
        <w:ind w:left="5040" w:hanging="360"/>
      </w:pPr>
    </w:lvl>
    <w:lvl w:ilvl="7" w:tplc="A0C2D916" w:tentative="1">
      <w:start w:val="1"/>
      <w:numFmt w:val="lowerLetter"/>
      <w:lvlText w:val="%8."/>
      <w:lvlJc w:val="left"/>
      <w:pPr>
        <w:ind w:left="5760" w:hanging="360"/>
      </w:pPr>
    </w:lvl>
    <w:lvl w:ilvl="8" w:tplc="D53A89F2" w:tentative="1">
      <w:start w:val="1"/>
      <w:numFmt w:val="lowerRoman"/>
      <w:lvlText w:val="%9."/>
      <w:lvlJc w:val="right"/>
      <w:pPr>
        <w:ind w:left="6480" w:hanging="180"/>
      </w:pPr>
    </w:lvl>
  </w:abstractNum>
  <w:abstractNum w:abstractNumId="6" w15:restartNumberingAfterBreak="0">
    <w:nsid w:val="4BEF4207"/>
    <w:multiLevelType w:val="hybridMultilevel"/>
    <w:tmpl w:val="3F9C99D8"/>
    <w:lvl w:ilvl="0" w:tplc="288E5C4C">
      <w:start w:val="1"/>
      <w:numFmt w:val="upperRoman"/>
      <w:lvlText w:val="%1."/>
      <w:lvlJc w:val="left"/>
      <w:pPr>
        <w:ind w:left="720" w:hanging="720"/>
      </w:pPr>
      <w:rPr>
        <w:rFonts w:hint="default"/>
      </w:rPr>
    </w:lvl>
    <w:lvl w:ilvl="1" w:tplc="36A4C284" w:tentative="1">
      <w:start w:val="1"/>
      <w:numFmt w:val="lowerLetter"/>
      <w:lvlText w:val="%2."/>
      <w:lvlJc w:val="left"/>
      <w:pPr>
        <w:ind w:left="1080" w:hanging="360"/>
      </w:pPr>
    </w:lvl>
    <w:lvl w:ilvl="2" w:tplc="F0440124" w:tentative="1">
      <w:start w:val="1"/>
      <w:numFmt w:val="lowerRoman"/>
      <w:lvlText w:val="%3."/>
      <w:lvlJc w:val="right"/>
      <w:pPr>
        <w:ind w:left="1800" w:hanging="180"/>
      </w:pPr>
    </w:lvl>
    <w:lvl w:ilvl="3" w:tplc="FE6044B6" w:tentative="1">
      <w:start w:val="1"/>
      <w:numFmt w:val="decimal"/>
      <w:lvlText w:val="%4."/>
      <w:lvlJc w:val="left"/>
      <w:pPr>
        <w:ind w:left="2520" w:hanging="360"/>
      </w:pPr>
    </w:lvl>
    <w:lvl w:ilvl="4" w:tplc="855EE69E" w:tentative="1">
      <w:start w:val="1"/>
      <w:numFmt w:val="lowerLetter"/>
      <w:lvlText w:val="%5."/>
      <w:lvlJc w:val="left"/>
      <w:pPr>
        <w:ind w:left="3240" w:hanging="360"/>
      </w:pPr>
    </w:lvl>
    <w:lvl w:ilvl="5" w:tplc="D8409A12" w:tentative="1">
      <w:start w:val="1"/>
      <w:numFmt w:val="lowerRoman"/>
      <w:lvlText w:val="%6."/>
      <w:lvlJc w:val="right"/>
      <w:pPr>
        <w:ind w:left="3960" w:hanging="180"/>
      </w:pPr>
    </w:lvl>
    <w:lvl w:ilvl="6" w:tplc="34287154" w:tentative="1">
      <w:start w:val="1"/>
      <w:numFmt w:val="decimal"/>
      <w:lvlText w:val="%7."/>
      <w:lvlJc w:val="left"/>
      <w:pPr>
        <w:ind w:left="4680" w:hanging="360"/>
      </w:pPr>
    </w:lvl>
    <w:lvl w:ilvl="7" w:tplc="1FAE9AA6" w:tentative="1">
      <w:start w:val="1"/>
      <w:numFmt w:val="lowerLetter"/>
      <w:lvlText w:val="%8."/>
      <w:lvlJc w:val="left"/>
      <w:pPr>
        <w:ind w:left="5400" w:hanging="360"/>
      </w:pPr>
    </w:lvl>
    <w:lvl w:ilvl="8" w:tplc="5A0E36DE" w:tentative="1">
      <w:start w:val="1"/>
      <w:numFmt w:val="lowerRoman"/>
      <w:lvlText w:val="%9."/>
      <w:lvlJc w:val="right"/>
      <w:pPr>
        <w:ind w:left="6120" w:hanging="180"/>
      </w:pPr>
    </w:lvl>
  </w:abstractNum>
  <w:abstractNum w:abstractNumId="7" w15:restartNumberingAfterBreak="0">
    <w:nsid w:val="5A4F40DC"/>
    <w:multiLevelType w:val="hybridMultilevel"/>
    <w:tmpl w:val="3F9C99D8"/>
    <w:lvl w:ilvl="0" w:tplc="E0E2D8E4">
      <w:start w:val="1"/>
      <w:numFmt w:val="upperRoman"/>
      <w:lvlText w:val="%1."/>
      <w:lvlJc w:val="left"/>
      <w:pPr>
        <w:ind w:left="1080" w:hanging="720"/>
      </w:pPr>
      <w:rPr>
        <w:rFonts w:hint="default"/>
      </w:rPr>
    </w:lvl>
    <w:lvl w:ilvl="1" w:tplc="4538F256" w:tentative="1">
      <w:start w:val="1"/>
      <w:numFmt w:val="lowerLetter"/>
      <w:lvlText w:val="%2."/>
      <w:lvlJc w:val="left"/>
      <w:pPr>
        <w:ind w:left="1440" w:hanging="360"/>
      </w:pPr>
    </w:lvl>
    <w:lvl w:ilvl="2" w:tplc="7634465E" w:tentative="1">
      <w:start w:val="1"/>
      <w:numFmt w:val="lowerRoman"/>
      <w:lvlText w:val="%3."/>
      <w:lvlJc w:val="right"/>
      <w:pPr>
        <w:ind w:left="2160" w:hanging="180"/>
      </w:pPr>
    </w:lvl>
    <w:lvl w:ilvl="3" w:tplc="D38C3200" w:tentative="1">
      <w:start w:val="1"/>
      <w:numFmt w:val="decimal"/>
      <w:lvlText w:val="%4."/>
      <w:lvlJc w:val="left"/>
      <w:pPr>
        <w:ind w:left="2880" w:hanging="360"/>
      </w:pPr>
    </w:lvl>
    <w:lvl w:ilvl="4" w:tplc="A82C2DF8" w:tentative="1">
      <w:start w:val="1"/>
      <w:numFmt w:val="lowerLetter"/>
      <w:lvlText w:val="%5."/>
      <w:lvlJc w:val="left"/>
      <w:pPr>
        <w:ind w:left="3600" w:hanging="360"/>
      </w:pPr>
    </w:lvl>
    <w:lvl w:ilvl="5" w:tplc="C8D8B2AA" w:tentative="1">
      <w:start w:val="1"/>
      <w:numFmt w:val="lowerRoman"/>
      <w:lvlText w:val="%6."/>
      <w:lvlJc w:val="right"/>
      <w:pPr>
        <w:ind w:left="4320" w:hanging="180"/>
      </w:pPr>
    </w:lvl>
    <w:lvl w:ilvl="6" w:tplc="C63A1100" w:tentative="1">
      <w:start w:val="1"/>
      <w:numFmt w:val="decimal"/>
      <w:lvlText w:val="%7."/>
      <w:lvlJc w:val="left"/>
      <w:pPr>
        <w:ind w:left="5040" w:hanging="360"/>
      </w:pPr>
    </w:lvl>
    <w:lvl w:ilvl="7" w:tplc="7ECA8038" w:tentative="1">
      <w:start w:val="1"/>
      <w:numFmt w:val="lowerLetter"/>
      <w:lvlText w:val="%8."/>
      <w:lvlJc w:val="left"/>
      <w:pPr>
        <w:ind w:left="5760" w:hanging="360"/>
      </w:pPr>
    </w:lvl>
    <w:lvl w:ilvl="8" w:tplc="85C8B5E8" w:tentative="1">
      <w:start w:val="1"/>
      <w:numFmt w:val="lowerRoman"/>
      <w:lvlText w:val="%9."/>
      <w:lvlJc w:val="right"/>
      <w:pPr>
        <w:ind w:left="6480" w:hanging="180"/>
      </w:pPr>
    </w:lvl>
  </w:abstractNum>
  <w:abstractNum w:abstractNumId="8" w15:restartNumberingAfterBreak="0">
    <w:nsid w:val="6918197B"/>
    <w:multiLevelType w:val="multilevel"/>
    <w:tmpl w:val="72162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2"/>
  </w:num>
  <w:num w:numId="3">
    <w:abstractNumId w:val="5"/>
  </w:num>
  <w:num w:numId="4">
    <w:abstractNumId w:val="0"/>
  </w:num>
  <w:num w:numId="5">
    <w:abstractNumId w:val="1"/>
  </w:num>
  <w:num w:numId="6">
    <w:abstractNumId w:val="6"/>
  </w:num>
  <w:num w:numId="7">
    <w:abstractNumId w:val="7"/>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3C1"/>
    <w:rsid w:val="00035CF2"/>
    <w:rsid w:val="000604AA"/>
    <w:rsid w:val="000711FF"/>
    <w:rsid w:val="00081DA6"/>
    <w:rsid w:val="000878FA"/>
    <w:rsid w:val="000933A6"/>
    <w:rsid w:val="000A10C5"/>
    <w:rsid w:val="000C464D"/>
    <w:rsid w:val="000D3CA9"/>
    <w:rsid w:val="000D6593"/>
    <w:rsid w:val="000F6252"/>
    <w:rsid w:val="001024D7"/>
    <w:rsid w:val="001358D7"/>
    <w:rsid w:val="00135B5C"/>
    <w:rsid w:val="00144437"/>
    <w:rsid w:val="00167644"/>
    <w:rsid w:val="00181B10"/>
    <w:rsid w:val="001846AD"/>
    <w:rsid w:val="00184863"/>
    <w:rsid w:val="001954EF"/>
    <w:rsid w:val="001C7E6B"/>
    <w:rsid w:val="001D4001"/>
    <w:rsid w:val="001E409C"/>
    <w:rsid w:val="001E62BD"/>
    <w:rsid w:val="001F615C"/>
    <w:rsid w:val="002046C7"/>
    <w:rsid w:val="00217113"/>
    <w:rsid w:val="00223CCA"/>
    <w:rsid w:val="00241048"/>
    <w:rsid w:val="0025686E"/>
    <w:rsid w:val="00280523"/>
    <w:rsid w:val="00295105"/>
    <w:rsid w:val="002A27A3"/>
    <w:rsid w:val="002A6587"/>
    <w:rsid w:val="002E33C1"/>
    <w:rsid w:val="0031149B"/>
    <w:rsid w:val="00336ACD"/>
    <w:rsid w:val="003414D5"/>
    <w:rsid w:val="003429E1"/>
    <w:rsid w:val="003713B5"/>
    <w:rsid w:val="0038103F"/>
    <w:rsid w:val="0039518B"/>
    <w:rsid w:val="003B2029"/>
    <w:rsid w:val="003B4FD5"/>
    <w:rsid w:val="003C2959"/>
    <w:rsid w:val="003D5CB7"/>
    <w:rsid w:val="00405AFB"/>
    <w:rsid w:val="004547AE"/>
    <w:rsid w:val="00465634"/>
    <w:rsid w:val="0047061C"/>
    <w:rsid w:val="004A6CFA"/>
    <w:rsid w:val="004C1D37"/>
    <w:rsid w:val="004C528E"/>
    <w:rsid w:val="004D04B6"/>
    <w:rsid w:val="004D7CAF"/>
    <w:rsid w:val="004F4FD0"/>
    <w:rsid w:val="005025D2"/>
    <w:rsid w:val="00512C76"/>
    <w:rsid w:val="005B2E61"/>
    <w:rsid w:val="005C71CB"/>
    <w:rsid w:val="005D4A37"/>
    <w:rsid w:val="00612A3B"/>
    <w:rsid w:val="00664FC4"/>
    <w:rsid w:val="006802FC"/>
    <w:rsid w:val="006B0B35"/>
    <w:rsid w:val="006D4554"/>
    <w:rsid w:val="006E31C1"/>
    <w:rsid w:val="006F57DB"/>
    <w:rsid w:val="00704C2A"/>
    <w:rsid w:val="00710D63"/>
    <w:rsid w:val="00715FD3"/>
    <w:rsid w:val="00740E76"/>
    <w:rsid w:val="00756792"/>
    <w:rsid w:val="0075790B"/>
    <w:rsid w:val="007606E0"/>
    <w:rsid w:val="00793597"/>
    <w:rsid w:val="007B6F5E"/>
    <w:rsid w:val="007B7B4D"/>
    <w:rsid w:val="007D0ADF"/>
    <w:rsid w:val="007F185C"/>
    <w:rsid w:val="007F21A1"/>
    <w:rsid w:val="007F61F1"/>
    <w:rsid w:val="008122E1"/>
    <w:rsid w:val="00860A3B"/>
    <w:rsid w:val="008660DD"/>
    <w:rsid w:val="008667ED"/>
    <w:rsid w:val="00867AEA"/>
    <w:rsid w:val="00886700"/>
    <w:rsid w:val="008A2517"/>
    <w:rsid w:val="008B15F5"/>
    <w:rsid w:val="008C372E"/>
    <w:rsid w:val="008D2468"/>
    <w:rsid w:val="008D64EF"/>
    <w:rsid w:val="0091707B"/>
    <w:rsid w:val="009419CF"/>
    <w:rsid w:val="00955ADE"/>
    <w:rsid w:val="00973D2A"/>
    <w:rsid w:val="00986F67"/>
    <w:rsid w:val="009873B7"/>
    <w:rsid w:val="009A785C"/>
    <w:rsid w:val="009B1A95"/>
    <w:rsid w:val="009D4229"/>
    <w:rsid w:val="009E163C"/>
    <w:rsid w:val="009F6049"/>
    <w:rsid w:val="00A044A6"/>
    <w:rsid w:val="00A2377D"/>
    <w:rsid w:val="00A257BA"/>
    <w:rsid w:val="00A3213B"/>
    <w:rsid w:val="00A609F1"/>
    <w:rsid w:val="00A92629"/>
    <w:rsid w:val="00AD3499"/>
    <w:rsid w:val="00AF16E3"/>
    <w:rsid w:val="00B32E0E"/>
    <w:rsid w:val="00B3557F"/>
    <w:rsid w:val="00B54749"/>
    <w:rsid w:val="00B61730"/>
    <w:rsid w:val="00B62F29"/>
    <w:rsid w:val="00BA217C"/>
    <w:rsid w:val="00BB2A51"/>
    <w:rsid w:val="00BC0368"/>
    <w:rsid w:val="00BE7E0C"/>
    <w:rsid w:val="00BF3239"/>
    <w:rsid w:val="00BF6D36"/>
    <w:rsid w:val="00C03425"/>
    <w:rsid w:val="00C21397"/>
    <w:rsid w:val="00C567F7"/>
    <w:rsid w:val="00C56E0A"/>
    <w:rsid w:val="00C64351"/>
    <w:rsid w:val="00C661EA"/>
    <w:rsid w:val="00C96145"/>
    <w:rsid w:val="00CC5DA0"/>
    <w:rsid w:val="00CE69EB"/>
    <w:rsid w:val="00CF1961"/>
    <w:rsid w:val="00CF4A4D"/>
    <w:rsid w:val="00D0129B"/>
    <w:rsid w:val="00D01B3A"/>
    <w:rsid w:val="00D03406"/>
    <w:rsid w:val="00D0779D"/>
    <w:rsid w:val="00D4728B"/>
    <w:rsid w:val="00D677A0"/>
    <w:rsid w:val="00D72059"/>
    <w:rsid w:val="00D739F5"/>
    <w:rsid w:val="00D830F2"/>
    <w:rsid w:val="00D977D7"/>
    <w:rsid w:val="00DD10A1"/>
    <w:rsid w:val="00E00E1F"/>
    <w:rsid w:val="00E179FD"/>
    <w:rsid w:val="00E17AF3"/>
    <w:rsid w:val="00E20F7E"/>
    <w:rsid w:val="00E22F54"/>
    <w:rsid w:val="00E451F1"/>
    <w:rsid w:val="00E72A31"/>
    <w:rsid w:val="00EF5458"/>
    <w:rsid w:val="00F02483"/>
    <w:rsid w:val="00F16603"/>
    <w:rsid w:val="00F3510F"/>
    <w:rsid w:val="00F35C84"/>
    <w:rsid w:val="00F364B5"/>
    <w:rsid w:val="00F80F63"/>
    <w:rsid w:val="00F843AD"/>
    <w:rsid w:val="00F85320"/>
    <w:rsid w:val="00F97EBD"/>
    <w:rsid w:val="00FA0F73"/>
    <w:rsid w:val="00FA3808"/>
    <w:rsid w:val="00FC0313"/>
    <w:rsid w:val="00FC2C34"/>
    <w:rsid w:val="00FD6C48"/>
    <w:rsid w:val="00FE4FF9"/>
  </w:rsids>
  <m:mathPr>
    <m:mathFont m:val="Cambria Math"/>
    <m:brkBin m:val="before"/>
    <m:brkBinSub m:val="--"/>
    <m:smallFrac m:val="0"/>
    <m:dispDef/>
    <m:lMargin m:val="0"/>
    <m:rMargin m:val="0"/>
    <m:defJc m:val="centerGroup"/>
    <m:wrapIndent m:val="1440"/>
    <m:intLim m:val="subSup"/>
    <m:naryLim m:val="undOvr"/>
  </m:mathPr>
  <w:themeFontLang w:val="en-C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21273"/>
  <w15:chartTrackingRefBased/>
  <w15:docId w15:val="{E51F7D7B-A177-5F43-A80F-42AF0476A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CN"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609F1"/>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E33C1"/>
    <w:pPr>
      <w:spacing w:before="100" w:beforeAutospacing="1" w:after="100" w:afterAutospacing="1"/>
    </w:pPr>
  </w:style>
  <w:style w:type="character" w:customStyle="1" w:styleId="apple-converted-space">
    <w:name w:val="apple-converted-space"/>
    <w:basedOn w:val="DefaultParagraphFont"/>
    <w:rsid w:val="000F6252"/>
  </w:style>
  <w:style w:type="paragraph" w:styleId="ListParagraph">
    <w:name w:val="List Paragraph"/>
    <w:basedOn w:val="Normal"/>
    <w:uiPriority w:val="34"/>
    <w:qFormat/>
    <w:rsid w:val="000A10C5"/>
    <w:pPr>
      <w:ind w:left="720"/>
      <w:contextualSpacing/>
    </w:pPr>
    <w:rPr>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594449-86F9-2345-B90C-B8C038904E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1859</TotalTime>
  <Pages>12</Pages>
  <Words>4847</Words>
  <Characters>27630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dc:creator>
  <cp:lastModifiedBy>T</cp:lastModifiedBy>
  <cp:revision>18</cp:revision>
  <dcterms:created xsi:type="dcterms:W3CDTF">2020-11-21T22:33:00Z</dcterms:created>
  <dcterms:modified xsi:type="dcterms:W3CDTF">2020-11-29T14:08:00Z</dcterms:modified>
</cp:coreProperties>
</file>