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Caitlin Longden</w:t>
      </w:r>
    </w:p>
    <w:p w:rsidR="00000000" w:rsidDel="00000000" w:rsidP="00000000" w:rsidRDefault="00000000" w:rsidRPr="00000000" w14:paraId="00000002">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2104655</w:t>
      </w:r>
    </w:p>
    <w:p w:rsidR="00000000" w:rsidDel="00000000" w:rsidP="00000000" w:rsidRDefault="00000000" w:rsidRPr="00000000" w14:paraId="00000003">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BMOE5006</w:t>
      </w:r>
    </w:p>
    <w:p w:rsidR="00000000" w:rsidDel="00000000" w:rsidP="00000000" w:rsidRDefault="00000000" w:rsidRPr="00000000" w14:paraId="00000004">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Sustainable journeys essay</w:t>
      </w:r>
    </w:p>
    <w:p w:rsidR="00000000" w:rsidDel="00000000" w:rsidP="00000000" w:rsidRDefault="00000000" w:rsidRPr="00000000" w14:paraId="00000005">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Adventure and exploration has always been an intrinsic part of human history and evolution. Ranging from our ancestors living nomadic lifestyles in search of resources, to journeys of pilgrimage, humans have always possessed a curiosity and drive to explore new territories, whether out of necessity for survival, curiosity about the unknown, or a quest for adventure and discovery. (Wright,2023), (Thomas, 2021). However, living in the 21st century, have we overindulged in such exploration and adventure at the expense of our planet? Perhaps, “It is time to reimagine adventure”. (Mackenzie &amp; Goodnow, 2020)</w:t>
      </w:r>
    </w:p>
    <w:p w:rsidR="00000000" w:rsidDel="00000000" w:rsidP="00000000" w:rsidRDefault="00000000" w:rsidRPr="00000000" w14:paraId="00000008">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paper "Adventure in the Age of COVID-19: Embracing Microadventures and Locavism in a Post-Pandemic World" by Mackenzie and Goodnow explores how the COVID-19 pandemic has impacted adventure travel and tourism. It critiques traditional adventure travel practices and highlights the rise of microadventures: short, local adventures that are low-carbon and accessible, as an alternative. (Mackenzie &amp; Goodnow, 2020)</w:t>
      </w:r>
    </w:p>
    <w:p w:rsidR="00000000" w:rsidDel="00000000" w:rsidP="00000000" w:rsidRDefault="00000000" w:rsidRPr="00000000" w14:paraId="0000000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suggest that these microadventures could be an enticing alternative to large scale expeditions and adventures by addressing topics including </w:t>
      </w:r>
      <w:r w:rsidDel="00000000" w:rsidR="00000000" w:rsidRPr="00000000">
        <w:rPr>
          <w:rFonts w:ascii="Times New Roman" w:cs="Times New Roman" w:eastAsia="Times New Roman" w:hAnsi="Times New Roman"/>
          <w:sz w:val="24"/>
          <w:szCs w:val="24"/>
          <w:rtl w:val="0"/>
        </w:rPr>
        <w:t xml:space="preserve">ecological sustainability, community empowerment, and mindful engagement with nature…All the whilst attaining the benefits of a traditional adventure…</w:t>
      </w:r>
    </w:p>
    <w:p w:rsidR="00000000" w:rsidDel="00000000" w:rsidP="00000000" w:rsidRDefault="00000000" w:rsidRPr="00000000" w14:paraId="0000000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essay I will explore Mackenzie and Goodnows critiques of pre pandemic adventure and their advocacy for microadventures and as to why they are so enticing, especially as a sustainable alternative to traditional adventures.</w:t>
      </w:r>
    </w:p>
    <w:p w:rsidR="00000000" w:rsidDel="00000000" w:rsidP="00000000" w:rsidRDefault="00000000" w:rsidRPr="00000000" w14:paraId="0000000B">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Despite microadventures being around since the beginning of time, British adventurer Alastair Humphreys is credited with popularising the term "microadventures." In his 2014 book "Microadventures: Local Discoveries for Great Escapes," Humphreys describes microadventures </w:t>
      </w:r>
      <w:r w:rsidDel="00000000" w:rsidR="00000000" w:rsidRPr="00000000">
        <w:rPr>
          <w:rFonts w:ascii="Times New Roman" w:cs="Times New Roman" w:eastAsia="Times New Roman" w:hAnsi="Times New Roman"/>
          <w:sz w:val="24"/>
          <w:szCs w:val="24"/>
          <w:rtl w:val="0"/>
        </w:rPr>
        <w:t xml:space="preserve">as an intentional, short-term, often overnight adventure experience in a natural setting (Humphries, 2014)</w:t>
      </w:r>
    </w:p>
    <w:p w:rsidR="00000000" w:rsidDel="00000000" w:rsidP="00000000" w:rsidRDefault="00000000" w:rsidRPr="00000000" w14:paraId="0000000C">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Following Covid-19 and the retrospective travel bans placed on everyone, a direct relationship between microadventures and covid-19 was formed as you are restricted in ways including: time, gear, distance able to travel, and locations. As governments implemented social distancing and travel bans, extended and exotic trips became impractical and prohibited. People, including myself, turned to short and local adventures (microadventures). </w:t>
      </w:r>
      <w:r w:rsidDel="00000000" w:rsidR="00000000" w:rsidRPr="00000000">
        <w:rPr>
          <w:rFonts w:ascii="Times New Roman" w:cs="Times New Roman" w:eastAsia="Times New Roman" w:hAnsi="Times New Roman"/>
          <w:sz w:val="24"/>
          <w:szCs w:val="24"/>
          <w:rtl w:val="0"/>
        </w:rPr>
        <w:t xml:space="preserve">Beyond their recreational appeal, microadventures hold significant potential in contributing to broader sustainability objectives. </w:t>
      </w:r>
    </w:p>
    <w:p w:rsidR="00000000" w:rsidDel="00000000" w:rsidP="00000000" w:rsidRDefault="00000000" w:rsidRPr="00000000" w14:paraId="0000000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Microadventures provide an accessible gateway to outdoor recreation by virtue of their minimal gear requirements, offering individuals the opportunity to engage with nature on their own terms. Amid the constraints imposed by the COVID-19 pandemic, with non-essential shops being closed down, people were compelled to adapt and make the most of the resources that they already owned, thereby fostering a culture of resourcefulness and resilience. This shift towards minimalism in a consumer-driven society not only reduces consumption but also holds profound implications for sustainability and shows how we should carry these practices into our post pandemic lives.</w:t>
      </w:r>
    </w:p>
    <w:p w:rsidR="00000000" w:rsidDel="00000000" w:rsidP="00000000" w:rsidRDefault="00000000" w:rsidRPr="00000000" w14:paraId="0000000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microadventures promote both personal and environmental well-being through principles such as ‘locavism’, emphasising the use of local resources and therefore retaining economic capital locally. By embracing microadventures, individuals can not only enhance their own health but also contribute to the preservation of our planet through reduced carbon footprints and a deeper connection to the natural world.</w:t>
      </w:r>
    </w:p>
    <w:p w:rsidR="00000000" w:rsidDel="00000000" w:rsidP="00000000" w:rsidRDefault="00000000" w:rsidRPr="00000000" w14:paraId="0000000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western society, nature is often viewed as a resource able to be exploited for human benefit, prioritising economical growth over environmental stewardship.  </w:t>
      </w:r>
      <w:r w:rsidDel="00000000" w:rsidR="00000000" w:rsidRPr="00000000">
        <w:rPr>
          <w:rFonts w:ascii="Times New Roman" w:cs="Times New Roman" w:eastAsia="Times New Roman" w:hAnsi="Times New Roman"/>
          <w:sz w:val="24"/>
          <w:szCs w:val="24"/>
          <w:rtl w:val="0"/>
        </w:rPr>
        <w:t xml:space="preserve">This exploitative view of nature has deep historical roots, dating back to the rise of industrialization and capitalism, or arguably the start of christianity with themes of dominion which promoted the commodification of natural resources and the relentless pursuit of profit at any cost. (Attfield, 1991) </w:t>
      </w:r>
      <w:r w:rsidDel="00000000" w:rsidR="00000000" w:rsidRPr="00000000">
        <w:rPr>
          <w:rFonts w:ascii="Times New Roman" w:cs="Times New Roman" w:eastAsia="Times New Roman" w:hAnsi="Times New Roman"/>
          <w:sz w:val="24"/>
          <w:szCs w:val="24"/>
          <w:rtl w:val="0"/>
        </w:rPr>
        <w:t xml:space="preserve"> Living in a society that prioritises speed and efficiency can often leave us feeling anxious and burnt out all whilst at the expense of our planet. This lifestyle erodes virtues such as patience, presence and human connection which inturn shows a reflection on the health of the planet, as there is a direct relationship between the physical environment, biological environment and humans. (World Health Organisation, 1992) </w:t>
      </w:r>
      <w:r w:rsidDel="00000000" w:rsidR="00000000" w:rsidRPr="00000000">
        <w:rPr>
          <w:rFonts w:ascii="Times New Roman" w:cs="Times New Roman" w:eastAsia="Times New Roman" w:hAnsi="Times New Roman"/>
          <w:sz w:val="24"/>
          <w:szCs w:val="24"/>
          <w:rtl w:val="0"/>
        </w:rPr>
        <w:t xml:space="preserve">To counteract these effects, we must recover by embracing community, reflection, and deeper engagement with ourselves and the natural world.  </w:t>
      </w:r>
    </w:p>
    <w:p w:rsidR="00000000" w:rsidDel="00000000" w:rsidP="00000000" w:rsidRDefault="00000000" w:rsidRPr="00000000" w14:paraId="0000001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Microadventures offer a counterbalance to the frenetic pace of modern life, providing opportunities to recharge, reconnect and </w:t>
      </w:r>
      <w:r w:rsidDel="00000000" w:rsidR="00000000" w:rsidRPr="00000000">
        <w:rPr>
          <w:rFonts w:ascii="Times New Roman" w:cs="Times New Roman" w:eastAsia="Times New Roman" w:hAnsi="Times New Roman"/>
          <w:sz w:val="24"/>
          <w:szCs w:val="24"/>
          <w:rtl w:val="0"/>
        </w:rPr>
        <w:t xml:space="preserve">to rewild the human spirit, allowing us to feel more connected to the natural world. (Monbiot, 2014) Microadventures also offer people an opportunity to get away multiple times a year instead of one large scale adventure due to the low cost and commitment. A</w:t>
      </w:r>
      <w:r w:rsidDel="00000000" w:rsidR="00000000" w:rsidRPr="00000000">
        <w:rPr>
          <w:rFonts w:ascii="Times New Roman" w:cs="Times New Roman" w:eastAsia="Times New Roman" w:hAnsi="Times New Roman"/>
          <w:sz w:val="24"/>
          <w:szCs w:val="24"/>
          <w:rtl w:val="0"/>
        </w:rPr>
        <w:t xml:space="preserve"> feeling of attachment and belonging to a location forms through regular visits and positive encounters. This bond with a place frequently inspires actions that benefit both the community and the surrounding environment including retaining economic capital locally as well as wanting to conserve those nearby regions. (Morgan, 2010), (Kyle et al., 2004) Furthermore, experiencing nature in the short term has been linked to heightened sensations of being connected to the natural world and a greater inclination towards sustainable living (Zelenski &amp; Nisbet, 2014). Living a more balanced and fulfilling life reflects hope for the planet where healthy people who realise the benefits of nature and their local area make better informed business and life decisions which have the health of the planet at the centre stage, more so than economic growth.  </w:t>
      </w:r>
    </w:p>
    <w:p w:rsidR="00000000" w:rsidDel="00000000" w:rsidP="00000000" w:rsidRDefault="00000000" w:rsidRPr="00000000" w14:paraId="0000001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microadventures offering an enticing sustainable alternative, it could be argued that they could never entirely replace the benefits of a traditional macro adventure. Due to the nature of microadventures being localised, </w:t>
      </w:r>
      <w:r w:rsidDel="00000000" w:rsidR="00000000" w:rsidRPr="00000000">
        <w:rPr>
          <w:rFonts w:ascii="Times New Roman" w:cs="Times New Roman" w:eastAsia="Times New Roman" w:hAnsi="Times New Roman"/>
          <w:sz w:val="24"/>
          <w:szCs w:val="24"/>
          <w:rtl w:val="0"/>
        </w:rPr>
        <w:t xml:space="preserve">at one point you will inevitably need to venture out further to achieve the same enjoyment level in terms of exploration, challenge and unfamiliarity. This was especially prevalent during Covid-19 whereby people were urged to travel as little as possible, and may have only had one or two green spaces locally. As individuals become accustomed to these smaller-scale adventures in the same or similar environments they may seek out more challenging and unfamiliar environments to satisfy human desires and needs for exploration, discovery and growth.  (</w:t>
      </w:r>
      <w:r w:rsidDel="00000000" w:rsidR="00000000" w:rsidRPr="00000000">
        <w:rPr>
          <w:rFonts w:ascii="Times New Roman" w:cs="Times New Roman" w:eastAsia="Times New Roman" w:hAnsi="Times New Roman"/>
          <w:sz w:val="24"/>
          <w:szCs w:val="24"/>
          <w:rtl w:val="0"/>
        </w:rPr>
        <w:t xml:space="preserve">Bowlby 1977) </w:t>
      </w:r>
    </w:p>
    <w:p w:rsidR="00000000" w:rsidDel="00000000" w:rsidP="00000000" w:rsidRDefault="00000000" w:rsidRPr="00000000" w14:paraId="0000001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Individuals from disadvantaged backgrounds often face challenges when it comes to engaging in microadventures due to having significantly less access to quality green spaces. (Gray, 2022) For many, the lack of nearby nature reserves or quality green spaces suitable for outdoor activities can hinder their ability to participate in microadventures. Additionally, the illegality of wild camping further exacerbates this issue, as it restricts options for overnight stays during outdoor excursions, which is cumbersome as the overnight aspect espouses part of Mackenzies definition of a microadventure. For example Around 46,000 people have Clapham Common as their nearest park, more than 20 times the average. (Census, 2021) The issue of park overcrowding could easily discourage individuals from embarking on microadventures, due to concerns about potential fines for wild camping and the inability to fully immerse themselves in nature. Consequently, for many people, microadventures may not appear as an appealing alternative, and for some, they may be out of reach altogether. </w:t>
      </w:r>
    </w:p>
    <w:p w:rsidR="00000000" w:rsidDel="00000000" w:rsidP="00000000" w:rsidRDefault="00000000" w:rsidRPr="00000000" w14:paraId="0000001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covid-19 travel bans, people turned to adventures and holidays in the UK instead of abroad which lead to National parks seeing the biggest influx of visitors in history. </w:t>
      </w:r>
      <w:r w:rsidDel="00000000" w:rsidR="00000000" w:rsidRPr="00000000">
        <w:rPr>
          <w:rFonts w:ascii="Times New Roman" w:cs="Times New Roman" w:eastAsia="Times New Roman" w:hAnsi="Times New Roman"/>
          <w:sz w:val="24"/>
          <w:szCs w:val="24"/>
          <w:rtl w:val="0"/>
        </w:rPr>
        <w:t xml:space="preserve">(Pidd, 2021) Covid-19 has highlighted that the Uk may not be adequately equipped for everyone to switch to UK microadventures instead of more traditional adventures and holidays abroad, as </w:t>
      </w:r>
      <w:r w:rsidDel="00000000" w:rsidR="00000000" w:rsidRPr="00000000">
        <w:rPr>
          <w:rFonts w:ascii="Times New Roman" w:cs="Times New Roman" w:eastAsia="Times New Roman" w:hAnsi="Times New Roman"/>
          <w:sz w:val="24"/>
          <w:szCs w:val="24"/>
          <w:rtl w:val="0"/>
        </w:rPr>
        <w:t xml:space="preserve">the “landscape is over-crowded and fragmented” (De Bois, 2022)</w:t>
      </w:r>
    </w:p>
    <w:p w:rsidR="00000000" w:rsidDel="00000000" w:rsidP="00000000" w:rsidRDefault="00000000" w:rsidRPr="00000000" w14:paraId="0000001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car traffic and reduced space on quaint country lanes from cars parking on the side of the road is often an issue for rural adventure hotspots and puts pressure on the local community as well as the degradation of natural landscapes from pathways to building expansions of car parks and facilities including toilets and rubbish bins.  Increased footfall in areas results in increased rubbish and waste. In an average year, the Peak District allocates £38,000 for litter collection expenses. However, following covid-19 that the expenditure has doubled. (Pidd, 2021) This highlights a need for increased funding into natural areas to cope with the rise in visitors, as well as education for the public on how to care for the areas in order to preserve them for future and sustainable use. </w:t>
      </w:r>
      <w:r w:rsidDel="00000000" w:rsidR="00000000" w:rsidRPr="00000000">
        <w:rPr>
          <w:rtl w:val="0"/>
        </w:rPr>
      </w:r>
    </w:p>
    <w:p w:rsidR="00000000" w:rsidDel="00000000" w:rsidP="00000000" w:rsidRDefault="00000000" w:rsidRPr="00000000" w14:paraId="00000016">
      <w:pPr>
        <w:spacing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clear that m</w:t>
      </w:r>
      <w:r w:rsidDel="00000000" w:rsidR="00000000" w:rsidRPr="00000000">
        <w:rPr>
          <w:rFonts w:ascii="Times New Roman" w:cs="Times New Roman" w:eastAsia="Times New Roman" w:hAnsi="Times New Roman"/>
          <w:sz w:val="24"/>
          <w:szCs w:val="24"/>
          <w:rtl w:val="0"/>
        </w:rPr>
        <w:t xml:space="preserve">icroadventures have emerged as a compelling sustainable alternative for outdoor recreation, particularly in the wake of the COVID-19 pandemic. The popularity of microadventures has surged during lockdown periods, as people sought ways to escape the confines of their homes and embrace the outdoors while adhering to travel restrictions. Microadventures are here to stay as “56% of UK holidaymakers say they are likely to choose staycations above holidays abroad for climate-related reasons”, an increase compared to pre-pandemic years. (Mintel, 2024) This is promising news for a fast-paced and increasingly urbanised world as microadventures provide a means of slowing down, consuming less, and rediscovering the extraordinary in the mundane everyday. By fostering a deeper engagement with ourselves, others, and the natural world, microadventures boast benefits as we move to a more sustainable future, which is so urgently needed. </w:t>
      </w:r>
    </w:p>
    <w:p w:rsidR="00000000" w:rsidDel="00000000" w:rsidP="00000000" w:rsidRDefault="00000000" w:rsidRPr="00000000" w14:paraId="00000017">
      <w:pPr>
        <w:spacing w:line="42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 numerous benefits of microadventures, challenges and counterarguments exist. It could be argued that microadventures fail to satisfy the human need for exploration and dynamic experiences, or that limitations imposed by urbanisation and land-use regulations restrict the accessibility of suitable outdoor spaces for microadventures. Additionally, concerns about the legality of activities such as wild camping and the impact of tourism on local communities and ecosystems warrant careful consideration and shows a clear need for more research and funding into making quality green spaces more accessible and to cater for a larger number of people. </w:t>
      </w:r>
    </w:p>
    <w:p w:rsidR="00000000" w:rsidDel="00000000" w:rsidP="00000000" w:rsidRDefault="00000000" w:rsidRPr="00000000" w14:paraId="00000019">
      <w:pPr>
        <w:spacing w:line="42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420" w:lineRule="auto"/>
        <w:rPr>
          <w:rFonts w:ascii="Times New Roman" w:cs="Times New Roman" w:eastAsia="Times New Roman" w:hAnsi="Times New Roman"/>
          <w:color w:val="0d0d0d"/>
          <w:sz w:val="24"/>
          <w:szCs w:val="24"/>
          <w:highlight w:val="white"/>
        </w:rPr>
      </w:pPr>
      <w:r w:rsidDel="00000000" w:rsidR="00000000" w:rsidRPr="00000000">
        <w:rPr>
          <w:rFonts w:ascii="Times New Roman" w:cs="Times New Roman" w:eastAsia="Times New Roman" w:hAnsi="Times New Roman"/>
          <w:sz w:val="24"/>
          <w:szCs w:val="24"/>
          <w:rtl w:val="0"/>
        </w:rPr>
        <w:t xml:space="preserve">Both Macro and microadventures inherently possess their own unique qualities, however the connection between microadventures and principles of ecological sustainability, community empowerment, and mindful engagement with nature is paramount. We can no longer solely emphasise the adventure tourism's positive contributions without acknowledging its significant climate impacts (Lumsdon and Peeters, 2009). In a time of ecological collapse and a stark need for change, I absolutely agree with Mackenzie and Goodnow on how microadventures are an enticing alternative for both current and post-pandemic conditions.</w:t>
      </w: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color w:val="0d0d0d"/>
          <w:sz w:val="24"/>
          <w:szCs w:val="24"/>
          <w:highlight w:val="white"/>
        </w:rPr>
      </w:pPr>
      <w:r w:rsidDel="00000000" w:rsidR="00000000" w:rsidRPr="00000000">
        <w:rPr>
          <w:rtl w:val="0"/>
        </w:rPr>
      </w:r>
    </w:p>
    <w:p w:rsidR="00000000" w:rsidDel="00000000" w:rsidP="00000000" w:rsidRDefault="00000000" w:rsidRPr="00000000" w14:paraId="0000001C">
      <w:pPr>
        <w:spacing w:after="240" w:before="240" w:lineRule="auto"/>
        <w:ind w:left="580" w:hanging="20"/>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Attfield, R. (1991) </w:t>
      </w:r>
      <w:r w:rsidDel="00000000" w:rsidR="00000000" w:rsidRPr="00000000">
        <w:rPr>
          <w:rFonts w:ascii="Times New Roman" w:cs="Times New Roman" w:eastAsia="Times New Roman" w:hAnsi="Times New Roman"/>
          <w:i w:val="1"/>
          <w:color w:val="3a3a3a"/>
          <w:sz w:val="24"/>
          <w:szCs w:val="24"/>
          <w:highlight w:val="white"/>
          <w:rtl w:val="0"/>
        </w:rPr>
        <w:t xml:space="preserve">The Ethics of Environmental Concern</w:t>
      </w:r>
      <w:r w:rsidDel="00000000" w:rsidR="00000000" w:rsidRPr="00000000">
        <w:rPr>
          <w:rFonts w:ascii="Times New Roman" w:cs="Times New Roman" w:eastAsia="Times New Roman" w:hAnsi="Times New Roman"/>
          <w:color w:val="3a3a3a"/>
          <w:sz w:val="24"/>
          <w:szCs w:val="24"/>
          <w:highlight w:val="white"/>
          <w:rtl w:val="0"/>
        </w:rPr>
        <w:t xml:space="preserve">, </w:t>
      </w:r>
      <w:r w:rsidDel="00000000" w:rsidR="00000000" w:rsidRPr="00000000">
        <w:rPr>
          <w:rFonts w:ascii="Times New Roman" w:cs="Times New Roman" w:eastAsia="Times New Roman" w:hAnsi="Times New Roman"/>
          <w:i w:val="1"/>
          <w:color w:val="3a3a3a"/>
          <w:sz w:val="24"/>
          <w:szCs w:val="24"/>
          <w:highlight w:val="white"/>
          <w:rtl w:val="0"/>
        </w:rPr>
        <w:t xml:space="preserve">Project MUSE open access books</w:t>
      </w:r>
      <w:r w:rsidDel="00000000" w:rsidR="00000000" w:rsidRPr="00000000">
        <w:rPr>
          <w:rFonts w:ascii="Times New Roman" w:cs="Times New Roman" w:eastAsia="Times New Roman" w:hAnsi="Times New Roman"/>
          <w:color w:val="3a3a3a"/>
          <w:sz w:val="24"/>
          <w:szCs w:val="24"/>
          <w:highlight w:val="white"/>
          <w:rtl w:val="0"/>
        </w:rPr>
        <w:t xml:space="preserve">. Athens : Basil Blackwell. Available at: chrome-extension://efaidnbmnnnibpcajpcglclefindmkaj/https://muse.jhu.edu/book/95116/pdf (Accessed: 12 March 2024). </w:t>
      </w:r>
    </w:p>
    <w:p w:rsidR="00000000" w:rsidDel="00000000" w:rsidP="00000000" w:rsidRDefault="00000000" w:rsidRPr="00000000" w14:paraId="0000001D">
      <w:pPr>
        <w:spacing w:after="240" w:before="240" w:lineRule="auto"/>
        <w:ind w:left="580" w:hanging="20"/>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Census 2021 (2020) </w:t>
      </w:r>
      <w:r w:rsidDel="00000000" w:rsidR="00000000" w:rsidRPr="00000000">
        <w:rPr>
          <w:rFonts w:ascii="Times New Roman" w:cs="Times New Roman" w:eastAsia="Times New Roman" w:hAnsi="Times New Roman"/>
          <w:i w:val="1"/>
          <w:color w:val="3a3a3a"/>
          <w:sz w:val="24"/>
          <w:szCs w:val="24"/>
          <w:highlight w:val="white"/>
          <w:rtl w:val="0"/>
        </w:rPr>
        <w:t xml:space="preserve">One in eight British households has no garden</w:t>
      </w:r>
      <w:r w:rsidDel="00000000" w:rsidR="00000000" w:rsidRPr="00000000">
        <w:rPr>
          <w:rFonts w:ascii="Times New Roman" w:cs="Times New Roman" w:eastAsia="Times New Roman" w:hAnsi="Times New Roman"/>
          <w:color w:val="3a3a3a"/>
          <w:sz w:val="24"/>
          <w:szCs w:val="24"/>
          <w:highlight w:val="white"/>
          <w:rtl w:val="0"/>
        </w:rPr>
        <w:t xml:space="preserve">, </w:t>
      </w:r>
      <w:r w:rsidDel="00000000" w:rsidR="00000000" w:rsidRPr="00000000">
        <w:rPr>
          <w:rFonts w:ascii="Times New Roman" w:cs="Times New Roman" w:eastAsia="Times New Roman" w:hAnsi="Times New Roman"/>
          <w:i w:val="1"/>
          <w:color w:val="3a3a3a"/>
          <w:sz w:val="24"/>
          <w:szCs w:val="24"/>
          <w:highlight w:val="white"/>
          <w:rtl w:val="0"/>
        </w:rPr>
        <w:t xml:space="preserve">One in eight British households has no garden - Office for National Statistics</w:t>
      </w:r>
      <w:r w:rsidDel="00000000" w:rsidR="00000000" w:rsidRPr="00000000">
        <w:rPr>
          <w:rFonts w:ascii="Times New Roman" w:cs="Times New Roman" w:eastAsia="Times New Roman" w:hAnsi="Times New Roman"/>
          <w:color w:val="3a3a3a"/>
          <w:sz w:val="24"/>
          <w:szCs w:val="24"/>
          <w:highlight w:val="white"/>
          <w:rtl w:val="0"/>
        </w:rPr>
        <w:t xml:space="preserve">. Available at: https://www.ons.gov.uk/economy/environmentalaccounts/articles/oneineightbritishhouseholdshasnogarden/2020-05-14 (Accessed: 04 April 2024). </w:t>
      </w:r>
    </w:p>
    <w:p w:rsidR="00000000" w:rsidDel="00000000" w:rsidP="00000000" w:rsidRDefault="00000000" w:rsidRPr="00000000" w14:paraId="0000001E">
      <w:pPr>
        <w:spacing w:after="240" w:before="240" w:lineRule="auto"/>
        <w:ind w:left="580" w:hanging="20"/>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De Bois, N. (2022) </w:t>
      </w:r>
      <w:r w:rsidDel="00000000" w:rsidR="00000000" w:rsidRPr="00000000">
        <w:rPr>
          <w:rFonts w:ascii="Times New Roman" w:cs="Times New Roman" w:eastAsia="Times New Roman" w:hAnsi="Times New Roman"/>
          <w:i w:val="1"/>
          <w:color w:val="3a3a3a"/>
          <w:sz w:val="24"/>
          <w:szCs w:val="24"/>
          <w:highlight w:val="white"/>
          <w:rtl w:val="0"/>
        </w:rPr>
        <w:t xml:space="preserve">New plan for tourism boards will make it easier for holiday makers to plan trips in England</w:t>
      </w:r>
      <w:r w:rsidDel="00000000" w:rsidR="00000000" w:rsidRPr="00000000">
        <w:rPr>
          <w:rFonts w:ascii="Times New Roman" w:cs="Times New Roman" w:eastAsia="Times New Roman" w:hAnsi="Times New Roman"/>
          <w:color w:val="3a3a3a"/>
          <w:sz w:val="24"/>
          <w:szCs w:val="24"/>
          <w:highlight w:val="white"/>
          <w:rtl w:val="0"/>
        </w:rPr>
        <w:t xml:space="preserve">, </w:t>
      </w:r>
      <w:r w:rsidDel="00000000" w:rsidR="00000000" w:rsidRPr="00000000">
        <w:rPr>
          <w:rFonts w:ascii="Times New Roman" w:cs="Times New Roman" w:eastAsia="Times New Roman" w:hAnsi="Times New Roman"/>
          <w:i w:val="1"/>
          <w:color w:val="3a3a3a"/>
          <w:sz w:val="24"/>
          <w:szCs w:val="24"/>
          <w:highlight w:val="white"/>
          <w:rtl w:val="0"/>
        </w:rPr>
        <w:t xml:space="preserve">GOV.UK</w:t>
      </w:r>
      <w:r w:rsidDel="00000000" w:rsidR="00000000" w:rsidRPr="00000000">
        <w:rPr>
          <w:rFonts w:ascii="Times New Roman" w:cs="Times New Roman" w:eastAsia="Times New Roman" w:hAnsi="Times New Roman"/>
          <w:color w:val="3a3a3a"/>
          <w:sz w:val="24"/>
          <w:szCs w:val="24"/>
          <w:highlight w:val="white"/>
          <w:rtl w:val="0"/>
        </w:rPr>
        <w:t xml:space="preserve">. Available at: https://www.gov.uk/government/news/new-plan-for-tourism-boards-will-make-it-easier-for-holiday-makers-to-plan-trips-in-england (Accessed: 03 April 2024). </w:t>
      </w:r>
    </w:p>
    <w:p w:rsidR="00000000" w:rsidDel="00000000" w:rsidP="00000000" w:rsidRDefault="00000000" w:rsidRPr="00000000" w14:paraId="0000001F">
      <w:pPr>
        <w:spacing w:after="240" w:before="240" w:lineRule="auto"/>
        <w:ind w:left="580" w:hanging="20"/>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Gray, S. (2022) </w:t>
      </w:r>
      <w:r w:rsidDel="00000000" w:rsidR="00000000" w:rsidRPr="00000000">
        <w:rPr>
          <w:rFonts w:ascii="Times New Roman" w:cs="Times New Roman" w:eastAsia="Times New Roman" w:hAnsi="Times New Roman"/>
          <w:i w:val="1"/>
          <w:color w:val="3a3a3a"/>
          <w:sz w:val="24"/>
          <w:szCs w:val="24"/>
          <w:highlight w:val="white"/>
          <w:rtl w:val="0"/>
        </w:rPr>
        <w:t xml:space="preserve">Covid-19 has highlighted the inadequate, and unequal, access to high quality green spaces</w:t>
      </w:r>
      <w:r w:rsidDel="00000000" w:rsidR="00000000" w:rsidRPr="00000000">
        <w:rPr>
          <w:rFonts w:ascii="Times New Roman" w:cs="Times New Roman" w:eastAsia="Times New Roman" w:hAnsi="Times New Roman"/>
          <w:color w:val="3a3a3a"/>
          <w:sz w:val="24"/>
          <w:szCs w:val="24"/>
          <w:highlight w:val="white"/>
          <w:rtl w:val="0"/>
        </w:rPr>
        <w:t xml:space="preserve">, </w:t>
      </w:r>
      <w:r w:rsidDel="00000000" w:rsidR="00000000" w:rsidRPr="00000000">
        <w:rPr>
          <w:rFonts w:ascii="Times New Roman" w:cs="Times New Roman" w:eastAsia="Times New Roman" w:hAnsi="Times New Roman"/>
          <w:i w:val="1"/>
          <w:color w:val="3a3a3a"/>
          <w:sz w:val="24"/>
          <w:szCs w:val="24"/>
          <w:highlight w:val="white"/>
          <w:rtl w:val="0"/>
        </w:rPr>
        <w:t xml:space="preserve">Bristol Health Partners</w:t>
      </w:r>
      <w:r w:rsidDel="00000000" w:rsidR="00000000" w:rsidRPr="00000000">
        <w:rPr>
          <w:rFonts w:ascii="Times New Roman" w:cs="Times New Roman" w:eastAsia="Times New Roman" w:hAnsi="Times New Roman"/>
          <w:color w:val="3a3a3a"/>
          <w:sz w:val="24"/>
          <w:szCs w:val="24"/>
          <w:highlight w:val="white"/>
          <w:rtl w:val="0"/>
        </w:rPr>
        <w:t xml:space="preserve">. Available at: https://www.bristolhealthpartners.org.uk/news/covid-19-has-highlighted-the-inadequate-and-unequal-access-to-high-quality-green-spaces/ (Accessed: 02 April 2024). </w:t>
      </w:r>
    </w:p>
    <w:p w:rsidR="00000000" w:rsidDel="00000000" w:rsidP="00000000" w:rsidRDefault="00000000" w:rsidRPr="00000000" w14:paraId="00000020">
      <w:pPr>
        <w:spacing w:after="240" w:before="240" w:lineRule="auto"/>
        <w:ind w:left="580" w:hanging="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Hiemstra, A.-F.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 ‘The effects of covid-19 litter on animal life’, </w:t>
      </w:r>
      <w:r w:rsidDel="00000000" w:rsidR="00000000" w:rsidRPr="00000000">
        <w:rPr>
          <w:rFonts w:ascii="Times New Roman" w:cs="Times New Roman" w:eastAsia="Times New Roman" w:hAnsi="Times New Roman"/>
          <w:i w:val="1"/>
          <w:color w:val="222222"/>
          <w:sz w:val="24"/>
          <w:szCs w:val="24"/>
          <w:highlight w:val="white"/>
          <w:rtl w:val="0"/>
        </w:rPr>
        <w:t xml:space="preserve">Animal Biology</w:t>
      </w:r>
      <w:r w:rsidDel="00000000" w:rsidR="00000000" w:rsidRPr="00000000">
        <w:rPr>
          <w:rFonts w:ascii="Times New Roman" w:cs="Times New Roman" w:eastAsia="Times New Roman" w:hAnsi="Times New Roman"/>
          <w:color w:val="222222"/>
          <w:sz w:val="24"/>
          <w:szCs w:val="24"/>
          <w:highlight w:val="white"/>
          <w:rtl w:val="0"/>
        </w:rPr>
        <w:t xml:space="preserve">, 71(2), pp. 215–231. doi:10.1163/15707563-bja10052. </w:t>
      </w:r>
    </w:p>
    <w:p w:rsidR="00000000" w:rsidDel="00000000" w:rsidP="00000000" w:rsidRDefault="00000000" w:rsidRPr="00000000" w14:paraId="00000021">
      <w:pPr>
        <w:rPr>
          <w:rFonts w:ascii="Times New Roman" w:cs="Times New Roman" w:eastAsia="Times New Roman" w:hAnsi="Times New Roman"/>
          <w:color w:val="343a40"/>
          <w:sz w:val="24"/>
          <w:szCs w:val="24"/>
          <w:highlight w:val="white"/>
        </w:rPr>
      </w:pPr>
      <w:r w:rsidDel="00000000" w:rsidR="00000000" w:rsidRPr="00000000">
        <w:rPr>
          <w:rFonts w:ascii="Times New Roman" w:cs="Times New Roman" w:eastAsia="Times New Roman" w:hAnsi="Times New Roman"/>
          <w:color w:val="343a40"/>
          <w:sz w:val="24"/>
          <w:szCs w:val="24"/>
          <w:highlight w:val="white"/>
          <w:rtl w:val="0"/>
        </w:rPr>
        <w:t xml:space="preserve">           Humphreys, A (2014). Microadventures: Local discoveries for great escapes.         London, UK: William    </w:t>
      </w:r>
    </w:p>
    <w:p w:rsidR="00000000" w:rsidDel="00000000" w:rsidP="00000000" w:rsidRDefault="00000000" w:rsidRPr="00000000" w14:paraId="00000022">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343a40"/>
          <w:sz w:val="24"/>
          <w:szCs w:val="24"/>
          <w:highlight w:val="white"/>
          <w:rtl w:val="0"/>
        </w:rPr>
        <w:t xml:space="preserve">           Collins. </w:t>
      </w:r>
      <w:r w:rsidDel="00000000" w:rsidR="00000000" w:rsidRPr="00000000">
        <w:rPr>
          <w:rtl w:val="0"/>
        </w:rPr>
      </w:r>
    </w:p>
    <w:p w:rsidR="00000000" w:rsidDel="00000000" w:rsidP="00000000" w:rsidRDefault="00000000" w:rsidRPr="00000000" w14:paraId="00000023">
      <w:pPr>
        <w:spacing w:after="240" w:before="240" w:lineRule="auto"/>
        <w:ind w:left="580" w:hanging="20"/>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Kyle, G. </w:t>
      </w:r>
      <w:r w:rsidDel="00000000" w:rsidR="00000000" w:rsidRPr="00000000">
        <w:rPr>
          <w:rFonts w:ascii="Times New Roman" w:cs="Times New Roman" w:eastAsia="Times New Roman" w:hAnsi="Times New Roman"/>
          <w:i w:val="1"/>
          <w:color w:val="3a3a3a"/>
          <w:sz w:val="24"/>
          <w:szCs w:val="24"/>
          <w:highlight w:val="white"/>
          <w:rtl w:val="0"/>
        </w:rPr>
        <w:t xml:space="preserve">et al.</w:t>
      </w:r>
      <w:r w:rsidDel="00000000" w:rsidR="00000000" w:rsidRPr="00000000">
        <w:rPr>
          <w:rFonts w:ascii="Times New Roman" w:cs="Times New Roman" w:eastAsia="Times New Roman" w:hAnsi="Times New Roman"/>
          <w:color w:val="3a3a3a"/>
          <w:sz w:val="24"/>
          <w:szCs w:val="24"/>
          <w:highlight w:val="white"/>
          <w:rtl w:val="0"/>
        </w:rPr>
        <w:t xml:space="preserve"> (2004) ‘Effects of place attachment on users’ perceptions of social and environmental conditions in a natural setting’, </w:t>
      </w:r>
      <w:r w:rsidDel="00000000" w:rsidR="00000000" w:rsidRPr="00000000">
        <w:rPr>
          <w:rFonts w:ascii="Times New Roman" w:cs="Times New Roman" w:eastAsia="Times New Roman" w:hAnsi="Times New Roman"/>
          <w:i w:val="1"/>
          <w:color w:val="3a3a3a"/>
          <w:sz w:val="24"/>
          <w:szCs w:val="24"/>
          <w:highlight w:val="white"/>
          <w:rtl w:val="0"/>
        </w:rPr>
        <w:t xml:space="preserve">Journal of Environmental Psychology</w:t>
      </w:r>
      <w:r w:rsidDel="00000000" w:rsidR="00000000" w:rsidRPr="00000000">
        <w:rPr>
          <w:rFonts w:ascii="Times New Roman" w:cs="Times New Roman" w:eastAsia="Times New Roman" w:hAnsi="Times New Roman"/>
          <w:color w:val="3a3a3a"/>
          <w:sz w:val="24"/>
          <w:szCs w:val="24"/>
          <w:highlight w:val="white"/>
          <w:rtl w:val="0"/>
        </w:rPr>
        <w:t xml:space="preserve">, 24(2), pp. 213–225. doi:10.1016/j.jenvp.2003.12.006. </w:t>
      </w:r>
    </w:p>
    <w:p w:rsidR="00000000" w:rsidDel="00000000" w:rsidP="00000000" w:rsidRDefault="00000000" w:rsidRPr="00000000" w14:paraId="00000024">
      <w:pPr>
        <w:spacing w:after="240" w:before="240" w:lineRule="auto"/>
        <w:ind w:left="580" w:hanging="20"/>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Mackenzie, S.H. and Goodnow, J. (2020) ‘Adventure in the age of covid-19: Embracing microadventures and locavism in a post-pandemic world’, </w:t>
      </w:r>
      <w:r w:rsidDel="00000000" w:rsidR="00000000" w:rsidRPr="00000000">
        <w:rPr>
          <w:rFonts w:ascii="Times New Roman" w:cs="Times New Roman" w:eastAsia="Times New Roman" w:hAnsi="Times New Roman"/>
          <w:i w:val="1"/>
          <w:color w:val="3a3a3a"/>
          <w:sz w:val="24"/>
          <w:szCs w:val="24"/>
          <w:highlight w:val="white"/>
          <w:rtl w:val="0"/>
        </w:rPr>
        <w:t xml:space="preserve">Leisure Sciences</w:t>
      </w:r>
      <w:r w:rsidDel="00000000" w:rsidR="00000000" w:rsidRPr="00000000">
        <w:rPr>
          <w:rFonts w:ascii="Times New Roman" w:cs="Times New Roman" w:eastAsia="Times New Roman" w:hAnsi="Times New Roman"/>
          <w:color w:val="3a3a3a"/>
          <w:sz w:val="24"/>
          <w:szCs w:val="24"/>
          <w:highlight w:val="white"/>
          <w:rtl w:val="0"/>
        </w:rPr>
        <w:t xml:space="preserve">, 43(1–2), pp. 62–69. doi:10.1080/01490400.2020.1773984. </w:t>
      </w:r>
    </w:p>
    <w:p w:rsidR="00000000" w:rsidDel="00000000" w:rsidP="00000000" w:rsidRDefault="00000000" w:rsidRPr="00000000" w14:paraId="00000025">
      <w:pPr>
        <w:spacing w:after="240" w:before="240" w:lineRule="auto"/>
        <w:ind w:left="580" w:hanging="20"/>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Monbiot, G. (2014) </w:t>
      </w:r>
      <w:r w:rsidDel="00000000" w:rsidR="00000000" w:rsidRPr="00000000">
        <w:rPr>
          <w:rFonts w:ascii="Times New Roman" w:cs="Times New Roman" w:eastAsia="Times New Roman" w:hAnsi="Times New Roman"/>
          <w:i w:val="1"/>
          <w:color w:val="3a3a3a"/>
          <w:sz w:val="24"/>
          <w:szCs w:val="24"/>
          <w:highlight w:val="white"/>
          <w:rtl w:val="0"/>
        </w:rPr>
        <w:t xml:space="preserve">Feral: Rewilding the land, Sea, and human life</w:t>
      </w:r>
      <w:r w:rsidDel="00000000" w:rsidR="00000000" w:rsidRPr="00000000">
        <w:rPr>
          <w:rFonts w:ascii="Times New Roman" w:cs="Times New Roman" w:eastAsia="Times New Roman" w:hAnsi="Times New Roman"/>
          <w:color w:val="3a3a3a"/>
          <w:sz w:val="24"/>
          <w:szCs w:val="24"/>
          <w:highlight w:val="white"/>
          <w:rtl w:val="0"/>
        </w:rPr>
        <w:t xml:space="preserve">. London: Penguin Books. </w:t>
      </w:r>
    </w:p>
    <w:p w:rsidR="00000000" w:rsidDel="00000000" w:rsidP="00000000" w:rsidRDefault="00000000" w:rsidRPr="00000000" w14:paraId="00000026">
      <w:pPr>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           Thomas, E. (2021). Travel as Exploration: Science, the Unknown and Personal Discovery. In </w:t>
      </w:r>
      <w:r w:rsidDel="00000000" w:rsidR="00000000" w:rsidRPr="00000000">
        <w:rPr>
          <w:rFonts w:ascii="Times New Roman" w:cs="Times New Roman" w:eastAsia="Times New Roman" w:hAnsi="Times New Roman"/>
          <w:i w:val="1"/>
          <w:color w:val="3a3a3a"/>
          <w:sz w:val="24"/>
          <w:szCs w:val="24"/>
          <w:highlight w:val="white"/>
          <w:rtl w:val="0"/>
        </w:rPr>
        <w:t xml:space="preserve">Why Travel?</w:t>
      </w:r>
      <w:r w:rsidDel="00000000" w:rsidR="00000000" w:rsidRPr="00000000">
        <w:rPr>
          <w:rFonts w:ascii="Times New Roman" w:cs="Times New Roman" w:eastAsia="Times New Roman" w:hAnsi="Times New Roman"/>
          <w:color w:val="3a3a3a"/>
          <w:sz w:val="24"/>
          <w:szCs w:val="24"/>
          <w:highlight w:val="white"/>
          <w:rtl w:val="0"/>
        </w:rPr>
        <w:t xml:space="preserve">   </w:t>
      </w:r>
    </w:p>
    <w:p w:rsidR="00000000" w:rsidDel="00000000" w:rsidP="00000000" w:rsidRDefault="00000000" w:rsidRPr="00000000" w14:paraId="00000027">
      <w:pPr>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           (pp. 205–228). Bristol University Press.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https://doi.org/10.56687/9781529216394-017</w:t>
        </w:r>
      </w:hyperlink>
      <w:r w:rsidDel="00000000" w:rsidR="00000000" w:rsidRPr="00000000">
        <w:rPr>
          <w:rtl w:val="0"/>
        </w:rPr>
      </w:r>
    </w:p>
    <w:p w:rsidR="00000000" w:rsidDel="00000000" w:rsidP="00000000" w:rsidRDefault="00000000" w:rsidRPr="00000000" w14:paraId="00000028">
      <w:pPr>
        <w:spacing w:after="240" w:before="240" w:lineRule="auto"/>
        <w:ind w:left="580" w:hanging="20"/>
        <w:rPr>
          <w:rFonts w:ascii="Times New Roman" w:cs="Times New Roman" w:eastAsia="Times New Roman" w:hAnsi="Times New Roman"/>
          <w:color w:val="3a3a3a"/>
          <w:sz w:val="24"/>
          <w:szCs w:val="24"/>
          <w:highlight w:val="white"/>
        </w:rPr>
      </w:pPr>
      <w:r w:rsidDel="00000000" w:rsidR="00000000" w:rsidRPr="00000000">
        <w:rPr>
          <w:rFonts w:ascii="Times New Roman" w:cs="Times New Roman" w:eastAsia="Times New Roman" w:hAnsi="Times New Roman"/>
          <w:i w:val="1"/>
          <w:color w:val="3a3a3a"/>
          <w:sz w:val="24"/>
          <w:szCs w:val="24"/>
          <w:highlight w:val="white"/>
          <w:rtl w:val="0"/>
        </w:rPr>
        <w:t xml:space="preserve">Over half of UK holidaymakers are likely to choose staycations above holidays abroad - due to climate change</w:t>
      </w:r>
      <w:r w:rsidDel="00000000" w:rsidR="00000000" w:rsidRPr="00000000">
        <w:rPr>
          <w:rFonts w:ascii="Times New Roman" w:cs="Times New Roman" w:eastAsia="Times New Roman" w:hAnsi="Times New Roman"/>
          <w:color w:val="3a3a3a"/>
          <w:sz w:val="24"/>
          <w:szCs w:val="24"/>
          <w:highlight w:val="white"/>
          <w:rtl w:val="0"/>
        </w:rPr>
        <w:t xml:space="preserve"> (2024) </w:t>
      </w:r>
      <w:r w:rsidDel="00000000" w:rsidR="00000000" w:rsidRPr="00000000">
        <w:rPr>
          <w:rFonts w:ascii="Times New Roman" w:cs="Times New Roman" w:eastAsia="Times New Roman" w:hAnsi="Times New Roman"/>
          <w:i w:val="1"/>
          <w:color w:val="3a3a3a"/>
          <w:sz w:val="24"/>
          <w:szCs w:val="24"/>
          <w:highlight w:val="white"/>
          <w:rtl w:val="0"/>
        </w:rPr>
        <w:t xml:space="preserve">Mintel</w:t>
      </w:r>
      <w:r w:rsidDel="00000000" w:rsidR="00000000" w:rsidRPr="00000000">
        <w:rPr>
          <w:rFonts w:ascii="Times New Roman" w:cs="Times New Roman" w:eastAsia="Times New Roman" w:hAnsi="Times New Roman"/>
          <w:color w:val="3a3a3a"/>
          <w:sz w:val="24"/>
          <w:szCs w:val="24"/>
          <w:highlight w:val="white"/>
          <w:rtl w:val="0"/>
        </w:rPr>
        <w:t xml:space="preserve">. Available at: https://www.mintel.com/press-centre/over-half-of-uk-holidaymakers-are-likely-to-choose-staycations-above-holidays-abroad-due-to-climate-change/ (Accessed: 02 April 2024). </w:t>
      </w:r>
    </w:p>
    <w:p w:rsidR="00000000" w:rsidDel="00000000" w:rsidP="00000000" w:rsidRDefault="00000000" w:rsidRPr="00000000" w14:paraId="00000029">
      <w:pPr>
        <w:rPr>
          <w:rFonts w:ascii="Times New Roman" w:cs="Times New Roman" w:eastAsia="Times New Roman" w:hAnsi="Times New Roman"/>
          <w:color w:val="3a3a3a"/>
          <w:sz w:val="24"/>
          <w:szCs w:val="24"/>
          <w:highlight w:val="white"/>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222222"/>
          <w:sz w:val="24"/>
          <w:szCs w:val="24"/>
          <w:highlight w:val="white"/>
          <w:rtl w:val="0"/>
        </w:rPr>
        <w:t xml:space="preserve">Pidd, H. (2021) </w:t>
      </w:r>
      <w:r w:rsidDel="00000000" w:rsidR="00000000" w:rsidRPr="00000000">
        <w:rPr>
          <w:rFonts w:ascii="Times New Roman" w:cs="Times New Roman" w:eastAsia="Times New Roman" w:hAnsi="Times New Roman"/>
          <w:i w:val="1"/>
          <w:color w:val="222222"/>
          <w:sz w:val="24"/>
          <w:szCs w:val="24"/>
          <w:highlight w:val="white"/>
          <w:rtl w:val="0"/>
        </w:rPr>
        <w:t xml:space="preserve">‘the Litter was a shock’: 2020’s Covid-driven rush on UK National parks</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2C">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i w:val="1"/>
          <w:color w:val="222222"/>
          <w:sz w:val="24"/>
          <w:szCs w:val="24"/>
          <w:highlight w:val="white"/>
          <w:rtl w:val="0"/>
        </w:rPr>
        <w:t xml:space="preserve">         The Guardian</w:t>
      </w:r>
      <w:r w:rsidDel="00000000" w:rsidR="00000000" w:rsidRPr="00000000">
        <w:rPr>
          <w:rFonts w:ascii="Times New Roman" w:cs="Times New Roman" w:eastAsia="Times New Roman" w:hAnsi="Times New Roman"/>
          <w:color w:val="222222"/>
          <w:sz w:val="24"/>
          <w:szCs w:val="24"/>
          <w:highlight w:val="white"/>
          <w:rtl w:val="0"/>
        </w:rPr>
        <w:t xml:space="preserve">. Available at:</w:t>
      </w:r>
    </w:p>
    <w:p w:rsidR="00000000" w:rsidDel="00000000" w:rsidP="00000000" w:rsidRDefault="00000000" w:rsidRPr="00000000" w14:paraId="0000002D">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https://www.theguardian.com/environment/2021/jan/01/the-litter-was-a-shock-2020-covid-rush-on-uk-national-parks (Accessed: 02 April 2024). </w:t>
      </w:r>
    </w:p>
    <w:p w:rsidR="00000000" w:rsidDel="00000000" w:rsidP="00000000" w:rsidRDefault="00000000" w:rsidRPr="00000000" w14:paraId="0000002E">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hyperlink r:id="rId7">
        <w:r w:rsidDel="00000000" w:rsidR="00000000" w:rsidRPr="00000000">
          <w:rPr>
            <w:rFonts w:ascii="Times New Roman" w:cs="Times New Roman" w:eastAsia="Times New Roman" w:hAnsi="Times New Roman"/>
            <w:color w:val="1155cc"/>
            <w:sz w:val="24"/>
            <w:szCs w:val="24"/>
            <w:highlight w:val="white"/>
            <w:rtl w:val="0"/>
          </w:rPr>
          <w:t xml:space="preserve">Wright, D.W.M.</w:t>
        </w:r>
      </w:hyperlink>
      <w:r w:rsidDel="00000000" w:rsidR="00000000" w:rsidRPr="00000000">
        <w:rPr>
          <w:rFonts w:ascii="Times New Roman" w:cs="Times New Roman" w:eastAsia="Times New Roman" w:hAnsi="Times New Roman"/>
          <w:sz w:val="24"/>
          <w:szCs w:val="24"/>
          <w:highlight w:val="white"/>
          <w:rtl w:val="0"/>
        </w:rPr>
        <w:t xml:space="preserve"> (2023), "The future past of travel: adventure tourism supporting humans living on the edge of existence", </w:t>
      </w:r>
      <w:hyperlink r:id="rId8">
        <w:r w:rsidDel="00000000" w:rsidR="00000000" w:rsidRPr="00000000">
          <w:rPr>
            <w:rFonts w:ascii="Times New Roman" w:cs="Times New Roman" w:eastAsia="Times New Roman" w:hAnsi="Times New Roman"/>
            <w:i w:val="1"/>
            <w:color w:val="007377"/>
            <w:sz w:val="24"/>
            <w:szCs w:val="24"/>
            <w:highlight w:val="white"/>
            <w:rtl w:val="0"/>
          </w:rPr>
          <w:t xml:space="preserve">Journal of Tourism Futures</w:t>
        </w:r>
      </w:hyperlink>
      <w:r w:rsidDel="00000000" w:rsidR="00000000" w:rsidRPr="00000000">
        <w:rPr>
          <w:rFonts w:ascii="Times New Roman" w:cs="Times New Roman" w:eastAsia="Times New Roman" w:hAnsi="Times New Roman"/>
          <w:sz w:val="24"/>
          <w:szCs w:val="24"/>
          <w:highlight w:val="white"/>
          <w:rtl w:val="0"/>
        </w:rPr>
        <w:t xml:space="preserve">, Vol. 9 No. 2, pp. 151-167. </w:t>
      </w:r>
      <w:hyperlink r:id="rId9">
        <w:r w:rsidDel="00000000" w:rsidR="00000000" w:rsidRPr="00000000">
          <w:rPr>
            <w:rFonts w:ascii="Times New Roman" w:cs="Times New Roman" w:eastAsia="Times New Roman" w:hAnsi="Times New Roman"/>
            <w:color w:val="007377"/>
            <w:sz w:val="24"/>
            <w:szCs w:val="24"/>
            <w:highlight w:val="white"/>
            <w:rtl w:val="0"/>
          </w:rPr>
          <w:t xml:space="preserve">https://doi.org/10.1108/JTF-01-2021-0024</w:t>
        </w:r>
      </w:hyperlink>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World Health Organization, 1992. </w:t>
      </w:r>
      <w:r w:rsidDel="00000000" w:rsidR="00000000" w:rsidRPr="00000000">
        <w:rPr>
          <w:rFonts w:ascii="Times New Roman" w:cs="Times New Roman" w:eastAsia="Times New Roman" w:hAnsi="Times New Roman"/>
          <w:i w:val="1"/>
          <w:color w:val="222222"/>
          <w:sz w:val="24"/>
          <w:szCs w:val="24"/>
          <w:highlight w:val="white"/>
          <w:rtl w:val="0"/>
        </w:rPr>
        <w:t xml:space="preserve">Our planet, our health: Report of the WHO Commission on Health and Environment</w:t>
      </w:r>
      <w:r w:rsidDel="00000000" w:rsidR="00000000" w:rsidRPr="00000000">
        <w:rPr>
          <w:rFonts w:ascii="Times New Roman" w:cs="Times New Roman" w:eastAsia="Times New Roman" w:hAnsi="Times New Roman"/>
          <w:color w:val="222222"/>
          <w:sz w:val="24"/>
          <w:szCs w:val="24"/>
          <w:highlight w:val="white"/>
          <w:rtl w:val="0"/>
        </w:rPr>
        <w:t xml:space="preserve">. World Health Organization.</w:t>
      </w:r>
    </w:p>
    <w:p w:rsidR="00000000" w:rsidDel="00000000" w:rsidP="00000000" w:rsidRDefault="00000000" w:rsidRPr="00000000" w14:paraId="00000032">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Zelenski, J.M. and Nisbet, E.K. (2014) ‘Happiness and feeling connected’, </w:t>
      </w:r>
      <w:r w:rsidDel="00000000" w:rsidR="00000000" w:rsidRPr="00000000">
        <w:rPr>
          <w:rFonts w:ascii="Times New Roman" w:cs="Times New Roman" w:eastAsia="Times New Roman" w:hAnsi="Times New Roman"/>
          <w:i w:val="1"/>
          <w:color w:val="222222"/>
          <w:sz w:val="24"/>
          <w:szCs w:val="24"/>
          <w:highlight w:val="white"/>
          <w:rtl w:val="0"/>
        </w:rPr>
        <w:t xml:space="preserve">Environment and Behavior</w:t>
      </w:r>
      <w:r w:rsidDel="00000000" w:rsidR="00000000" w:rsidRPr="00000000">
        <w:rPr>
          <w:rFonts w:ascii="Times New Roman" w:cs="Times New Roman" w:eastAsia="Times New Roman" w:hAnsi="Times New Roman"/>
          <w:color w:val="222222"/>
          <w:sz w:val="24"/>
          <w:szCs w:val="24"/>
          <w:highlight w:val="white"/>
          <w:rtl w:val="0"/>
        </w:rPr>
        <w:t xml:space="preserve">, 46(1), pp. 3–23. doi:10.1177/0013916512451901. </w:t>
      </w:r>
    </w:p>
    <w:p w:rsidR="00000000" w:rsidDel="00000000" w:rsidP="00000000" w:rsidRDefault="00000000" w:rsidRPr="00000000" w14:paraId="00000034">
      <w:pPr>
        <w:spacing w:after="240" w:before="240" w:lineRule="auto"/>
        <w:ind w:left="580" w:hanging="2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color w:val="0d0d0d"/>
          <w:sz w:val="24"/>
          <w:szCs w:val="24"/>
          <w:highlight w:val="white"/>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color w:val="0d0d0d"/>
          <w:sz w:val="24"/>
          <w:szCs w:val="24"/>
          <w:highlight w:val="white"/>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color w:val="0d0d0d"/>
          <w:sz w:val="24"/>
          <w:szCs w:val="24"/>
          <w:highlight w:val="white"/>
        </w:rPr>
      </w:pPr>
      <w:r w:rsidDel="00000000" w:rsidR="00000000" w:rsidRPr="00000000">
        <w:rPr>
          <w:rtl w:val="0"/>
        </w:rPr>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23132"/>
          <w:sz w:val="24"/>
          <w:szCs w:val="24"/>
          <w:highlight w:val="white"/>
        </w:rPr>
      </w:pPr>
      <w:r w:rsidDel="00000000" w:rsidR="00000000" w:rsidRPr="00000000">
        <w:rPr>
          <w:rtl w:val="0"/>
        </w:rPr>
      </w:r>
    </w:p>
    <w:p w:rsidR="00000000" w:rsidDel="00000000" w:rsidP="00000000" w:rsidRDefault="00000000" w:rsidRPr="00000000" w14:paraId="0000003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23132"/>
          <w:sz w:val="24"/>
          <w:szCs w:val="24"/>
          <w:highlight w:val="white"/>
        </w:rPr>
      </w:pPr>
      <w:r w:rsidDel="00000000" w:rsidR="00000000" w:rsidRPr="00000000">
        <w:rPr>
          <w:rtl w:val="0"/>
        </w:rPr>
      </w:r>
    </w:p>
    <w:p w:rsidR="00000000" w:rsidDel="00000000" w:rsidP="00000000" w:rsidRDefault="00000000" w:rsidRPr="00000000" w14:paraId="0000003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23132"/>
          <w:sz w:val="24"/>
          <w:szCs w:val="24"/>
          <w:highlight w:val="white"/>
        </w:rPr>
      </w:pPr>
      <w:r w:rsidDel="00000000" w:rsidR="00000000" w:rsidRPr="00000000">
        <w:rPr>
          <w:rtl w:val="0"/>
        </w:rPr>
      </w:r>
    </w:p>
    <w:p w:rsidR="00000000" w:rsidDel="00000000" w:rsidP="00000000" w:rsidRDefault="00000000" w:rsidRPr="00000000" w14:paraId="0000003B">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121212"/>
          <w:sz w:val="24"/>
          <w:szCs w:val="24"/>
          <w:highlight w:val="white"/>
        </w:rPr>
      </w:pPr>
      <w:r w:rsidDel="00000000" w:rsidR="00000000" w:rsidRPr="00000000">
        <w:rPr>
          <w:rtl w:val="0"/>
        </w:rPr>
      </w:r>
    </w:p>
    <w:p w:rsidR="00000000" w:rsidDel="00000000" w:rsidP="00000000" w:rsidRDefault="00000000" w:rsidRPr="00000000" w14:paraId="0000003C">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121212"/>
          <w:sz w:val="24"/>
          <w:szCs w:val="24"/>
          <w:highlight w:val="white"/>
        </w:rPr>
      </w:pPr>
      <w:r w:rsidDel="00000000" w:rsidR="00000000" w:rsidRPr="00000000">
        <w:rPr>
          <w:rtl w:val="0"/>
        </w:rPr>
      </w:r>
    </w:p>
    <w:p w:rsidR="00000000" w:rsidDel="00000000" w:rsidP="00000000" w:rsidRDefault="00000000" w:rsidRPr="00000000" w14:paraId="0000003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121212"/>
          <w:sz w:val="24"/>
          <w:szCs w:val="24"/>
          <w:highlight w:val="white"/>
        </w:rPr>
      </w:pPr>
      <w:r w:rsidDel="00000000" w:rsidR="00000000" w:rsidRPr="00000000">
        <w:rPr>
          <w:rtl w:val="0"/>
        </w:rPr>
      </w:r>
    </w:p>
    <w:p w:rsidR="00000000" w:rsidDel="00000000" w:rsidP="00000000" w:rsidRDefault="00000000" w:rsidRPr="00000000" w14:paraId="0000003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121212"/>
          <w:sz w:val="24"/>
          <w:szCs w:val="24"/>
          <w:highlight w:val="white"/>
        </w:rPr>
      </w:pPr>
      <w:r w:rsidDel="00000000" w:rsidR="00000000" w:rsidRPr="00000000">
        <w:rPr>
          <w:rtl w:val="0"/>
        </w:rPr>
      </w:r>
    </w:p>
    <w:p w:rsidR="00000000" w:rsidDel="00000000" w:rsidP="00000000" w:rsidRDefault="00000000" w:rsidRPr="00000000" w14:paraId="0000003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121212"/>
          <w:sz w:val="24"/>
          <w:szCs w:val="24"/>
          <w:highlight w:val="white"/>
        </w:rPr>
      </w:pPr>
      <w:r w:rsidDel="00000000" w:rsidR="00000000" w:rsidRPr="00000000">
        <w:rPr>
          <w:rtl w:val="0"/>
        </w:rPr>
      </w:r>
    </w:p>
    <w:p w:rsidR="00000000" w:rsidDel="00000000" w:rsidP="00000000" w:rsidRDefault="00000000" w:rsidRPr="00000000" w14:paraId="0000004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121212"/>
          <w:sz w:val="24"/>
          <w:szCs w:val="24"/>
          <w:highlight w:val="white"/>
        </w:rPr>
      </w:pPr>
      <w:r w:rsidDel="00000000" w:rsidR="00000000" w:rsidRPr="00000000">
        <w:rPr>
          <w:rtl w:val="0"/>
        </w:rPr>
      </w:r>
    </w:p>
    <w:p w:rsidR="00000000" w:rsidDel="00000000" w:rsidP="00000000" w:rsidRDefault="00000000" w:rsidRPr="00000000" w14:paraId="0000004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980000"/>
          <w:sz w:val="24"/>
          <w:szCs w:val="24"/>
          <w:highlight w:val="white"/>
        </w:rPr>
      </w:pPr>
      <w:r w:rsidDel="00000000" w:rsidR="00000000" w:rsidRPr="00000000">
        <w:rPr>
          <w:rtl w:val="0"/>
        </w:rPr>
      </w:r>
    </w:p>
    <w:p w:rsidR="00000000" w:rsidDel="00000000" w:rsidP="00000000" w:rsidRDefault="00000000" w:rsidRPr="00000000" w14:paraId="0000004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23132"/>
          <w:sz w:val="24"/>
          <w:szCs w:val="24"/>
          <w:highlight w:val="white"/>
        </w:rPr>
      </w:pPr>
      <w:r w:rsidDel="00000000" w:rsidR="00000000" w:rsidRPr="00000000">
        <w:rPr>
          <w:rtl w:val="0"/>
        </w:rPr>
      </w:r>
    </w:p>
    <w:p w:rsidR="00000000" w:rsidDel="00000000" w:rsidP="00000000" w:rsidRDefault="00000000" w:rsidRPr="00000000" w14:paraId="0000004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23132"/>
          <w:sz w:val="24"/>
          <w:szCs w:val="24"/>
          <w:highlight w:val="white"/>
        </w:rPr>
      </w:pPr>
      <w:r w:rsidDel="00000000" w:rsidR="00000000" w:rsidRPr="00000000">
        <w:rPr>
          <w:rtl w:val="0"/>
        </w:rPr>
      </w:r>
    </w:p>
    <w:p w:rsidR="00000000" w:rsidDel="00000000" w:rsidP="00000000" w:rsidRDefault="00000000" w:rsidRPr="00000000" w14:paraId="00000045">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6">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7">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8">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9">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A">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B">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C">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D">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Times New Roman" w:cs="Times New Roman" w:eastAsia="Times New Roman" w:hAnsi="Times New Roman"/>
          <w:color w:val="343a40"/>
          <w:sz w:val="24"/>
          <w:szCs w:val="24"/>
          <w:highlight w:val="white"/>
        </w:rPr>
      </w:pPr>
      <w:r w:rsidDel="00000000" w:rsidR="00000000" w:rsidRPr="00000000">
        <w:rPr>
          <w:rtl w:val="0"/>
        </w:rPr>
      </w:r>
    </w:p>
    <w:p w:rsidR="00000000" w:rsidDel="00000000" w:rsidP="00000000" w:rsidRDefault="00000000" w:rsidRPr="00000000" w14:paraId="0000004E">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Nunito" w:cs="Nunito" w:eastAsia="Nunito" w:hAnsi="Nunito"/>
          <w:color w:val="343a40"/>
          <w:sz w:val="24"/>
          <w:szCs w:val="24"/>
          <w:highlight w:val="white"/>
        </w:rPr>
      </w:pPr>
      <w:r w:rsidDel="00000000" w:rsidR="00000000" w:rsidRPr="00000000">
        <w:rPr>
          <w:rtl w:val="0"/>
        </w:rPr>
      </w:r>
    </w:p>
    <w:p w:rsidR="00000000" w:rsidDel="00000000" w:rsidP="00000000" w:rsidRDefault="00000000" w:rsidRPr="00000000" w14:paraId="0000004F">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Nunito" w:cs="Nunito" w:eastAsia="Nunito" w:hAnsi="Nunito"/>
          <w:color w:val="343a40"/>
          <w:sz w:val="24"/>
          <w:szCs w:val="24"/>
          <w:highlight w:val="white"/>
        </w:rPr>
      </w:pPr>
      <w:r w:rsidDel="00000000" w:rsidR="00000000" w:rsidRPr="00000000">
        <w:rPr>
          <w:rFonts w:ascii="Nunito" w:cs="Nunito" w:eastAsia="Nunito" w:hAnsi="Nunito"/>
          <w:color w:val="343a40"/>
          <w:sz w:val="24"/>
          <w:szCs w:val="24"/>
          <w:highlight w:val="white"/>
          <w:rtl w:val="0"/>
        </w:rPr>
        <w:t xml:space="preserve"> </w:t>
      </w:r>
    </w:p>
    <w:p w:rsidR="00000000" w:rsidDel="00000000" w:rsidP="00000000" w:rsidRDefault="00000000" w:rsidRPr="00000000" w14:paraId="00000050">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51">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52">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53">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Roboto" w:cs="Roboto" w:eastAsia="Roboto" w:hAnsi="Roboto"/>
          <w:color w:val="0d0d0d"/>
          <w:sz w:val="24"/>
          <w:szCs w:val="24"/>
          <w:highlight w:val="white"/>
        </w:rPr>
      </w:pPr>
      <w:r w:rsidDel="00000000" w:rsidR="00000000" w:rsidRPr="00000000">
        <w:rPr>
          <w:rtl w:val="0"/>
        </w:rPr>
      </w:r>
    </w:p>
    <w:p w:rsidR="00000000" w:rsidDel="00000000" w:rsidP="00000000" w:rsidRDefault="00000000" w:rsidRPr="00000000" w14:paraId="00000054">
      <w:pPr>
        <w:pBdr>
          <w:top w:color="e3e3e3" w:space="0" w:sz="0" w:val="none"/>
          <w:left w:color="e3e3e3" w:space="0" w:sz="0" w:val="none"/>
          <w:bottom w:color="e3e3e3" w:space="0" w:sz="0" w:val="none"/>
          <w:right w:color="e3e3e3" w:space="0" w:sz="0" w:val="none"/>
          <w:between w:color="e3e3e3" w:space="0" w:sz="0" w:val="none"/>
        </w:pBdr>
        <w:shd w:fill="ffffff" w:val="clear"/>
        <w:spacing w:after="300" w:before="300" w:line="420" w:lineRule="auto"/>
        <w:rPr>
          <w:rFonts w:ascii="Roboto" w:cs="Roboto" w:eastAsia="Roboto" w:hAnsi="Robo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unit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08/JTF-01-2021-0024" TargetMode="External"/><Relationship Id="rId5" Type="http://schemas.openxmlformats.org/officeDocument/2006/relationships/styles" Target="styles.xml"/><Relationship Id="rId6" Type="http://schemas.openxmlformats.org/officeDocument/2006/relationships/hyperlink" Target="https://doi.org/10.56687/9781529216394-017" TargetMode="External"/><Relationship Id="rId7" Type="http://schemas.openxmlformats.org/officeDocument/2006/relationships/hyperlink" Target="https://www.emerald.com/insight/search?q=Daniel%20William%20Mackenzie%20Wright" TargetMode="External"/><Relationship Id="rId8" Type="http://schemas.openxmlformats.org/officeDocument/2006/relationships/hyperlink" Target="https://www.emerald.com/insight/publication/issn/2055-591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Nunito-regular.ttf"/><Relationship Id="rId6" Type="http://schemas.openxmlformats.org/officeDocument/2006/relationships/font" Target="fonts/Nunito-bold.ttf"/><Relationship Id="rId7" Type="http://schemas.openxmlformats.org/officeDocument/2006/relationships/font" Target="fonts/Nunito-italic.ttf"/><Relationship Id="rId8" Type="http://schemas.openxmlformats.org/officeDocument/2006/relationships/font" Target="fonts/Nuni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