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0C377" w14:textId="77777777" w:rsidR="006D38E1" w:rsidRDefault="006D38E1">
      <w:pPr>
        <w:spacing w:line="360" w:lineRule="auto"/>
        <w:jc w:val="center"/>
        <w:rPr>
          <w:rFonts w:ascii="Calibri" w:eastAsia="Calibri" w:hAnsi="Calibri" w:cs="Calibri"/>
          <w:b/>
          <w:bCs/>
          <w:sz w:val="32"/>
          <w:szCs w:val="32"/>
        </w:rPr>
      </w:pPr>
    </w:p>
    <w:p w14:paraId="7F978E02" w14:textId="77777777" w:rsidR="006D38E1" w:rsidRDefault="006D38E1">
      <w:pPr>
        <w:spacing w:line="360" w:lineRule="auto"/>
        <w:jc w:val="center"/>
        <w:rPr>
          <w:rFonts w:ascii="Calibri" w:eastAsia="Calibri" w:hAnsi="Calibri" w:cs="Calibri"/>
          <w:b/>
          <w:bCs/>
          <w:sz w:val="32"/>
          <w:szCs w:val="32"/>
        </w:rPr>
      </w:pPr>
    </w:p>
    <w:p w14:paraId="742FE493" w14:textId="77777777" w:rsidR="006D38E1" w:rsidRDefault="006D38E1">
      <w:pPr>
        <w:spacing w:line="360" w:lineRule="auto"/>
        <w:jc w:val="center"/>
        <w:rPr>
          <w:rFonts w:ascii="Calibri" w:eastAsia="Calibri" w:hAnsi="Calibri" w:cs="Calibri"/>
          <w:b/>
          <w:bCs/>
          <w:sz w:val="32"/>
          <w:szCs w:val="32"/>
        </w:rPr>
      </w:pPr>
    </w:p>
    <w:p w14:paraId="6C60D35C" w14:textId="77777777" w:rsidR="006D38E1" w:rsidRDefault="006D38E1">
      <w:pPr>
        <w:spacing w:line="360" w:lineRule="auto"/>
        <w:jc w:val="center"/>
        <w:rPr>
          <w:rFonts w:ascii="Calibri" w:eastAsia="Calibri" w:hAnsi="Calibri" w:cs="Calibri"/>
          <w:b/>
          <w:bCs/>
          <w:sz w:val="32"/>
          <w:szCs w:val="32"/>
        </w:rPr>
      </w:pPr>
    </w:p>
    <w:p w14:paraId="59996948" w14:textId="77777777" w:rsidR="006D38E1" w:rsidRDefault="006D38E1">
      <w:pPr>
        <w:spacing w:line="360" w:lineRule="auto"/>
        <w:jc w:val="center"/>
        <w:rPr>
          <w:rFonts w:ascii="Calibri" w:eastAsia="Calibri" w:hAnsi="Calibri" w:cs="Calibri"/>
          <w:b/>
          <w:bCs/>
          <w:sz w:val="32"/>
          <w:szCs w:val="32"/>
        </w:rPr>
      </w:pPr>
    </w:p>
    <w:p w14:paraId="6D68C88B" w14:textId="77777777" w:rsidR="006D38E1" w:rsidRDefault="005F7C34">
      <w:pPr>
        <w:spacing w:line="360" w:lineRule="auto"/>
        <w:rPr>
          <w:rFonts w:ascii="Calibri" w:eastAsia="Calibri" w:hAnsi="Calibri" w:cs="Calibri"/>
          <w:b/>
          <w:bCs/>
          <w:sz w:val="32"/>
          <w:szCs w:val="32"/>
        </w:rPr>
      </w:pPr>
      <w:r>
        <w:rPr>
          <w:rFonts w:ascii="Calibri" w:eastAsia="Calibri" w:hAnsi="Calibri" w:cs="Calibri"/>
          <w:b/>
          <w:bCs/>
          <w:noProof/>
          <w:sz w:val="32"/>
          <w:szCs w:val="32"/>
        </w:rPr>
        <w:drawing>
          <wp:inline distT="114300" distB="114300" distL="114300" distR="114300" wp14:anchorId="3D10C906" wp14:editId="47FCC159">
            <wp:extent cx="3457575" cy="12668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457575" cy="1266825"/>
                    </a:xfrm>
                    <a:prstGeom prst="rect">
                      <a:avLst/>
                    </a:prstGeom>
                    <a:ln/>
                  </pic:spPr>
                </pic:pic>
              </a:graphicData>
            </a:graphic>
          </wp:inline>
        </w:drawing>
      </w:r>
    </w:p>
    <w:p w14:paraId="67E27115" w14:textId="77777777" w:rsidR="006D38E1" w:rsidRDefault="006D38E1">
      <w:pPr>
        <w:spacing w:line="360" w:lineRule="auto"/>
        <w:jc w:val="center"/>
        <w:rPr>
          <w:rFonts w:ascii="Calibri" w:eastAsia="Calibri" w:hAnsi="Calibri" w:cs="Calibri"/>
          <w:b/>
          <w:bCs/>
          <w:sz w:val="32"/>
          <w:szCs w:val="32"/>
        </w:rPr>
      </w:pPr>
    </w:p>
    <w:p w14:paraId="751924BE" w14:textId="77777777" w:rsidR="006D38E1" w:rsidRDefault="005F7C34">
      <w:pPr>
        <w:spacing w:line="360" w:lineRule="auto"/>
        <w:jc w:val="center"/>
        <w:rPr>
          <w:rFonts w:ascii="Calibri" w:eastAsia="Calibri" w:hAnsi="Calibri" w:cs="Calibri"/>
          <w:b/>
          <w:bCs/>
          <w:sz w:val="28"/>
          <w:szCs w:val="28"/>
        </w:rPr>
      </w:pPr>
      <w:r>
        <w:rPr>
          <w:rFonts w:ascii="Calibri" w:eastAsia="Calibri" w:hAnsi="Calibri" w:cs="Calibri"/>
          <w:b/>
          <w:bCs/>
          <w:sz w:val="28"/>
          <w:szCs w:val="28"/>
        </w:rPr>
        <w:t>Programme: BA (Hons) Business Management</w:t>
      </w:r>
    </w:p>
    <w:p w14:paraId="60A37F5D" w14:textId="77777777" w:rsidR="006D38E1" w:rsidRDefault="005F7C34">
      <w:pPr>
        <w:spacing w:line="360" w:lineRule="auto"/>
        <w:jc w:val="center"/>
        <w:rPr>
          <w:rFonts w:ascii="Calibri" w:eastAsia="Calibri" w:hAnsi="Calibri" w:cs="Calibri"/>
          <w:b/>
          <w:bCs/>
          <w:sz w:val="28"/>
          <w:szCs w:val="28"/>
        </w:rPr>
      </w:pPr>
      <w:r>
        <w:rPr>
          <w:rFonts w:ascii="Calibri" w:eastAsia="Calibri" w:hAnsi="Calibri" w:cs="Calibri"/>
          <w:b/>
          <w:bCs/>
          <w:sz w:val="28"/>
          <w:szCs w:val="28"/>
        </w:rPr>
        <w:t>Module: Introduction to Business</w:t>
      </w:r>
    </w:p>
    <w:p w14:paraId="7B59F3AA" w14:textId="77777777" w:rsidR="006D38E1" w:rsidRDefault="005F7C34">
      <w:pPr>
        <w:spacing w:line="360" w:lineRule="auto"/>
        <w:jc w:val="center"/>
        <w:rPr>
          <w:rFonts w:ascii="Calibri" w:eastAsia="Calibri" w:hAnsi="Calibri" w:cs="Calibri"/>
          <w:b/>
          <w:bCs/>
          <w:sz w:val="28"/>
          <w:szCs w:val="28"/>
        </w:rPr>
      </w:pPr>
      <w:r>
        <w:rPr>
          <w:rFonts w:ascii="Calibri" w:eastAsia="Calibri" w:hAnsi="Calibri" w:cs="Calibri"/>
          <w:b/>
          <w:bCs/>
          <w:sz w:val="28"/>
          <w:szCs w:val="28"/>
        </w:rPr>
        <w:t>Module code: LCBB4014</w:t>
      </w:r>
    </w:p>
    <w:p w14:paraId="44E5BBA4" w14:textId="77777777" w:rsidR="006D38E1" w:rsidRDefault="005F7C34">
      <w:pPr>
        <w:spacing w:line="360" w:lineRule="auto"/>
        <w:jc w:val="center"/>
        <w:rPr>
          <w:rFonts w:ascii="Calibri" w:eastAsia="Calibri" w:hAnsi="Calibri" w:cs="Calibri"/>
          <w:b/>
          <w:bCs/>
          <w:sz w:val="28"/>
          <w:szCs w:val="28"/>
        </w:rPr>
      </w:pPr>
      <w:r>
        <w:rPr>
          <w:rFonts w:ascii="Calibri" w:eastAsia="Calibri" w:hAnsi="Calibri" w:cs="Calibri"/>
          <w:b/>
          <w:bCs/>
          <w:sz w:val="28"/>
          <w:szCs w:val="28"/>
        </w:rPr>
        <w:t>Lecturer: Dr Said Usman</w:t>
      </w:r>
    </w:p>
    <w:p w14:paraId="3C5C5839" w14:textId="77777777" w:rsidR="006D38E1" w:rsidRDefault="005F7C34">
      <w:pPr>
        <w:spacing w:line="360" w:lineRule="auto"/>
        <w:jc w:val="center"/>
        <w:rPr>
          <w:rFonts w:ascii="Calibri" w:eastAsia="Calibri" w:hAnsi="Calibri" w:cs="Calibri"/>
          <w:b/>
          <w:bCs/>
          <w:sz w:val="28"/>
          <w:szCs w:val="28"/>
        </w:rPr>
      </w:pPr>
      <w:r>
        <w:rPr>
          <w:rFonts w:ascii="Calibri" w:eastAsia="Calibri" w:hAnsi="Calibri" w:cs="Calibri"/>
          <w:b/>
          <w:bCs/>
          <w:sz w:val="28"/>
          <w:szCs w:val="28"/>
        </w:rPr>
        <w:t>Assignment Title: Component 2: Coursework: Essay</w:t>
      </w:r>
    </w:p>
    <w:p w14:paraId="3DB14DC9" w14:textId="27E5BC9D" w:rsidR="006D38E1" w:rsidRDefault="005F7C34">
      <w:pPr>
        <w:spacing w:line="360" w:lineRule="auto"/>
        <w:jc w:val="center"/>
        <w:rPr>
          <w:rFonts w:ascii="Calibri" w:eastAsia="Calibri" w:hAnsi="Calibri" w:cs="Calibri"/>
          <w:b/>
          <w:bCs/>
          <w:sz w:val="28"/>
          <w:szCs w:val="28"/>
        </w:rPr>
      </w:pPr>
      <w:r>
        <w:rPr>
          <w:rFonts w:ascii="Calibri" w:eastAsia="Calibri" w:hAnsi="Calibri" w:cs="Calibri"/>
          <w:b/>
          <w:bCs/>
          <w:sz w:val="28"/>
          <w:szCs w:val="28"/>
        </w:rPr>
        <w:t xml:space="preserve">Student name: </w:t>
      </w:r>
      <w:r w:rsidR="00334E23">
        <w:rPr>
          <w:rFonts w:ascii="Calibri" w:eastAsia="Calibri" w:hAnsi="Calibri" w:cs="Calibri"/>
          <w:b/>
          <w:bCs/>
          <w:sz w:val="28"/>
          <w:szCs w:val="28"/>
        </w:rPr>
        <w:t>Paun</w:t>
      </w:r>
      <w:r>
        <w:rPr>
          <w:rFonts w:ascii="Calibri" w:eastAsia="Calibri" w:hAnsi="Calibri" w:cs="Calibri"/>
          <w:b/>
          <w:bCs/>
          <w:sz w:val="28"/>
          <w:szCs w:val="28"/>
        </w:rPr>
        <w:t xml:space="preserve"> </w:t>
      </w:r>
      <w:r w:rsidR="00060756">
        <w:rPr>
          <w:rFonts w:ascii="Calibri" w:eastAsia="Calibri" w:hAnsi="Calibri" w:cs="Calibri"/>
          <w:b/>
          <w:bCs/>
          <w:sz w:val="28"/>
          <w:szCs w:val="28"/>
        </w:rPr>
        <w:t>I</w:t>
      </w:r>
      <w:r>
        <w:rPr>
          <w:rFonts w:ascii="Calibri" w:eastAsia="Calibri" w:hAnsi="Calibri" w:cs="Calibri"/>
          <w:b/>
          <w:bCs/>
          <w:sz w:val="28"/>
          <w:szCs w:val="28"/>
        </w:rPr>
        <w:t>on</w:t>
      </w:r>
    </w:p>
    <w:p w14:paraId="5601F202" w14:textId="14F10C2C" w:rsidR="006D38E1" w:rsidRPr="00D31157" w:rsidRDefault="005F7C34">
      <w:pPr>
        <w:spacing w:line="360" w:lineRule="auto"/>
        <w:jc w:val="center"/>
        <w:rPr>
          <w:rFonts w:ascii="Calibri" w:eastAsia="Calibri" w:hAnsi="Calibri" w:cs="Calibri"/>
          <w:b/>
          <w:bCs/>
          <w:sz w:val="28"/>
          <w:szCs w:val="28"/>
        </w:rPr>
      </w:pPr>
      <w:r>
        <w:rPr>
          <w:rFonts w:ascii="Calibri" w:eastAsia="Calibri" w:hAnsi="Calibri" w:cs="Calibri"/>
          <w:b/>
          <w:bCs/>
          <w:sz w:val="28"/>
          <w:szCs w:val="28"/>
        </w:rPr>
        <w:t>Student ID:</w:t>
      </w:r>
      <w:r w:rsidR="00334E23">
        <w:rPr>
          <w:rFonts w:ascii="Calibri" w:eastAsia="Calibri" w:hAnsi="Calibri" w:cs="Calibri"/>
          <w:b/>
          <w:bCs/>
          <w:sz w:val="28"/>
          <w:szCs w:val="28"/>
        </w:rPr>
        <w:t>244</w:t>
      </w:r>
      <w:r w:rsidR="00060756">
        <w:rPr>
          <w:rFonts w:ascii="Calibri" w:eastAsia="Calibri" w:hAnsi="Calibri" w:cs="Calibri"/>
          <w:b/>
          <w:bCs/>
          <w:sz w:val="28"/>
          <w:szCs w:val="28"/>
        </w:rPr>
        <w:t>1885</w:t>
      </w:r>
    </w:p>
    <w:p w14:paraId="23AE1656" w14:textId="77777777" w:rsidR="006D38E1" w:rsidRDefault="005F7C34">
      <w:pPr>
        <w:spacing w:line="360" w:lineRule="auto"/>
        <w:jc w:val="center"/>
        <w:rPr>
          <w:rFonts w:ascii="Calibri" w:eastAsia="Calibri" w:hAnsi="Calibri" w:cs="Calibri"/>
          <w:b/>
          <w:bCs/>
          <w:sz w:val="28"/>
          <w:szCs w:val="28"/>
        </w:rPr>
      </w:pPr>
      <w:r>
        <w:rPr>
          <w:rFonts w:ascii="Calibri" w:eastAsia="Calibri" w:hAnsi="Calibri" w:cs="Calibri"/>
          <w:b/>
          <w:bCs/>
          <w:sz w:val="28"/>
          <w:szCs w:val="28"/>
        </w:rPr>
        <w:t>Wordcount: 1031</w:t>
      </w:r>
    </w:p>
    <w:p w14:paraId="689BB263" w14:textId="77777777" w:rsidR="006D38E1" w:rsidRDefault="005F7C34">
      <w:pPr>
        <w:spacing w:line="360" w:lineRule="auto"/>
        <w:jc w:val="center"/>
        <w:rPr>
          <w:rFonts w:ascii="Calibri" w:eastAsia="Calibri" w:hAnsi="Calibri" w:cs="Calibri"/>
          <w:b/>
          <w:bCs/>
          <w:sz w:val="28"/>
          <w:szCs w:val="28"/>
        </w:rPr>
      </w:pPr>
      <w:r>
        <w:br w:type="page"/>
      </w:r>
    </w:p>
    <w:p w14:paraId="3817754E" w14:textId="77777777" w:rsidR="006D38E1" w:rsidRDefault="005F7C34">
      <w:pPr>
        <w:spacing w:before="240" w:line="360" w:lineRule="auto"/>
        <w:jc w:val="both"/>
        <w:rPr>
          <w:rFonts w:ascii="Calibri" w:eastAsia="Calibri" w:hAnsi="Calibri" w:cs="Calibri"/>
          <w:b/>
          <w:bCs/>
          <w:sz w:val="28"/>
          <w:szCs w:val="28"/>
        </w:rPr>
      </w:pPr>
      <w:r>
        <w:rPr>
          <w:rFonts w:ascii="Calibri" w:eastAsia="Calibri" w:hAnsi="Calibri" w:cs="Calibri"/>
          <w:b/>
          <w:bCs/>
          <w:sz w:val="28"/>
          <w:szCs w:val="28"/>
        </w:rPr>
        <w:lastRenderedPageBreak/>
        <w:t>Introduction</w:t>
      </w:r>
    </w:p>
    <w:p w14:paraId="76FBF60B"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The essay examines the ethical position and the CSR record of Toyota using the Triple Bottom Line and the CSR Pyramid developed by Carroll. It revolves around the antithesis between the long-term sustainability policy of Toyota, on the one hand, and its historical safety and transparency failures, most notably, the unintended-acceleration scandal. It goes further to draw comparison between Toyota and BMW, Volkswagen and Ford to show how the various automakers strike a balance between profit, compliance, ethics and social responsibility. The argument assesses the sincerity of the CSR activities of Toyota to determine whether this is responsible activities or reputation repairing.</w:t>
      </w:r>
    </w:p>
    <w:p w14:paraId="3B1AF37D" w14:textId="77777777" w:rsidR="006D38E1" w:rsidRDefault="005F7C34">
      <w:pPr>
        <w:spacing w:before="240" w:line="360" w:lineRule="auto"/>
        <w:jc w:val="both"/>
        <w:rPr>
          <w:rFonts w:ascii="Calibri" w:eastAsia="Calibri" w:hAnsi="Calibri" w:cs="Calibri"/>
          <w:b/>
          <w:bCs/>
          <w:sz w:val="28"/>
          <w:szCs w:val="28"/>
        </w:rPr>
      </w:pPr>
      <w:r>
        <w:rPr>
          <w:rFonts w:ascii="Calibri" w:eastAsia="Calibri" w:hAnsi="Calibri" w:cs="Calibri"/>
          <w:b/>
          <w:bCs/>
          <w:sz w:val="28"/>
          <w:szCs w:val="28"/>
        </w:rPr>
        <w:t>Main Body</w:t>
      </w:r>
    </w:p>
    <w:p w14:paraId="13FBE70B"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The ethics and CSR history of Toyota can be analysed as a conflict between the very real long-term accountability and the high profile safety and transparency failures.</w:t>
      </w:r>
    </w:p>
    <w:p w14:paraId="41DB424D" w14:textId="77777777" w:rsidR="006D38E1" w:rsidRDefault="005F7C34">
      <w:pPr>
        <w:spacing w:before="240" w:line="360" w:lineRule="auto"/>
        <w:jc w:val="both"/>
        <w:rPr>
          <w:rFonts w:ascii="Calibri" w:eastAsia="Calibri" w:hAnsi="Calibri" w:cs="Calibri"/>
          <w:b/>
          <w:bCs/>
          <w:sz w:val="24"/>
          <w:szCs w:val="24"/>
        </w:rPr>
      </w:pPr>
      <w:r>
        <w:rPr>
          <w:rFonts w:ascii="Calibri" w:eastAsia="Calibri" w:hAnsi="Calibri" w:cs="Calibri"/>
          <w:b/>
          <w:bCs/>
          <w:sz w:val="24"/>
          <w:szCs w:val="24"/>
        </w:rPr>
        <w:t>Framing Toyota with TBL and Carroll’s Pyramid</w:t>
      </w:r>
    </w:p>
    <w:p w14:paraId="138B4B62"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The Triple Bottom Line (TBL) anticipates companies to generate value to </w:t>
      </w:r>
      <w:r>
        <w:rPr>
          <w:rFonts w:ascii="Calibri" w:eastAsia="Calibri" w:hAnsi="Calibri" w:cs="Calibri"/>
          <w:b/>
          <w:bCs/>
          <w:i/>
          <w:iCs/>
          <w:sz w:val="24"/>
          <w:szCs w:val="24"/>
        </w:rPr>
        <w:t>people, planet and profit</w:t>
      </w:r>
      <w:r>
        <w:rPr>
          <w:rFonts w:ascii="Calibri" w:eastAsia="Calibri" w:hAnsi="Calibri" w:cs="Calibri"/>
          <w:sz w:val="24"/>
          <w:szCs w:val="24"/>
        </w:rPr>
        <w:t xml:space="preserve"> whereas the CSR Pyramid of Carroll states that companies need to gain profit first </w:t>
      </w:r>
      <w:r>
        <w:rPr>
          <w:rFonts w:ascii="Calibri" w:eastAsia="Calibri" w:hAnsi="Calibri" w:cs="Calibri"/>
          <w:b/>
          <w:bCs/>
          <w:i/>
          <w:iCs/>
          <w:sz w:val="24"/>
          <w:szCs w:val="24"/>
        </w:rPr>
        <w:t>(economic)</w:t>
      </w:r>
      <w:r>
        <w:rPr>
          <w:rFonts w:ascii="Calibri" w:eastAsia="Calibri" w:hAnsi="Calibri" w:cs="Calibri"/>
          <w:sz w:val="24"/>
          <w:szCs w:val="24"/>
        </w:rPr>
        <w:t xml:space="preserve">, then follow the law </w:t>
      </w:r>
      <w:r>
        <w:rPr>
          <w:rFonts w:ascii="Calibri" w:eastAsia="Calibri" w:hAnsi="Calibri" w:cs="Calibri"/>
          <w:b/>
          <w:bCs/>
          <w:i/>
          <w:iCs/>
          <w:sz w:val="24"/>
          <w:szCs w:val="24"/>
        </w:rPr>
        <w:t>(legal)</w:t>
      </w:r>
      <w:r>
        <w:rPr>
          <w:rFonts w:ascii="Calibri" w:eastAsia="Calibri" w:hAnsi="Calibri" w:cs="Calibri"/>
          <w:sz w:val="24"/>
          <w:szCs w:val="24"/>
        </w:rPr>
        <w:t xml:space="preserve">, then do what is right beyond the law </w:t>
      </w:r>
      <w:r>
        <w:rPr>
          <w:rFonts w:ascii="Calibri" w:eastAsia="Calibri" w:hAnsi="Calibri" w:cs="Calibri"/>
          <w:b/>
          <w:bCs/>
          <w:i/>
          <w:iCs/>
          <w:sz w:val="24"/>
          <w:szCs w:val="24"/>
        </w:rPr>
        <w:t>(ethical)</w:t>
      </w:r>
      <w:r>
        <w:rPr>
          <w:rFonts w:ascii="Calibri" w:eastAsia="Calibri" w:hAnsi="Calibri" w:cs="Calibri"/>
          <w:sz w:val="24"/>
          <w:szCs w:val="24"/>
        </w:rPr>
        <w:t xml:space="preserve"> and then contribute to society </w:t>
      </w:r>
      <w:r>
        <w:rPr>
          <w:rFonts w:ascii="Calibri" w:eastAsia="Calibri" w:hAnsi="Calibri" w:cs="Calibri"/>
          <w:b/>
          <w:bCs/>
          <w:i/>
          <w:iCs/>
          <w:sz w:val="24"/>
          <w:szCs w:val="24"/>
        </w:rPr>
        <w:t>(philanthropic)</w:t>
      </w:r>
      <w:r>
        <w:rPr>
          <w:rFonts w:ascii="Calibri" w:eastAsia="Calibri" w:hAnsi="Calibri" w:cs="Calibri"/>
          <w:sz w:val="24"/>
          <w:szCs w:val="24"/>
        </w:rPr>
        <w:t>.</w:t>
      </w:r>
    </w:p>
    <w:p w14:paraId="61D7A60C" w14:textId="77777777" w:rsidR="006D38E1" w:rsidRDefault="005F7C34">
      <w:pPr>
        <w:spacing w:before="240" w:line="360" w:lineRule="auto"/>
        <w:jc w:val="both"/>
        <w:rPr>
          <w:rFonts w:ascii="Calibri" w:eastAsia="Calibri" w:hAnsi="Calibri" w:cs="Calibri"/>
          <w:b/>
          <w:bCs/>
          <w:sz w:val="24"/>
          <w:szCs w:val="24"/>
        </w:rPr>
      </w:pPr>
      <w:r>
        <w:rPr>
          <w:rFonts w:ascii="Calibri" w:eastAsia="Calibri" w:hAnsi="Calibri" w:cs="Calibri"/>
          <w:b/>
          <w:bCs/>
          <w:sz w:val="24"/>
          <w:szCs w:val="24"/>
        </w:rPr>
        <w:t>Toyota’s Ethics and CSR</w:t>
      </w:r>
    </w:p>
    <w:p w14:paraId="290A0416"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The unintended-acceleration crisis of 2009-2010 in Toyota can be considered a landmark in the ethical makeup. The company has recalled approximately 2 million vehicles across the globe due to safety issues related to the design of the floor mats and so-called sticky pedals, injuries and fatalities are reported (BBC, 2011). An investigation by the US later found that Toyota was aware of the defects but had permitted car models to stay on the road and had even continued to produce more cars, resulting in a criminal fine of US$1.2 billion, which was then and remains the largest criminal fine to date against an automaker (ABC News, 2014). The FBI accused the company of turning sales before safety and profits before principles.</w:t>
      </w:r>
    </w:p>
    <w:p w14:paraId="004B7EC9"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lastRenderedPageBreak/>
        <w:t>After the crisis Toyota has attempted to reestablish its both ethical and CSR image by instituting more robust safety measures, faster recalls and customer-focused governance practised by the company (Bowen and Zheng, 2015). However, the perception still has a blot on its history, Toyota is considered guilty today partly because it had to face historic irresponsibility.</w:t>
      </w:r>
    </w:p>
    <w:p w14:paraId="6B4BA0BC"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Toyota has a long history of being an environmental leader on the</w:t>
      </w:r>
      <w:r>
        <w:rPr>
          <w:rFonts w:ascii="Calibri" w:eastAsia="Calibri" w:hAnsi="Calibri" w:cs="Calibri"/>
          <w:b/>
          <w:bCs/>
          <w:i/>
          <w:iCs/>
          <w:sz w:val="24"/>
          <w:szCs w:val="24"/>
        </w:rPr>
        <w:t xml:space="preserve"> planet</w:t>
      </w:r>
      <w:r>
        <w:rPr>
          <w:rFonts w:ascii="Calibri" w:eastAsia="Calibri" w:hAnsi="Calibri" w:cs="Calibri"/>
          <w:sz w:val="24"/>
          <w:szCs w:val="24"/>
        </w:rPr>
        <w:t xml:space="preserve"> (hybrids, hydrogen) and has now dedicated herself to reaching the goals of the so-called </w:t>
      </w:r>
      <w:r>
        <w:rPr>
          <w:rFonts w:ascii="Calibri" w:eastAsia="Calibri" w:hAnsi="Calibri" w:cs="Calibri"/>
          <w:i/>
          <w:iCs/>
          <w:sz w:val="24"/>
          <w:szCs w:val="24"/>
        </w:rPr>
        <w:t>Challenge 2050</w:t>
      </w:r>
      <w:r>
        <w:rPr>
          <w:rFonts w:ascii="Calibri" w:eastAsia="Calibri" w:hAnsi="Calibri" w:cs="Calibri"/>
          <w:sz w:val="24"/>
          <w:szCs w:val="24"/>
        </w:rPr>
        <w:t xml:space="preserve"> of net-zero car usage and production (Toyota, 2023). According to its 2024 report on the environment in North America, Scope 1 and 2 CO₂ emissions in FY2024-25 will be 14 % below those in FY2019 and it will have increased the use of renewable energy (Toyota, 2024). In India, Toyota announces that it aims to eradicate 100 % manufacturing Scope 2 emissions of its operations through the purchase of green power by the FY 202425 (Toyota, 2024a). These actions have the benefit of reinforcing both the </w:t>
      </w:r>
      <w:r>
        <w:rPr>
          <w:rFonts w:ascii="Calibri" w:eastAsia="Calibri" w:hAnsi="Calibri" w:cs="Calibri"/>
          <w:b/>
          <w:bCs/>
          <w:i/>
          <w:iCs/>
          <w:sz w:val="24"/>
          <w:szCs w:val="24"/>
        </w:rPr>
        <w:t>planet</w:t>
      </w:r>
      <w:r>
        <w:rPr>
          <w:rFonts w:ascii="Calibri" w:eastAsia="Calibri" w:hAnsi="Calibri" w:cs="Calibri"/>
          <w:sz w:val="24"/>
          <w:szCs w:val="24"/>
        </w:rPr>
        <w:t xml:space="preserve"> leg of the TBL and the </w:t>
      </w:r>
      <w:r>
        <w:rPr>
          <w:rFonts w:ascii="Calibri" w:eastAsia="Calibri" w:hAnsi="Calibri" w:cs="Calibri"/>
          <w:b/>
          <w:bCs/>
          <w:i/>
          <w:iCs/>
          <w:sz w:val="24"/>
          <w:szCs w:val="24"/>
        </w:rPr>
        <w:t>ethical/philanthropic</w:t>
      </w:r>
      <w:r>
        <w:rPr>
          <w:rFonts w:ascii="Calibri" w:eastAsia="Calibri" w:hAnsi="Calibri" w:cs="Calibri"/>
          <w:sz w:val="24"/>
          <w:szCs w:val="24"/>
        </w:rPr>
        <w:t xml:space="preserve"> layers of the Carroll model, Shirouzu, (2024) suggest in part the slower full-BEV rollout of Toyota is driven by a hybrid strategy to protect its profits and not an exclusively climate-based strategy.</w:t>
      </w:r>
    </w:p>
    <w:p w14:paraId="4F624395"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Toyota conducts road-safety education, community development and SDG-compliant social projects on </w:t>
      </w:r>
      <w:r>
        <w:rPr>
          <w:rFonts w:ascii="Calibri" w:eastAsia="Calibri" w:hAnsi="Calibri" w:cs="Calibri"/>
          <w:b/>
          <w:bCs/>
          <w:i/>
          <w:iCs/>
          <w:sz w:val="24"/>
          <w:szCs w:val="24"/>
        </w:rPr>
        <w:t>people</w:t>
      </w:r>
      <w:r>
        <w:rPr>
          <w:rFonts w:ascii="Calibri" w:eastAsia="Calibri" w:hAnsi="Calibri" w:cs="Calibri"/>
          <w:sz w:val="24"/>
          <w:szCs w:val="24"/>
        </w:rPr>
        <w:t xml:space="preserve"> in such markets as India and Asia. Nonetheless, such philanthropy, due to the previous safety scandal, can be seen as a reputation repair, along with altruism.</w:t>
      </w:r>
    </w:p>
    <w:p w14:paraId="07C799F4" w14:textId="77777777" w:rsidR="006D38E1" w:rsidRDefault="005F7C34">
      <w:pPr>
        <w:spacing w:before="240" w:line="360" w:lineRule="auto"/>
        <w:jc w:val="both"/>
        <w:rPr>
          <w:rFonts w:ascii="Calibri" w:eastAsia="Calibri" w:hAnsi="Calibri" w:cs="Calibri"/>
          <w:b/>
          <w:bCs/>
          <w:sz w:val="24"/>
          <w:szCs w:val="24"/>
        </w:rPr>
      </w:pPr>
      <w:r>
        <w:rPr>
          <w:rFonts w:ascii="Calibri" w:eastAsia="Calibri" w:hAnsi="Calibri" w:cs="Calibri"/>
          <w:b/>
          <w:bCs/>
          <w:sz w:val="24"/>
          <w:szCs w:val="24"/>
        </w:rPr>
        <w:t>Comparison with BMW, Volkswagen and Ford</w:t>
      </w:r>
    </w:p>
    <w:p w14:paraId="0F69CB8F"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BMW poses itself as a CSR leader. It has released sustainability reports since 2001, attached its strategy to the Paris Accord and net-zero by 2050, resource efficiency and the use of secondary materials (BMW Group, 2023). Monetarily, it is very profitable in the high-end market. However, in 2024 BMW issued a recall of more than 1.5 million cars worldwide due to the possibility of braking problems and software malfunctions (Topham, 2024). This implies that like Toyota, even an excellent CSR performer in the category (“best-in-class”) would have a hard time balancing economic and perfect safety performance. Ethically, BMW will give instant notification of recalls and provide VIN-based recall checks, which, again, shows better </w:t>
      </w:r>
      <w:r>
        <w:rPr>
          <w:rFonts w:ascii="Calibri" w:eastAsia="Calibri" w:hAnsi="Calibri" w:cs="Calibri"/>
          <w:sz w:val="24"/>
          <w:szCs w:val="24"/>
        </w:rPr>
        <w:lastRenderedPageBreak/>
        <w:t>proactive legal and ethical operation as per Carroll than was the case with Toyota in 2009-2010.</w:t>
      </w:r>
    </w:p>
    <w:p w14:paraId="68B2DCFA"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Another example is Volkswagen (VW) in which economic interests prevailed over TBL and Carroll duties. The Dieselgate scandal was a scandal of software used to pass emission tests in about 11 million vehicles across the world where the software resulted in undue release of NOx and great health and environmental damages (Hotten, 2015). VW achieved its short-term economic targets, yet willingly broke the law and outright neglected ethical duties and environmental concerns (Dans, 2015). Its follow-up intensive investment on EVs and sustainability reporting could be interpreted as an act of true change or a sign of legitimacy repair.</w:t>
      </w:r>
    </w:p>
    <w:p w14:paraId="30D44D38" w14:textId="77777777" w:rsidR="006D38E1" w:rsidRDefault="005F7C34">
      <w:pPr>
        <w:spacing w:before="240" w:line="360" w:lineRule="auto"/>
        <w:jc w:val="both"/>
        <w:rPr>
          <w:rFonts w:ascii="Calibri" w:eastAsia="Calibri" w:hAnsi="Calibri" w:cs="Calibri"/>
          <w:b/>
          <w:bCs/>
          <w:sz w:val="24"/>
          <w:szCs w:val="24"/>
        </w:rPr>
      </w:pPr>
      <w:r>
        <w:rPr>
          <w:rFonts w:ascii="Calibri" w:eastAsia="Calibri" w:hAnsi="Calibri" w:cs="Calibri"/>
          <w:sz w:val="24"/>
          <w:szCs w:val="24"/>
        </w:rPr>
        <w:t>The other trend is depicted by Ford, as regular recalls were presented as the manifestation of quality and safety first culture. A record of 88 safety recalls in the first half of 2025 in which Ford recalled almost 850,000 vehicles due to fuel-pump failures, Ford executives base about 70 % of their bonuses on quality and increased safety staff twofold (Reuters, 2025). In 2025, other recalls were over 1.4 million vehicles with defective rear-view cameras and almost half a million vehicles with brake fluid leaks (Shepardson, 2025). The lawyers and ethics compliance (correct issues within a short time, at a long-term loss) seems to be a priority on the TBL/Carroll lens, but the number of recalls makes it doubt the effectiveness of the people and quality control.</w:t>
      </w:r>
    </w:p>
    <w:p w14:paraId="5BA3347C" w14:textId="77777777" w:rsidR="006D38E1" w:rsidRDefault="005F7C34">
      <w:pPr>
        <w:spacing w:before="240" w:line="360" w:lineRule="auto"/>
        <w:jc w:val="both"/>
        <w:rPr>
          <w:rFonts w:ascii="Calibri" w:eastAsia="Calibri" w:hAnsi="Calibri" w:cs="Calibri"/>
          <w:b/>
          <w:bCs/>
          <w:sz w:val="28"/>
          <w:szCs w:val="28"/>
        </w:rPr>
      </w:pPr>
      <w:r>
        <w:rPr>
          <w:rFonts w:ascii="Calibri" w:eastAsia="Calibri" w:hAnsi="Calibri" w:cs="Calibri"/>
          <w:b/>
          <w:bCs/>
          <w:sz w:val="28"/>
          <w:szCs w:val="28"/>
        </w:rPr>
        <w:t>Conclusion</w:t>
      </w:r>
    </w:p>
    <w:p w14:paraId="1F215C67" w14:textId="77777777" w:rsidR="006D38E1" w:rsidRDefault="005F7C34">
      <w:pPr>
        <w:spacing w:before="240" w:line="360" w:lineRule="auto"/>
        <w:jc w:val="both"/>
        <w:rPr>
          <w:rFonts w:ascii="Calibri" w:eastAsia="Calibri" w:hAnsi="Calibri" w:cs="Calibri"/>
          <w:b/>
          <w:bCs/>
          <w:sz w:val="24"/>
          <w:szCs w:val="24"/>
        </w:rPr>
      </w:pPr>
      <w:r>
        <w:rPr>
          <w:rFonts w:ascii="Calibri" w:eastAsia="Calibri" w:hAnsi="Calibri" w:cs="Calibri"/>
          <w:sz w:val="24"/>
          <w:szCs w:val="24"/>
        </w:rPr>
        <w:t>The history of ethics and CSR of Toyota is progressive and conflicting. The company has been celebrated as environmentally innovative, with hybrid technology and targeting the almost impossible in making carbon neutral, but its reputation was damaged by the recall crisis of 200910 and claims of integrity on safety issues. There is an attempt to restore trust via post-scandal governance reform that is guided by community initiatives and sustainability targets. Comparatively, BMW presents itself as sustainability-oriented yet is struggling to overcome the issues of recall. The case of Volkswagen, and its Dieselgate involves conscious moral malpractice, whereas Ford emphasises on excessively clean safety culture with multiple recalls.</w:t>
      </w:r>
      <w:r>
        <w:br w:type="page"/>
      </w:r>
    </w:p>
    <w:p w14:paraId="5DE2AFB6" w14:textId="77777777" w:rsidR="006D38E1" w:rsidRDefault="005F7C34">
      <w:pPr>
        <w:spacing w:line="360" w:lineRule="auto"/>
        <w:jc w:val="both"/>
        <w:rPr>
          <w:rFonts w:ascii="Calibri" w:eastAsia="Calibri" w:hAnsi="Calibri" w:cs="Calibri"/>
          <w:b/>
          <w:bCs/>
          <w:sz w:val="28"/>
          <w:szCs w:val="28"/>
        </w:rPr>
      </w:pPr>
      <w:r>
        <w:rPr>
          <w:rFonts w:ascii="Calibri" w:eastAsia="Calibri" w:hAnsi="Calibri" w:cs="Calibri"/>
          <w:b/>
          <w:bCs/>
          <w:sz w:val="28"/>
          <w:szCs w:val="28"/>
        </w:rPr>
        <w:lastRenderedPageBreak/>
        <w:t>Reference List</w:t>
      </w:r>
    </w:p>
    <w:p w14:paraId="5C7BC038"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ABC News (2014). </w:t>
      </w:r>
      <w:r>
        <w:rPr>
          <w:rFonts w:ascii="Calibri" w:eastAsia="Calibri" w:hAnsi="Calibri" w:cs="Calibri"/>
          <w:i/>
          <w:iCs/>
          <w:sz w:val="24"/>
          <w:szCs w:val="24"/>
        </w:rPr>
        <w:t>Toyota to Pay $1.2B for Hiding Deadly ‘Unintended Acceleration’</w:t>
      </w:r>
      <w:r>
        <w:rPr>
          <w:rFonts w:ascii="Calibri" w:eastAsia="Calibri" w:hAnsi="Calibri" w:cs="Calibri"/>
          <w:sz w:val="24"/>
          <w:szCs w:val="24"/>
        </w:rPr>
        <w:t>.  ABC News. Available at: https://abcnews.go.com/Blotter/toyota-pay-12b-hiding-deadly-unintended-acceleration/story?id=22972214 (Accessed 4 December 2025)</w:t>
      </w:r>
    </w:p>
    <w:p w14:paraId="1289FBCA"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BBC (2011). Toyota recalls 2m US vehicles in stuck pedal inquiry. </w:t>
      </w:r>
      <w:r>
        <w:rPr>
          <w:rFonts w:ascii="Calibri" w:eastAsia="Calibri" w:hAnsi="Calibri" w:cs="Calibri"/>
          <w:i/>
          <w:iCs/>
          <w:sz w:val="24"/>
          <w:szCs w:val="24"/>
        </w:rPr>
        <w:t>BBC News</w:t>
      </w:r>
      <w:r>
        <w:rPr>
          <w:rFonts w:ascii="Calibri" w:eastAsia="Calibri" w:hAnsi="Calibri" w:cs="Calibri"/>
          <w:sz w:val="24"/>
          <w:szCs w:val="24"/>
        </w:rPr>
        <w:t>.  24 Feb. Available at: https://www.bbc.com/news/world-us-canada-12570148 (Accessed 4 December 2025)</w:t>
      </w:r>
    </w:p>
    <w:p w14:paraId="528D26E2"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BMW Group (2023). </w:t>
      </w:r>
      <w:r>
        <w:rPr>
          <w:rFonts w:ascii="Calibri" w:eastAsia="Calibri" w:hAnsi="Calibri" w:cs="Calibri"/>
          <w:i/>
          <w:iCs/>
          <w:sz w:val="24"/>
          <w:szCs w:val="24"/>
        </w:rPr>
        <w:t>Sustainability</w:t>
      </w:r>
      <w:r>
        <w:rPr>
          <w:rFonts w:ascii="Calibri" w:eastAsia="Calibri" w:hAnsi="Calibri" w:cs="Calibri"/>
          <w:sz w:val="24"/>
          <w:szCs w:val="24"/>
        </w:rPr>
        <w:t>.  BMW Group. Available at: https://www.bmwgroup.com/en/sustainability.html (Accessed 4 December 2025)</w:t>
      </w:r>
    </w:p>
    <w:p w14:paraId="0C199647"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Bowen, S.A. and Zheng, Y. (2015). Auto recall crisis, framing, and ethical response: Toyota’s missteps. </w:t>
      </w:r>
      <w:r>
        <w:rPr>
          <w:rFonts w:ascii="Calibri" w:eastAsia="Calibri" w:hAnsi="Calibri" w:cs="Calibri"/>
          <w:i/>
          <w:iCs/>
          <w:sz w:val="24"/>
          <w:szCs w:val="24"/>
        </w:rPr>
        <w:t>Public Relations Review</w:t>
      </w:r>
      <w:r>
        <w:rPr>
          <w:rFonts w:ascii="Calibri" w:eastAsia="Calibri" w:hAnsi="Calibri" w:cs="Calibri"/>
          <w:sz w:val="24"/>
          <w:szCs w:val="24"/>
        </w:rPr>
        <w:t>, 41(1), pp.40–49.</w:t>
      </w:r>
    </w:p>
    <w:p w14:paraId="4CA6E407"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Dans, E. (2015). Volkswagen And The Failure Of Corporate Social Responsibility. </w:t>
      </w:r>
      <w:r>
        <w:rPr>
          <w:rFonts w:ascii="Calibri" w:eastAsia="Calibri" w:hAnsi="Calibri" w:cs="Calibri"/>
          <w:i/>
          <w:iCs/>
          <w:sz w:val="24"/>
          <w:szCs w:val="24"/>
        </w:rPr>
        <w:t>Forbes</w:t>
      </w:r>
      <w:r>
        <w:rPr>
          <w:rFonts w:ascii="Calibri" w:eastAsia="Calibri" w:hAnsi="Calibri" w:cs="Calibri"/>
          <w:sz w:val="24"/>
          <w:szCs w:val="24"/>
        </w:rPr>
        <w:t>.  Available at: https://www.forbes.com/sites/enriquedans/2015/09/27/volkswagen-and-the-failure-of-corporate-social-responsibility/ (Accessed 4 December 2025)</w:t>
      </w:r>
    </w:p>
    <w:p w14:paraId="3986D043"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Hotten, R. (2015). </w:t>
      </w:r>
      <w:r>
        <w:rPr>
          <w:rFonts w:ascii="Calibri" w:eastAsia="Calibri" w:hAnsi="Calibri" w:cs="Calibri"/>
          <w:i/>
          <w:iCs/>
          <w:sz w:val="24"/>
          <w:szCs w:val="24"/>
        </w:rPr>
        <w:t xml:space="preserve">Volkswagen: the Scandal Explained. BBC News. </w:t>
      </w:r>
      <w:r>
        <w:rPr>
          <w:rFonts w:ascii="Calibri" w:eastAsia="Calibri" w:hAnsi="Calibri" w:cs="Calibri"/>
          <w:sz w:val="24"/>
          <w:szCs w:val="24"/>
        </w:rPr>
        <w:t xml:space="preserve"> 10 Dec. Available at: https://www.bbc.com/news/business-34324772 (Accessed 4 December 2025)</w:t>
      </w:r>
    </w:p>
    <w:p w14:paraId="03F06D84"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Reuters (2025). </w:t>
      </w:r>
      <w:r>
        <w:rPr>
          <w:rFonts w:ascii="Calibri" w:eastAsia="Calibri" w:hAnsi="Calibri" w:cs="Calibri"/>
          <w:i/>
          <w:iCs/>
          <w:sz w:val="24"/>
          <w:szCs w:val="24"/>
        </w:rPr>
        <w:t>Ford recalls more than 850,000 vehicles in US over fuel pump defect.</w:t>
      </w:r>
      <w:r>
        <w:rPr>
          <w:rFonts w:ascii="Calibri" w:eastAsia="Calibri" w:hAnsi="Calibri" w:cs="Calibri"/>
          <w:sz w:val="24"/>
          <w:szCs w:val="24"/>
        </w:rPr>
        <w:t xml:space="preserve"> </w:t>
      </w:r>
      <w:r>
        <w:rPr>
          <w:rFonts w:ascii="Calibri" w:eastAsia="Calibri" w:hAnsi="Calibri" w:cs="Calibri"/>
          <w:i/>
          <w:iCs/>
          <w:sz w:val="24"/>
          <w:szCs w:val="24"/>
        </w:rPr>
        <w:t>Reuters</w:t>
      </w:r>
      <w:r>
        <w:rPr>
          <w:rFonts w:ascii="Calibri" w:eastAsia="Calibri" w:hAnsi="Calibri" w:cs="Calibri"/>
          <w:sz w:val="24"/>
          <w:szCs w:val="24"/>
        </w:rPr>
        <w:t>.  10 Jul. Available at: https://www.reuters.com/business/autos-transportation/ford-recall-over-850000-us-vehicles-citing-low-pressure-fuel-pump-failure-2025-07-10/ (Accessed 4 December 2025)</w:t>
      </w:r>
    </w:p>
    <w:p w14:paraId="39A605E5"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Shepardson, D. (2025). </w:t>
      </w:r>
      <w:r>
        <w:rPr>
          <w:rFonts w:ascii="Calibri" w:eastAsia="Calibri" w:hAnsi="Calibri" w:cs="Calibri"/>
          <w:i/>
          <w:iCs/>
          <w:sz w:val="24"/>
          <w:szCs w:val="24"/>
        </w:rPr>
        <w:t>Ford recalls 1.4 million US vehicles over faulty rear-view cameras. Reuters</w:t>
      </w:r>
      <w:r>
        <w:rPr>
          <w:rFonts w:ascii="Calibri" w:eastAsia="Calibri" w:hAnsi="Calibri" w:cs="Calibri"/>
          <w:sz w:val="24"/>
          <w:szCs w:val="24"/>
        </w:rPr>
        <w:t>.  22 Oct. Available at: https://www.reuters.com/business/autos-transportation/ford-recall-over-14-million-us-vehicles-over-rearview-camera-issue-2025-10-22/ (Accessed 4 December 2025)</w:t>
      </w:r>
    </w:p>
    <w:p w14:paraId="313CEAB9"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Shirouzu, N. (2024). </w:t>
      </w:r>
      <w:r>
        <w:rPr>
          <w:rFonts w:ascii="Calibri" w:eastAsia="Calibri" w:hAnsi="Calibri" w:cs="Calibri"/>
          <w:i/>
          <w:iCs/>
          <w:sz w:val="24"/>
          <w:szCs w:val="24"/>
        </w:rPr>
        <w:t xml:space="preserve">Toyota bets big on hybrid-only models as EV demand slows. </w:t>
      </w:r>
      <w:r>
        <w:rPr>
          <w:rFonts w:ascii="Calibri" w:eastAsia="Calibri" w:hAnsi="Calibri" w:cs="Calibri"/>
          <w:sz w:val="24"/>
          <w:szCs w:val="24"/>
        </w:rPr>
        <w:t xml:space="preserve"> Reuters. Available at: https://www.reuters.com/business/autos-transportation/toyota-bets-big-hybrid-only-models-ev-demand-slows-2024-08-15/ (Accessed 4 December 2025)</w:t>
      </w:r>
    </w:p>
    <w:p w14:paraId="09058E75"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lastRenderedPageBreak/>
        <w:t xml:space="preserve">Topham, G. (2024). </w:t>
      </w:r>
      <w:r>
        <w:rPr>
          <w:rFonts w:ascii="Calibri" w:eastAsia="Calibri" w:hAnsi="Calibri" w:cs="Calibri"/>
          <w:i/>
          <w:iCs/>
          <w:sz w:val="24"/>
          <w:szCs w:val="24"/>
        </w:rPr>
        <w:t>BMW shares fall to four-year low as recall of 1.5m cars announced</w:t>
      </w:r>
      <w:r>
        <w:rPr>
          <w:rFonts w:ascii="Calibri" w:eastAsia="Calibri" w:hAnsi="Calibri" w:cs="Calibri"/>
          <w:sz w:val="24"/>
          <w:szCs w:val="24"/>
        </w:rPr>
        <w:t>.  the Guardian. Available at: https://www.theguardian.com/business/article/2024/sep/10/bmw-shares-fall-recall-braking-fault (Accessed 4 December 2025)</w:t>
      </w:r>
    </w:p>
    <w:p w14:paraId="3536CA6A"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Toyota (2023). </w:t>
      </w:r>
      <w:r>
        <w:rPr>
          <w:rFonts w:ascii="Calibri" w:eastAsia="Calibri" w:hAnsi="Calibri" w:cs="Calibri"/>
          <w:i/>
          <w:iCs/>
          <w:sz w:val="24"/>
          <w:szCs w:val="24"/>
        </w:rPr>
        <w:t>Goals &amp; Targets</w:t>
      </w:r>
      <w:r>
        <w:rPr>
          <w:rFonts w:ascii="Calibri" w:eastAsia="Calibri" w:hAnsi="Calibri" w:cs="Calibri"/>
          <w:sz w:val="24"/>
          <w:szCs w:val="24"/>
        </w:rPr>
        <w:t>.  Toyota. Available at: https://www.toyota.com/usa/environmentalsustainability/goals-and-targets (Accessed 4 December 2025)</w:t>
      </w:r>
    </w:p>
    <w:p w14:paraId="120008EC"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Toyota (2024a). </w:t>
      </w:r>
      <w:r>
        <w:rPr>
          <w:rFonts w:ascii="Calibri" w:eastAsia="Calibri" w:hAnsi="Calibri" w:cs="Calibri"/>
          <w:i/>
          <w:iCs/>
          <w:sz w:val="24"/>
          <w:szCs w:val="24"/>
        </w:rPr>
        <w:t>Driving Happiness. Steering Sustainably. The image showcases a Test Track at TKM</w:t>
      </w:r>
      <w:r>
        <w:rPr>
          <w:rFonts w:ascii="Calibri" w:eastAsia="Calibri" w:hAnsi="Calibri" w:cs="Calibri"/>
          <w:sz w:val="24"/>
          <w:szCs w:val="24"/>
        </w:rPr>
        <w:t>.  Available at: https://www.toyotabharat.com/documents/toyota-in-india/environment/tkm-sustainability-report-2024.pdf (Accessed 4 December 2025)</w:t>
      </w:r>
    </w:p>
    <w:p w14:paraId="2662F2FE" w14:textId="77777777" w:rsidR="006D38E1" w:rsidRDefault="005F7C34">
      <w:pPr>
        <w:spacing w:before="240" w:line="360" w:lineRule="auto"/>
        <w:jc w:val="both"/>
        <w:rPr>
          <w:rFonts w:ascii="Calibri" w:eastAsia="Calibri" w:hAnsi="Calibri" w:cs="Calibri"/>
          <w:sz w:val="24"/>
          <w:szCs w:val="24"/>
        </w:rPr>
      </w:pPr>
      <w:r>
        <w:rPr>
          <w:rFonts w:ascii="Calibri" w:eastAsia="Calibri" w:hAnsi="Calibri" w:cs="Calibri"/>
          <w:sz w:val="24"/>
          <w:szCs w:val="24"/>
        </w:rPr>
        <w:t xml:space="preserve">Toyota (2024b). </w:t>
      </w:r>
      <w:r>
        <w:rPr>
          <w:rFonts w:ascii="Calibri" w:eastAsia="Calibri" w:hAnsi="Calibri" w:cs="Calibri"/>
          <w:i/>
          <w:iCs/>
          <w:sz w:val="24"/>
          <w:szCs w:val="24"/>
        </w:rPr>
        <w:t>ENVIRONMENTAL SUSTAINABILITY REPORT</w:t>
      </w:r>
      <w:r>
        <w:rPr>
          <w:rFonts w:ascii="Calibri" w:eastAsia="Calibri" w:hAnsi="Calibri" w:cs="Calibri"/>
          <w:sz w:val="24"/>
          <w:szCs w:val="24"/>
        </w:rPr>
        <w:t>.  Available at: https://www.toyota.com/content/dam/tusa/environmentreport/downloads/2024NAER_Final.pdf (Accessed 4 December 2025)</w:t>
      </w:r>
    </w:p>
    <w:sectPr w:rsidR="006D38E1">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518DD" w14:textId="77777777" w:rsidR="005F7C34" w:rsidRDefault="005F7C34">
      <w:pPr>
        <w:spacing w:line="240" w:lineRule="auto"/>
      </w:pPr>
      <w:r>
        <w:separator/>
      </w:r>
    </w:p>
  </w:endnote>
  <w:endnote w:type="continuationSeparator" w:id="0">
    <w:p w14:paraId="1B17099F" w14:textId="77777777" w:rsidR="005F7C34" w:rsidRDefault="005F7C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16EFB0" w14:textId="24190FCB" w:rsidR="006D38E1" w:rsidRDefault="005F7C34">
    <w:pPr>
      <w:jc w:val="right"/>
      <w:rPr>
        <w:rFonts w:ascii="Calibri" w:eastAsia="Calibri" w:hAnsi="Calibri" w:cs="Calibri"/>
        <w:sz w:val="18"/>
        <w:szCs w:val="18"/>
      </w:rPr>
    </w:pPr>
    <w:r>
      <w:rPr>
        <w:rFonts w:ascii="Calibri" w:eastAsia="Calibri" w:hAnsi="Calibri" w:cs="Calibri"/>
        <w:sz w:val="20"/>
        <w:szCs w:val="20"/>
      </w:rPr>
      <w:fldChar w:fldCharType="begin"/>
    </w:r>
    <w:r>
      <w:rPr>
        <w:rFonts w:ascii="Calibri" w:eastAsia="Calibri" w:hAnsi="Calibri" w:cs="Calibri"/>
        <w:sz w:val="20"/>
        <w:szCs w:val="20"/>
      </w:rPr>
      <w:instrText>PAGE</w:instrText>
    </w:r>
    <w:r>
      <w:rPr>
        <w:rFonts w:ascii="Calibri" w:eastAsia="Calibri" w:hAnsi="Calibri" w:cs="Calibri"/>
        <w:sz w:val="20"/>
        <w:szCs w:val="20"/>
      </w:rPr>
      <w:fldChar w:fldCharType="separate"/>
    </w:r>
    <w:r w:rsidR="00E10285">
      <w:rPr>
        <w:rFonts w:ascii="Calibri" w:eastAsia="Calibri" w:hAnsi="Calibri" w:cs="Calibri"/>
        <w:noProof/>
        <w:sz w:val="20"/>
        <w:szCs w:val="20"/>
      </w:rPr>
      <w:t>1</w:t>
    </w:r>
    <w:r>
      <w:rPr>
        <w:rFonts w:ascii="Calibri" w:eastAsia="Calibri" w:hAnsi="Calibri" w:cs="Calibri"/>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CA2C3" w14:textId="77777777" w:rsidR="005F7C34" w:rsidRDefault="005F7C34">
      <w:pPr>
        <w:spacing w:line="240" w:lineRule="auto"/>
      </w:pPr>
      <w:r>
        <w:separator/>
      </w:r>
    </w:p>
  </w:footnote>
  <w:footnote w:type="continuationSeparator" w:id="0">
    <w:p w14:paraId="75E41816" w14:textId="77777777" w:rsidR="005F7C34" w:rsidRDefault="005F7C3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38E1"/>
    <w:rsid w:val="00060756"/>
    <w:rsid w:val="00076015"/>
    <w:rsid w:val="00334E23"/>
    <w:rsid w:val="004E1936"/>
    <w:rsid w:val="005F7C34"/>
    <w:rsid w:val="006D38E1"/>
    <w:rsid w:val="00760FEC"/>
    <w:rsid w:val="00D31157"/>
    <w:rsid w:val="00E10285"/>
    <w:rsid w:val="00EA0A2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3F6A152F"/>
  <w15:docId w15:val="{F2601675-DEE2-E847-B66B-77B7AFC6E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ro-RO"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paragraph" w:styleId="Subtitlu">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1tpZyebX72HRqVChx4mSkhTAsaA==">CgMxLjA4AHIhMThFTW9Fb0hEa2VnbE12WmZBNGJqN0RMWk04T2lRbjZs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1408</Words>
  <Characters>8170</Characters>
  <Application>Microsoft Office Word</Application>
  <DocSecurity>0</DocSecurity>
  <Lines>68</Lines>
  <Paragraphs>19</Paragraphs>
  <ScaleCrop>false</ScaleCrop>
  <Company/>
  <LinksUpToDate>false</LinksUpToDate>
  <CharactersWithSpaces>9559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 Paun</cp:lastModifiedBy>
  <cp:revision>2</cp:revision>
  <dcterms:created xsi:type="dcterms:W3CDTF">2025-12-17T16:52:00Z</dcterms:created>
  <dcterms:modified xsi:type="dcterms:W3CDTF">2025-12-17T16:52:00Z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57419f58-c251-483a-892b-39cbab9c7042</vt:lpwstr>
  </property>
</Properties>
</file>