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9BBDB" w14:textId="104EF47C" w:rsidR="00D74581" w:rsidRPr="00C571D1" w:rsidRDefault="00D74581" w:rsidP="00D74581">
      <w:pPr>
        <w:pStyle w:val="Title"/>
        <w:rPr>
          <w:rFonts w:ascii="Arial" w:eastAsia="Calibri" w:hAnsi="Arial" w:cs="Arial"/>
          <w:sz w:val="36"/>
          <w:szCs w:val="36"/>
        </w:rPr>
      </w:pPr>
      <w:r w:rsidRPr="00C571D1">
        <w:rPr>
          <w:rFonts w:ascii="Arial" w:eastAsia="Calibri" w:hAnsi="Arial" w:cs="Arial"/>
          <w:sz w:val="36"/>
          <w:szCs w:val="36"/>
        </w:rPr>
        <w:t>Emily Caddick</w:t>
      </w:r>
      <w:r w:rsidRPr="00C571D1">
        <w:rPr>
          <w:rFonts w:ascii="Arial" w:eastAsia="Calibri" w:hAnsi="Arial" w:cs="Arial"/>
          <w:sz w:val="36"/>
          <w:szCs w:val="36"/>
        </w:rPr>
        <w:br/>
        <w:t>2029663</w:t>
      </w:r>
    </w:p>
    <w:p w14:paraId="2E13D8D4" w14:textId="77777777" w:rsidR="00D74581" w:rsidRDefault="00D74581" w:rsidP="00793A9C">
      <w:pPr>
        <w:ind w:left="567" w:right="531"/>
        <w:jc w:val="both"/>
        <w:rPr>
          <w:rFonts w:ascii="Arial" w:eastAsia="Calibri" w:hAnsi="Arial" w:cs="Arial"/>
          <w:b/>
          <w:bCs/>
          <w:sz w:val="22"/>
          <w:szCs w:val="22"/>
          <w:u w:val="single"/>
        </w:rPr>
      </w:pPr>
    </w:p>
    <w:p w14:paraId="13B31A74" w14:textId="77777777" w:rsidR="00D74581" w:rsidRDefault="00D74581" w:rsidP="00793A9C">
      <w:pPr>
        <w:ind w:left="567" w:right="531"/>
        <w:jc w:val="both"/>
        <w:rPr>
          <w:rFonts w:ascii="Arial" w:eastAsia="Calibri" w:hAnsi="Arial" w:cs="Arial"/>
          <w:b/>
          <w:bCs/>
          <w:sz w:val="22"/>
          <w:szCs w:val="22"/>
          <w:u w:val="single"/>
        </w:rPr>
      </w:pPr>
    </w:p>
    <w:p w14:paraId="03A2AE58" w14:textId="77777777" w:rsidR="00D74581" w:rsidRDefault="00D74581" w:rsidP="00793A9C">
      <w:pPr>
        <w:ind w:left="567" w:right="531"/>
        <w:jc w:val="both"/>
        <w:rPr>
          <w:rFonts w:ascii="Arial" w:eastAsia="Calibri" w:hAnsi="Arial" w:cs="Arial"/>
          <w:b/>
          <w:bCs/>
          <w:sz w:val="22"/>
          <w:szCs w:val="22"/>
          <w:u w:val="single"/>
        </w:rPr>
      </w:pPr>
    </w:p>
    <w:p w14:paraId="0FB8FB00" w14:textId="77777777" w:rsidR="00D74581" w:rsidRDefault="00D74581" w:rsidP="00793A9C">
      <w:pPr>
        <w:ind w:left="567" w:right="531"/>
        <w:jc w:val="both"/>
        <w:rPr>
          <w:rFonts w:ascii="Arial" w:eastAsia="Calibri" w:hAnsi="Arial" w:cs="Arial"/>
          <w:b/>
          <w:bCs/>
          <w:sz w:val="22"/>
          <w:szCs w:val="22"/>
          <w:u w:val="single"/>
        </w:rPr>
      </w:pPr>
    </w:p>
    <w:p w14:paraId="5CD4E400" w14:textId="1307078A" w:rsidR="00793A9C" w:rsidRPr="00654906" w:rsidRDefault="00793A9C" w:rsidP="00793A9C">
      <w:pPr>
        <w:ind w:left="567" w:right="531"/>
        <w:jc w:val="both"/>
        <w:rPr>
          <w:rFonts w:ascii="Arial" w:eastAsia="Calibri" w:hAnsi="Arial" w:cs="Arial"/>
          <w:b/>
          <w:bCs/>
          <w:sz w:val="22"/>
          <w:szCs w:val="22"/>
          <w:u w:val="single"/>
        </w:rPr>
      </w:pPr>
      <w:r w:rsidRPr="00654906">
        <w:rPr>
          <w:rFonts w:ascii="Arial" w:eastAsia="Calibri" w:hAnsi="Arial" w:cs="Arial"/>
          <w:b/>
          <w:bCs/>
          <w:sz w:val="22"/>
          <w:szCs w:val="22"/>
          <w:u w:val="single"/>
        </w:rPr>
        <w:t>Essay one:</w:t>
      </w:r>
    </w:p>
    <w:p w14:paraId="6E3BC763" w14:textId="77777777" w:rsidR="00793A9C" w:rsidRPr="00654906" w:rsidRDefault="00793A9C" w:rsidP="00793A9C">
      <w:pPr>
        <w:spacing w:line="257" w:lineRule="auto"/>
        <w:ind w:left="567" w:right="531"/>
        <w:rPr>
          <w:rFonts w:ascii="Arial" w:eastAsia="Calibri" w:hAnsi="Arial" w:cs="Arial"/>
          <w:sz w:val="22"/>
          <w:szCs w:val="22"/>
          <w:u w:val="single"/>
        </w:rPr>
      </w:pPr>
      <w:r w:rsidRPr="00654906">
        <w:rPr>
          <w:rFonts w:ascii="Arial" w:eastAsia="Calibri" w:hAnsi="Arial" w:cs="Arial"/>
          <w:sz w:val="22"/>
          <w:szCs w:val="22"/>
          <w:u w:val="single"/>
        </w:rPr>
        <w:t>Critically evaluate the concept of ‘the professionalisation of the police service’, and consider the extent to which ‘maintaining professional standards’, ‘ethical and inclusive’ and ‘coaching and mentoring’ approaches contribute to professionalisation.</w:t>
      </w:r>
    </w:p>
    <w:p w14:paraId="4A60B11D" w14:textId="13CAA76A" w:rsidR="00826D46" w:rsidRDefault="00A75FAE"/>
    <w:p w14:paraId="36C625B9" w14:textId="3730E93B" w:rsidR="00793A9C" w:rsidRPr="00BD4BFC" w:rsidRDefault="00793A9C">
      <w:pPr>
        <w:rPr>
          <w:rFonts w:ascii="Arial" w:hAnsi="Arial" w:cs="Arial"/>
          <w:sz w:val="22"/>
          <w:szCs w:val="22"/>
        </w:rPr>
      </w:pPr>
    </w:p>
    <w:p w14:paraId="70DBC1EC" w14:textId="682CCCCC" w:rsidR="0080351B" w:rsidRPr="00BD4BFC" w:rsidRDefault="0080351B" w:rsidP="0080351B">
      <w:pPr>
        <w:rPr>
          <w:rFonts w:ascii="Arial" w:hAnsi="Arial" w:cs="Arial"/>
          <w:sz w:val="22"/>
          <w:szCs w:val="22"/>
        </w:rPr>
      </w:pPr>
      <w:r w:rsidRPr="00BD4BFC">
        <w:rPr>
          <w:rFonts w:ascii="Arial" w:hAnsi="Arial" w:cs="Arial"/>
          <w:sz w:val="22"/>
          <w:szCs w:val="22"/>
        </w:rPr>
        <w:t xml:space="preserve">Policing has always been seen as a professional career, however stated by Neyroud in his review of Leadership and Training, ‘the police service needs to move from being a service that acts professionally to becoming a professional service’ (Neyroud, 2011). </w:t>
      </w:r>
    </w:p>
    <w:p w14:paraId="7ED4D91C" w14:textId="5C441BF1" w:rsidR="005A66B3" w:rsidRPr="00BD4BFC" w:rsidRDefault="005A66B3" w:rsidP="005A66B3">
      <w:pPr>
        <w:rPr>
          <w:rFonts w:ascii="Arial" w:hAnsi="Arial" w:cs="Arial"/>
          <w:sz w:val="22"/>
          <w:szCs w:val="22"/>
        </w:rPr>
      </w:pPr>
      <w:r w:rsidRPr="00BD4BFC">
        <w:rPr>
          <w:rStyle w:val="topic-highlight"/>
          <w:rFonts w:ascii="Arial" w:hAnsi="Arial" w:cs="Arial"/>
          <w:sz w:val="22"/>
          <w:szCs w:val="22"/>
        </w:rPr>
        <w:t>“Professionalization</w:t>
      </w:r>
      <w:r w:rsidRPr="00BD4BFC">
        <w:rPr>
          <w:rFonts w:ascii="Arial" w:hAnsi="Arial" w:cs="Arial"/>
          <w:sz w:val="22"/>
          <w:szCs w:val="22"/>
        </w:rPr>
        <w:t xml:space="preserve"> is a process whereby occupations have become, or seek to become, publicly recognized as professions according to the degree to which they meet the alleged criteria.” (Hoyle, E, 2001). </w:t>
      </w:r>
    </w:p>
    <w:p w14:paraId="01AAE033" w14:textId="65760506" w:rsidR="00FD59B9" w:rsidRDefault="00FD59B9" w:rsidP="00FD59B9">
      <w:pPr>
        <w:rPr>
          <w:rFonts w:ascii="Arial" w:hAnsi="Arial" w:cs="Arial"/>
          <w:sz w:val="22"/>
          <w:szCs w:val="22"/>
        </w:rPr>
      </w:pPr>
      <w:r w:rsidRPr="00BD4BFC">
        <w:rPr>
          <w:rFonts w:ascii="Arial" w:hAnsi="Arial" w:cs="Arial"/>
          <w:sz w:val="22"/>
          <w:szCs w:val="22"/>
        </w:rPr>
        <w:t xml:space="preserve">The police forces within the UK have been working at becoming a professionalisation by setting new entry routes to becoming a police constable which include, the police constable degree apprenticeship (PCDA), already holding a degree in professional policing or completing the degree-holder entry programme (DHEP) which is for persons who hold a degree that is not recognised as the stated professional policing degree. (College of Policing, 2020). </w:t>
      </w:r>
      <w:r w:rsidR="005A66B3" w:rsidRPr="00BD4BFC">
        <w:rPr>
          <w:rFonts w:ascii="Arial" w:hAnsi="Arial" w:cs="Arial"/>
          <w:sz w:val="22"/>
          <w:szCs w:val="22"/>
        </w:rPr>
        <w:t xml:space="preserve">The three main entry routes are founded on effective work performance with academic achievement. They cover areas that are critical to effective policing in the 21st century, such as evidence-based policing, supporting vulnerable people, dealing with cybercrime and crime prevention (College of Policing, 2020). </w:t>
      </w:r>
    </w:p>
    <w:p w14:paraId="7BABADCA" w14:textId="04370CD5" w:rsidR="00BD4BFC" w:rsidRDefault="00BD4BFC" w:rsidP="00FD59B9">
      <w:pPr>
        <w:rPr>
          <w:rFonts w:ascii="Arial" w:hAnsi="Arial" w:cs="Arial"/>
          <w:sz w:val="22"/>
          <w:szCs w:val="22"/>
        </w:rPr>
      </w:pPr>
    </w:p>
    <w:p w14:paraId="4EF3F0F7" w14:textId="08D1E8E7" w:rsidR="00BD4BFC" w:rsidRDefault="00BD4BFC" w:rsidP="00FD59B9">
      <w:pPr>
        <w:rPr>
          <w:rFonts w:ascii="Arial" w:hAnsi="Arial" w:cs="Arial"/>
          <w:color w:val="0B0C0C"/>
          <w:sz w:val="22"/>
          <w:szCs w:val="22"/>
          <w:shd w:val="clear" w:color="auto" w:fill="FFFFFF"/>
        </w:rPr>
      </w:pPr>
      <w:r>
        <w:rPr>
          <w:rFonts w:ascii="Arial" w:hAnsi="Arial" w:cs="Arial"/>
          <w:sz w:val="22"/>
          <w:szCs w:val="22"/>
        </w:rPr>
        <w:t xml:space="preserve">The theory that </w:t>
      </w:r>
      <w:r w:rsidR="008F0F00">
        <w:rPr>
          <w:rFonts w:ascii="Arial" w:hAnsi="Arial" w:cs="Arial"/>
          <w:sz w:val="22"/>
          <w:szCs w:val="22"/>
        </w:rPr>
        <w:t xml:space="preserve">police officers joining since the introduction of the professional policing degree is attributing to the professionalisation of the police, is questionable due to the recent figures published by the Office of National Statistics. Recent findings show </w:t>
      </w:r>
      <w:r w:rsidR="008F0F00" w:rsidRPr="008F0F00">
        <w:rPr>
          <w:rFonts w:ascii="Arial" w:hAnsi="Arial" w:cs="Arial"/>
          <w:sz w:val="22"/>
          <w:szCs w:val="22"/>
        </w:rPr>
        <w:t xml:space="preserve">the volume of leavers is the highest number of annual leavers </w:t>
      </w:r>
      <w:r w:rsidR="008F0F00">
        <w:rPr>
          <w:rFonts w:ascii="Arial" w:hAnsi="Arial" w:cs="Arial"/>
          <w:sz w:val="22"/>
          <w:szCs w:val="22"/>
        </w:rPr>
        <w:t xml:space="preserve">in 2022 compared with earlier years. </w:t>
      </w:r>
      <w:r w:rsidR="001B057D">
        <w:rPr>
          <w:rFonts w:ascii="Arial" w:hAnsi="Arial" w:cs="Arial"/>
          <w:sz w:val="22"/>
          <w:szCs w:val="22"/>
        </w:rPr>
        <w:t>T</w:t>
      </w:r>
      <w:r w:rsidR="008F0F00">
        <w:rPr>
          <w:rFonts w:ascii="Arial" w:hAnsi="Arial" w:cs="Arial"/>
          <w:sz w:val="22"/>
          <w:szCs w:val="22"/>
        </w:rPr>
        <w:t xml:space="preserve">he statistics show leavers which do include </w:t>
      </w:r>
      <w:r w:rsidR="001B057D">
        <w:rPr>
          <w:rFonts w:ascii="Arial" w:hAnsi="Arial" w:cs="Arial"/>
          <w:sz w:val="22"/>
          <w:szCs w:val="22"/>
        </w:rPr>
        <w:t xml:space="preserve">regular retirement levels, death, transferees and also dismissal levels, however looking at the voluntary resigning levels, the stats ending March 2017 show this to be 2035 persons, compared then with March 2022 numbers being higher at 3433. (ONS, 2022). Looking further to the last </w:t>
      </w:r>
      <w:r w:rsidR="001B057D" w:rsidRPr="001B057D">
        <w:rPr>
          <w:rFonts w:ascii="Arial" w:hAnsi="Arial" w:cs="Arial"/>
          <w:sz w:val="22"/>
          <w:szCs w:val="22"/>
        </w:rPr>
        <w:t xml:space="preserve">year, </w:t>
      </w:r>
      <w:r w:rsidR="001B057D" w:rsidRPr="001B057D">
        <w:rPr>
          <w:rFonts w:ascii="Arial" w:hAnsi="Arial" w:cs="Arial"/>
          <w:color w:val="0B0C0C"/>
          <w:sz w:val="22"/>
          <w:szCs w:val="22"/>
          <w:shd w:val="clear" w:color="auto" w:fill="FFFFFF"/>
        </w:rPr>
        <w:t>voluntary resignations, are up from 1,996 in the year ending March 2021 (33% of leavers) to 3,433 (42% of leavers) in the year ending March 2022.</w:t>
      </w:r>
      <w:r w:rsidR="001B057D">
        <w:rPr>
          <w:rFonts w:ascii="Arial" w:hAnsi="Arial" w:cs="Arial"/>
          <w:color w:val="0B0C0C"/>
          <w:sz w:val="22"/>
          <w:szCs w:val="22"/>
          <w:shd w:val="clear" w:color="auto" w:fill="FFFFFF"/>
        </w:rPr>
        <w:t xml:space="preserve"> (ONS, 2022). This could lead to the question whether the professionalisation of the police and the introduction of the degree is putting unnecessary strain upon officers to complete a degree and further work compared to previous years where officers were still considered </w:t>
      </w:r>
      <w:r w:rsidR="00273F9D">
        <w:rPr>
          <w:rFonts w:ascii="Arial" w:hAnsi="Arial" w:cs="Arial"/>
          <w:color w:val="0B0C0C"/>
          <w:sz w:val="22"/>
          <w:szCs w:val="22"/>
          <w:shd w:val="clear" w:color="auto" w:fill="FFFFFF"/>
        </w:rPr>
        <w:t xml:space="preserve">to work within a professional career. </w:t>
      </w:r>
    </w:p>
    <w:p w14:paraId="77E0A17C" w14:textId="45BC5A48" w:rsidR="00273F9D" w:rsidRDefault="00273F9D" w:rsidP="00FD59B9">
      <w:pPr>
        <w:rPr>
          <w:rFonts w:ascii="Arial" w:hAnsi="Arial" w:cs="Arial"/>
          <w:color w:val="0B0C0C"/>
          <w:sz w:val="22"/>
          <w:szCs w:val="22"/>
          <w:shd w:val="clear" w:color="auto" w:fill="FFFFFF"/>
        </w:rPr>
      </w:pPr>
    </w:p>
    <w:p w14:paraId="65E06760" w14:textId="5082855C" w:rsidR="00273F9D" w:rsidRDefault="00273F9D" w:rsidP="00FD59B9">
      <w:pPr>
        <w:rPr>
          <w:rFonts w:ascii="Arial" w:hAnsi="Arial" w:cs="Arial"/>
          <w:color w:val="000000"/>
          <w:sz w:val="22"/>
          <w:szCs w:val="22"/>
          <w:shd w:val="clear" w:color="auto" w:fill="FFFFFF"/>
        </w:rPr>
      </w:pPr>
      <w:r>
        <w:rPr>
          <w:rFonts w:ascii="Arial" w:hAnsi="Arial" w:cs="Arial"/>
          <w:color w:val="0B0C0C"/>
          <w:sz w:val="22"/>
          <w:szCs w:val="22"/>
          <w:shd w:val="clear" w:color="auto" w:fill="FFFFFF"/>
        </w:rPr>
        <w:t xml:space="preserve">John Carter-Lang who is the police federation secretary for Leicestershire has released an article which bases on the provision of another entry into the police which does not require a degree, but more </w:t>
      </w:r>
      <w:r w:rsidRPr="00FC60E3">
        <w:rPr>
          <w:rFonts w:ascii="Arial" w:hAnsi="Arial" w:cs="Arial"/>
          <w:color w:val="0B0C0C"/>
          <w:sz w:val="22"/>
          <w:szCs w:val="22"/>
          <w:shd w:val="clear" w:color="auto" w:fill="FFFFFF"/>
        </w:rPr>
        <w:t xml:space="preserve">so a qualification </w:t>
      </w:r>
      <w:r w:rsidR="00FC60E3" w:rsidRPr="00FC60E3">
        <w:rPr>
          <w:rFonts w:ascii="Arial" w:hAnsi="Arial" w:cs="Arial"/>
          <w:color w:val="0B0C0C"/>
          <w:sz w:val="22"/>
          <w:szCs w:val="22"/>
          <w:shd w:val="clear" w:color="auto" w:fill="FFFFFF"/>
        </w:rPr>
        <w:t>that does not take place whilst the officer is learning to be a police officer. He states “</w:t>
      </w:r>
      <w:r w:rsidR="00FC60E3" w:rsidRPr="00FC60E3">
        <w:rPr>
          <w:rFonts w:ascii="Arial" w:hAnsi="Arial" w:cs="Arial"/>
          <w:color w:val="000000"/>
          <w:sz w:val="22"/>
          <w:szCs w:val="22"/>
          <w:shd w:val="clear" w:color="auto" w:fill="FFFFFF"/>
        </w:rPr>
        <w:t>PCDA requires student officers to complete their university studies, whilst also learning to be a police officer. In contrast, the SRA model accredits the on-the-job experience of learning the ‘trade’ to degree level, placing less pressure on the candidate, but maintaining the required standard of learning.</w:t>
      </w:r>
      <w:r w:rsidR="00FC60E3">
        <w:rPr>
          <w:rFonts w:ascii="Arial" w:hAnsi="Arial" w:cs="Arial"/>
          <w:color w:val="0B0C0C"/>
          <w:sz w:val="22"/>
          <w:szCs w:val="22"/>
          <w:shd w:val="clear" w:color="auto" w:fill="FFFFFF"/>
        </w:rPr>
        <w:t xml:space="preserve">” (Carter-Lang, 2021) In the article, Carter-Lang compares </w:t>
      </w:r>
      <w:r w:rsidR="00FC60E3" w:rsidRPr="00FC60E3">
        <w:rPr>
          <w:rFonts w:ascii="Arial" w:hAnsi="Arial" w:cs="Arial"/>
          <w:color w:val="0B0C0C"/>
          <w:sz w:val="22"/>
          <w:szCs w:val="22"/>
          <w:shd w:val="clear" w:color="auto" w:fill="FFFFFF"/>
        </w:rPr>
        <w:t>the way in which solicitors are now completing an entry exam instead of being a professional body that only accepts graduate law degree applicants. Carter-Lang goes on to suggest that “</w:t>
      </w:r>
      <w:r w:rsidR="00FC60E3" w:rsidRPr="00FC60E3">
        <w:rPr>
          <w:rFonts w:ascii="Arial" w:hAnsi="Arial" w:cs="Arial"/>
          <w:color w:val="000000"/>
          <w:sz w:val="22"/>
          <w:szCs w:val="22"/>
          <w:shd w:val="clear" w:color="auto" w:fill="FFFFFF"/>
        </w:rPr>
        <w:t xml:space="preserve">the College of Policing’s approach to making the police </w:t>
      </w:r>
      <w:r w:rsidR="00FC60E3" w:rsidRPr="00FC60E3">
        <w:rPr>
          <w:rFonts w:ascii="Arial" w:hAnsi="Arial" w:cs="Arial"/>
          <w:color w:val="000000"/>
          <w:sz w:val="22"/>
          <w:szCs w:val="22"/>
          <w:shd w:val="clear" w:color="auto" w:fill="FFFFFF"/>
        </w:rPr>
        <w:lastRenderedPageBreak/>
        <w:t>service a graduate only profession seems to be going in the opposite direction to other professions which are intent on increasing diversity in their sector by removing the traditional barriers of entry of only recruiting graduates.</w:t>
      </w:r>
      <w:r w:rsidR="00FC60E3">
        <w:rPr>
          <w:rFonts w:ascii="Arial" w:hAnsi="Arial" w:cs="Arial"/>
          <w:color w:val="000000"/>
          <w:sz w:val="22"/>
          <w:szCs w:val="22"/>
          <w:shd w:val="clear" w:color="auto" w:fill="FFFFFF"/>
        </w:rPr>
        <w:t xml:space="preserve">” (Carter-Lang, 2021). </w:t>
      </w:r>
    </w:p>
    <w:p w14:paraId="3A42FCCE" w14:textId="3ECD165E" w:rsidR="00FC60E3" w:rsidRDefault="00FC60E3" w:rsidP="00FD59B9">
      <w:pPr>
        <w:rPr>
          <w:rFonts w:ascii="Arial" w:hAnsi="Arial" w:cs="Arial"/>
          <w:color w:val="000000"/>
          <w:sz w:val="22"/>
          <w:szCs w:val="22"/>
          <w:shd w:val="clear" w:color="auto" w:fill="FFFFFF"/>
        </w:rPr>
      </w:pPr>
    </w:p>
    <w:p w14:paraId="2B8DAE80" w14:textId="75F24C46" w:rsidR="0080351B" w:rsidRDefault="00BA4245">
      <w:pPr>
        <w:rPr>
          <w:rFonts w:ascii="Arial" w:hAnsi="Arial" w:cs="Arial"/>
          <w:sz w:val="22"/>
          <w:szCs w:val="22"/>
        </w:rPr>
      </w:pPr>
      <w:r>
        <w:rPr>
          <w:rFonts w:ascii="Arial" w:hAnsi="Arial" w:cs="Arial"/>
          <w:sz w:val="22"/>
          <w:szCs w:val="22"/>
        </w:rPr>
        <w:t xml:space="preserve">Considering the theory of Carter-Lang, this leads into the discussion of whether the ethical and inclusiveness of the police, attributes to the professionalisation. It could be considered that </w:t>
      </w:r>
      <w:r w:rsidR="0038216A">
        <w:rPr>
          <w:rFonts w:ascii="Arial" w:hAnsi="Arial" w:cs="Arial"/>
          <w:sz w:val="22"/>
          <w:szCs w:val="22"/>
        </w:rPr>
        <w:t xml:space="preserve">the police are going in a direction whereby policing is more so based off </w:t>
      </w:r>
      <w:r w:rsidR="00255C8D">
        <w:rPr>
          <w:rFonts w:ascii="Arial" w:hAnsi="Arial" w:cs="Arial"/>
          <w:sz w:val="22"/>
          <w:szCs w:val="22"/>
        </w:rPr>
        <w:t>evidence-based</w:t>
      </w:r>
      <w:r w:rsidR="0038216A">
        <w:rPr>
          <w:rFonts w:ascii="Arial" w:hAnsi="Arial" w:cs="Arial"/>
          <w:sz w:val="22"/>
          <w:szCs w:val="22"/>
        </w:rPr>
        <w:t xml:space="preserve"> decision making and this includes the idea that the police service being a professionalisation, adds to the quality of </w:t>
      </w:r>
      <w:r w:rsidR="00255C8D">
        <w:rPr>
          <w:rFonts w:ascii="Arial" w:hAnsi="Arial" w:cs="Arial"/>
          <w:sz w:val="22"/>
          <w:szCs w:val="22"/>
        </w:rPr>
        <w:t>officers being diverse, inclusive, and ethical in their work. The Nation Police Chief’s Council published a diversity, equality and inclusive strategy that dates from 2018 to 2025, which includes the notion that under the 2025 Policing Vision “policing will be a profession with a more representative workforce that will align the right skills, powers and experience to meet challenging requirements”. (NPCC, 2018)</w:t>
      </w:r>
    </w:p>
    <w:p w14:paraId="65F6FECC" w14:textId="6C10718F" w:rsidR="002612C5" w:rsidRDefault="00A577DB">
      <w:pPr>
        <w:rPr>
          <w:rFonts w:ascii="Arial" w:hAnsi="Arial" w:cs="Arial"/>
          <w:sz w:val="22"/>
          <w:szCs w:val="22"/>
        </w:rPr>
      </w:pPr>
      <w:r>
        <w:rPr>
          <w:rFonts w:ascii="Arial" w:hAnsi="Arial" w:cs="Arial"/>
          <w:sz w:val="22"/>
          <w:szCs w:val="22"/>
        </w:rPr>
        <w:t xml:space="preserve">Looking at </w:t>
      </w:r>
      <w:r w:rsidRPr="002612C5">
        <w:rPr>
          <w:rFonts w:ascii="Arial" w:hAnsi="Arial" w:cs="Arial"/>
          <w:sz w:val="22"/>
          <w:szCs w:val="22"/>
        </w:rPr>
        <w:t xml:space="preserve">the police as an employer and whether the new framework for joining constables </w:t>
      </w:r>
      <w:r w:rsidR="002612C5" w:rsidRPr="002612C5">
        <w:rPr>
          <w:rFonts w:ascii="Arial" w:hAnsi="Arial" w:cs="Arial"/>
          <w:sz w:val="22"/>
          <w:szCs w:val="22"/>
        </w:rPr>
        <w:t>is inclusive to all and includes equality considerations for new applicants, the college of policing has created and published an</w:t>
      </w:r>
      <w:r w:rsidR="002612C5">
        <w:rPr>
          <w:rFonts w:ascii="Arial" w:hAnsi="Arial" w:cs="Arial"/>
          <w:sz w:val="22"/>
          <w:szCs w:val="22"/>
        </w:rPr>
        <w:t xml:space="preserve"> Equality impact assessment which relates to the PEQF and considers any potential inequalities in the training framework. (College of Policing, 2022).</w:t>
      </w:r>
    </w:p>
    <w:p w14:paraId="4DE17A07" w14:textId="5E133AC7" w:rsidR="002612C5" w:rsidRDefault="002612C5">
      <w:pPr>
        <w:rPr>
          <w:rFonts w:ascii="Arial" w:hAnsi="Arial" w:cs="Arial"/>
          <w:sz w:val="22"/>
          <w:szCs w:val="22"/>
        </w:rPr>
      </w:pPr>
    </w:p>
    <w:p w14:paraId="79A50DD2" w14:textId="4C378C0E" w:rsidR="002612C5" w:rsidRDefault="000005C3">
      <w:pPr>
        <w:rPr>
          <w:rFonts w:ascii="Arial" w:hAnsi="Arial" w:cs="Arial"/>
          <w:sz w:val="22"/>
          <w:szCs w:val="22"/>
        </w:rPr>
      </w:pPr>
      <w:r>
        <w:rPr>
          <w:rFonts w:ascii="Arial" w:hAnsi="Arial" w:cs="Arial"/>
          <w:sz w:val="22"/>
          <w:szCs w:val="22"/>
        </w:rPr>
        <w:t xml:space="preserve">Having equality and being inclusive is included within </w:t>
      </w:r>
      <w:r w:rsidR="002612C5">
        <w:rPr>
          <w:rFonts w:ascii="Arial" w:hAnsi="Arial" w:cs="Arial"/>
          <w:sz w:val="22"/>
          <w:szCs w:val="22"/>
        </w:rPr>
        <w:t xml:space="preserve">Professional </w:t>
      </w:r>
      <w:r>
        <w:rPr>
          <w:rFonts w:ascii="Arial" w:hAnsi="Arial" w:cs="Arial"/>
          <w:sz w:val="22"/>
          <w:szCs w:val="22"/>
        </w:rPr>
        <w:t>S</w:t>
      </w:r>
      <w:r w:rsidR="002612C5">
        <w:rPr>
          <w:rFonts w:ascii="Arial" w:hAnsi="Arial" w:cs="Arial"/>
          <w:sz w:val="22"/>
          <w:szCs w:val="22"/>
        </w:rPr>
        <w:t>tandards</w:t>
      </w:r>
      <w:r>
        <w:rPr>
          <w:rFonts w:ascii="Arial" w:hAnsi="Arial" w:cs="Arial"/>
          <w:sz w:val="22"/>
          <w:szCs w:val="22"/>
        </w:rPr>
        <w:t xml:space="preserve"> of the police.</w:t>
      </w:r>
      <w:r w:rsidR="002612C5">
        <w:rPr>
          <w:rFonts w:ascii="Arial" w:hAnsi="Arial" w:cs="Arial"/>
          <w:sz w:val="22"/>
          <w:szCs w:val="22"/>
        </w:rPr>
        <w:t xml:space="preserve"> </w:t>
      </w:r>
      <w:r>
        <w:rPr>
          <w:rFonts w:ascii="Arial" w:hAnsi="Arial" w:cs="Arial"/>
          <w:sz w:val="22"/>
          <w:szCs w:val="22"/>
        </w:rPr>
        <w:t xml:space="preserve">Maintaining those standards </w:t>
      </w:r>
      <w:r w:rsidR="002612C5">
        <w:rPr>
          <w:rFonts w:ascii="Arial" w:hAnsi="Arial" w:cs="Arial"/>
          <w:sz w:val="22"/>
          <w:szCs w:val="22"/>
        </w:rPr>
        <w:t xml:space="preserve">within the police is paramount towards the professionalisation </w:t>
      </w:r>
      <w:r>
        <w:rPr>
          <w:rFonts w:ascii="Arial" w:hAnsi="Arial" w:cs="Arial"/>
          <w:sz w:val="22"/>
          <w:szCs w:val="22"/>
        </w:rPr>
        <w:t>and also contributes to professionalism through transparency by publicising the standards that should be upheld by a police force. All public sectors are governed by standards, these standards are required because as explained by CIPFA “</w:t>
      </w:r>
      <w:r w:rsidRPr="000005C3">
        <w:rPr>
          <w:rFonts w:ascii="Arial" w:hAnsi="Arial" w:cs="Arial"/>
          <w:sz w:val="22"/>
          <w:szCs w:val="22"/>
        </w:rPr>
        <w:t>The public sector has a large impact from a regulatory, economic and sustainability perspective. It therefore needs to be transparent in what it does and accountable for its actions. There needs to be confidence that the reporting arrangements that are put in place for the public sector are fit for purpose and that they aid in the decision-making and accountability processes for public sector organisations.</w:t>
      </w:r>
      <w:r>
        <w:rPr>
          <w:rFonts w:ascii="Arial" w:hAnsi="Arial" w:cs="Arial"/>
          <w:sz w:val="22"/>
          <w:szCs w:val="22"/>
        </w:rPr>
        <w:t xml:space="preserve">” (CIPFA, 2022). </w:t>
      </w:r>
    </w:p>
    <w:p w14:paraId="0A04C916" w14:textId="15A00B6F" w:rsidR="000005C3" w:rsidRDefault="000005C3">
      <w:pPr>
        <w:rPr>
          <w:rFonts w:ascii="Arial" w:hAnsi="Arial" w:cs="Arial"/>
          <w:sz w:val="22"/>
          <w:szCs w:val="22"/>
        </w:rPr>
      </w:pPr>
    </w:p>
    <w:p w14:paraId="314E7CE6" w14:textId="0E7C69B3" w:rsidR="006D73BF" w:rsidRDefault="00C408C5" w:rsidP="006D73BF">
      <w:pPr>
        <w:rPr>
          <w:rFonts w:ascii="Arial" w:hAnsi="Arial" w:cs="Arial"/>
          <w:sz w:val="22"/>
          <w:szCs w:val="22"/>
          <w:shd w:val="clear" w:color="auto" w:fill="FFFFFF"/>
        </w:rPr>
      </w:pPr>
      <w:r>
        <w:rPr>
          <w:rFonts w:ascii="Arial" w:hAnsi="Arial" w:cs="Arial"/>
          <w:sz w:val="22"/>
          <w:szCs w:val="22"/>
        </w:rPr>
        <w:t xml:space="preserve">The use of Coaching and Mentoring within the police force is also becoming more apparent and this also adds to the uphold of professional standards as with the right mentor, the right qualities can be passed on. A study </w:t>
      </w:r>
      <w:r w:rsidR="006D73BF">
        <w:rPr>
          <w:rFonts w:ascii="Arial" w:hAnsi="Arial" w:cs="Arial"/>
          <w:sz w:val="22"/>
          <w:szCs w:val="22"/>
        </w:rPr>
        <w:t>conducted</w:t>
      </w:r>
      <w:r>
        <w:rPr>
          <w:rFonts w:ascii="Arial" w:hAnsi="Arial" w:cs="Arial"/>
          <w:sz w:val="22"/>
          <w:szCs w:val="22"/>
        </w:rPr>
        <w:t xml:space="preserve"> by Mark Tyler and William Mckenzie </w:t>
      </w:r>
      <w:r w:rsidR="006D73BF">
        <w:rPr>
          <w:rFonts w:ascii="Arial" w:hAnsi="Arial" w:cs="Arial"/>
          <w:sz w:val="22"/>
          <w:szCs w:val="22"/>
        </w:rPr>
        <w:t>relating to</w:t>
      </w:r>
      <w:r>
        <w:rPr>
          <w:rFonts w:ascii="Arial" w:hAnsi="Arial" w:cs="Arial"/>
          <w:sz w:val="22"/>
          <w:szCs w:val="22"/>
        </w:rPr>
        <w:t xml:space="preserve"> Mentoring First Year Police Constables, </w:t>
      </w:r>
      <w:r w:rsidR="006D73BF">
        <w:rPr>
          <w:rFonts w:ascii="Arial" w:hAnsi="Arial" w:cs="Arial"/>
          <w:sz w:val="22"/>
          <w:szCs w:val="22"/>
        </w:rPr>
        <w:t xml:space="preserve">stated findings from </w:t>
      </w:r>
      <w:r w:rsidRPr="00C408C5">
        <w:rPr>
          <w:rFonts w:ascii="Arial" w:hAnsi="Arial" w:cs="Arial"/>
          <w:sz w:val="22"/>
          <w:szCs w:val="22"/>
          <w:shd w:val="clear" w:color="auto" w:fill="FFFFFF"/>
        </w:rPr>
        <w:t>a group of police officers that</w:t>
      </w:r>
      <w:r w:rsidR="006D73BF">
        <w:rPr>
          <w:rFonts w:ascii="Arial" w:hAnsi="Arial" w:cs="Arial"/>
          <w:sz w:val="22"/>
          <w:szCs w:val="22"/>
          <w:shd w:val="clear" w:color="auto" w:fill="FFFFFF"/>
        </w:rPr>
        <w:t xml:space="preserve"> they ‘</w:t>
      </w:r>
      <w:r w:rsidRPr="00C408C5">
        <w:rPr>
          <w:rFonts w:ascii="Arial" w:hAnsi="Arial" w:cs="Arial"/>
          <w:sz w:val="22"/>
          <w:szCs w:val="22"/>
          <w:shd w:val="clear" w:color="auto" w:fill="FFFFFF"/>
        </w:rPr>
        <w:t>reported a belief in the mentoring process. Further, they considered themselves personally prepared for the role of mentor and related this preparedness to either pas</w:t>
      </w:r>
      <w:r w:rsidR="006D73BF">
        <w:rPr>
          <w:rFonts w:ascii="Arial" w:hAnsi="Arial" w:cs="Arial"/>
          <w:sz w:val="22"/>
          <w:szCs w:val="22"/>
          <w:shd w:val="clear" w:color="auto" w:fill="FFFFFF"/>
        </w:rPr>
        <w:t>t experiences of being mentored, or past experience in the role itself’.</w:t>
      </w:r>
      <w:r w:rsidR="00546D8D">
        <w:rPr>
          <w:rFonts w:ascii="Arial" w:hAnsi="Arial" w:cs="Arial"/>
          <w:sz w:val="22"/>
          <w:szCs w:val="22"/>
          <w:shd w:val="clear" w:color="auto" w:fill="FFFFFF"/>
        </w:rPr>
        <w:t xml:space="preserve"> (Tyler</w:t>
      </w:r>
      <w:r w:rsidR="00B55E75">
        <w:rPr>
          <w:rFonts w:ascii="Arial" w:hAnsi="Arial" w:cs="Arial"/>
          <w:sz w:val="22"/>
          <w:szCs w:val="22"/>
          <w:shd w:val="clear" w:color="auto" w:fill="FFFFFF"/>
        </w:rPr>
        <w:t xml:space="preserve"> and</w:t>
      </w:r>
      <w:r w:rsidR="00546D8D">
        <w:rPr>
          <w:rFonts w:ascii="Arial" w:hAnsi="Arial" w:cs="Arial"/>
          <w:sz w:val="22"/>
          <w:szCs w:val="22"/>
          <w:shd w:val="clear" w:color="auto" w:fill="FFFFFF"/>
        </w:rPr>
        <w:t xml:space="preserve"> Mckenzie, 2011). </w:t>
      </w:r>
      <w:r w:rsidR="006D73BF">
        <w:rPr>
          <w:rFonts w:ascii="Arial" w:hAnsi="Arial" w:cs="Arial"/>
          <w:sz w:val="22"/>
          <w:szCs w:val="22"/>
          <w:shd w:val="clear" w:color="auto" w:fill="FFFFFF"/>
        </w:rPr>
        <w:t xml:space="preserve">Therefore, passing important qualities and experience onto un-experienced new officers. </w:t>
      </w:r>
    </w:p>
    <w:p w14:paraId="247AB6C9" w14:textId="18A5F256" w:rsidR="006D73BF" w:rsidRPr="006D73BF" w:rsidRDefault="00C408C5" w:rsidP="006D73BF">
      <w:pPr>
        <w:rPr>
          <w:rFonts w:ascii="Arial" w:hAnsi="Arial" w:cs="Arial"/>
          <w:sz w:val="22"/>
          <w:szCs w:val="22"/>
          <w:shd w:val="clear" w:color="auto" w:fill="FFFFFF"/>
        </w:rPr>
      </w:pPr>
      <w:r>
        <w:rPr>
          <w:rFonts w:ascii="Open Sans" w:hAnsi="Open Sans" w:cs="Open Sans"/>
          <w:sz w:val="27"/>
          <w:szCs w:val="27"/>
          <w:shd w:val="clear" w:color="auto" w:fill="FFFFFF"/>
        </w:rPr>
        <w:t> </w:t>
      </w:r>
    </w:p>
    <w:p w14:paraId="4E3CC667" w14:textId="6820DBF2" w:rsidR="0090503B" w:rsidRDefault="0090503B">
      <w:pPr>
        <w:rPr>
          <w:rFonts w:ascii="Arial" w:hAnsi="Arial" w:cs="Arial"/>
          <w:sz w:val="22"/>
          <w:szCs w:val="22"/>
        </w:rPr>
      </w:pPr>
      <w:r>
        <w:rPr>
          <w:rFonts w:ascii="Arial" w:hAnsi="Arial" w:cs="Arial"/>
          <w:sz w:val="22"/>
          <w:szCs w:val="22"/>
        </w:rPr>
        <w:t xml:space="preserve">To conclude this essay, it is clear from points made that Professional Standard, including diversity, </w:t>
      </w:r>
      <w:r w:rsidR="00335D43">
        <w:rPr>
          <w:rFonts w:ascii="Arial" w:hAnsi="Arial" w:cs="Arial"/>
          <w:sz w:val="22"/>
          <w:szCs w:val="22"/>
        </w:rPr>
        <w:t>inclusion,</w:t>
      </w:r>
      <w:r>
        <w:rPr>
          <w:rFonts w:ascii="Arial" w:hAnsi="Arial" w:cs="Arial"/>
          <w:sz w:val="22"/>
          <w:szCs w:val="22"/>
        </w:rPr>
        <w:t xml:space="preserve"> and ethical standards and also the coaching and mentoring approach that is used by forces does contribute towards the professionalisation of the police</w:t>
      </w:r>
      <w:r w:rsidR="00335D43">
        <w:rPr>
          <w:rFonts w:ascii="Arial" w:hAnsi="Arial" w:cs="Arial"/>
          <w:sz w:val="22"/>
          <w:szCs w:val="22"/>
        </w:rPr>
        <w:t xml:space="preserve">, however there is evidence to suggest that whether the professionalisation of the police and the introduction of the PEQF/Degree programmes is helping forces, or just creating more problems due to retention rates since the introduction of the new requirements and standards dropping meaning less officers to serve the public. </w:t>
      </w:r>
    </w:p>
    <w:p w14:paraId="6365ED35" w14:textId="77777777" w:rsidR="002612C5" w:rsidRDefault="002612C5">
      <w:pPr>
        <w:rPr>
          <w:rFonts w:ascii="Arial" w:hAnsi="Arial" w:cs="Arial"/>
          <w:sz w:val="22"/>
          <w:szCs w:val="22"/>
        </w:rPr>
      </w:pPr>
    </w:p>
    <w:p w14:paraId="229853EC" w14:textId="24FAD18F" w:rsidR="002612C5" w:rsidRPr="00475A8A" w:rsidRDefault="00475A8A">
      <w:pPr>
        <w:rPr>
          <w:rFonts w:ascii="Arial" w:hAnsi="Arial" w:cs="Arial"/>
          <w:i/>
          <w:iCs/>
          <w:sz w:val="22"/>
          <w:szCs w:val="22"/>
        </w:rPr>
      </w:pPr>
      <w:r w:rsidRPr="00475A8A">
        <w:rPr>
          <w:rFonts w:ascii="Arial" w:hAnsi="Arial" w:cs="Arial"/>
          <w:i/>
          <w:iCs/>
          <w:sz w:val="22"/>
          <w:szCs w:val="22"/>
        </w:rPr>
        <w:t>1054 words</w:t>
      </w:r>
    </w:p>
    <w:p w14:paraId="31605D83" w14:textId="77777777" w:rsidR="002612C5" w:rsidRDefault="002612C5">
      <w:pPr>
        <w:rPr>
          <w:rFonts w:ascii="Arial" w:hAnsi="Arial" w:cs="Arial"/>
          <w:sz w:val="22"/>
          <w:szCs w:val="22"/>
        </w:rPr>
      </w:pPr>
    </w:p>
    <w:p w14:paraId="152D59BF" w14:textId="77777777" w:rsidR="002612C5" w:rsidRDefault="002612C5">
      <w:pPr>
        <w:rPr>
          <w:rFonts w:ascii="Arial" w:hAnsi="Arial" w:cs="Arial"/>
          <w:sz w:val="22"/>
          <w:szCs w:val="22"/>
        </w:rPr>
      </w:pPr>
    </w:p>
    <w:p w14:paraId="6B651EA6" w14:textId="4EE31465" w:rsidR="00A577DB" w:rsidRDefault="00A577DB">
      <w:pPr>
        <w:rPr>
          <w:rFonts w:ascii="Arial" w:hAnsi="Arial" w:cs="Arial"/>
          <w:sz w:val="22"/>
          <w:szCs w:val="22"/>
        </w:rPr>
      </w:pPr>
    </w:p>
    <w:p w14:paraId="22A6D97D" w14:textId="6D4565C7" w:rsidR="00A577DB" w:rsidRDefault="00A577DB">
      <w:pPr>
        <w:rPr>
          <w:rFonts w:ascii="Arial" w:hAnsi="Arial" w:cs="Arial"/>
          <w:sz w:val="22"/>
          <w:szCs w:val="22"/>
        </w:rPr>
      </w:pPr>
    </w:p>
    <w:p w14:paraId="1A5E6214" w14:textId="31E56A90" w:rsidR="00C21F92" w:rsidRDefault="00C21F92">
      <w:pPr>
        <w:rPr>
          <w:rFonts w:ascii="Arial" w:hAnsi="Arial" w:cs="Arial"/>
          <w:sz w:val="22"/>
          <w:szCs w:val="22"/>
        </w:rPr>
      </w:pPr>
    </w:p>
    <w:p w14:paraId="4935F339" w14:textId="35C0B48A" w:rsidR="00C21F92" w:rsidRDefault="00C21F92">
      <w:pPr>
        <w:rPr>
          <w:rFonts w:ascii="Arial" w:hAnsi="Arial" w:cs="Arial"/>
          <w:sz w:val="22"/>
          <w:szCs w:val="22"/>
        </w:rPr>
      </w:pPr>
    </w:p>
    <w:p w14:paraId="3CDADC03" w14:textId="33373CAD" w:rsidR="00C21F92" w:rsidRDefault="00C21F92">
      <w:pPr>
        <w:rPr>
          <w:rFonts w:ascii="Arial" w:hAnsi="Arial" w:cs="Arial"/>
          <w:sz w:val="22"/>
          <w:szCs w:val="22"/>
        </w:rPr>
      </w:pPr>
    </w:p>
    <w:p w14:paraId="691F8DAA" w14:textId="7A8AA445" w:rsidR="00C21F92" w:rsidRDefault="00C21F92">
      <w:pPr>
        <w:rPr>
          <w:rFonts w:ascii="Arial" w:hAnsi="Arial" w:cs="Arial"/>
          <w:sz w:val="22"/>
          <w:szCs w:val="22"/>
        </w:rPr>
      </w:pPr>
    </w:p>
    <w:p w14:paraId="33CCF263" w14:textId="587B9B9A" w:rsidR="00C21F92" w:rsidRDefault="00C21F92">
      <w:pPr>
        <w:rPr>
          <w:rFonts w:ascii="Arial" w:hAnsi="Arial" w:cs="Arial"/>
          <w:sz w:val="22"/>
          <w:szCs w:val="22"/>
        </w:rPr>
      </w:pPr>
    </w:p>
    <w:p w14:paraId="190D4268" w14:textId="2CB952FE" w:rsidR="00C21F92" w:rsidRDefault="00C21F92">
      <w:pPr>
        <w:rPr>
          <w:rFonts w:ascii="Arial" w:hAnsi="Arial" w:cs="Arial"/>
          <w:sz w:val="22"/>
          <w:szCs w:val="22"/>
        </w:rPr>
      </w:pPr>
    </w:p>
    <w:p w14:paraId="76BFE9AB" w14:textId="3B74427A" w:rsidR="00C21F92" w:rsidRDefault="00C21F92">
      <w:pPr>
        <w:rPr>
          <w:rFonts w:ascii="Arial" w:hAnsi="Arial" w:cs="Arial"/>
          <w:sz w:val="22"/>
          <w:szCs w:val="22"/>
        </w:rPr>
      </w:pPr>
    </w:p>
    <w:p w14:paraId="18F8E4D6" w14:textId="77777777" w:rsidR="00654906" w:rsidRDefault="00654906" w:rsidP="00C21F92">
      <w:pPr>
        <w:spacing w:line="257" w:lineRule="auto"/>
        <w:ind w:right="531"/>
        <w:rPr>
          <w:rFonts w:ascii="Arial" w:eastAsia="Arial" w:hAnsi="Arial" w:cs="Arial"/>
          <w:b/>
          <w:bCs/>
          <w:sz w:val="22"/>
          <w:szCs w:val="22"/>
          <w:u w:val="single"/>
        </w:rPr>
      </w:pPr>
    </w:p>
    <w:p w14:paraId="4FD9F829" w14:textId="47621628" w:rsidR="00C21F92" w:rsidRPr="00654906" w:rsidRDefault="00C21F92" w:rsidP="00C21F92">
      <w:pPr>
        <w:spacing w:line="257" w:lineRule="auto"/>
        <w:ind w:right="531"/>
        <w:rPr>
          <w:rFonts w:ascii="Arial" w:eastAsia="Arial" w:hAnsi="Arial" w:cs="Arial"/>
          <w:b/>
          <w:bCs/>
          <w:sz w:val="22"/>
          <w:szCs w:val="22"/>
          <w:u w:val="single"/>
        </w:rPr>
      </w:pPr>
      <w:r w:rsidRPr="00654906">
        <w:rPr>
          <w:rFonts w:ascii="Arial" w:eastAsia="Arial" w:hAnsi="Arial" w:cs="Arial"/>
          <w:b/>
          <w:bCs/>
          <w:sz w:val="22"/>
          <w:szCs w:val="22"/>
          <w:u w:val="single"/>
        </w:rPr>
        <w:t xml:space="preserve">Essay two </w:t>
      </w:r>
    </w:p>
    <w:p w14:paraId="54C96A11" w14:textId="03BF3E02" w:rsidR="00C21F92" w:rsidRPr="00654906" w:rsidRDefault="00C21F92" w:rsidP="00C21F92">
      <w:pPr>
        <w:spacing w:line="257" w:lineRule="auto"/>
        <w:ind w:right="531"/>
        <w:rPr>
          <w:rFonts w:ascii="Arial" w:eastAsia="Calibri" w:hAnsi="Arial" w:cs="Arial"/>
          <w:sz w:val="22"/>
          <w:szCs w:val="22"/>
          <w:u w:val="single"/>
        </w:rPr>
      </w:pPr>
      <w:r w:rsidRPr="00654906">
        <w:rPr>
          <w:rFonts w:ascii="Arial" w:eastAsia="Arial" w:hAnsi="Arial" w:cs="Arial"/>
          <w:b/>
          <w:bCs/>
          <w:sz w:val="22"/>
          <w:szCs w:val="22"/>
          <w:u w:val="single"/>
        </w:rPr>
        <w:t>Response policing</w:t>
      </w:r>
      <w:r w:rsidRPr="00654906">
        <w:rPr>
          <w:rFonts w:ascii="Arial" w:eastAsia="Arial" w:hAnsi="Arial" w:cs="Arial"/>
          <w:sz w:val="22"/>
          <w:szCs w:val="22"/>
          <w:u w:val="single"/>
        </w:rPr>
        <w:t xml:space="preserve"> – critically evaluate the role of response police in dealing with critical/major incidents and explain the importance of managing trauma and mental wellbeing. </w:t>
      </w:r>
    </w:p>
    <w:p w14:paraId="762717CF" w14:textId="6F30DE40" w:rsidR="00C21F92" w:rsidRDefault="00C21F92">
      <w:pPr>
        <w:rPr>
          <w:rFonts w:ascii="Arial" w:hAnsi="Arial" w:cs="Arial"/>
          <w:sz w:val="22"/>
          <w:szCs w:val="22"/>
        </w:rPr>
      </w:pPr>
    </w:p>
    <w:p w14:paraId="40CB3942" w14:textId="4F606421" w:rsidR="00C21F92" w:rsidRDefault="00C21F92">
      <w:pPr>
        <w:rPr>
          <w:rFonts w:ascii="Arial" w:hAnsi="Arial" w:cs="Arial"/>
          <w:sz w:val="22"/>
          <w:szCs w:val="22"/>
        </w:rPr>
      </w:pPr>
    </w:p>
    <w:p w14:paraId="257FA9CA" w14:textId="620B17A6" w:rsidR="005320ED" w:rsidRPr="005320ED" w:rsidRDefault="005320ED" w:rsidP="005320ED">
      <w:pPr>
        <w:rPr>
          <w:rFonts w:ascii="Arial" w:hAnsi="Arial" w:cs="Arial"/>
          <w:sz w:val="22"/>
          <w:szCs w:val="22"/>
        </w:rPr>
      </w:pPr>
      <w:r>
        <w:rPr>
          <w:rFonts w:ascii="Arial" w:hAnsi="Arial" w:cs="Arial"/>
          <w:sz w:val="22"/>
          <w:szCs w:val="22"/>
        </w:rPr>
        <w:t>‘</w:t>
      </w:r>
      <w:r w:rsidRPr="005320ED">
        <w:rPr>
          <w:rFonts w:ascii="Arial" w:hAnsi="Arial" w:cs="Arial"/>
          <w:sz w:val="22"/>
          <w:szCs w:val="22"/>
        </w:rPr>
        <w:t>Response policing is the term widely used to describe the teams of police officers that respond to emergency and non-emergency calls from members of the public.</w:t>
      </w:r>
      <w:r>
        <w:rPr>
          <w:rFonts w:ascii="Arial" w:hAnsi="Arial" w:cs="Arial"/>
          <w:sz w:val="22"/>
          <w:szCs w:val="22"/>
        </w:rPr>
        <w:t xml:space="preserve"> </w:t>
      </w:r>
      <w:r w:rsidRPr="005320ED">
        <w:rPr>
          <w:rFonts w:ascii="Arial" w:hAnsi="Arial" w:cs="Arial"/>
          <w:sz w:val="22"/>
          <w:szCs w:val="22"/>
        </w:rPr>
        <w:t>Response officers are at the heart of uniformed policing and will often be the first police officer many members of the public come into contact with.</w:t>
      </w:r>
      <w:r>
        <w:rPr>
          <w:rFonts w:ascii="Arial" w:hAnsi="Arial" w:cs="Arial"/>
          <w:sz w:val="22"/>
          <w:szCs w:val="22"/>
        </w:rPr>
        <w:t xml:space="preserve"> </w:t>
      </w:r>
      <w:r w:rsidRPr="005320ED">
        <w:rPr>
          <w:rFonts w:ascii="Arial" w:hAnsi="Arial" w:cs="Arial"/>
          <w:sz w:val="22"/>
          <w:szCs w:val="22"/>
        </w:rPr>
        <w:t xml:space="preserve">While responding to incidents is their primary </w:t>
      </w:r>
    </w:p>
    <w:p w14:paraId="157F8A10" w14:textId="54423251" w:rsidR="005320ED" w:rsidRPr="005320ED" w:rsidRDefault="005320ED" w:rsidP="005320ED">
      <w:pPr>
        <w:rPr>
          <w:rFonts w:ascii="Arial" w:hAnsi="Arial" w:cs="Arial"/>
          <w:sz w:val="22"/>
          <w:szCs w:val="22"/>
        </w:rPr>
      </w:pPr>
      <w:r w:rsidRPr="005320ED">
        <w:rPr>
          <w:rFonts w:ascii="Arial" w:hAnsi="Arial" w:cs="Arial"/>
          <w:sz w:val="22"/>
          <w:szCs w:val="22"/>
        </w:rPr>
        <w:t>role, in doing this they will also protect the public, proactively patrol their communities,</w:t>
      </w:r>
      <w:r>
        <w:rPr>
          <w:rFonts w:ascii="Arial" w:hAnsi="Arial" w:cs="Arial"/>
          <w:sz w:val="22"/>
          <w:szCs w:val="22"/>
        </w:rPr>
        <w:t xml:space="preserve"> </w:t>
      </w:r>
      <w:r w:rsidRPr="005320ED">
        <w:rPr>
          <w:rFonts w:ascii="Arial" w:hAnsi="Arial" w:cs="Arial"/>
          <w:sz w:val="22"/>
          <w:szCs w:val="22"/>
        </w:rPr>
        <w:t xml:space="preserve">manage critical incidents, communicate with vulnerable people, apply conflict management techniques, give emergency first aid and much more. The response officer needs to </w:t>
      </w:r>
    </w:p>
    <w:p w14:paraId="2C906479" w14:textId="0C3EF957" w:rsidR="000B1AC9" w:rsidRDefault="005320ED" w:rsidP="005320ED">
      <w:pPr>
        <w:rPr>
          <w:rFonts w:ascii="Arial" w:hAnsi="Arial" w:cs="Arial"/>
          <w:sz w:val="22"/>
          <w:szCs w:val="22"/>
        </w:rPr>
      </w:pPr>
      <w:r w:rsidRPr="005320ED">
        <w:rPr>
          <w:rFonts w:ascii="Arial" w:hAnsi="Arial" w:cs="Arial"/>
          <w:sz w:val="22"/>
          <w:szCs w:val="22"/>
        </w:rPr>
        <w:t>be omni-competent in a range of skills and must keep up to date with changes in the law and policing</w:t>
      </w:r>
      <w:r>
        <w:rPr>
          <w:rFonts w:ascii="Arial" w:hAnsi="Arial" w:cs="Arial"/>
          <w:sz w:val="22"/>
          <w:szCs w:val="22"/>
        </w:rPr>
        <w:t>’ (College of Policing, 2022).</w:t>
      </w:r>
    </w:p>
    <w:p w14:paraId="401F9D9C" w14:textId="77777777" w:rsidR="000B1AC9" w:rsidRDefault="005320ED" w:rsidP="005320ED">
      <w:pPr>
        <w:rPr>
          <w:rFonts w:ascii="Arial" w:hAnsi="Arial" w:cs="Arial"/>
          <w:sz w:val="22"/>
          <w:szCs w:val="22"/>
        </w:rPr>
      </w:pPr>
      <w:r>
        <w:rPr>
          <w:rFonts w:ascii="Arial" w:hAnsi="Arial" w:cs="Arial"/>
          <w:sz w:val="22"/>
          <w:szCs w:val="22"/>
        </w:rPr>
        <w:t xml:space="preserve">As </w:t>
      </w:r>
      <w:r w:rsidR="000B1AC9">
        <w:rPr>
          <w:rFonts w:ascii="Arial" w:hAnsi="Arial" w:cs="Arial"/>
          <w:sz w:val="22"/>
          <w:szCs w:val="22"/>
        </w:rPr>
        <w:t>noted</w:t>
      </w:r>
      <w:r>
        <w:rPr>
          <w:rFonts w:ascii="Arial" w:hAnsi="Arial" w:cs="Arial"/>
          <w:sz w:val="22"/>
          <w:szCs w:val="22"/>
        </w:rPr>
        <w:t xml:space="preserve"> by the college of policing, critical incidents are something which response officers deal with and are usually the first officers at the incident or are the ones that consider the incident to be a critical one. </w:t>
      </w:r>
    </w:p>
    <w:p w14:paraId="2BA93E5E" w14:textId="77777777" w:rsidR="000B1AC9" w:rsidRDefault="000B1AC9" w:rsidP="005320ED">
      <w:pPr>
        <w:rPr>
          <w:rFonts w:ascii="Arial" w:hAnsi="Arial" w:cs="Arial"/>
          <w:sz w:val="22"/>
          <w:szCs w:val="22"/>
        </w:rPr>
      </w:pPr>
    </w:p>
    <w:p w14:paraId="3FEE26F2" w14:textId="3D47F2EB" w:rsidR="00C21F92" w:rsidRDefault="005320ED" w:rsidP="005320ED">
      <w:pPr>
        <w:rPr>
          <w:rFonts w:ascii="Arial" w:hAnsi="Arial" w:cs="Arial"/>
          <w:sz w:val="22"/>
          <w:szCs w:val="22"/>
        </w:rPr>
      </w:pPr>
      <w:r>
        <w:rPr>
          <w:rFonts w:ascii="Arial" w:hAnsi="Arial" w:cs="Arial"/>
          <w:sz w:val="22"/>
          <w:szCs w:val="22"/>
        </w:rPr>
        <w:t>The ACPO definition of critical incident is ‘any incident where the effectiveness of the police response is likely to have a significant impact on the confidence of the victim, their family, and/or the community</w:t>
      </w:r>
      <w:r w:rsidR="00AF4BAE">
        <w:rPr>
          <w:rFonts w:ascii="Arial" w:hAnsi="Arial" w:cs="Arial"/>
          <w:sz w:val="22"/>
          <w:szCs w:val="22"/>
        </w:rPr>
        <w:t>’. This encompasses not only incidents such as murder, which immediately may be seen as critical, but initially, smaller events that have the potential to escalate</w:t>
      </w:r>
      <w:r w:rsidR="00654906">
        <w:rPr>
          <w:rFonts w:ascii="Arial" w:hAnsi="Arial" w:cs="Arial"/>
          <w:sz w:val="22"/>
          <w:szCs w:val="22"/>
        </w:rPr>
        <w:t xml:space="preserve"> </w:t>
      </w:r>
      <w:r w:rsidR="00AF4BAE">
        <w:rPr>
          <w:rFonts w:ascii="Arial" w:hAnsi="Arial" w:cs="Arial"/>
          <w:sz w:val="22"/>
          <w:szCs w:val="22"/>
        </w:rPr>
        <w:t xml:space="preserve">(HMIC, 2009). </w:t>
      </w:r>
    </w:p>
    <w:p w14:paraId="4E4CD98B" w14:textId="67DBF448" w:rsidR="00A56C24" w:rsidRDefault="00AF4BAE" w:rsidP="005320ED">
      <w:pPr>
        <w:rPr>
          <w:rFonts w:ascii="Arial" w:hAnsi="Arial" w:cs="Arial"/>
          <w:sz w:val="22"/>
          <w:szCs w:val="22"/>
        </w:rPr>
      </w:pPr>
      <w:r>
        <w:rPr>
          <w:rFonts w:ascii="Arial" w:hAnsi="Arial" w:cs="Arial"/>
          <w:sz w:val="22"/>
          <w:szCs w:val="22"/>
        </w:rPr>
        <w:t xml:space="preserve">The </w:t>
      </w:r>
      <w:r w:rsidR="00A56C24">
        <w:rPr>
          <w:rFonts w:ascii="Arial" w:hAnsi="Arial" w:cs="Arial"/>
          <w:sz w:val="22"/>
          <w:szCs w:val="22"/>
        </w:rPr>
        <w:t xml:space="preserve">assorted incidents that are dealt with by response police officers every day, each one has the potential to escalate into a critical incident. This can include response calls such as Anti-Social Behaviour incidents and incidents where the trust and confidence in the police can be damaged and effected. The College of Policing have identified that there are three phases of critical incident management which include, firstly preparing for critical incidents, this is where it is ensured that all staff get the most appropriate and relevant training available, the response staff are readily available, and </w:t>
      </w:r>
      <w:r w:rsidR="00A56C24" w:rsidRPr="00A56C24">
        <w:rPr>
          <w:rFonts w:ascii="Arial" w:hAnsi="Arial" w:cs="Arial"/>
          <w:sz w:val="22"/>
          <w:szCs w:val="22"/>
        </w:rPr>
        <w:t>the overall quality of the police response reflects a competent and accountable standard of incident management</w:t>
      </w:r>
      <w:r w:rsidR="00A56C24">
        <w:rPr>
          <w:rFonts w:ascii="Arial" w:hAnsi="Arial" w:cs="Arial"/>
          <w:sz w:val="22"/>
          <w:szCs w:val="22"/>
        </w:rPr>
        <w:t xml:space="preserve">. Secondly, managing critical incidents which consists of </w:t>
      </w:r>
      <w:r w:rsidR="00A56C24" w:rsidRPr="00A56C24">
        <w:rPr>
          <w:rFonts w:ascii="Arial" w:hAnsi="Arial" w:cs="Arial"/>
          <w:sz w:val="22"/>
          <w:szCs w:val="22"/>
        </w:rPr>
        <w:t>how to identify critical incidents early on</w:t>
      </w:r>
      <w:r w:rsidR="00A56C24">
        <w:rPr>
          <w:rFonts w:ascii="Arial" w:hAnsi="Arial" w:cs="Arial"/>
          <w:sz w:val="22"/>
          <w:szCs w:val="22"/>
        </w:rPr>
        <w:t>, i</w:t>
      </w:r>
      <w:r w:rsidR="00A56C24" w:rsidRPr="00A56C24">
        <w:rPr>
          <w:rFonts w:ascii="Arial" w:hAnsi="Arial" w:cs="Arial"/>
          <w:sz w:val="22"/>
          <w:szCs w:val="22"/>
        </w:rPr>
        <w:t>t includes processes to ensure incidents are notified to the most appropriate person, and that they are managed effectively.</w:t>
      </w:r>
      <w:r w:rsidR="00A56C24">
        <w:rPr>
          <w:rFonts w:ascii="Arial" w:hAnsi="Arial" w:cs="Arial"/>
          <w:sz w:val="22"/>
          <w:szCs w:val="22"/>
        </w:rPr>
        <w:t xml:space="preserve"> Thirdly, t</w:t>
      </w:r>
      <w:r w:rsidR="00A56C24" w:rsidRPr="00A56C24">
        <w:rPr>
          <w:rFonts w:ascii="Arial" w:hAnsi="Arial" w:cs="Arial"/>
          <w:sz w:val="22"/>
          <w:szCs w:val="22"/>
        </w:rPr>
        <w:t>his considers incidents that have had a significant impact on public confidence but were not identified when the incident was live, and how confidence may be rebuilt through community engagement, resolution or a public inquiry</w:t>
      </w:r>
      <w:r w:rsidR="00A56C24">
        <w:rPr>
          <w:rFonts w:ascii="Arial" w:hAnsi="Arial" w:cs="Arial"/>
          <w:sz w:val="22"/>
          <w:szCs w:val="22"/>
        </w:rPr>
        <w:t xml:space="preserve"> (College of Policing, 2013).</w:t>
      </w:r>
      <w:r w:rsidR="00266C0A">
        <w:rPr>
          <w:rFonts w:ascii="Arial" w:hAnsi="Arial" w:cs="Arial"/>
          <w:sz w:val="22"/>
          <w:szCs w:val="22"/>
        </w:rPr>
        <w:t xml:space="preserve"> </w:t>
      </w:r>
    </w:p>
    <w:p w14:paraId="6AF8B7D0" w14:textId="77777777" w:rsidR="000B1AC9" w:rsidRDefault="000B1AC9" w:rsidP="005320ED">
      <w:pPr>
        <w:rPr>
          <w:rFonts w:ascii="Arial" w:hAnsi="Arial" w:cs="Arial"/>
          <w:sz w:val="22"/>
          <w:szCs w:val="22"/>
        </w:rPr>
      </w:pPr>
    </w:p>
    <w:p w14:paraId="1A6497DA" w14:textId="1F403C8C" w:rsidR="00266C0A" w:rsidRDefault="00266C0A" w:rsidP="005320ED">
      <w:pPr>
        <w:rPr>
          <w:rFonts w:ascii="Arial" w:hAnsi="Arial" w:cs="Arial"/>
          <w:sz w:val="22"/>
          <w:szCs w:val="22"/>
        </w:rPr>
      </w:pPr>
      <w:r>
        <w:rPr>
          <w:rFonts w:ascii="Arial" w:hAnsi="Arial" w:cs="Arial"/>
          <w:sz w:val="22"/>
          <w:szCs w:val="22"/>
        </w:rPr>
        <w:t xml:space="preserve">Along with defining an incident as critical, there are also such </w:t>
      </w:r>
      <w:r w:rsidR="00BE52F7">
        <w:rPr>
          <w:rFonts w:ascii="Arial" w:hAnsi="Arial" w:cs="Arial"/>
          <w:sz w:val="22"/>
          <w:szCs w:val="22"/>
        </w:rPr>
        <w:t>incidents that are sometimes declared major incidents. Major incidents defined by Blackstones are ‘any emergency that requires the implementation if special arrangements by one or all of the emergency services’ (</w:t>
      </w:r>
      <w:r w:rsidR="005C3211">
        <w:rPr>
          <w:rFonts w:ascii="Arial" w:hAnsi="Arial" w:cs="Arial"/>
          <w:sz w:val="22"/>
          <w:szCs w:val="22"/>
        </w:rPr>
        <w:t>Bryant</w:t>
      </w:r>
      <w:r w:rsidR="00BE52F7">
        <w:rPr>
          <w:rFonts w:ascii="Arial" w:hAnsi="Arial" w:cs="Arial"/>
          <w:sz w:val="22"/>
          <w:szCs w:val="22"/>
        </w:rPr>
        <w:t xml:space="preserve"> et al, 2013). </w:t>
      </w:r>
      <w:r w:rsidR="005C3211">
        <w:rPr>
          <w:rFonts w:ascii="Arial" w:hAnsi="Arial" w:cs="Arial"/>
          <w:sz w:val="22"/>
          <w:szCs w:val="22"/>
        </w:rPr>
        <w:t xml:space="preserve">The actions of a first response police officer at a scene are crucial to the proper and managed outcome of the incident and relying on instinct in these situations is not sufficient. </w:t>
      </w:r>
    </w:p>
    <w:p w14:paraId="62747125" w14:textId="7C3750AF" w:rsidR="00787BB8" w:rsidRDefault="005C3211" w:rsidP="005320ED">
      <w:pPr>
        <w:rPr>
          <w:rFonts w:ascii="Arial" w:hAnsi="Arial" w:cs="Arial"/>
          <w:sz w:val="22"/>
          <w:szCs w:val="22"/>
        </w:rPr>
      </w:pPr>
      <w:r>
        <w:rPr>
          <w:rFonts w:ascii="Arial" w:hAnsi="Arial" w:cs="Arial"/>
          <w:sz w:val="22"/>
          <w:szCs w:val="22"/>
        </w:rPr>
        <w:t xml:space="preserve">Alike a critical incident, a major incident according to the London Emergency Services Liaison Panel has four components or stages which cover, firstly, the initial response, </w:t>
      </w:r>
      <w:r>
        <w:rPr>
          <w:rFonts w:ascii="Arial" w:hAnsi="Arial" w:cs="Arial"/>
          <w:sz w:val="22"/>
          <w:szCs w:val="22"/>
        </w:rPr>
        <w:lastRenderedPageBreak/>
        <w:t>secondly, the consolidation phase, thirdly, the recovery phase and fourthly, the restoration of normality (LESLP, p8 2007).</w:t>
      </w:r>
    </w:p>
    <w:p w14:paraId="404805AD" w14:textId="77777777" w:rsidR="00787BB8" w:rsidRDefault="00787BB8" w:rsidP="005320ED">
      <w:pPr>
        <w:rPr>
          <w:rFonts w:ascii="Arial" w:hAnsi="Arial" w:cs="Arial"/>
          <w:sz w:val="22"/>
          <w:szCs w:val="22"/>
        </w:rPr>
      </w:pPr>
    </w:p>
    <w:p w14:paraId="7FE660BE" w14:textId="092D1BEC" w:rsidR="00654906" w:rsidRPr="00654906" w:rsidRDefault="00787BB8" w:rsidP="00654906">
      <w:pPr>
        <w:rPr>
          <w:rFonts w:ascii="Arial" w:hAnsi="Arial" w:cs="Arial"/>
          <w:sz w:val="22"/>
          <w:szCs w:val="22"/>
        </w:rPr>
      </w:pPr>
      <w:r>
        <w:rPr>
          <w:rFonts w:ascii="Arial" w:hAnsi="Arial" w:cs="Arial"/>
          <w:sz w:val="22"/>
          <w:szCs w:val="22"/>
        </w:rPr>
        <w:t xml:space="preserve">Both incidents, response police officers are likely to be the first to arrive or initially deal at either. This places a lot of pressure onto officers to firstly be able to identify a critical incident or a major incident so that the relevant actions can be taken, and also both critical and major incidents can also be considered to be traumatic and stressful events. </w:t>
      </w:r>
      <w:r w:rsidR="00107035">
        <w:rPr>
          <w:rFonts w:ascii="Arial" w:hAnsi="Arial" w:cs="Arial"/>
          <w:sz w:val="22"/>
          <w:szCs w:val="22"/>
        </w:rPr>
        <w:t xml:space="preserve">This is crucial for police officers as the aftermath of these incidents and the follow up for dealing with the stress and mental well being of the officers should be managed by the force they serve for and supporting agencies. It is said by </w:t>
      </w:r>
      <w:r w:rsidR="00D728EC">
        <w:rPr>
          <w:rFonts w:ascii="Arial" w:hAnsi="Arial" w:cs="Arial"/>
          <w:sz w:val="22"/>
          <w:szCs w:val="22"/>
        </w:rPr>
        <w:t xml:space="preserve">Arble et al that </w:t>
      </w:r>
      <w:r w:rsidR="0022306A">
        <w:rPr>
          <w:rFonts w:ascii="Arial" w:hAnsi="Arial" w:cs="Arial"/>
          <w:sz w:val="22"/>
          <w:szCs w:val="22"/>
        </w:rPr>
        <w:t>‘</w:t>
      </w:r>
      <w:r w:rsidR="00D728EC">
        <w:rPr>
          <w:rFonts w:ascii="Arial" w:hAnsi="Arial" w:cs="Arial"/>
          <w:sz w:val="22"/>
          <w:szCs w:val="22"/>
        </w:rPr>
        <w:t>t</w:t>
      </w:r>
      <w:r w:rsidR="00107035" w:rsidRPr="00107035">
        <w:rPr>
          <w:rFonts w:ascii="Arial" w:hAnsi="Arial" w:cs="Arial"/>
          <w:sz w:val="22"/>
          <w:szCs w:val="22"/>
        </w:rPr>
        <w:t>he work of police officers is challenging and dangerous. Police officers are required to operate effectively in the face of physical danger, taxing hours, and institutional burdens.</w:t>
      </w:r>
      <w:r w:rsidR="00D728EC">
        <w:rPr>
          <w:rFonts w:ascii="Arial" w:hAnsi="Arial" w:cs="Arial"/>
          <w:sz w:val="22"/>
          <w:szCs w:val="22"/>
        </w:rPr>
        <w:t xml:space="preserve"> </w:t>
      </w:r>
      <w:r w:rsidR="00107035" w:rsidRPr="00107035">
        <w:rPr>
          <w:rFonts w:ascii="Arial" w:hAnsi="Arial" w:cs="Arial"/>
          <w:sz w:val="22"/>
          <w:szCs w:val="22"/>
        </w:rPr>
        <w:t>Unfortunately, these negative effects may contribute to the worsening of police officer</w:t>
      </w:r>
      <w:r w:rsidR="00D728EC">
        <w:rPr>
          <w:rFonts w:ascii="Arial" w:hAnsi="Arial" w:cs="Arial"/>
          <w:sz w:val="22"/>
          <w:szCs w:val="22"/>
        </w:rPr>
        <w:t>s</w:t>
      </w:r>
      <w:r w:rsidR="00107035" w:rsidRPr="00107035">
        <w:rPr>
          <w:rFonts w:ascii="Arial" w:hAnsi="Arial" w:cs="Arial"/>
          <w:sz w:val="22"/>
          <w:szCs w:val="22"/>
        </w:rPr>
        <w:t xml:space="preserve"> mental and physical health by disrupting performance during critical incidents</w:t>
      </w:r>
      <w:r w:rsidR="0022306A">
        <w:rPr>
          <w:rFonts w:ascii="Arial" w:hAnsi="Arial" w:cs="Arial"/>
          <w:sz w:val="22"/>
          <w:szCs w:val="22"/>
        </w:rPr>
        <w:t>’</w:t>
      </w:r>
      <w:r w:rsidR="00107035">
        <w:rPr>
          <w:rFonts w:ascii="Arial" w:hAnsi="Arial" w:cs="Arial"/>
          <w:sz w:val="22"/>
          <w:szCs w:val="22"/>
        </w:rPr>
        <w:t xml:space="preserve">. </w:t>
      </w:r>
      <w:r w:rsidR="00107035" w:rsidRPr="00107035">
        <w:rPr>
          <w:rFonts w:ascii="Arial" w:hAnsi="Arial" w:cs="Arial"/>
          <w:sz w:val="22"/>
          <w:szCs w:val="22"/>
        </w:rPr>
        <w:t>In a critical incident, police officers are sometimes asked to make life and death decisions based upon their assessment of a given situation and the people within them</w:t>
      </w:r>
      <w:r w:rsidR="00D728EC">
        <w:rPr>
          <w:rFonts w:ascii="Arial" w:hAnsi="Arial" w:cs="Arial"/>
          <w:sz w:val="22"/>
          <w:szCs w:val="22"/>
        </w:rPr>
        <w:t xml:space="preserve"> (Arble et al, 2019). </w:t>
      </w:r>
      <w:r w:rsidR="00F76AE3">
        <w:rPr>
          <w:rFonts w:ascii="Arial" w:hAnsi="Arial" w:cs="Arial"/>
          <w:sz w:val="22"/>
          <w:szCs w:val="22"/>
        </w:rPr>
        <w:br/>
      </w:r>
      <w:r w:rsidR="00DA717A">
        <w:rPr>
          <w:rFonts w:ascii="Arial" w:hAnsi="Arial" w:cs="Arial"/>
          <w:sz w:val="22"/>
          <w:szCs w:val="22"/>
        </w:rPr>
        <w:t>As stated by Ian Hesketh</w:t>
      </w:r>
      <w:r w:rsidR="00654906">
        <w:rPr>
          <w:rFonts w:ascii="Arial" w:hAnsi="Arial" w:cs="Arial"/>
          <w:sz w:val="22"/>
          <w:szCs w:val="22"/>
        </w:rPr>
        <w:t>, t</w:t>
      </w:r>
      <w:r w:rsidR="00654906" w:rsidRPr="00654906">
        <w:rPr>
          <w:rFonts w:ascii="Arial" w:hAnsi="Arial" w:cs="Arial"/>
          <w:sz w:val="22"/>
          <w:szCs w:val="22"/>
        </w:rPr>
        <w:t>he police service is beginning to respond to</w:t>
      </w:r>
    </w:p>
    <w:p w14:paraId="7977A8D0" w14:textId="101CACA9" w:rsidR="00F76AE3" w:rsidRDefault="00654906" w:rsidP="00654906">
      <w:pPr>
        <w:rPr>
          <w:rFonts w:ascii="Arial" w:hAnsi="Arial" w:cs="Arial"/>
          <w:sz w:val="22"/>
          <w:szCs w:val="22"/>
        </w:rPr>
      </w:pPr>
      <w:r w:rsidRPr="00654906">
        <w:rPr>
          <w:rFonts w:ascii="Arial" w:hAnsi="Arial" w:cs="Arial"/>
          <w:sz w:val="22"/>
          <w:szCs w:val="22"/>
        </w:rPr>
        <w:t>increased levels of primary and secondary traumatic exposures experienced by staff and officers</w:t>
      </w:r>
      <w:r>
        <w:rPr>
          <w:rFonts w:ascii="Arial" w:hAnsi="Arial" w:cs="Arial"/>
          <w:sz w:val="22"/>
          <w:szCs w:val="22"/>
        </w:rPr>
        <w:t xml:space="preserve">. </w:t>
      </w:r>
      <w:r w:rsidRPr="00654906">
        <w:rPr>
          <w:rFonts w:ascii="Arial" w:hAnsi="Arial" w:cs="Arial"/>
          <w:sz w:val="22"/>
          <w:szCs w:val="22"/>
        </w:rPr>
        <w:t>The service is also</w:t>
      </w:r>
      <w:r>
        <w:rPr>
          <w:rFonts w:ascii="Arial" w:hAnsi="Arial" w:cs="Arial"/>
          <w:sz w:val="22"/>
          <w:szCs w:val="22"/>
        </w:rPr>
        <w:t xml:space="preserve"> </w:t>
      </w:r>
      <w:r w:rsidRPr="00654906">
        <w:rPr>
          <w:rFonts w:ascii="Arial" w:hAnsi="Arial" w:cs="Arial"/>
          <w:sz w:val="22"/>
          <w:szCs w:val="22"/>
        </w:rPr>
        <w:t>aware of the importance of recognizing the important roles that senior management, supervisors, colleagues, and occupational health practitioners play</w:t>
      </w:r>
      <w:r>
        <w:rPr>
          <w:rFonts w:ascii="Arial" w:hAnsi="Arial" w:cs="Arial"/>
          <w:sz w:val="22"/>
          <w:szCs w:val="22"/>
        </w:rPr>
        <w:t xml:space="preserve"> </w:t>
      </w:r>
      <w:r w:rsidRPr="00654906">
        <w:rPr>
          <w:rFonts w:ascii="Arial" w:hAnsi="Arial" w:cs="Arial"/>
          <w:sz w:val="22"/>
          <w:szCs w:val="22"/>
        </w:rPr>
        <w:t>in addressing primary and secondary trauma in</w:t>
      </w:r>
      <w:r>
        <w:rPr>
          <w:rFonts w:ascii="Arial" w:hAnsi="Arial" w:cs="Arial"/>
          <w:sz w:val="22"/>
          <w:szCs w:val="22"/>
        </w:rPr>
        <w:t xml:space="preserve"> </w:t>
      </w:r>
      <w:r w:rsidRPr="00654906">
        <w:rPr>
          <w:rFonts w:ascii="Arial" w:hAnsi="Arial" w:cs="Arial"/>
          <w:sz w:val="22"/>
          <w:szCs w:val="22"/>
        </w:rPr>
        <w:t>policing</w:t>
      </w:r>
      <w:r>
        <w:rPr>
          <w:rFonts w:ascii="Arial" w:hAnsi="Arial" w:cs="Arial"/>
          <w:sz w:val="22"/>
          <w:szCs w:val="22"/>
        </w:rPr>
        <w:t xml:space="preserve"> (Hesketh et al, 2018). </w:t>
      </w:r>
    </w:p>
    <w:p w14:paraId="37188FC2" w14:textId="61592973" w:rsidR="00654906" w:rsidRDefault="00654906" w:rsidP="00654906">
      <w:pPr>
        <w:rPr>
          <w:rFonts w:ascii="Arial" w:hAnsi="Arial" w:cs="Arial"/>
          <w:sz w:val="22"/>
          <w:szCs w:val="22"/>
        </w:rPr>
      </w:pPr>
      <w:r>
        <w:rPr>
          <w:rFonts w:ascii="Arial" w:hAnsi="Arial" w:cs="Arial"/>
          <w:sz w:val="22"/>
          <w:szCs w:val="22"/>
        </w:rPr>
        <w:t xml:space="preserve">Police forces across the United Kingdom use a strategy after traumatic incidents called TRIM which stands for Trauma Risk Management. This was originally adapted in the Royal Marines and military settings, however, is now widely used for police officers (PFOA, 2017). The mental health service Mind defines for officers </w:t>
      </w:r>
      <w:r w:rsidR="0022306A">
        <w:rPr>
          <w:rFonts w:ascii="Arial" w:hAnsi="Arial" w:cs="Arial"/>
          <w:sz w:val="22"/>
          <w:szCs w:val="22"/>
        </w:rPr>
        <w:t>‘</w:t>
      </w:r>
      <w:r w:rsidRPr="00DA717A">
        <w:rPr>
          <w:rFonts w:ascii="Arial" w:hAnsi="Arial" w:cs="Arial"/>
          <w:sz w:val="22"/>
          <w:szCs w:val="22"/>
        </w:rPr>
        <w:t>Trauma risk management, or TRiM, is designed to help anyone who has experienced a traumatic experience at work. It can help teams within the police force to discuss what they went through, understand the impact it can have on them, and explore the next steps in a safe, non-judgemental conversation.</w:t>
      </w:r>
      <w:r w:rsidR="0022306A">
        <w:rPr>
          <w:rFonts w:ascii="Arial" w:hAnsi="Arial" w:cs="Arial"/>
          <w:sz w:val="22"/>
          <w:szCs w:val="22"/>
        </w:rPr>
        <w:t>’</w:t>
      </w:r>
      <w:r>
        <w:rPr>
          <w:rFonts w:ascii="Arial" w:hAnsi="Arial" w:cs="Arial"/>
          <w:sz w:val="22"/>
          <w:szCs w:val="22"/>
        </w:rPr>
        <w:t xml:space="preserve"> (Mind, 2021). </w:t>
      </w:r>
    </w:p>
    <w:p w14:paraId="5B591A97" w14:textId="68DAD962" w:rsidR="00654906" w:rsidRDefault="00654906" w:rsidP="0022306A">
      <w:pPr>
        <w:rPr>
          <w:rFonts w:ascii="Arial" w:hAnsi="Arial" w:cs="Arial"/>
          <w:sz w:val="22"/>
          <w:szCs w:val="22"/>
        </w:rPr>
      </w:pPr>
      <w:r>
        <w:rPr>
          <w:rFonts w:ascii="Arial" w:hAnsi="Arial" w:cs="Arial"/>
          <w:sz w:val="22"/>
          <w:szCs w:val="22"/>
        </w:rPr>
        <w:t>Looking at statistics f</w:t>
      </w:r>
      <w:r w:rsidR="0022306A">
        <w:rPr>
          <w:rFonts w:ascii="Arial" w:hAnsi="Arial" w:cs="Arial"/>
          <w:sz w:val="22"/>
          <w:szCs w:val="22"/>
        </w:rPr>
        <w:t xml:space="preserve">or long term sickness within the police forces in the United Kingdom from the Office of National Statistics, which includes long term sickness being </w:t>
      </w:r>
      <w:r w:rsidR="0022306A" w:rsidRPr="0022306A">
        <w:rPr>
          <w:rFonts w:ascii="Arial" w:hAnsi="Arial" w:cs="Arial"/>
          <w:sz w:val="22"/>
          <w:szCs w:val="22"/>
        </w:rPr>
        <w:t>any recognised medical condition, physical or psychological, as reported by the officer or a medical practitioner, which has lasted for more than 28 calendar days</w:t>
      </w:r>
      <w:r w:rsidR="0022306A">
        <w:rPr>
          <w:rFonts w:ascii="Arial" w:hAnsi="Arial" w:cs="Arial"/>
          <w:sz w:val="22"/>
          <w:szCs w:val="22"/>
        </w:rPr>
        <w:t>, a</w:t>
      </w:r>
      <w:r w:rsidR="0022306A" w:rsidRPr="0022306A">
        <w:rPr>
          <w:rFonts w:ascii="Arial" w:hAnsi="Arial" w:cs="Arial"/>
          <w:sz w:val="22"/>
          <w:szCs w:val="22"/>
        </w:rPr>
        <w:t xml:space="preserve">s </w:t>
      </w:r>
      <w:r w:rsidR="0022306A">
        <w:rPr>
          <w:rFonts w:ascii="Arial" w:hAnsi="Arial" w:cs="Arial"/>
          <w:sz w:val="22"/>
          <w:szCs w:val="22"/>
        </w:rPr>
        <w:t>of</w:t>
      </w:r>
      <w:r w:rsidR="0022306A" w:rsidRPr="0022306A">
        <w:rPr>
          <w:rFonts w:ascii="Arial" w:hAnsi="Arial" w:cs="Arial"/>
          <w:sz w:val="22"/>
          <w:szCs w:val="22"/>
        </w:rPr>
        <w:t xml:space="preserve"> 31 March 2017, there were 2,358 full-time equivalent police officers on long-term sick leave in the 43 forces in England and Wales</w:t>
      </w:r>
      <w:r w:rsidR="0022306A">
        <w:rPr>
          <w:rFonts w:ascii="Arial" w:hAnsi="Arial" w:cs="Arial"/>
          <w:sz w:val="22"/>
          <w:szCs w:val="22"/>
        </w:rPr>
        <w:t xml:space="preserve"> (Home Office, 2017). Comparing that data to the most recent statistics </w:t>
      </w:r>
      <w:r w:rsidR="00D12874">
        <w:rPr>
          <w:rFonts w:ascii="Arial" w:hAnsi="Arial" w:cs="Arial"/>
          <w:sz w:val="22"/>
          <w:szCs w:val="22"/>
        </w:rPr>
        <w:t>produced by the Home Office, as of</w:t>
      </w:r>
      <w:r w:rsidR="0022306A">
        <w:rPr>
          <w:rFonts w:ascii="Arial" w:hAnsi="Arial" w:cs="Arial"/>
          <w:sz w:val="22"/>
          <w:szCs w:val="22"/>
        </w:rPr>
        <w:t xml:space="preserve"> </w:t>
      </w:r>
      <w:r w:rsidR="00D12874" w:rsidRPr="00D12874">
        <w:rPr>
          <w:rFonts w:ascii="Arial" w:hAnsi="Arial" w:cs="Arial"/>
          <w:sz w:val="22"/>
          <w:szCs w:val="22"/>
        </w:rPr>
        <w:t>31 March 2022, there were 4,655 officers on long-term absence in the 43 forces in England and Wales</w:t>
      </w:r>
      <w:r w:rsidR="00D12874">
        <w:rPr>
          <w:rFonts w:ascii="Arial" w:hAnsi="Arial" w:cs="Arial"/>
          <w:sz w:val="22"/>
          <w:szCs w:val="22"/>
        </w:rPr>
        <w:t>, (</w:t>
      </w:r>
      <w:r w:rsidR="003A1EF9">
        <w:rPr>
          <w:rFonts w:ascii="Arial" w:hAnsi="Arial" w:cs="Arial"/>
          <w:sz w:val="22"/>
          <w:szCs w:val="22"/>
        </w:rPr>
        <w:t xml:space="preserve">Home Office, 2022). </w:t>
      </w:r>
    </w:p>
    <w:p w14:paraId="2E82E3F1" w14:textId="6E6F4DDE" w:rsidR="003A1EF9" w:rsidRDefault="003A1EF9" w:rsidP="0022306A">
      <w:pPr>
        <w:rPr>
          <w:rFonts w:ascii="Arial" w:hAnsi="Arial" w:cs="Arial"/>
          <w:sz w:val="22"/>
          <w:szCs w:val="22"/>
        </w:rPr>
      </w:pPr>
    </w:p>
    <w:p w14:paraId="3F0B3C21" w14:textId="2ED269AE" w:rsidR="003A1EF9" w:rsidRDefault="003A1EF9" w:rsidP="0022306A">
      <w:pPr>
        <w:rPr>
          <w:rFonts w:ascii="Arial" w:hAnsi="Arial" w:cs="Arial"/>
          <w:sz w:val="22"/>
          <w:szCs w:val="22"/>
        </w:rPr>
      </w:pPr>
      <w:r>
        <w:rPr>
          <w:rFonts w:ascii="Arial" w:hAnsi="Arial" w:cs="Arial"/>
          <w:sz w:val="22"/>
          <w:szCs w:val="22"/>
        </w:rPr>
        <w:t xml:space="preserve">In conclusion, critical and major incidents are serious incidents </w:t>
      </w:r>
      <w:r w:rsidR="00D21AF1">
        <w:rPr>
          <w:rFonts w:ascii="Arial" w:hAnsi="Arial" w:cs="Arial"/>
          <w:sz w:val="22"/>
          <w:szCs w:val="22"/>
        </w:rPr>
        <w:t xml:space="preserve">which for most part, response police officers are more than likely to be at the initial reporting or developing of either. This in turn, along with everything else that a response officer has to deal with, means that incidents that are considered critical or major can have a detrimental effect on officers, and it is important that the force they serve in recognises this and provides the best support available. This in turn, should mitigate the number of officers that report sick for mental health problems however based on the statistics, this needs to be worked on. </w:t>
      </w:r>
    </w:p>
    <w:p w14:paraId="592D1353" w14:textId="314B2C32" w:rsidR="00D21AF1" w:rsidRDefault="00D21AF1" w:rsidP="0022306A">
      <w:pPr>
        <w:rPr>
          <w:rFonts w:ascii="Arial" w:hAnsi="Arial" w:cs="Arial"/>
          <w:sz w:val="22"/>
          <w:szCs w:val="22"/>
        </w:rPr>
      </w:pPr>
    </w:p>
    <w:p w14:paraId="2BEB5A39" w14:textId="02AF595B" w:rsidR="00D21AF1" w:rsidRDefault="00D21AF1" w:rsidP="0022306A">
      <w:pPr>
        <w:rPr>
          <w:rFonts w:ascii="Arial" w:hAnsi="Arial" w:cs="Arial"/>
          <w:i/>
          <w:iCs/>
          <w:sz w:val="22"/>
          <w:szCs w:val="22"/>
        </w:rPr>
      </w:pPr>
      <w:r w:rsidRPr="00D21AF1">
        <w:rPr>
          <w:rFonts w:ascii="Arial" w:hAnsi="Arial" w:cs="Arial"/>
          <w:i/>
          <w:iCs/>
          <w:sz w:val="22"/>
          <w:szCs w:val="22"/>
        </w:rPr>
        <w:t>1099 words</w:t>
      </w:r>
    </w:p>
    <w:p w14:paraId="1C03A6D1" w14:textId="53236097" w:rsidR="00D21AF1" w:rsidRDefault="00D21AF1" w:rsidP="0022306A">
      <w:pPr>
        <w:rPr>
          <w:rFonts w:ascii="Arial" w:hAnsi="Arial" w:cs="Arial"/>
          <w:i/>
          <w:iCs/>
          <w:sz w:val="22"/>
          <w:szCs w:val="22"/>
        </w:rPr>
      </w:pPr>
    </w:p>
    <w:p w14:paraId="0F3D6856" w14:textId="41D858CC" w:rsidR="00D21AF1" w:rsidRDefault="00D21AF1" w:rsidP="0022306A">
      <w:pPr>
        <w:rPr>
          <w:rFonts w:ascii="Arial" w:hAnsi="Arial" w:cs="Arial"/>
          <w:i/>
          <w:iCs/>
          <w:sz w:val="22"/>
          <w:szCs w:val="22"/>
        </w:rPr>
      </w:pPr>
    </w:p>
    <w:p w14:paraId="23D374BC" w14:textId="023215FC" w:rsidR="00D21AF1" w:rsidRDefault="00D21AF1" w:rsidP="0022306A">
      <w:pPr>
        <w:rPr>
          <w:rFonts w:ascii="Arial" w:hAnsi="Arial" w:cs="Arial"/>
          <w:i/>
          <w:iCs/>
          <w:sz w:val="22"/>
          <w:szCs w:val="22"/>
        </w:rPr>
      </w:pPr>
    </w:p>
    <w:p w14:paraId="5682152D" w14:textId="577334C4" w:rsidR="00D21AF1" w:rsidRDefault="00D21AF1" w:rsidP="0022306A">
      <w:pPr>
        <w:rPr>
          <w:rFonts w:ascii="Arial" w:hAnsi="Arial" w:cs="Arial"/>
          <w:i/>
          <w:iCs/>
          <w:sz w:val="22"/>
          <w:szCs w:val="22"/>
        </w:rPr>
      </w:pPr>
    </w:p>
    <w:p w14:paraId="79BC36BD" w14:textId="448CF44F" w:rsidR="00D21AF1" w:rsidRDefault="00D21AF1" w:rsidP="0022306A">
      <w:pPr>
        <w:rPr>
          <w:rFonts w:ascii="Arial" w:hAnsi="Arial" w:cs="Arial"/>
          <w:sz w:val="22"/>
          <w:szCs w:val="22"/>
        </w:rPr>
      </w:pPr>
    </w:p>
    <w:p w14:paraId="6E855A15" w14:textId="0CDDBA3D" w:rsidR="00D21AF1" w:rsidRDefault="00D21AF1" w:rsidP="0022306A">
      <w:pPr>
        <w:rPr>
          <w:rFonts w:ascii="Arial" w:hAnsi="Arial" w:cs="Arial"/>
          <w:sz w:val="22"/>
          <w:szCs w:val="22"/>
        </w:rPr>
      </w:pPr>
    </w:p>
    <w:p w14:paraId="141FCA00" w14:textId="546B83F2" w:rsidR="00D21AF1" w:rsidRDefault="00D21AF1" w:rsidP="0022306A">
      <w:pPr>
        <w:rPr>
          <w:rFonts w:ascii="Arial" w:hAnsi="Arial" w:cs="Arial"/>
          <w:sz w:val="22"/>
          <w:szCs w:val="22"/>
        </w:rPr>
      </w:pPr>
    </w:p>
    <w:p w14:paraId="3BB1B44E" w14:textId="77777777" w:rsidR="00C571D1" w:rsidRDefault="00C571D1" w:rsidP="0022306A">
      <w:pPr>
        <w:rPr>
          <w:rFonts w:ascii="Arial" w:hAnsi="Arial" w:cs="Arial"/>
          <w:sz w:val="22"/>
          <w:szCs w:val="22"/>
        </w:rPr>
      </w:pPr>
    </w:p>
    <w:p w14:paraId="55A40BD9" w14:textId="77777777" w:rsidR="00D21AF1" w:rsidRPr="00D21AF1" w:rsidRDefault="00D21AF1" w:rsidP="00D21AF1">
      <w:pPr>
        <w:ind w:left="567" w:right="531"/>
        <w:jc w:val="both"/>
        <w:rPr>
          <w:rFonts w:ascii="Arial" w:hAnsi="Arial" w:cs="Arial"/>
          <w:b/>
          <w:bCs/>
          <w:sz w:val="22"/>
          <w:szCs w:val="22"/>
          <w:u w:val="single"/>
        </w:rPr>
      </w:pPr>
      <w:r w:rsidRPr="00D21AF1">
        <w:rPr>
          <w:rFonts w:ascii="Arial" w:hAnsi="Arial" w:cs="Arial"/>
          <w:b/>
          <w:bCs/>
          <w:sz w:val="22"/>
          <w:szCs w:val="22"/>
          <w:u w:val="single"/>
        </w:rPr>
        <w:lastRenderedPageBreak/>
        <w:t>Essay three:</w:t>
      </w:r>
    </w:p>
    <w:p w14:paraId="11677726" w14:textId="77777777" w:rsidR="00D21AF1" w:rsidRPr="00D21AF1" w:rsidRDefault="00D21AF1" w:rsidP="00D21AF1">
      <w:pPr>
        <w:spacing w:line="257" w:lineRule="auto"/>
        <w:ind w:left="567" w:right="531"/>
        <w:rPr>
          <w:rFonts w:ascii="Arial" w:hAnsi="Arial" w:cs="Arial"/>
          <w:sz w:val="22"/>
          <w:szCs w:val="22"/>
          <w:u w:val="single"/>
        </w:rPr>
      </w:pPr>
      <w:r w:rsidRPr="00D21AF1">
        <w:rPr>
          <w:rFonts w:ascii="Arial" w:eastAsia="Calibri" w:hAnsi="Arial" w:cs="Arial"/>
          <w:sz w:val="22"/>
          <w:szCs w:val="22"/>
          <w:u w:val="single"/>
        </w:rPr>
        <w:t>Critically evaluate police methods of gathering information and intelligence. You may choose a specific method of intelligence-gathering for this answer.</w:t>
      </w:r>
    </w:p>
    <w:p w14:paraId="6977D75E" w14:textId="147EF4E7" w:rsidR="00D21AF1" w:rsidRDefault="00D21AF1" w:rsidP="0022306A">
      <w:pPr>
        <w:rPr>
          <w:rFonts w:ascii="Arial" w:hAnsi="Arial" w:cs="Arial"/>
          <w:sz w:val="22"/>
          <w:szCs w:val="22"/>
        </w:rPr>
      </w:pPr>
    </w:p>
    <w:p w14:paraId="65860594" w14:textId="0E877C24" w:rsidR="00D21AF1" w:rsidRDefault="00D21AF1" w:rsidP="0022306A">
      <w:pPr>
        <w:rPr>
          <w:rFonts w:ascii="Arial" w:hAnsi="Arial" w:cs="Arial"/>
          <w:sz w:val="22"/>
          <w:szCs w:val="22"/>
        </w:rPr>
      </w:pPr>
    </w:p>
    <w:p w14:paraId="7EB22646" w14:textId="5B7B0F19" w:rsidR="002B4CE4" w:rsidRDefault="002B4CE4" w:rsidP="0022306A">
      <w:pPr>
        <w:rPr>
          <w:rFonts w:ascii="Arial" w:hAnsi="Arial" w:cs="Arial"/>
          <w:sz w:val="22"/>
          <w:szCs w:val="22"/>
        </w:rPr>
      </w:pPr>
    </w:p>
    <w:p w14:paraId="4FBD037B" w14:textId="3A721E9F" w:rsidR="00972C7C" w:rsidRDefault="00972C7C" w:rsidP="00972C7C">
      <w:pPr>
        <w:rPr>
          <w:rFonts w:ascii="Arial" w:hAnsi="Arial" w:cs="Arial"/>
          <w:sz w:val="22"/>
          <w:szCs w:val="22"/>
        </w:rPr>
      </w:pPr>
      <w:r>
        <w:rPr>
          <w:rFonts w:ascii="Arial" w:hAnsi="Arial" w:cs="Arial"/>
          <w:sz w:val="22"/>
          <w:szCs w:val="22"/>
        </w:rPr>
        <w:t xml:space="preserve">Due to the work that police do, </w:t>
      </w:r>
      <w:r w:rsidR="00B92A90">
        <w:rPr>
          <w:rFonts w:ascii="Arial" w:hAnsi="Arial" w:cs="Arial"/>
          <w:sz w:val="22"/>
          <w:szCs w:val="22"/>
        </w:rPr>
        <w:t>i</w:t>
      </w:r>
      <w:r>
        <w:rPr>
          <w:rFonts w:ascii="Arial" w:hAnsi="Arial" w:cs="Arial"/>
          <w:sz w:val="22"/>
          <w:szCs w:val="22"/>
        </w:rPr>
        <w:t xml:space="preserve">ntelligence is very important in any incident that police deal with. North Yorkshire Police describe intelligence </w:t>
      </w:r>
      <w:r w:rsidR="00F66E4B">
        <w:rPr>
          <w:rFonts w:ascii="Arial" w:hAnsi="Arial" w:cs="Arial"/>
          <w:sz w:val="22"/>
          <w:szCs w:val="22"/>
        </w:rPr>
        <w:t xml:space="preserve">as </w:t>
      </w:r>
      <w:r>
        <w:rPr>
          <w:rFonts w:ascii="Arial" w:hAnsi="Arial" w:cs="Arial"/>
          <w:sz w:val="22"/>
          <w:szCs w:val="22"/>
        </w:rPr>
        <w:t>‘</w:t>
      </w:r>
      <w:r w:rsidR="002D4074" w:rsidRPr="002D4074">
        <w:rPr>
          <w:rFonts w:ascii="Arial" w:hAnsi="Arial" w:cs="Arial"/>
          <w:sz w:val="22"/>
          <w:szCs w:val="22"/>
        </w:rPr>
        <w:t>the lifeblood of policing and forces across the country rely on it as a strategic crime prevention tool, to detect crime, shape operational activity, identify suspects, safeguard vulnerable people, find missing people, and to bring criminals to justice</w:t>
      </w:r>
      <w:r w:rsidR="002D4074">
        <w:rPr>
          <w:rFonts w:ascii="Arial" w:hAnsi="Arial" w:cs="Arial"/>
          <w:sz w:val="22"/>
          <w:szCs w:val="22"/>
        </w:rPr>
        <w:t xml:space="preserve">’ (North Yorkshire Police, 2022). </w:t>
      </w:r>
    </w:p>
    <w:p w14:paraId="1C639166" w14:textId="6EFE9194" w:rsidR="002D4074" w:rsidRDefault="00F66E4B" w:rsidP="00972C7C">
      <w:pPr>
        <w:rPr>
          <w:rFonts w:ascii="Arial" w:hAnsi="Arial" w:cs="Arial"/>
          <w:sz w:val="22"/>
          <w:szCs w:val="22"/>
        </w:rPr>
      </w:pPr>
      <w:r>
        <w:rPr>
          <w:rFonts w:ascii="Arial" w:hAnsi="Arial" w:cs="Arial"/>
          <w:sz w:val="22"/>
          <w:szCs w:val="22"/>
        </w:rPr>
        <w:t>T</w:t>
      </w:r>
      <w:r w:rsidR="00972C7C">
        <w:rPr>
          <w:rFonts w:ascii="Arial" w:hAnsi="Arial" w:cs="Arial"/>
          <w:sz w:val="22"/>
          <w:szCs w:val="22"/>
        </w:rPr>
        <w:t>he College of Policing state ‘</w:t>
      </w:r>
      <w:r w:rsidR="00972C7C" w:rsidRPr="00972C7C">
        <w:rPr>
          <w:rFonts w:ascii="Arial" w:hAnsi="Arial" w:cs="Arial"/>
          <w:sz w:val="22"/>
          <w:szCs w:val="22"/>
        </w:rPr>
        <w:t>The police collect information that is required for policing purposes. Policing purposes may include one, or a combination, of the following</w:t>
      </w:r>
      <w:r w:rsidR="00972C7C">
        <w:rPr>
          <w:rFonts w:ascii="Arial" w:hAnsi="Arial" w:cs="Arial"/>
          <w:sz w:val="22"/>
          <w:szCs w:val="22"/>
        </w:rPr>
        <w:t xml:space="preserve">, </w:t>
      </w:r>
      <w:r w:rsidR="00972C7C" w:rsidRPr="00972C7C">
        <w:rPr>
          <w:rFonts w:ascii="Arial" w:hAnsi="Arial" w:cs="Arial"/>
          <w:sz w:val="22"/>
          <w:szCs w:val="22"/>
        </w:rPr>
        <w:t>protecting life and property</w:t>
      </w:r>
      <w:r w:rsidR="00972C7C">
        <w:rPr>
          <w:rFonts w:ascii="Arial" w:hAnsi="Arial" w:cs="Arial"/>
          <w:sz w:val="22"/>
          <w:szCs w:val="22"/>
        </w:rPr>
        <w:t xml:space="preserve">, </w:t>
      </w:r>
      <w:r w:rsidR="00972C7C" w:rsidRPr="00972C7C">
        <w:rPr>
          <w:rFonts w:ascii="Arial" w:hAnsi="Arial" w:cs="Arial"/>
          <w:sz w:val="22"/>
          <w:szCs w:val="22"/>
        </w:rPr>
        <w:t>preserving order</w:t>
      </w:r>
      <w:r w:rsidR="00972C7C">
        <w:rPr>
          <w:rFonts w:ascii="Arial" w:hAnsi="Arial" w:cs="Arial"/>
          <w:sz w:val="22"/>
          <w:szCs w:val="22"/>
        </w:rPr>
        <w:t xml:space="preserve">, </w:t>
      </w:r>
      <w:r w:rsidR="00972C7C" w:rsidRPr="00972C7C">
        <w:rPr>
          <w:rFonts w:ascii="Arial" w:hAnsi="Arial" w:cs="Arial"/>
          <w:sz w:val="22"/>
          <w:szCs w:val="22"/>
        </w:rPr>
        <w:t>preventing the commission of offences</w:t>
      </w:r>
      <w:r w:rsidR="00972C7C">
        <w:rPr>
          <w:rFonts w:ascii="Arial" w:hAnsi="Arial" w:cs="Arial"/>
          <w:sz w:val="22"/>
          <w:szCs w:val="22"/>
        </w:rPr>
        <w:t xml:space="preserve">, </w:t>
      </w:r>
      <w:r w:rsidR="00972C7C" w:rsidRPr="00972C7C">
        <w:rPr>
          <w:rFonts w:ascii="Arial" w:hAnsi="Arial" w:cs="Arial"/>
          <w:sz w:val="22"/>
          <w:szCs w:val="22"/>
        </w:rPr>
        <w:t>bringing offenders to justice</w:t>
      </w:r>
      <w:r w:rsidR="00972C7C">
        <w:rPr>
          <w:rFonts w:ascii="Arial" w:hAnsi="Arial" w:cs="Arial"/>
          <w:sz w:val="22"/>
          <w:szCs w:val="22"/>
        </w:rPr>
        <w:t xml:space="preserve"> and also </w:t>
      </w:r>
      <w:r w:rsidR="00972C7C" w:rsidRPr="00972C7C">
        <w:rPr>
          <w:rFonts w:ascii="Arial" w:hAnsi="Arial" w:cs="Arial"/>
          <w:sz w:val="22"/>
          <w:szCs w:val="22"/>
        </w:rPr>
        <w:t>any duty or responsibility arising from common or statute law</w:t>
      </w:r>
      <w:r w:rsidR="00972C7C">
        <w:rPr>
          <w:rFonts w:ascii="Arial" w:hAnsi="Arial" w:cs="Arial"/>
          <w:sz w:val="22"/>
          <w:szCs w:val="22"/>
        </w:rPr>
        <w:t xml:space="preserve"> (College of Policing, 2015). </w:t>
      </w:r>
    </w:p>
    <w:p w14:paraId="23F8D4C2" w14:textId="4540E0BD" w:rsidR="00972C7C" w:rsidRDefault="002D4074" w:rsidP="00972C7C">
      <w:pPr>
        <w:rPr>
          <w:rFonts w:ascii="Arial" w:hAnsi="Arial" w:cs="Arial"/>
          <w:sz w:val="22"/>
          <w:szCs w:val="22"/>
        </w:rPr>
      </w:pPr>
      <w:r>
        <w:rPr>
          <w:rFonts w:ascii="Arial" w:hAnsi="Arial" w:cs="Arial"/>
          <w:sz w:val="22"/>
          <w:szCs w:val="22"/>
        </w:rPr>
        <w:t xml:space="preserve">There are </w:t>
      </w:r>
      <w:r w:rsidR="002E6BA2">
        <w:rPr>
          <w:rFonts w:ascii="Arial" w:hAnsi="Arial" w:cs="Arial"/>
          <w:sz w:val="22"/>
          <w:szCs w:val="22"/>
        </w:rPr>
        <w:t xml:space="preserve">different stages within intelligence in the police which includes the gathering or collection of the intelligence, the development or analysis of the intelligence and then finally the dissemination of the intelligence once it is ready to the relevant areas or agencies. </w:t>
      </w:r>
    </w:p>
    <w:p w14:paraId="76E9B77D" w14:textId="4D23A0C3" w:rsidR="00D21AF1" w:rsidRDefault="002E6BA2" w:rsidP="0022306A">
      <w:pPr>
        <w:rPr>
          <w:rFonts w:ascii="Arial" w:hAnsi="Arial" w:cs="Arial"/>
          <w:sz w:val="22"/>
          <w:szCs w:val="22"/>
        </w:rPr>
      </w:pPr>
      <w:r>
        <w:rPr>
          <w:rFonts w:ascii="Arial" w:hAnsi="Arial" w:cs="Arial"/>
          <w:sz w:val="22"/>
          <w:szCs w:val="22"/>
        </w:rPr>
        <w:t xml:space="preserve">Concentrating on the gathering of intelligence, there are three ways in which police </w:t>
      </w:r>
      <w:r w:rsidR="000C1EA4">
        <w:rPr>
          <w:rFonts w:ascii="Arial" w:hAnsi="Arial" w:cs="Arial"/>
          <w:sz w:val="22"/>
          <w:szCs w:val="22"/>
        </w:rPr>
        <w:t>collect and gather intelligence</w:t>
      </w:r>
      <w:r>
        <w:rPr>
          <w:rFonts w:ascii="Arial" w:hAnsi="Arial" w:cs="Arial"/>
          <w:sz w:val="22"/>
          <w:szCs w:val="22"/>
        </w:rPr>
        <w:t xml:space="preserve">, which include </w:t>
      </w:r>
      <w:r w:rsidR="000C1EA4">
        <w:rPr>
          <w:rFonts w:ascii="Arial" w:hAnsi="Arial" w:cs="Arial"/>
          <w:sz w:val="22"/>
          <w:szCs w:val="22"/>
        </w:rPr>
        <w:t xml:space="preserve">routine collection, tasked </w:t>
      </w:r>
      <w:r w:rsidR="00FE7551">
        <w:rPr>
          <w:rFonts w:ascii="Arial" w:hAnsi="Arial" w:cs="Arial"/>
          <w:sz w:val="22"/>
          <w:szCs w:val="22"/>
        </w:rPr>
        <w:t>information,</w:t>
      </w:r>
      <w:r w:rsidR="000C1EA4">
        <w:rPr>
          <w:rFonts w:ascii="Arial" w:hAnsi="Arial" w:cs="Arial"/>
          <w:sz w:val="22"/>
          <w:szCs w:val="22"/>
        </w:rPr>
        <w:t xml:space="preserve"> and volunteered information (College of Policing, 2013). Routine collection is where information is collected and established through normal routine policing activities such as arrests, stop and searches and responding to incidents. Tasked information is the information that is held </w:t>
      </w:r>
      <w:r w:rsidR="00715633">
        <w:rPr>
          <w:rFonts w:ascii="Arial" w:hAnsi="Arial" w:cs="Arial"/>
          <w:sz w:val="22"/>
          <w:szCs w:val="22"/>
        </w:rPr>
        <w:t xml:space="preserve">and concerned with suspects/victims and is classed as the prioritised collection of information, this can be gathered from sources such as CCTV, ANPR systems, external and internal </w:t>
      </w:r>
      <w:r w:rsidR="00703674">
        <w:rPr>
          <w:rFonts w:ascii="Arial" w:hAnsi="Arial" w:cs="Arial"/>
          <w:sz w:val="22"/>
          <w:szCs w:val="22"/>
        </w:rPr>
        <w:t>databases,</w:t>
      </w:r>
      <w:r w:rsidR="00715633">
        <w:rPr>
          <w:rFonts w:ascii="Arial" w:hAnsi="Arial" w:cs="Arial"/>
          <w:sz w:val="22"/>
          <w:szCs w:val="22"/>
        </w:rPr>
        <w:t xml:space="preserve"> and covert human intelligence sources (CHIS). The last means of collecting information being volunteered information, this type is usually collected from the general public, and partner agencies. It is any information that has been gathered and obtained which includes any public contact, neighbourhood watch or voluntary organisations, anonymous reports from </w:t>
      </w:r>
      <w:r w:rsidR="00A627B4">
        <w:rPr>
          <w:rFonts w:ascii="Arial" w:hAnsi="Arial" w:cs="Arial"/>
          <w:sz w:val="22"/>
          <w:szCs w:val="22"/>
        </w:rPr>
        <w:t>C</w:t>
      </w:r>
      <w:r w:rsidR="00715633">
        <w:rPr>
          <w:rFonts w:ascii="Arial" w:hAnsi="Arial" w:cs="Arial"/>
          <w:sz w:val="22"/>
          <w:szCs w:val="22"/>
        </w:rPr>
        <w:t xml:space="preserve">rimestoppers and other organisations, and finally information that is shared from partner agencies such as social services or domestic victim charities (College of Policing, 2013). </w:t>
      </w:r>
    </w:p>
    <w:p w14:paraId="52EEBB2D" w14:textId="4BDAC62F" w:rsidR="00A627B4" w:rsidRDefault="00A627B4" w:rsidP="0022306A">
      <w:pPr>
        <w:rPr>
          <w:rFonts w:ascii="Arial" w:hAnsi="Arial" w:cs="Arial"/>
          <w:sz w:val="22"/>
          <w:szCs w:val="22"/>
        </w:rPr>
      </w:pPr>
    </w:p>
    <w:p w14:paraId="545E96F7" w14:textId="68C2F35A" w:rsidR="00715633" w:rsidRDefault="00D85760" w:rsidP="0022306A">
      <w:pPr>
        <w:rPr>
          <w:rFonts w:ascii="Arial" w:hAnsi="Arial" w:cs="Arial"/>
          <w:sz w:val="22"/>
          <w:szCs w:val="22"/>
        </w:rPr>
      </w:pPr>
      <w:r>
        <w:rPr>
          <w:rFonts w:ascii="Arial" w:hAnsi="Arial" w:cs="Arial"/>
          <w:sz w:val="22"/>
          <w:szCs w:val="22"/>
        </w:rPr>
        <w:t xml:space="preserve">Focussing on the average response police officer, they attend lots of different incidents on a day-to-day basis and speak with lots of different members of the public that all offer up varied intelligence and information. When police officers submit intelligence, they use a specific report to do so called a 3 x 5 x 2 form. The number refers to qualities of the intelligence, measured in three categories which is ‘Reliability of the source’, ‘Reliability of the intelligence’ and ‘Distribution’ (Bradshaw, 2021). </w:t>
      </w:r>
      <w:r w:rsidR="00CB323E">
        <w:rPr>
          <w:rFonts w:ascii="Arial" w:hAnsi="Arial" w:cs="Arial"/>
          <w:sz w:val="22"/>
          <w:szCs w:val="22"/>
        </w:rPr>
        <w:t xml:space="preserve">The intelligence submitted is then reviewed and sanitized if required by the force intelligence bureau and disseminated to the relevant areas in the force that require the intelligence. </w:t>
      </w:r>
      <w:r w:rsidR="00434714">
        <w:rPr>
          <w:rFonts w:ascii="Arial" w:hAnsi="Arial" w:cs="Arial"/>
          <w:sz w:val="22"/>
          <w:szCs w:val="22"/>
        </w:rPr>
        <w:t xml:space="preserve">The thought of officers submitting the intelligence would suggest that the intelligence is already credible and based on facts which have been relayed to the officer through whatever means, however this is not always the case and intelligence still gets reviewed and its credibility tested as persons could give false information based on a dislike for someone or something within their neighbourhood. The credibility of this method however is difficult to test and there are not a lot of academic sources that have tested or reviewed this method.  </w:t>
      </w:r>
    </w:p>
    <w:p w14:paraId="5660A754" w14:textId="5500180F" w:rsidR="00434714" w:rsidRDefault="00434714" w:rsidP="0022306A">
      <w:pPr>
        <w:rPr>
          <w:rFonts w:ascii="Arial" w:hAnsi="Arial" w:cs="Arial"/>
          <w:sz w:val="22"/>
          <w:szCs w:val="22"/>
        </w:rPr>
      </w:pPr>
    </w:p>
    <w:p w14:paraId="6274933C" w14:textId="1C29DFB4" w:rsidR="002D1B86" w:rsidRDefault="00434714" w:rsidP="000D47CD">
      <w:pPr>
        <w:rPr>
          <w:rFonts w:ascii="Arial" w:hAnsi="Arial" w:cs="Arial"/>
          <w:sz w:val="22"/>
          <w:szCs w:val="22"/>
        </w:rPr>
      </w:pPr>
      <w:r>
        <w:rPr>
          <w:rFonts w:ascii="Arial" w:hAnsi="Arial" w:cs="Arial"/>
          <w:sz w:val="22"/>
          <w:szCs w:val="22"/>
        </w:rPr>
        <w:t xml:space="preserve">As mentioned in the above, one way that police gather intelligence </w:t>
      </w:r>
      <w:r w:rsidR="00290C6C">
        <w:rPr>
          <w:rFonts w:ascii="Arial" w:hAnsi="Arial" w:cs="Arial"/>
          <w:sz w:val="22"/>
          <w:szCs w:val="22"/>
        </w:rPr>
        <w:t>is through a Covert Human Intelligence Source (CHIS)</w:t>
      </w:r>
      <w:r w:rsidR="008F12A5">
        <w:rPr>
          <w:rFonts w:ascii="Arial" w:hAnsi="Arial" w:cs="Arial"/>
          <w:sz w:val="22"/>
          <w:szCs w:val="22"/>
        </w:rPr>
        <w:t xml:space="preserve">. The House of Lords consider a CHIS </w:t>
      </w:r>
      <w:r w:rsidR="00D94797">
        <w:rPr>
          <w:rFonts w:ascii="Arial" w:hAnsi="Arial" w:cs="Arial"/>
          <w:sz w:val="22"/>
          <w:szCs w:val="22"/>
        </w:rPr>
        <w:t>‘</w:t>
      </w:r>
      <w:r w:rsidR="00D94797" w:rsidRPr="00D94797">
        <w:rPr>
          <w:rFonts w:ascii="Arial" w:hAnsi="Arial" w:cs="Arial"/>
          <w:sz w:val="22"/>
          <w:szCs w:val="22"/>
        </w:rPr>
        <w:t>may be a police officer, an individual holding a position in a public authority who is acting undercover, or a member of the public recruited by a public authority</w:t>
      </w:r>
      <w:r w:rsidR="00D94797">
        <w:rPr>
          <w:rFonts w:ascii="Arial" w:hAnsi="Arial" w:cs="Arial"/>
          <w:sz w:val="22"/>
          <w:szCs w:val="22"/>
        </w:rPr>
        <w:t xml:space="preserve">’ (Tudor, 2021). Many government agencies </w:t>
      </w:r>
      <w:r w:rsidR="002D1B86">
        <w:rPr>
          <w:rFonts w:ascii="Arial" w:hAnsi="Arial" w:cs="Arial"/>
          <w:sz w:val="22"/>
          <w:szCs w:val="22"/>
        </w:rPr>
        <w:t xml:space="preserve">use a CHIS or sources to gain information and intelligence such as </w:t>
      </w:r>
      <w:r w:rsidR="002D1B86" w:rsidRPr="002D1B86">
        <w:rPr>
          <w:rFonts w:ascii="Arial" w:hAnsi="Arial" w:cs="Arial"/>
          <w:sz w:val="22"/>
          <w:szCs w:val="22"/>
        </w:rPr>
        <w:t xml:space="preserve">HM Revenue and Customs, the Ministry of Defence, the Department of Health, the Department for Work </w:t>
      </w:r>
      <w:r w:rsidR="002D1B86" w:rsidRPr="002D1B86">
        <w:rPr>
          <w:rFonts w:ascii="Arial" w:hAnsi="Arial" w:cs="Arial"/>
          <w:sz w:val="22"/>
          <w:szCs w:val="22"/>
        </w:rPr>
        <w:lastRenderedPageBreak/>
        <w:t>and Pensions, the Environment Agency, the Armed Forces, and the Food Standards Agency. Any agency using a CHIS must have a responsible authorizing officer and observe the other RIPA requirements</w:t>
      </w:r>
      <w:r w:rsidR="002D1B86">
        <w:rPr>
          <w:rFonts w:ascii="Arial" w:hAnsi="Arial" w:cs="Arial"/>
          <w:sz w:val="22"/>
          <w:szCs w:val="22"/>
        </w:rPr>
        <w:t xml:space="preserve"> (Bradshaw, 2021). Within the legal definition ‘</w:t>
      </w:r>
      <w:r w:rsidR="002D1B86" w:rsidRPr="002D1B86">
        <w:rPr>
          <w:rFonts w:ascii="Arial" w:hAnsi="Arial" w:cs="Arial"/>
          <w:sz w:val="22"/>
          <w:szCs w:val="22"/>
        </w:rPr>
        <w:t>A person is regarded as a source (s 26(8) of RIPA) if they establish or maintain a personal or other relationship with a person for the covert purpose of:</w:t>
      </w:r>
      <w:r w:rsidR="002D1B86">
        <w:rPr>
          <w:rFonts w:ascii="Arial" w:hAnsi="Arial" w:cs="Arial"/>
          <w:sz w:val="22"/>
          <w:szCs w:val="22"/>
        </w:rPr>
        <w:t xml:space="preserve"> </w:t>
      </w:r>
      <w:r w:rsidR="002D1B86" w:rsidRPr="002D1B86">
        <w:rPr>
          <w:rFonts w:ascii="Arial" w:hAnsi="Arial" w:cs="Arial"/>
          <w:sz w:val="22"/>
          <w:szCs w:val="22"/>
        </w:rPr>
        <w:t>obtaining information or providing access to information to another person; or</w:t>
      </w:r>
      <w:r w:rsidR="002D1B86">
        <w:rPr>
          <w:rFonts w:ascii="Arial" w:hAnsi="Arial" w:cs="Arial"/>
          <w:sz w:val="22"/>
          <w:szCs w:val="22"/>
        </w:rPr>
        <w:t xml:space="preserve"> </w:t>
      </w:r>
      <w:r w:rsidR="002D1B86" w:rsidRPr="002D1B86">
        <w:rPr>
          <w:rFonts w:ascii="Arial" w:hAnsi="Arial" w:cs="Arial"/>
          <w:sz w:val="22"/>
          <w:szCs w:val="22"/>
        </w:rPr>
        <w:t>disclosing information obtained by the use of such a relationship or as the consequence of the existence of such a relationship</w:t>
      </w:r>
      <w:r w:rsidR="002D1B86">
        <w:rPr>
          <w:rFonts w:ascii="Arial" w:hAnsi="Arial" w:cs="Arial"/>
          <w:sz w:val="22"/>
          <w:szCs w:val="22"/>
        </w:rPr>
        <w:t xml:space="preserve">’ (Bradshaw, 2021). </w:t>
      </w:r>
    </w:p>
    <w:p w14:paraId="26D15B87" w14:textId="0D77CC6B" w:rsidR="00434714" w:rsidRDefault="00434714" w:rsidP="000D47CD">
      <w:pPr>
        <w:rPr>
          <w:rFonts w:ascii="Arial" w:hAnsi="Arial" w:cs="Arial"/>
          <w:sz w:val="22"/>
          <w:szCs w:val="22"/>
        </w:rPr>
      </w:pPr>
    </w:p>
    <w:p w14:paraId="47E9D80C" w14:textId="4E80AD60" w:rsidR="002D1B86" w:rsidRDefault="002D1B86" w:rsidP="000D47CD">
      <w:pPr>
        <w:rPr>
          <w:rFonts w:ascii="Arial" w:hAnsi="Arial" w:cs="Arial"/>
          <w:sz w:val="22"/>
          <w:szCs w:val="22"/>
        </w:rPr>
      </w:pPr>
      <w:r>
        <w:rPr>
          <w:rFonts w:ascii="Arial" w:hAnsi="Arial" w:cs="Arial"/>
          <w:sz w:val="22"/>
          <w:szCs w:val="22"/>
        </w:rPr>
        <w:t xml:space="preserve">Looking at statistics from the Home Office in relation to the positive use of a CHIS,’ </w:t>
      </w:r>
      <w:r w:rsidRPr="002D1B86">
        <w:rPr>
          <w:rFonts w:ascii="Arial" w:hAnsi="Arial" w:cs="Arial"/>
          <w:sz w:val="22"/>
          <w:szCs w:val="22"/>
        </w:rPr>
        <w:t>in 2018, CHIS operations led the National Crime Agency to disrupt over 30 threats to life, arrest numerous serious organised criminals, seize over 3000kg of Class A drugs, safeguard over 200 people, and take almost 60 firearms and 4000 rounds of ammunition off the street</w:t>
      </w:r>
      <w:r>
        <w:rPr>
          <w:rFonts w:ascii="Arial" w:hAnsi="Arial" w:cs="Arial"/>
          <w:sz w:val="22"/>
          <w:szCs w:val="22"/>
        </w:rPr>
        <w:t xml:space="preserve">’ (Home Office, 2021). </w:t>
      </w:r>
    </w:p>
    <w:p w14:paraId="6EA31510" w14:textId="3A95DA68" w:rsidR="00167B84" w:rsidRDefault="002D1B86" w:rsidP="000D47CD">
      <w:pPr>
        <w:rPr>
          <w:rFonts w:ascii="Arial" w:hAnsi="Arial" w:cs="Arial"/>
          <w:sz w:val="22"/>
          <w:szCs w:val="22"/>
        </w:rPr>
      </w:pPr>
      <w:r>
        <w:rPr>
          <w:rFonts w:ascii="Arial" w:hAnsi="Arial" w:cs="Arial"/>
          <w:sz w:val="22"/>
          <w:szCs w:val="22"/>
        </w:rPr>
        <w:t xml:space="preserve">Despite there being positives that have been identified by </w:t>
      </w:r>
      <w:r w:rsidR="00167B84">
        <w:rPr>
          <w:rFonts w:ascii="Arial" w:hAnsi="Arial" w:cs="Arial"/>
          <w:sz w:val="22"/>
          <w:szCs w:val="22"/>
        </w:rPr>
        <w:t xml:space="preserve">the government with regards to use of a CHIS or source, there seem to be just as many negatives that have been identified. For example, Clive Harfield identifies a few areas of risk when dealing with a CHIS, such as </w:t>
      </w:r>
    </w:p>
    <w:p w14:paraId="7292675F" w14:textId="77777777" w:rsidR="00167B84" w:rsidRPr="00167B84" w:rsidRDefault="00167B84" w:rsidP="00167B84">
      <w:pPr>
        <w:shd w:val="clear" w:color="auto" w:fill="FFFFFF"/>
        <w:spacing w:line="0" w:lineRule="auto"/>
        <w:rPr>
          <w:rFonts w:ascii="ff2" w:hAnsi="ff2"/>
          <w:color w:val="000000"/>
          <w:spacing w:val="6"/>
          <w:sz w:val="65"/>
          <w:szCs w:val="65"/>
        </w:rPr>
      </w:pPr>
      <w:r w:rsidRPr="00167B84">
        <w:rPr>
          <w:rFonts w:ascii="ff2" w:hAnsi="ff2"/>
          <w:color w:val="000000"/>
          <w:spacing w:val="6"/>
          <w:sz w:val="65"/>
          <w:szCs w:val="65"/>
        </w:rPr>
        <w:t>Four!general!areas!of!risk!can!be!identified!in!relation!to!the!use!of!informers.!First,!those!who!</w:t>
      </w:r>
    </w:p>
    <w:p w14:paraId="75949906" w14:textId="77777777" w:rsidR="00167B84" w:rsidRPr="00167B84" w:rsidRDefault="00167B84" w:rsidP="00167B84">
      <w:pPr>
        <w:shd w:val="clear" w:color="auto" w:fill="FFFFFF"/>
        <w:spacing w:line="0" w:lineRule="auto"/>
        <w:rPr>
          <w:rFonts w:ascii="ff2" w:hAnsi="ff2"/>
          <w:color w:val="000000"/>
          <w:spacing w:val="7"/>
          <w:sz w:val="65"/>
          <w:szCs w:val="65"/>
        </w:rPr>
      </w:pPr>
      <w:r w:rsidRPr="00167B84">
        <w:rPr>
          <w:rFonts w:ascii="ff2" w:hAnsi="ff2"/>
          <w:color w:val="000000"/>
          <w:spacing w:val="7"/>
          <w:sz w:val="65"/>
          <w:szCs w:val="65"/>
        </w:rPr>
        <w:t>provide!information!covertly!are!at!risk!of!reprisal!from!those!being!</w:t>
      </w:r>
      <w:r w:rsidRPr="00167B84">
        <w:rPr>
          <w:rFonts w:ascii="ff2" w:hAnsi="ff2"/>
          <w:color w:val="000000"/>
          <w:spacing w:val="3"/>
          <w:sz w:val="65"/>
          <w:szCs w:val="65"/>
        </w:rPr>
        <w:t>informed!again</w:t>
      </w:r>
      <w:r w:rsidRPr="00167B84">
        <w:rPr>
          <w:rFonts w:ascii="ff2" w:hAnsi="ff2"/>
          <w:color w:val="000000"/>
          <w:spacing w:val="5"/>
          <w:sz w:val="65"/>
          <w:szCs w:val="65"/>
        </w:rPr>
        <w:t>st.!Secondly,!the!</w:t>
      </w:r>
    </w:p>
    <w:p w14:paraId="60BF8293" w14:textId="77777777" w:rsidR="00167B84" w:rsidRPr="00167B84" w:rsidRDefault="00167B84" w:rsidP="00167B84">
      <w:pPr>
        <w:shd w:val="clear" w:color="auto" w:fill="FFFFFF"/>
        <w:spacing w:line="0" w:lineRule="auto"/>
        <w:rPr>
          <w:rFonts w:ascii="ff2" w:hAnsi="ff2"/>
          <w:color w:val="000000"/>
          <w:spacing w:val="7"/>
          <w:sz w:val="65"/>
          <w:szCs w:val="65"/>
        </w:rPr>
      </w:pPr>
      <w:r w:rsidRPr="00167B84">
        <w:rPr>
          <w:rFonts w:ascii="ff2" w:hAnsi="ff2"/>
          <w:color w:val="000000"/>
          <w:spacing w:val="7"/>
          <w:sz w:val="65"/>
          <w:szCs w:val="65"/>
        </w:rPr>
        <w:t>organization!or!investigator!intending!to!use!the!information!provided!covertly!runs!the!risk!that!the!</w:t>
      </w:r>
    </w:p>
    <w:p w14:paraId="2E0123EF" w14:textId="77777777" w:rsidR="00167B84" w:rsidRPr="00167B84" w:rsidRDefault="00167B84" w:rsidP="00167B84">
      <w:pPr>
        <w:shd w:val="clear" w:color="auto" w:fill="FFFFFF"/>
        <w:spacing w:line="0" w:lineRule="auto"/>
        <w:rPr>
          <w:rFonts w:ascii="ff2" w:hAnsi="ff2"/>
          <w:color w:val="000000"/>
          <w:spacing w:val="3"/>
          <w:sz w:val="65"/>
          <w:szCs w:val="65"/>
        </w:rPr>
      </w:pPr>
      <w:r w:rsidRPr="00167B84">
        <w:rPr>
          <w:rFonts w:ascii="ff2" w:hAnsi="ff2"/>
          <w:color w:val="000000"/>
          <w:spacing w:val="3"/>
          <w:sz w:val="65"/>
          <w:szCs w:val="65"/>
        </w:rPr>
        <w:t>information!may!be!erroneous,!</w:t>
      </w:r>
      <w:r w:rsidRPr="00167B84">
        <w:rPr>
          <w:rFonts w:ascii="ff2" w:hAnsi="ff2"/>
          <w:color w:val="000000"/>
          <w:spacing w:val="4"/>
          <w:sz w:val="65"/>
          <w:szCs w:val="65"/>
        </w:rPr>
        <w:t>false</w:t>
      </w:r>
      <w:r w:rsidRPr="00167B84">
        <w:rPr>
          <w:rFonts w:ascii="ff2" w:hAnsi="ff2"/>
          <w:color w:val="000000"/>
          <w:spacing w:val="3"/>
          <w:sz w:val="65"/>
          <w:szCs w:val="65"/>
        </w:rPr>
        <w:t>!</w:t>
      </w:r>
      <w:r w:rsidRPr="00167B84">
        <w:rPr>
          <w:rFonts w:ascii="ff2" w:hAnsi="ff2"/>
          <w:color w:val="000000"/>
          <w:spacing w:val="7"/>
          <w:sz w:val="65"/>
          <w:szCs w:val="65"/>
        </w:rPr>
        <w:t>or!deliberately!</w:t>
      </w:r>
      <w:r w:rsidRPr="00167B84">
        <w:rPr>
          <w:rFonts w:ascii="ff2" w:hAnsi="ff2"/>
          <w:color w:val="000000"/>
          <w:spacing w:val="9"/>
          <w:sz w:val="65"/>
          <w:szCs w:val="65"/>
        </w:rPr>
        <w:t>misleading</w:t>
      </w:r>
      <w:r w:rsidRPr="00167B84">
        <w:rPr>
          <w:rFonts w:ascii="ff2" w:hAnsi="ff2"/>
          <w:color w:val="000000"/>
          <w:spacing w:val="3"/>
          <w:sz w:val="65"/>
          <w:szCs w:val="65"/>
        </w:rPr>
        <w:t>:!misinformation!insinuated!to!</w:t>
      </w:r>
    </w:p>
    <w:p w14:paraId="7CCC5C31" w14:textId="77777777" w:rsidR="00167B84" w:rsidRPr="00167B84" w:rsidRDefault="00167B84" w:rsidP="00167B84">
      <w:pPr>
        <w:shd w:val="clear" w:color="auto" w:fill="FFFFFF"/>
        <w:spacing w:line="0" w:lineRule="auto"/>
        <w:rPr>
          <w:rFonts w:ascii="ff2" w:hAnsi="ff2"/>
          <w:color w:val="000000"/>
          <w:spacing w:val="7"/>
          <w:sz w:val="65"/>
          <w:szCs w:val="65"/>
        </w:rPr>
      </w:pPr>
      <w:r w:rsidRPr="00167B84">
        <w:rPr>
          <w:rFonts w:ascii="ff2" w:hAnsi="ff2"/>
          <w:color w:val="000000"/>
          <w:spacing w:val="7"/>
          <w:sz w:val="65"/>
          <w:szCs w:val="65"/>
        </w:rPr>
        <w:t>disrupt,!divert!or!frustrate!an!investigation.!A!third!area!of!risk!to!the!organization!or!investigator!</w:t>
      </w:r>
    </w:p>
    <w:p w14:paraId="46F9B1DF" w14:textId="77777777" w:rsidR="00167B84" w:rsidRPr="00167B84" w:rsidRDefault="00167B84" w:rsidP="00167B84">
      <w:pPr>
        <w:shd w:val="clear" w:color="auto" w:fill="FFFFFF"/>
        <w:spacing w:line="0" w:lineRule="auto"/>
        <w:rPr>
          <w:rFonts w:ascii="ff2" w:hAnsi="ff2"/>
          <w:color w:val="000000"/>
          <w:spacing w:val="6"/>
          <w:sz w:val="65"/>
          <w:szCs w:val="65"/>
        </w:rPr>
      </w:pPr>
      <w:r w:rsidRPr="00167B84">
        <w:rPr>
          <w:rFonts w:ascii="ff2" w:hAnsi="ff2"/>
          <w:color w:val="000000"/>
          <w:spacing w:val="6"/>
          <w:sz w:val="65"/>
          <w:szCs w:val="65"/>
        </w:rPr>
        <w:t>arises!if!the!informer!manipulates!the!relationship!with!the!authorities!for!reasons!other!than!simply!</w:t>
      </w:r>
    </w:p>
    <w:p w14:paraId="74298B67" w14:textId="77777777" w:rsidR="00167B84" w:rsidRPr="00167B84" w:rsidRDefault="00167B84" w:rsidP="00167B84">
      <w:pPr>
        <w:shd w:val="clear" w:color="auto" w:fill="FFFFFF"/>
        <w:spacing w:line="0" w:lineRule="auto"/>
        <w:rPr>
          <w:rFonts w:ascii="ff2" w:hAnsi="ff2"/>
          <w:color w:val="000000"/>
          <w:spacing w:val="7"/>
          <w:sz w:val="65"/>
          <w:szCs w:val="65"/>
        </w:rPr>
      </w:pPr>
      <w:r w:rsidRPr="00167B84">
        <w:rPr>
          <w:rFonts w:ascii="ff2" w:hAnsi="ff2"/>
          <w:color w:val="000000"/>
          <w:spacing w:val="7"/>
          <w:sz w:val="65"/>
          <w:szCs w:val="65"/>
        </w:rPr>
        <w:t>being!rewarded!for</w:t>
      </w:r>
      <w:r w:rsidRPr="00167B84">
        <w:rPr>
          <w:rFonts w:ascii="ff2" w:hAnsi="ff2"/>
          <w:color w:val="000000"/>
          <w:spacing w:val="3"/>
          <w:sz w:val="65"/>
          <w:szCs w:val="65"/>
        </w:rPr>
        <w:t>!information!provided.!Alternatively,!the!organization!is!at!risk!(and!potentially!</w:t>
      </w:r>
    </w:p>
    <w:p w14:paraId="78D5F4FC" w14:textId="77777777" w:rsidR="00167B84" w:rsidRPr="00167B84" w:rsidRDefault="00167B84" w:rsidP="00167B84">
      <w:pPr>
        <w:shd w:val="clear" w:color="auto" w:fill="FFFFFF"/>
        <w:spacing w:line="0" w:lineRule="auto"/>
        <w:rPr>
          <w:rFonts w:ascii="ff2" w:hAnsi="ff2"/>
          <w:color w:val="000000"/>
          <w:spacing w:val="6"/>
          <w:sz w:val="65"/>
          <w:szCs w:val="65"/>
        </w:rPr>
      </w:pPr>
      <w:r w:rsidRPr="00167B84">
        <w:rPr>
          <w:rFonts w:ascii="ff2" w:hAnsi="ff2"/>
          <w:color w:val="000000"/>
          <w:spacing w:val="6"/>
          <w:sz w:val="65"/>
          <w:szCs w:val="65"/>
        </w:rPr>
        <w:t>also!the!informer)!if!the!investigator!exploits!the!relationship!with!the!informer!for!individual!rather</w:t>
      </w:r>
    </w:p>
    <w:p w14:paraId="0D498427" w14:textId="294F2EDE" w:rsidR="002D1B86" w:rsidRDefault="00167B84" w:rsidP="00167B84">
      <w:pPr>
        <w:rPr>
          <w:rFonts w:ascii="Arial" w:hAnsi="Arial" w:cs="Arial"/>
          <w:sz w:val="22"/>
          <w:szCs w:val="22"/>
        </w:rPr>
      </w:pPr>
      <w:r>
        <w:rPr>
          <w:rFonts w:ascii="Arial" w:hAnsi="Arial" w:cs="Arial"/>
          <w:sz w:val="22"/>
          <w:szCs w:val="22"/>
        </w:rPr>
        <w:t>‘Firstly,</w:t>
      </w:r>
      <w:r w:rsidRPr="00167B84">
        <w:rPr>
          <w:rFonts w:ascii="Arial" w:hAnsi="Arial" w:cs="Arial"/>
          <w:sz w:val="22"/>
          <w:szCs w:val="22"/>
        </w:rPr>
        <w:t xml:space="preserve"> those</w:t>
      </w:r>
      <w:r>
        <w:rPr>
          <w:rFonts w:ascii="Arial" w:hAnsi="Arial" w:cs="Arial"/>
          <w:sz w:val="22"/>
          <w:szCs w:val="22"/>
        </w:rPr>
        <w:t xml:space="preserve"> </w:t>
      </w:r>
      <w:r w:rsidRPr="00167B84">
        <w:rPr>
          <w:rFonts w:ascii="Arial" w:hAnsi="Arial" w:cs="Arial"/>
          <w:sz w:val="22"/>
          <w:szCs w:val="22"/>
        </w:rPr>
        <w:t>who</w:t>
      </w:r>
      <w:r>
        <w:rPr>
          <w:rFonts w:ascii="Arial" w:hAnsi="Arial" w:cs="Arial"/>
          <w:sz w:val="22"/>
          <w:szCs w:val="22"/>
        </w:rPr>
        <w:t xml:space="preserve"> </w:t>
      </w:r>
      <w:r w:rsidRPr="00167B84">
        <w:rPr>
          <w:rFonts w:ascii="Arial" w:hAnsi="Arial" w:cs="Arial"/>
          <w:sz w:val="22"/>
          <w:szCs w:val="22"/>
        </w:rPr>
        <w:t>provide</w:t>
      </w:r>
      <w:r>
        <w:rPr>
          <w:rFonts w:ascii="Arial" w:hAnsi="Arial" w:cs="Arial"/>
          <w:sz w:val="22"/>
          <w:szCs w:val="22"/>
        </w:rPr>
        <w:t xml:space="preserve"> </w:t>
      </w:r>
      <w:r w:rsidRPr="00167B84">
        <w:rPr>
          <w:rFonts w:ascii="Arial" w:hAnsi="Arial" w:cs="Arial"/>
          <w:sz w:val="22"/>
          <w:szCs w:val="22"/>
        </w:rPr>
        <w:t>information</w:t>
      </w:r>
      <w:r>
        <w:rPr>
          <w:rFonts w:ascii="Arial" w:hAnsi="Arial" w:cs="Arial"/>
          <w:sz w:val="22"/>
          <w:szCs w:val="22"/>
        </w:rPr>
        <w:t xml:space="preserve"> </w:t>
      </w:r>
      <w:r w:rsidRPr="00167B84">
        <w:rPr>
          <w:rFonts w:ascii="Arial" w:hAnsi="Arial" w:cs="Arial"/>
          <w:sz w:val="22"/>
          <w:szCs w:val="22"/>
        </w:rPr>
        <w:t>covertly</w:t>
      </w:r>
      <w:r>
        <w:rPr>
          <w:rFonts w:ascii="Arial" w:hAnsi="Arial" w:cs="Arial"/>
          <w:sz w:val="22"/>
          <w:szCs w:val="22"/>
        </w:rPr>
        <w:t xml:space="preserve"> </w:t>
      </w:r>
      <w:r w:rsidRPr="00167B84">
        <w:rPr>
          <w:rFonts w:ascii="Arial" w:hAnsi="Arial" w:cs="Arial"/>
          <w:sz w:val="22"/>
          <w:szCs w:val="22"/>
        </w:rPr>
        <w:t>are</w:t>
      </w:r>
      <w:r>
        <w:rPr>
          <w:rFonts w:ascii="Arial" w:hAnsi="Arial" w:cs="Arial"/>
          <w:sz w:val="22"/>
          <w:szCs w:val="22"/>
        </w:rPr>
        <w:t xml:space="preserve"> </w:t>
      </w:r>
      <w:r w:rsidRPr="00167B84">
        <w:rPr>
          <w:rFonts w:ascii="Arial" w:hAnsi="Arial" w:cs="Arial"/>
          <w:sz w:val="22"/>
          <w:szCs w:val="22"/>
        </w:rPr>
        <w:t>at</w:t>
      </w:r>
      <w:r>
        <w:rPr>
          <w:rFonts w:ascii="Arial" w:hAnsi="Arial" w:cs="Arial"/>
          <w:sz w:val="22"/>
          <w:szCs w:val="22"/>
        </w:rPr>
        <w:t xml:space="preserve"> </w:t>
      </w:r>
      <w:r w:rsidRPr="00167B84">
        <w:rPr>
          <w:rFonts w:ascii="Arial" w:hAnsi="Arial" w:cs="Arial"/>
          <w:sz w:val="22"/>
          <w:szCs w:val="22"/>
        </w:rPr>
        <w:t>risk</w:t>
      </w:r>
      <w:r>
        <w:rPr>
          <w:rFonts w:ascii="Arial" w:hAnsi="Arial" w:cs="Arial"/>
          <w:sz w:val="22"/>
          <w:szCs w:val="22"/>
        </w:rPr>
        <w:t xml:space="preserve"> </w:t>
      </w:r>
      <w:r w:rsidRPr="00167B84">
        <w:rPr>
          <w:rFonts w:ascii="Arial" w:hAnsi="Arial" w:cs="Arial"/>
          <w:sz w:val="22"/>
          <w:szCs w:val="22"/>
        </w:rPr>
        <w:t>of</w:t>
      </w:r>
      <w:r>
        <w:rPr>
          <w:rFonts w:ascii="Arial" w:hAnsi="Arial" w:cs="Arial"/>
          <w:sz w:val="22"/>
          <w:szCs w:val="22"/>
        </w:rPr>
        <w:t xml:space="preserve"> </w:t>
      </w:r>
      <w:r w:rsidRPr="00167B84">
        <w:rPr>
          <w:rFonts w:ascii="Arial" w:hAnsi="Arial" w:cs="Arial"/>
          <w:sz w:val="22"/>
          <w:szCs w:val="22"/>
        </w:rPr>
        <w:t>reprisal</w:t>
      </w:r>
      <w:r>
        <w:rPr>
          <w:rFonts w:ascii="Arial" w:hAnsi="Arial" w:cs="Arial"/>
          <w:sz w:val="22"/>
          <w:szCs w:val="22"/>
        </w:rPr>
        <w:t xml:space="preserve"> </w:t>
      </w:r>
      <w:r w:rsidRPr="00167B84">
        <w:rPr>
          <w:rFonts w:ascii="Arial" w:hAnsi="Arial" w:cs="Arial"/>
          <w:sz w:val="22"/>
          <w:szCs w:val="22"/>
        </w:rPr>
        <w:t>from</w:t>
      </w:r>
      <w:r>
        <w:rPr>
          <w:rFonts w:ascii="Arial" w:hAnsi="Arial" w:cs="Arial"/>
          <w:sz w:val="22"/>
          <w:szCs w:val="22"/>
        </w:rPr>
        <w:t xml:space="preserve"> </w:t>
      </w:r>
      <w:r w:rsidRPr="00167B84">
        <w:rPr>
          <w:rFonts w:ascii="Arial" w:hAnsi="Arial" w:cs="Arial"/>
          <w:sz w:val="22"/>
          <w:szCs w:val="22"/>
        </w:rPr>
        <w:t>those</w:t>
      </w:r>
      <w:r>
        <w:rPr>
          <w:rFonts w:ascii="Arial" w:hAnsi="Arial" w:cs="Arial"/>
          <w:sz w:val="22"/>
          <w:szCs w:val="22"/>
        </w:rPr>
        <w:t xml:space="preserve"> </w:t>
      </w:r>
      <w:r w:rsidRPr="00167B84">
        <w:rPr>
          <w:rFonts w:ascii="Arial" w:hAnsi="Arial" w:cs="Arial"/>
          <w:sz w:val="22"/>
          <w:szCs w:val="22"/>
        </w:rPr>
        <w:t>being</w:t>
      </w:r>
      <w:r>
        <w:rPr>
          <w:rFonts w:ascii="Arial" w:hAnsi="Arial" w:cs="Arial"/>
          <w:sz w:val="22"/>
          <w:szCs w:val="22"/>
        </w:rPr>
        <w:t xml:space="preserve"> </w:t>
      </w:r>
      <w:r w:rsidRPr="00167B84">
        <w:rPr>
          <w:rFonts w:ascii="Arial" w:hAnsi="Arial" w:cs="Arial"/>
          <w:sz w:val="22"/>
          <w:szCs w:val="22"/>
        </w:rPr>
        <w:t>informed</w:t>
      </w:r>
      <w:r>
        <w:rPr>
          <w:rFonts w:ascii="Arial" w:hAnsi="Arial" w:cs="Arial"/>
          <w:sz w:val="22"/>
          <w:szCs w:val="22"/>
        </w:rPr>
        <w:t xml:space="preserve"> </w:t>
      </w:r>
      <w:r w:rsidRPr="00167B84">
        <w:rPr>
          <w:rFonts w:ascii="Arial" w:hAnsi="Arial" w:cs="Arial"/>
          <w:sz w:val="22"/>
          <w:szCs w:val="22"/>
        </w:rPr>
        <w:t>against.</w:t>
      </w:r>
      <w:r>
        <w:rPr>
          <w:rFonts w:ascii="Arial" w:hAnsi="Arial" w:cs="Arial"/>
          <w:sz w:val="22"/>
          <w:szCs w:val="22"/>
        </w:rPr>
        <w:t xml:space="preserve"> </w:t>
      </w:r>
      <w:r w:rsidRPr="00167B84">
        <w:rPr>
          <w:rFonts w:ascii="Arial" w:hAnsi="Arial" w:cs="Arial"/>
          <w:sz w:val="22"/>
          <w:szCs w:val="22"/>
        </w:rPr>
        <w:t>Secondly,</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organization</w:t>
      </w:r>
      <w:r>
        <w:rPr>
          <w:rFonts w:ascii="Arial" w:hAnsi="Arial" w:cs="Arial"/>
          <w:sz w:val="22"/>
          <w:szCs w:val="22"/>
        </w:rPr>
        <w:t xml:space="preserve"> </w:t>
      </w:r>
      <w:r w:rsidRPr="00167B84">
        <w:rPr>
          <w:rFonts w:ascii="Arial" w:hAnsi="Arial" w:cs="Arial"/>
          <w:sz w:val="22"/>
          <w:szCs w:val="22"/>
        </w:rPr>
        <w:t>or</w:t>
      </w:r>
      <w:r>
        <w:rPr>
          <w:rFonts w:ascii="Arial" w:hAnsi="Arial" w:cs="Arial"/>
          <w:sz w:val="22"/>
          <w:szCs w:val="22"/>
        </w:rPr>
        <w:t xml:space="preserve"> </w:t>
      </w:r>
      <w:r w:rsidRPr="00167B84">
        <w:rPr>
          <w:rFonts w:ascii="Arial" w:hAnsi="Arial" w:cs="Arial"/>
          <w:sz w:val="22"/>
          <w:szCs w:val="22"/>
        </w:rPr>
        <w:t>investigator</w:t>
      </w:r>
      <w:r>
        <w:rPr>
          <w:rFonts w:ascii="Arial" w:hAnsi="Arial" w:cs="Arial"/>
          <w:sz w:val="22"/>
          <w:szCs w:val="22"/>
        </w:rPr>
        <w:t xml:space="preserve"> </w:t>
      </w:r>
      <w:r w:rsidRPr="00167B84">
        <w:rPr>
          <w:rFonts w:ascii="Arial" w:hAnsi="Arial" w:cs="Arial"/>
          <w:sz w:val="22"/>
          <w:szCs w:val="22"/>
        </w:rPr>
        <w:t>intending</w:t>
      </w:r>
      <w:r>
        <w:rPr>
          <w:rFonts w:ascii="Arial" w:hAnsi="Arial" w:cs="Arial"/>
          <w:sz w:val="22"/>
          <w:szCs w:val="22"/>
        </w:rPr>
        <w:t xml:space="preserve"> </w:t>
      </w:r>
      <w:r w:rsidRPr="00167B84">
        <w:rPr>
          <w:rFonts w:ascii="Arial" w:hAnsi="Arial" w:cs="Arial"/>
          <w:sz w:val="22"/>
          <w:szCs w:val="22"/>
        </w:rPr>
        <w:t>to</w:t>
      </w:r>
      <w:r>
        <w:rPr>
          <w:rFonts w:ascii="Arial" w:hAnsi="Arial" w:cs="Arial"/>
          <w:sz w:val="22"/>
          <w:szCs w:val="22"/>
        </w:rPr>
        <w:t xml:space="preserve"> </w:t>
      </w:r>
      <w:r w:rsidRPr="00167B84">
        <w:rPr>
          <w:rFonts w:ascii="Arial" w:hAnsi="Arial" w:cs="Arial"/>
          <w:sz w:val="22"/>
          <w:szCs w:val="22"/>
        </w:rPr>
        <w:t>use</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information</w:t>
      </w:r>
      <w:r>
        <w:rPr>
          <w:rFonts w:ascii="Arial" w:hAnsi="Arial" w:cs="Arial"/>
          <w:sz w:val="22"/>
          <w:szCs w:val="22"/>
        </w:rPr>
        <w:t xml:space="preserve"> </w:t>
      </w:r>
      <w:r w:rsidRPr="00167B84">
        <w:rPr>
          <w:rFonts w:ascii="Arial" w:hAnsi="Arial" w:cs="Arial"/>
          <w:sz w:val="22"/>
          <w:szCs w:val="22"/>
        </w:rPr>
        <w:t>provided</w:t>
      </w:r>
      <w:r>
        <w:rPr>
          <w:rFonts w:ascii="Arial" w:hAnsi="Arial" w:cs="Arial"/>
          <w:sz w:val="22"/>
          <w:szCs w:val="22"/>
        </w:rPr>
        <w:t xml:space="preserve"> </w:t>
      </w:r>
      <w:r w:rsidRPr="00167B84">
        <w:rPr>
          <w:rFonts w:ascii="Arial" w:hAnsi="Arial" w:cs="Arial"/>
          <w:sz w:val="22"/>
          <w:szCs w:val="22"/>
        </w:rPr>
        <w:t>covertly</w:t>
      </w:r>
      <w:r>
        <w:rPr>
          <w:rFonts w:ascii="Arial" w:hAnsi="Arial" w:cs="Arial"/>
          <w:sz w:val="22"/>
          <w:szCs w:val="22"/>
        </w:rPr>
        <w:t xml:space="preserve"> </w:t>
      </w:r>
      <w:r w:rsidRPr="00167B84">
        <w:rPr>
          <w:rFonts w:ascii="Arial" w:hAnsi="Arial" w:cs="Arial"/>
          <w:sz w:val="22"/>
          <w:szCs w:val="22"/>
        </w:rPr>
        <w:t>runs</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risk</w:t>
      </w:r>
      <w:r>
        <w:rPr>
          <w:rFonts w:ascii="Arial" w:hAnsi="Arial" w:cs="Arial"/>
          <w:sz w:val="22"/>
          <w:szCs w:val="22"/>
        </w:rPr>
        <w:t xml:space="preserve"> </w:t>
      </w:r>
      <w:r w:rsidRPr="00167B84">
        <w:rPr>
          <w:rFonts w:ascii="Arial" w:hAnsi="Arial" w:cs="Arial"/>
          <w:sz w:val="22"/>
          <w:szCs w:val="22"/>
        </w:rPr>
        <w:t>that</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information</w:t>
      </w:r>
      <w:r>
        <w:rPr>
          <w:rFonts w:ascii="Arial" w:hAnsi="Arial" w:cs="Arial"/>
          <w:sz w:val="22"/>
          <w:szCs w:val="22"/>
        </w:rPr>
        <w:t xml:space="preserve"> </w:t>
      </w:r>
      <w:r w:rsidRPr="00167B84">
        <w:rPr>
          <w:rFonts w:ascii="Arial" w:hAnsi="Arial" w:cs="Arial"/>
          <w:sz w:val="22"/>
          <w:szCs w:val="22"/>
        </w:rPr>
        <w:t>may</w:t>
      </w:r>
      <w:r>
        <w:rPr>
          <w:rFonts w:ascii="Arial" w:hAnsi="Arial" w:cs="Arial"/>
          <w:sz w:val="22"/>
          <w:szCs w:val="22"/>
        </w:rPr>
        <w:t xml:space="preserve"> </w:t>
      </w:r>
      <w:r w:rsidRPr="00167B84">
        <w:rPr>
          <w:rFonts w:ascii="Arial" w:hAnsi="Arial" w:cs="Arial"/>
          <w:sz w:val="22"/>
          <w:szCs w:val="22"/>
        </w:rPr>
        <w:t>be</w:t>
      </w:r>
      <w:r>
        <w:rPr>
          <w:rFonts w:ascii="Arial" w:hAnsi="Arial" w:cs="Arial"/>
          <w:sz w:val="22"/>
          <w:szCs w:val="22"/>
        </w:rPr>
        <w:t xml:space="preserve"> </w:t>
      </w:r>
      <w:r w:rsidRPr="00167B84">
        <w:rPr>
          <w:rFonts w:ascii="Arial" w:hAnsi="Arial" w:cs="Arial"/>
          <w:sz w:val="22"/>
          <w:szCs w:val="22"/>
        </w:rPr>
        <w:t>erroneous,</w:t>
      </w:r>
      <w:r>
        <w:rPr>
          <w:rFonts w:ascii="Arial" w:hAnsi="Arial" w:cs="Arial"/>
          <w:sz w:val="22"/>
          <w:szCs w:val="22"/>
        </w:rPr>
        <w:t xml:space="preserve"> </w:t>
      </w:r>
      <w:r w:rsidRPr="00167B84">
        <w:rPr>
          <w:rFonts w:ascii="Arial" w:hAnsi="Arial" w:cs="Arial"/>
          <w:sz w:val="22"/>
          <w:szCs w:val="22"/>
        </w:rPr>
        <w:t>false</w:t>
      </w:r>
      <w:r>
        <w:rPr>
          <w:rFonts w:ascii="Arial" w:hAnsi="Arial" w:cs="Arial"/>
          <w:sz w:val="22"/>
          <w:szCs w:val="22"/>
        </w:rPr>
        <w:t xml:space="preserve"> </w:t>
      </w:r>
      <w:r w:rsidRPr="00167B84">
        <w:rPr>
          <w:rFonts w:ascii="Arial" w:hAnsi="Arial" w:cs="Arial"/>
          <w:sz w:val="22"/>
          <w:szCs w:val="22"/>
        </w:rPr>
        <w:t>or</w:t>
      </w:r>
      <w:r>
        <w:rPr>
          <w:rFonts w:ascii="Arial" w:hAnsi="Arial" w:cs="Arial"/>
          <w:sz w:val="22"/>
          <w:szCs w:val="22"/>
        </w:rPr>
        <w:t xml:space="preserve"> </w:t>
      </w:r>
      <w:r w:rsidRPr="00167B84">
        <w:rPr>
          <w:rFonts w:ascii="Arial" w:hAnsi="Arial" w:cs="Arial"/>
          <w:sz w:val="22"/>
          <w:szCs w:val="22"/>
        </w:rPr>
        <w:t>deliberately</w:t>
      </w:r>
      <w:r>
        <w:rPr>
          <w:rFonts w:ascii="Arial" w:hAnsi="Arial" w:cs="Arial"/>
          <w:sz w:val="22"/>
          <w:szCs w:val="22"/>
        </w:rPr>
        <w:t xml:space="preserve"> </w:t>
      </w:r>
      <w:r w:rsidRPr="00167B84">
        <w:rPr>
          <w:rFonts w:ascii="Arial" w:hAnsi="Arial" w:cs="Arial"/>
          <w:sz w:val="22"/>
          <w:szCs w:val="22"/>
        </w:rPr>
        <w:t>misleading:</w:t>
      </w:r>
      <w:r>
        <w:rPr>
          <w:rFonts w:ascii="Arial" w:hAnsi="Arial" w:cs="Arial"/>
          <w:sz w:val="22"/>
          <w:szCs w:val="22"/>
        </w:rPr>
        <w:t xml:space="preserve"> </w:t>
      </w:r>
      <w:r w:rsidRPr="00167B84">
        <w:rPr>
          <w:rFonts w:ascii="Arial" w:hAnsi="Arial" w:cs="Arial"/>
          <w:sz w:val="22"/>
          <w:szCs w:val="22"/>
        </w:rPr>
        <w:t>misinformation</w:t>
      </w:r>
      <w:r>
        <w:rPr>
          <w:rFonts w:ascii="Arial" w:hAnsi="Arial" w:cs="Arial"/>
          <w:sz w:val="22"/>
          <w:szCs w:val="22"/>
        </w:rPr>
        <w:t xml:space="preserve"> </w:t>
      </w:r>
      <w:r w:rsidRPr="00167B84">
        <w:rPr>
          <w:rFonts w:ascii="Arial" w:hAnsi="Arial" w:cs="Arial"/>
          <w:sz w:val="22"/>
          <w:szCs w:val="22"/>
        </w:rPr>
        <w:t>insinuated</w:t>
      </w:r>
      <w:r>
        <w:rPr>
          <w:rFonts w:ascii="Arial" w:hAnsi="Arial" w:cs="Arial"/>
          <w:sz w:val="22"/>
          <w:szCs w:val="22"/>
        </w:rPr>
        <w:t xml:space="preserve"> </w:t>
      </w:r>
      <w:r w:rsidRPr="00167B84">
        <w:rPr>
          <w:rFonts w:ascii="Arial" w:hAnsi="Arial" w:cs="Arial"/>
          <w:sz w:val="22"/>
          <w:szCs w:val="22"/>
        </w:rPr>
        <w:t>to</w:t>
      </w:r>
      <w:r>
        <w:rPr>
          <w:rFonts w:ascii="Arial" w:hAnsi="Arial" w:cs="Arial"/>
          <w:sz w:val="22"/>
          <w:szCs w:val="22"/>
        </w:rPr>
        <w:t xml:space="preserve"> </w:t>
      </w:r>
      <w:r w:rsidRPr="00167B84">
        <w:rPr>
          <w:rFonts w:ascii="Arial" w:hAnsi="Arial" w:cs="Arial"/>
          <w:sz w:val="22"/>
          <w:szCs w:val="22"/>
        </w:rPr>
        <w:t>disrupt,</w:t>
      </w:r>
      <w:r>
        <w:rPr>
          <w:rFonts w:ascii="Arial" w:hAnsi="Arial" w:cs="Arial"/>
          <w:sz w:val="22"/>
          <w:szCs w:val="22"/>
        </w:rPr>
        <w:t xml:space="preserve"> </w:t>
      </w:r>
      <w:r w:rsidRPr="00167B84">
        <w:rPr>
          <w:rFonts w:ascii="Arial" w:hAnsi="Arial" w:cs="Arial"/>
          <w:sz w:val="22"/>
          <w:szCs w:val="22"/>
        </w:rPr>
        <w:t>divert</w:t>
      </w:r>
      <w:r>
        <w:rPr>
          <w:rFonts w:ascii="Arial" w:hAnsi="Arial" w:cs="Arial"/>
          <w:sz w:val="22"/>
          <w:szCs w:val="22"/>
        </w:rPr>
        <w:t xml:space="preserve"> </w:t>
      </w:r>
      <w:r w:rsidRPr="00167B84">
        <w:rPr>
          <w:rFonts w:ascii="Arial" w:hAnsi="Arial" w:cs="Arial"/>
          <w:sz w:val="22"/>
          <w:szCs w:val="22"/>
        </w:rPr>
        <w:t>or</w:t>
      </w:r>
      <w:r>
        <w:rPr>
          <w:rFonts w:ascii="Arial" w:hAnsi="Arial" w:cs="Arial"/>
          <w:sz w:val="22"/>
          <w:szCs w:val="22"/>
        </w:rPr>
        <w:t xml:space="preserve"> </w:t>
      </w:r>
      <w:r w:rsidRPr="00167B84">
        <w:rPr>
          <w:rFonts w:ascii="Arial" w:hAnsi="Arial" w:cs="Arial"/>
          <w:sz w:val="22"/>
          <w:szCs w:val="22"/>
        </w:rPr>
        <w:t>frustrate</w:t>
      </w:r>
      <w:r>
        <w:rPr>
          <w:rFonts w:ascii="Arial" w:hAnsi="Arial" w:cs="Arial"/>
          <w:sz w:val="22"/>
          <w:szCs w:val="22"/>
        </w:rPr>
        <w:t xml:space="preserve"> </w:t>
      </w:r>
      <w:r w:rsidRPr="00167B84">
        <w:rPr>
          <w:rFonts w:ascii="Arial" w:hAnsi="Arial" w:cs="Arial"/>
          <w:sz w:val="22"/>
          <w:szCs w:val="22"/>
        </w:rPr>
        <w:t>an</w:t>
      </w:r>
      <w:r>
        <w:rPr>
          <w:rFonts w:ascii="Arial" w:hAnsi="Arial" w:cs="Arial"/>
          <w:sz w:val="22"/>
          <w:szCs w:val="22"/>
        </w:rPr>
        <w:t xml:space="preserve"> </w:t>
      </w:r>
      <w:r w:rsidRPr="00167B84">
        <w:rPr>
          <w:rFonts w:ascii="Arial" w:hAnsi="Arial" w:cs="Arial"/>
          <w:sz w:val="22"/>
          <w:szCs w:val="22"/>
        </w:rPr>
        <w:t>investigation.</w:t>
      </w:r>
      <w:r>
        <w:rPr>
          <w:rFonts w:ascii="Arial" w:hAnsi="Arial" w:cs="Arial"/>
          <w:sz w:val="22"/>
          <w:szCs w:val="22"/>
        </w:rPr>
        <w:t xml:space="preserve"> </w:t>
      </w:r>
      <w:r w:rsidRPr="00167B84">
        <w:rPr>
          <w:rFonts w:ascii="Arial" w:hAnsi="Arial" w:cs="Arial"/>
          <w:sz w:val="22"/>
          <w:szCs w:val="22"/>
        </w:rPr>
        <w:t>A</w:t>
      </w:r>
      <w:r>
        <w:rPr>
          <w:rFonts w:ascii="Arial" w:hAnsi="Arial" w:cs="Arial"/>
          <w:sz w:val="22"/>
          <w:szCs w:val="22"/>
        </w:rPr>
        <w:t xml:space="preserve"> </w:t>
      </w:r>
      <w:r w:rsidRPr="00167B84">
        <w:rPr>
          <w:rFonts w:ascii="Arial" w:hAnsi="Arial" w:cs="Arial"/>
          <w:sz w:val="22"/>
          <w:szCs w:val="22"/>
        </w:rPr>
        <w:t>third</w:t>
      </w:r>
      <w:r>
        <w:rPr>
          <w:rFonts w:ascii="Arial" w:hAnsi="Arial" w:cs="Arial"/>
          <w:sz w:val="22"/>
          <w:szCs w:val="22"/>
        </w:rPr>
        <w:t xml:space="preserve"> </w:t>
      </w:r>
      <w:r w:rsidRPr="00167B84">
        <w:rPr>
          <w:rFonts w:ascii="Arial" w:hAnsi="Arial" w:cs="Arial"/>
          <w:sz w:val="22"/>
          <w:szCs w:val="22"/>
        </w:rPr>
        <w:t>area</w:t>
      </w:r>
      <w:r>
        <w:rPr>
          <w:rFonts w:ascii="Arial" w:hAnsi="Arial" w:cs="Arial"/>
          <w:sz w:val="22"/>
          <w:szCs w:val="22"/>
        </w:rPr>
        <w:t xml:space="preserve"> </w:t>
      </w:r>
      <w:r w:rsidRPr="00167B84">
        <w:rPr>
          <w:rFonts w:ascii="Arial" w:hAnsi="Arial" w:cs="Arial"/>
          <w:sz w:val="22"/>
          <w:szCs w:val="22"/>
        </w:rPr>
        <w:t>of</w:t>
      </w:r>
      <w:r>
        <w:rPr>
          <w:rFonts w:ascii="Arial" w:hAnsi="Arial" w:cs="Arial"/>
          <w:sz w:val="22"/>
          <w:szCs w:val="22"/>
        </w:rPr>
        <w:t xml:space="preserve"> </w:t>
      </w:r>
      <w:r w:rsidRPr="00167B84">
        <w:rPr>
          <w:rFonts w:ascii="Arial" w:hAnsi="Arial" w:cs="Arial"/>
          <w:sz w:val="22"/>
          <w:szCs w:val="22"/>
        </w:rPr>
        <w:t>risk</w:t>
      </w:r>
      <w:r>
        <w:rPr>
          <w:rFonts w:ascii="Arial" w:hAnsi="Arial" w:cs="Arial"/>
          <w:sz w:val="22"/>
          <w:szCs w:val="22"/>
        </w:rPr>
        <w:t xml:space="preserve"> </w:t>
      </w:r>
      <w:r w:rsidRPr="00167B84">
        <w:rPr>
          <w:rFonts w:ascii="Arial" w:hAnsi="Arial" w:cs="Arial"/>
          <w:sz w:val="22"/>
          <w:szCs w:val="22"/>
        </w:rPr>
        <w:t>to</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organization</w:t>
      </w:r>
      <w:r>
        <w:rPr>
          <w:rFonts w:ascii="Arial" w:hAnsi="Arial" w:cs="Arial"/>
          <w:sz w:val="22"/>
          <w:szCs w:val="22"/>
        </w:rPr>
        <w:t xml:space="preserve"> </w:t>
      </w:r>
      <w:r w:rsidRPr="00167B84">
        <w:rPr>
          <w:rFonts w:ascii="Arial" w:hAnsi="Arial" w:cs="Arial"/>
          <w:sz w:val="22"/>
          <w:szCs w:val="22"/>
        </w:rPr>
        <w:t>or</w:t>
      </w:r>
      <w:r>
        <w:rPr>
          <w:rFonts w:ascii="Arial" w:hAnsi="Arial" w:cs="Arial"/>
          <w:sz w:val="22"/>
          <w:szCs w:val="22"/>
        </w:rPr>
        <w:t xml:space="preserve"> </w:t>
      </w:r>
      <w:r w:rsidRPr="00167B84">
        <w:rPr>
          <w:rFonts w:ascii="Arial" w:hAnsi="Arial" w:cs="Arial"/>
          <w:sz w:val="22"/>
          <w:szCs w:val="22"/>
        </w:rPr>
        <w:t>investigator</w:t>
      </w:r>
      <w:r>
        <w:rPr>
          <w:rFonts w:ascii="Arial" w:hAnsi="Arial" w:cs="Arial"/>
          <w:sz w:val="22"/>
          <w:szCs w:val="22"/>
        </w:rPr>
        <w:t xml:space="preserve"> </w:t>
      </w:r>
      <w:r w:rsidRPr="00167B84">
        <w:rPr>
          <w:rFonts w:ascii="Arial" w:hAnsi="Arial" w:cs="Arial"/>
          <w:sz w:val="22"/>
          <w:szCs w:val="22"/>
        </w:rPr>
        <w:t>arises</w:t>
      </w:r>
      <w:r>
        <w:rPr>
          <w:rFonts w:ascii="Arial" w:hAnsi="Arial" w:cs="Arial"/>
          <w:sz w:val="22"/>
          <w:szCs w:val="22"/>
        </w:rPr>
        <w:t xml:space="preserve"> </w:t>
      </w:r>
      <w:r w:rsidRPr="00167B84">
        <w:rPr>
          <w:rFonts w:ascii="Arial" w:hAnsi="Arial" w:cs="Arial"/>
          <w:sz w:val="22"/>
          <w:szCs w:val="22"/>
        </w:rPr>
        <w:t>if</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informer</w:t>
      </w:r>
      <w:r>
        <w:rPr>
          <w:rFonts w:ascii="Arial" w:hAnsi="Arial" w:cs="Arial"/>
          <w:sz w:val="22"/>
          <w:szCs w:val="22"/>
        </w:rPr>
        <w:t xml:space="preserve"> </w:t>
      </w:r>
      <w:r w:rsidRPr="00167B84">
        <w:rPr>
          <w:rFonts w:ascii="Arial" w:hAnsi="Arial" w:cs="Arial"/>
          <w:sz w:val="22"/>
          <w:szCs w:val="22"/>
        </w:rPr>
        <w:t>manipulates</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relationship</w:t>
      </w:r>
      <w:r>
        <w:rPr>
          <w:rFonts w:ascii="Arial" w:hAnsi="Arial" w:cs="Arial"/>
          <w:sz w:val="22"/>
          <w:szCs w:val="22"/>
        </w:rPr>
        <w:t xml:space="preserve"> </w:t>
      </w:r>
      <w:r w:rsidRPr="00167B84">
        <w:rPr>
          <w:rFonts w:ascii="Arial" w:hAnsi="Arial" w:cs="Arial"/>
          <w:sz w:val="22"/>
          <w:szCs w:val="22"/>
        </w:rPr>
        <w:t>with</w:t>
      </w:r>
      <w:r>
        <w:rPr>
          <w:rFonts w:ascii="Arial" w:hAnsi="Arial" w:cs="Arial"/>
          <w:sz w:val="22"/>
          <w:szCs w:val="22"/>
        </w:rPr>
        <w:t xml:space="preserve"> </w:t>
      </w:r>
      <w:r w:rsidRPr="00167B84">
        <w:rPr>
          <w:rFonts w:ascii="Arial" w:hAnsi="Arial" w:cs="Arial"/>
          <w:sz w:val="22"/>
          <w:szCs w:val="22"/>
        </w:rPr>
        <w:t>the</w:t>
      </w:r>
      <w:r>
        <w:rPr>
          <w:rFonts w:ascii="Arial" w:hAnsi="Arial" w:cs="Arial"/>
          <w:sz w:val="22"/>
          <w:szCs w:val="22"/>
        </w:rPr>
        <w:t xml:space="preserve"> </w:t>
      </w:r>
      <w:r w:rsidRPr="00167B84">
        <w:rPr>
          <w:rFonts w:ascii="Arial" w:hAnsi="Arial" w:cs="Arial"/>
          <w:sz w:val="22"/>
          <w:szCs w:val="22"/>
        </w:rPr>
        <w:t>authorities</w:t>
      </w:r>
      <w:r>
        <w:rPr>
          <w:rFonts w:ascii="Arial" w:hAnsi="Arial" w:cs="Arial"/>
          <w:sz w:val="22"/>
          <w:szCs w:val="22"/>
        </w:rPr>
        <w:t xml:space="preserve"> </w:t>
      </w:r>
      <w:r w:rsidRPr="00167B84">
        <w:rPr>
          <w:rFonts w:ascii="Arial" w:hAnsi="Arial" w:cs="Arial"/>
          <w:sz w:val="22"/>
          <w:szCs w:val="22"/>
        </w:rPr>
        <w:t>for</w:t>
      </w:r>
      <w:r>
        <w:rPr>
          <w:rFonts w:ascii="Arial" w:hAnsi="Arial" w:cs="Arial"/>
          <w:sz w:val="22"/>
          <w:szCs w:val="22"/>
        </w:rPr>
        <w:t xml:space="preserve"> </w:t>
      </w:r>
      <w:r w:rsidRPr="00167B84">
        <w:rPr>
          <w:rFonts w:ascii="Arial" w:hAnsi="Arial" w:cs="Arial"/>
          <w:sz w:val="22"/>
          <w:szCs w:val="22"/>
        </w:rPr>
        <w:t>reasons</w:t>
      </w:r>
      <w:r>
        <w:rPr>
          <w:rFonts w:ascii="Arial" w:hAnsi="Arial" w:cs="Arial"/>
          <w:sz w:val="22"/>
          <w:szCs w:val="22"/>
        </w:rPr>
        <w:t xml:space="preserve"> </w:t>
      </w:r>
      <w:r w:rsidRPr="00167B84">
        <w:rPr>
          <w:rFonts w:ascii="Arial" w:hAnsi="Arial" w:cs="Arial"/>
          <w:sz w:val="22"/>
          <w:szCs w:val="22"/>
        </w:rPr>
        <w:t>other</w:t>
      </w:r>
      <w:r>
        <w:rPr>
          <w:rFonts w:ascii="Arial" w:hAnsi="Arial" w:cs="Arial"/>
          <w:sz w:val="22"/>
          <w:szCs w:val="22"/>
        </w:rPr>
        <w:t xml:space="preserve"> </w:t>
      </w:r>
      <w:r w:rsidRPr="00167B84">
        <w:rPr>
          <w:rFonts w:ascii="Arial" w:hAnsi="Arial" w:cs="Arial"/>
          <w:sz w:val="22"/>
          <w:szCs w:val="22"/>
        </w:rPr>
        <w:t>than</w:t>
      </w:r>
      <w:r>
        <w:rPr>
          <w:rFonts w:ascii="Arial" w:hAnsi="Arial" w:cs="Arial"/>
          <w:sz w:val="22"/>
          <w:szCs w:val="22"/>
        </w:rPr>
        <w:t xml:space="preserve"> </w:t>
      </w:r>
      <w:r w:rsidRPr="00167B84">
        <w:rPr>
          <w:rFonts w:ascii="Arial" w:hAnsi="Arial" w:cs="Arial"/>
          <w:sz w:val="22"/>
          <w:szCs w:val="22"/>
        </w:rPr>
        <w:t>simply</w:t>
      </w:r>
      <w:r>
        <w:rPr>
          <w:rFonts w:ascii="Arial" w:hAnsi="Arial" w:cs="Arial"/>
          <w:sz w:val="22"/>
          <w:szCs w:val="22"/>
        </w:rPr>
        <w:t xml:space="preserve"> </w:t>
      </w:r>
      <w:r w:rsidRPr="00167B84">
        <w:rPr>
          <w:rFonts w:ascii="Arial" w:hAnsi="Arial" w:cs="Arial"/>
          <w:sz w:val="22"/>
          <w:szCs w:val="22"/>
        </w:rPr>
        <w:t>being</w:t>
      </w:r>
      <w:r>
        <w:rPr>
          <w:rFonts w:ascii="Arial" w:hAnsi="Arial" w:cs="Arial"/>
          <w:sz w:val="22"/>
          <w:szCs w:val="22"/>
        </w:rPr>
        <w:t xml:space="preserve"> </w:t>
      </w:r>
      <w:r w:rsidRPr="00167B84">
        <w:rPr>
          <w:rFonts w:ascii="Arial" w:hAnsi="Arial" w:cs="Arial"/>
          <w:sz w:val="22"/>
          <w:szCs w:val="22"/>
        </w:rPr>
        <w:t>rewarded</w:t>
      </w:r>
      <w:r>
        <w:rPr>
          <w:rFonts w:ascii="Arial" w:hAnsi="Arial" w:cs="Arial"/>
          <w:sz w:val="22"/>
          <w:szCs w:val="22"/>
        </w:rPr>
        <w:t xml:space="preserve"> </w:t>
      </w:r>
      <w:r w:rsidRPr="00167B84">
        <w:rPr>
          <w:rFonts w:ascii="Arial" w:hAnsi="Arial" w:cs="Arial"/>
          <w:sz w:val="22"/>
          <w:szCs w:val="22"/>
        </w:rPr>
        <w:t>for</w:t>
      </w:r>
      <w:r>
        <w:rPr>
          <w:rFonts w:ascii="Arial" w:hAnsi="Arial" w:cs="Arial"/>
          <w:sz w:val="22"/>
          <w:szCs w:val="22"/>
        </w:rPr>
        <w:t xml:space="preserve"> </w:t>
      </w:r>
      <w:r w:rsidRPr="00167B84">
        <w:rPr>
          <w:rFonts w:ascii="Arial" w:hAnsi="Arial" w:cs="Arial"/>
          <w:sz w:val="22"/>
          <w:szCs w:val="22"/>
        </w:rPr>
        <w:t>information</w:t>
      </w:r>
      <w:r>
        <w:rPr>
          <w:rFonts w:ascii="Arial" w:hAnsi="Arial" w:cs="Arial"/>
          <w:sz w:val="22"/>
          <w:szCs w:val="22"/>
        </w:rPr>
        <w:t xml:space="preserve"> </w:t>
      </w:r>
      <w:r w:rsidRPr="00167B84">
        <w:rPr>
          <w:rFonts w:ascii="Arial" w:hAnsi="Arial" w:cs="Arial"/>
          <w:sz w:val="22"/>
          <w:szCs w:val="22"/>
        </w:rPr>
        <w:t>provided</w:t>
      </w:r>
      <w:r w:rsidR="003A2ADE">
        <w:rPr>
          <w:rFonts w:ascii="Arial" w:hAnsi="Arial" w:cs="Arial"/>
          <w:sz w:val="22"/>
          <w:szCs w:val="22"/>
        </w:rPr>
        <w:t>’</w:t>
      </w:r>
      <w:r>
        <w:rPr>
          <w:rFonts w:ascii="Arial" w:hAnsi="Arial" w:cs="Arial"/>
          <w:sz w:val="22"/>
          <w:szCs w:val="22"/>
        </w:rPr>
        <w:t xml:space="preserve"> (Hartfield, 2019)</w:t>
      </w:r>
      <w:r w:rsidR="003A2ADE">
        <w:rPr>
          <w:rFonts w:ascii="Arial" w:hAnsi="Arial" w:cs="Arial"/>
          <w:sz w:val="22"/>
          <w:szCs w:val="22"/>
        </w:rPr>
        <w:t>.</w:t>
      </w:r>
    </w:p>
    <w:p w14:paraId="624093A8" w14:textId="626D74B0" w:rsidR="002D1B86" w:rsidRDefault="002D1B86" w:rsidP="000D47CD">
      <w:pPr>
        <w:rPr>
          <w:rFonts w:ascii="Arial" w:hAnsi="Arial" w:cs="Arial"/>
          <w:sz w:val="22"/>
          <w:szCs w:val="22"/>
        </w:rPr>
      </w:pPr>
    </w:p>
    <w:p w14:paraId="78552687" w14:textId="25FD9237" w:rsidR="00434714" w:rsidRDefault="003A2ADE" w:rsidP="000D47CD">
      <w:pPr>
        <w:rPr>
          <w:rFonts w:ascii="Arial" w:hAnsi="Arial" w:cs="Arial"/>
          <w:sz w:val="22"/>
          <w:szCs w:val="22"/>
        </w:rPr>
      </w:pPr>
      <w:r>
        <w:rPr>
          <w:rFonts w:ascii="Arial" w:hAnsi="Arial" w:cs="Arial"/>
          <w:sz w:val="22"/>
          <w:szCs w:val="22"/>
        </w:rPr>
        <w:t xml:space="preserve">Another concern which has been highlighted by The Guardian back in 2020 when the discussion arose regarding the new bill for the conduct of sources in relation to criminality, especially those who are police </w:t>
      </w:r>
      <w:r w:rsidR="00703674">
        <w:rPr>
          <w:rFonts w:ascii="Arial" w:hAnsi="Arial" w:cs="Arial"/>
          <w:sz w:val="22"/>
          <w:szCs w:val="22"/>
        </w:rPr>
        <w:t>officer’s</w:t>
      </w:r>
      <w:r>
        <w:rPr>
          <w:rFonts w:ascii="Arial" w:hAnsi="Arial" w:cs="Arial"/>
          <w:sz w:val="22"/>
          <w:szCs w:val="22"/>
        </w:rPr>
        <w:t xml:space="preserve"> undercover, raised was ‘</w:t>
      </w:r>
      <w:r w:rsidRPr="003A2ADE">
        <w:rPr>
          <w:rFonts w:ascii="Arial" w:hAnsi="Arial" w:cs="Arial"/>
          <w:sz w:val="22"/>
          <w:szCs w:val="22"/>
        </w:rPr>
        <w:t>Of further concern is the fact that authorisation is provided by those overseeing investigations, rather than by an external figure, such as a judge</w:t>
      </w:r>
      <w:r>
        <w:rPr>
          <w:rFonts w:ascii="Arial" w:hAnsi="Arial" w:cs="Arial"/>
          <w:sz w:val="22"/>
          <w:szCs w:val="22"/>
        </w:rPr>
        <w:t>’ (The Guardian 2020). This is due to the fact that senior ranking police officers are the decision mak</w:t>
      </w:r>
      <w:r w:rsidR="00703674">
        <w:rPr>
          <w:rFonts w:ascii="Arial" w:hAnsi="Arial" w:cs="Arial"/>
          <w:sz w:val="22"/>
          <w:szCs w:val="22"/>
        </w:rPr>
        <w:t xml:space="preserve">ers with regards to the conduct and authorisation of any CHIS. </w:t>
      </w:r>
    </w:p>
    <w:p w14:paraId="1AB16C92" w14:textId="77777777" w:rsidR="00434714" w:rsidRDefault="00434714" w:rsidP="000D47CD">
      <w:pPr>
        <w:rPr>
          <w:rFonts w:ascii="Arial" w:hAnsi="Arial" w:cs="Arial"/>
          <w:sz w:val="22"/>
          <w:szCs w:val="22"/>
        </w:rPr>
      </w:pPr>
    </w:p>
    <w:p w14:paraId="07F5C918" w14:textId="123DDE8F" w:rsidR="00E56593" w:rsidRDefault="00703674" w:rsidP="000D47CD">
      <w:pPr>
        <w:rPr>
          <w:rFonts w:ascii="Arial" w:hAnsi="Arial" w:cs="Arial"/>
          <w:sz w:val="22"/>
          <w:szCs w:val="22"/>
        </w:rPr>
      </w:pPr>
      <w:r>
        <w:rPr>
          <w:rFonts w:ascii="Arial" w:hAnsi="Arial" w:cs="Arial"/>
          <w:sz w:val="22"/>
          <w:szCs w:val="22"/>
        </w:rPr>
        <w:t>In conclusion, gathering</w:t>
      </w:r>
      <w:r w:rsidR="00B92A90">
        <w:rPr>
          <w:rFonts w:ascii="Arial" w:hAnsi="Arial" w:cs="Arial"/>
          <w:sz w:val="22"/>
          <w:szCs w:val="22"/>
        </w:rPr>
        <w:t xml:space="preserve"> information and</w:t>
      </w:r>
      <w:r>
        <w:rPr>
          <w:rFonts w:ascii="Arial" w:hAnsi="Arial" w:cs="Arial"/>
          <w:sz w:val="22"/>
          <w:szCs w:val="22"/>
        </w:rPr>
        <w:t xml:space="preserve"> intelligence is an integral part of policing and the methods that currently get used, work for police and provide necessary intelligence to be acted upon and used effectively. However, there are concerns surrounding particular methods of gathering intelligence as stated with regards the use of CHIS and undercover police officers and the risks that are posed to both the organisation and the person acting as the CHIS. The legitimacy of that particular source of intelligence is brought into question when police are involved throughout the process. </w:t>
      </w:r>
    </w:p>
    <w:p w14:paraId="6A8FBCB5" w14:textId="274764C4" w:rsidR="00693140" w:rsidRDefault="00693140" w:rsidP="000D47CD">
      <w:pPr>
        <w:rPr>
          <w:rFonts w:ascii="Arial" w:hAnsi="Arial" w:cs="Arial"/>
          <w:sz w:val="22"/>
          <w:szCs w:val="22"/>
        </w:rPr>
      </w:pPr>
    </w:p>
    <w:p w14:paraId="78F17416" w14:textId="07E03E51" w:rsidR="00693140" w:rsidRDefault="00693140" w:rsidP="000D47CD">
      <w:pPr>
        <w:rPr>
          <w:rFonts w:ascii="Arial" w:hAnsi="Arial" w:cs="Arial"/>
          <w:i/>
          <w:iCs/>
          <w:sz w:val="22"/>
          <w:szCs w:val="22"/>
        </w:rPr>
      </w:pPr>
      <w:r w:rsidRPr="00693140">
        <w:rPr>
          <w:rFonts w:ascii="Arial" w:hAnsi="Arial" w:cs="Arial"/>
          <w:i/>
          <w:iCs/>
          <w:sz w:val="22"/>
          <w:szCs w:val="22"/>
        </w:rPr>
        <w:t>1100 words</w:t>
      </w:r>
    </w:p>
    <w:p w14:paraId="40C35E1A" w14:textId="21FDD986" w:rsidR="00F858DE" w:rsidRDefault="00F858DE" w:rsidP="000D47CD">
      <w:pPr>
        <w:rPr>
          <w:rFonts w:ascii="Arial" w:hAnsi="Arial" w:cs="Arial"/>
          <w:i/>
          <w:iCs/>
          <w:sz w:val="22"/>
          <w:szCs w:val="22"/>
        </w:rPr>
      </w:pPr>
    </w:p>
    <w:p w14:paraId="228EA77F" w14:textId="55BC875B" w:rsidR="00F858DE" w:rsidRDefault="00F858DE" w:rsidP="000D47CD">
      <w:pPr>
        <w:rPr>
          <w:rFonts w:ascii="Arial" w:hAnsi="Arial" w:cs="Arial"/>
          <w:i/>
          <w:iCs/>
          <w:sz w:val="22"/>
          <w:szCs w:val="22"/>
        </w:rPr>
      </w:pPr>
    </w:p>
    <w:p w14:paraId="3CA18E31" w14:textId="1CD8C95E" w:rsidR="00F858DE" w:rsidRDefault="00F858DE" w:rsidP="000D47CD">
      <w:pPr>
        <w:rPr>
          <w:rFonts w:ascii="Arial" w:hAnsi="Arial" w:cs="Arial"/>
          <w:i/>
          <w:iCs/>
          <w:sz w:val="22"/>
          <w:szCs w:val="22"/>
        </w:rPr>
      </w:pPr>
    </w:p>
    <w:p w14:paraId="43B1CD47" w14:textId="171CE421" w:rsidR="00F858DE" w:rsidRDefault="00F858DE" w:rsidP="000D47CD">
      <w:pPr>
        <w:rPr>
          <w:rFonts w:ascii="Arial" w:hAnsi="Arial" w:cs="Arial"/>
          <w:i/>
          <w:iCs/>
          <w:sz w:val="22"/>
          <w:szCs w:val="22"/>
        </w:rPr>
      </w:pPr>
    </w:p>
    <w:p w14:paraId="4A687677" w14:textId="2495A114" w:rsidR="00F858DE" w:rsidRDefault="00F858DE" w:rsidP="000D47CD">
      <w:pPr>
        <w:rPr>
          <w:rFonts w:ascii="Arial" w:hAnsi="Arial" w:cs="Arial"/>
          <w:i/>
          <w:iCs/>
          <w:sz w:val="22"/>
          <w:szCs w:val="22"/>
        </w:rPr>
      </w:pPr>
    </w:p>
    <w:p w14:paraId="1B513AAF" w14:textId="16450AD1" w:rsidR="00F858DE" w:rsidRDefault="00F858DE" w:rsidP="000D47CD">
      <w:pPr>
        <w:rPr>
          <w:rFonts w:ascii="Arial" w:hAnsi="Arial" w:cs="Arial"/>
          <w:i/>
          <w:iCs/>
          <w:sz w:val="22"/>
          <w:szCs w:val="22"/>
        </w:rPr>
      </w:pPr>
    </w:p>
    <w:p w14:paraId="71BCB316" w14:textId="6F2F57EA" w:rsidR="00F858DE" w:rsidRDefault="00F858DE" w:rsidP="000D47CD">
      <w:pPr>
        <w:rPr>
          <w:rFonts w:ascii="Arial" w:hAnsi="Arial" w:cs="Arial"/>
          <w:i/>
          <w:iCs/>
          <w:sz w:val="22"/>
          <w:szCs w:val="22"/>
        </w:rPr>
      </w:pPr>
    </w:p>
    <w:p w14:paraId="064C8ED8" w14:textId="4210980F" w:rsidR="00F858DE" w:rsidRDefault="00F858DE" w:rsidP="000D47CD">
      <w:pPr>
        <w:rPr>
          <w:rFonts w:ascii="Arial" w:hAnsi="Arial" w:cs="Arial"/>
          <w:i/>
          <w:iCs/>
          <w:sz w:val="22"/>
          <w:szCs w:val="22"/>
        </w:rPr>
      </w:pPr>
    </w:p>
    <w:p w14:paraId="11A65C02" w14:textId="36246310" w:rsidR="00F858DE" w:rsidRDefault="00F858DE" w:rsidP="000D47CD">
      <w:pPr>
        <w:rPr>
          <w:rFonts w:ascii="Arial" w:hAnsi="Arial" w:cs="Arial"/>
          <w:i/>
          <w:iCs/>
          <w:sz w:val="22"/>
          <w:szCs w:val="22"/>
        </w:rPr>
      </w:pPr>
    </w:p>
    <w:p w14:paraId="2CF92857" w14:textId="6D8D6F0A" w:rsidR="00F858DE" w:rsidRDefault="00F858DE" w:rsidP="000D47CD">
      <w:pPr>
        <w:rPr>
          <w:rFonts w:ascii="Arial" w:hAnsi="Arial" w:cs="Arial"/>
          <w:i/>
          <w:iCs/>
          <w:sz w:val="22"/>
          <w:szCs w:val="22"/>
        </w:rPr>
      </w:pPr>
    </w:p>
    <w:p w14:paraId="65E9BFE0" w14:textId="5372EE48" w:rsidR="00F858DE" w:rsidRDefault="00F858DE" w:rsidP="000D47CD">
      <w:pPr>
        <w:rPr>
          <w:rFonts w:ascii="Arial" w:hAnsi="Arial" w:cs="Arial"/>
          <w:i/>
          <w:iCs/>
          <w:sz w:val="22"/>
          <w:szCs w:val="22"/>
        </w:rPr>
      </w:pPr>
    </w:p>
    <w:p w14:paraId="7B2C2E4C" w14:textId="68F91A42" w:rsidR="00F858DE" w:rsidRDefault="00F858DE" w:rsidP="000D47CD">
      <w:pPr>
        <w:rPr>
          <w:rFonts w:ascii="Arial" w:hAnsi="Arial" w:cs="Arial"/>
          <w:i/>
          <w:iCs/>
          <w:sz w:val="22"/>
          <w:szCs w:val="22"/>
        </w:rPr>
      </w:pPr>
    </w:p>
    <w:p w14:paraId="37715189" w14:textId="1151BC67" w:rsidR="00F858DE" w:rsidRDefault="00F858DE" w:rsidP="000D47CD">
      <w:pPr>
        <w:rPr>
          <w:rFonts w:ascii="Arial" w:hAnsi="Arial" w:cs="Arial"/>
          <w:i/>
          <w:iCs/>
          <w:sz w:val="22"/>
          <w:szCs w:val="22"/>
        </w:rPr>
      </w:pPr>
    </w:p>
    <w:p w14:paraId="3DCDBF53" w14:textId="77777777" w:rsidR="00F858DE" w:rsidRPr="00E808D5" w:rsidRDefault="00F858DE" w:rsidP="00F858DE">
      <w:pPr>
        <w:spacing w:line="257" w:lineRule="auto"/>
        <w:ind w:left="567" w:right="531"/>
        <w:rPr>
          <w:rFonts w:ascii="Arial" w:hAnsi="Arial" w:cs="Arial"/>
          <w:b/>
          <w:bCs/>
          <w:sz w:val="22"/>
          <w:szCs w:val="22"/>
          <w:u w:val="single"/>
        </w:rPr>
      </w:pPr>
      <w:r w:rsidRPr="00E808D5">
        <w:rPr>
          <w:rFonts w:ascii="Arial" w:hAnsi="Arial" w:cs="Arial"/>
          <w:b/>
          <w:bCs/>
          <w:sz w:val="22"/>
          <w:szCs w:val="22"/>
          <w:u w:val="single"/>
        </w:rPr>
        <w:lastRenderedPageBreak/>
        <w:t xml:space="preserve">Essay four: </w:t>
      </w:r>
    </w:p>
    <w:p w14:paraId="1931A068" w14:textId="77777777" w:rsidR="00F858DE" w:rsidRPr="00E808D5" w:rsidRDefault="00F858DE" w:rsidP="00F858DE">
      <w:pPr>
        <w:spacing w:line="257" w:lineRule="auto"/>
        <w:ind w:left="567" w:right="531"/>
        <w:rPr>
          <w:rFonts w:ascii="Arial" w:eastAsia="Calibri" w:hAnsi="Arial" w:cs="Arial"/>
          <w:sz w:val="22"/>
          <w:szCs w:val="22"/>
          <w:u w:val="single"/>
        </w:rPr>
      </w:pPr>
      <w:r w:rsidRPr="00E808D5">
        <w:rPr>
          <w:rFonts w:ascii="Arial" w:eastAsia="Calibri" w:hAnsi="Arial" w:cs="Arial"/>
          <w:sz w:val="22"/>
          <w:szCs w:val="22"/>
          <w:u w:val="single"/>
        </w:rP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0F540361" w14:textId="28845653" w:rsidR="00F858DE" w:rsidRDefault="00F858DE" w:rsidP="000D47CD">
      <w:pPr>
        <w:rPr>
          <w:rFonts w:ascii="Arial" w:hAnsi="Arial" w:cs="Arial"/>
          <w:sz w:val="22"/>
          <w:szCs w:val="22"/>
        </w:rPr>
      </w:pPr>
    </w:p>
    <w:p w14:paraId="77F088E3" w14:textId="61C06B64" w:rsidR="00A37F4B" w:rsidRDefault="00A37F4B" w:rsidP="000D47CD">
      <w:pPr>
        <w:rPr>
          <w:rFonts w:ascii="Arial" w:hAnsi="Arial" w:cs="Arial"/>
          <w:sz w:val="22"/>
          <w:szCs w:val="22"/>
        </w:rPr>
      </w:pPr>
    </w:p>
    <w:p w14:paraId="2DE4D025" w14:textId="2E6732F4" w:rsidR="00A37F4B" w:rsidRDefault="00A37F4B" w:rsidP="000D47CD">
      <w:pPr>
        <w:rPr>
          <w:rFonts w:ascii="Arial" w:hAnsi="Arial" w:cs="Arial"/>
          <w:sz w:val="22"/>
          <w:szCs w:val="22"/>
        </w:rPr>
      </w:pPr>
      <w:r>
        <w:rPr>
          <w:rFonts w:ascii="Arial" w:hAnsi="Arial" w:cs="Arial"/>
          <w:sz w:val="22"/>
          <w:szCs w:val="22"/>
        </w:rPr>
        <w:t>There are many different definitions and categories of a victim within both the law and literature, however the Crown Prosecution define it using the victims code as ‘</w:t>
      </w:r>
      <w:r w:rsidRPr="00A37F4B">
        <w:rPr>
          <w:rFonts w:ascii="Arial" w:hAnsi="Arial" w:cs="Arial"/>
          <w:sz w:val="22"/>
          <w:szCs w:val="22"/>
        </w:rPr>
        <w:t>a person who has suffered harm, including physical, mental or emotional harm or economic loss which was directly caused by a criminal offence</w:t>
      </w:r>
      <w:r>
        <w:rPr>
          <w:rFonts w:ascii="Arial" w:hAnsi="Arial" w:cs="Arial"/>
          <w:sz w:val="22"/>
          <w:szCs w:val="22"/>
        </w:rPr>
        <w:t>’ (CPS, 2021)</w:t>
      </w:r>
      <w:r w:rsidR="004C053F">
        <w:rPr>
          <w:rFonts w:ascii="Arial" w:hAnsi="Arial" w:cs="Arial"/>
          <w:sz w:val="22"/>
          <w:szCs w:val="22"/>
        </w:rPr>
        <w:t xml:space="preserve">. </w:t>
      </w:r>
      <w:r w:rsidR="009F1F4D">
        <w:rPr>
          <w:rFonts w:ascii="Arial" w:hAnsi="Arial" w:cs="Arial"/>
          <w:sz w:val="22"/>
          <w:szCs w:val="22"/>
        </w:rPr>
        <w:t xml:space="preserve">Victims of crime are taken very seriously within the police services in the UK and are seen as being the centre of the investigation, with their feelings and </w:t>
      </w:r>
      <w:r w:rsidR="00E516B0">
        <w:rPr>
          <w:rFonts w:ascii="Arial" w:hAnsi="Arial" w:cs="Arial"/>
          <w:sz w:val="22"/>
          <w:szCs w:val="22"/>
        </w:rPr>
        <w:t xml:space="preserve">wishes considered at all times. Sometimes, the direct victim of a crime, for example, a female victim who has been assaulted by her male husband, is a victim of domestic abuse and assault, but for there was a child also present, that child also becomes a victim of the abuse and incident due to the effect that it will have on them, this is considered as indirect impact. There are </w:t>
      </w:r>
      <w:r w:rsidR="00036214">
        <w:rPr>
          <w:rFonts w:ascii="Arial" w:hAnsi="Arial" w:cs="Arial"/>
          <w:sz w:val="22"/>
          <w:szCs w:val="22"/>
        </w:rPr>
        <w:t>various</w:t>
      </w:r>
      <w:r w:rsidR="00E516B0">
        <w:rPr>
          <w:rFonts w:ascii="Arial" w:hAnsi="Arial" w:cs="Arial"/>
          <w:sz w:val="22"/>
          <w:szCs w:val="22"/>
        </w:rPr>
        <w:t xml:space="preserve"> types of victims that all require different needs and levels of support and service from agencies and the police dependent on the impact that the crime or incident has had on them. </w:t>
      </w:r>
      <w:r w:rsidR="00036214">
        <w:rPr>
          <w:rFonts w:ascii="Arial" w:hAnsi="Arial" w:cs="Arial"/>
          <w:sz w:val="22"/>
          <w:szCs w:val="22"/>
        </w:rPr>
        <w:t>For instance, different crimes have different impacts on people such as a financial impact, physical impact, mental impact and</w:t>
      </w:r>
      <w:r w:rsidR="006B4A45">
        <w:rPr>
          <w:rFonts w:ascii="Arial" w:hAnsi="Arial" w:cs="Arial"/>
          <w:sz w:val="22"/>
          <w:szCs w:val="22"/>
        </w:rPr>
        <w:t xml:space="preserve"> indirect impact </w:t>
      </w:r>
      <w:r w:rsidR="00F66A5A">
        <w:rPr>
          <w:rFonts w:ascii="Arial" w:hAnsi="Arial" w:cs="Arial"/>
          <w:sz w:val="22"/>
          <w:szCs w:val="22"/>
        </w:rPr>
        <w:t xml:space="preserve">is where people around the victim become affected </w:t>
      </w:r>
      <w:r w:rsidR="006B4A45">
        <w:rPr>
          <w:rFonts w:ascii="Arial" w:hAnsi="Arial" w:cs="Arial"/>
          <w:sz w:val="22"/>
          <w:szCs w:val="22"/>
        </w:rPr>
        <w:t xml:space="preserve">which can cause problems in familiar settings or relationships </w:t>
      </w:r>
      <w:r w:rsidR="001E2AAD">
        <w:rPr>
          <w:rFonts w:ascii="Arial" w:hAnsi="Arial" w:cs="Arial"/>
          <w:sz w:val="22"/>
          <w:szCs w:val="22"/>
        </w:rPr>
        <w:t>(</w:t>
      </w:r>
      <w:r w:rsidR="001E2AAD" w:rsidRPr="001E2AAD">
        <w:rPr>
          <w:rFonts w:ascii="Arial" w:hAnsi="Arial" w:cs="Arial"/>
          <w:sz w:val="22"/>
          <w:szCs w:val="22"/>
        </w:rPr>
        <w:t>Dinisman and Moroz</w:t>
      </w:r>
      <w:r w:rsidR="001E2AAD">
        <w:rPr>
          <w:rFonts w:ascii="Arial" w:hAnsi="Arial" w:cs="Arial"/>
          <w:sz w:val="22"/>
          <w:szCs w:val="22"/>
        </w:rPr>
        <w:t xml:space="preserve">, 2017). </w:t>
      </w:r>
    </w:p>
    <w:p w14:paraId="5104100C" w14:textId="77777777" w:rsidR="001E2AAD" w:rsidRDefault="001E2AAD" w:rsidP="00430FED">
      <w:pPr>
        <w:rPr>
          <w:rFonts w:ascii="Arial" w:hAnsi="Arial" w:cs="Arial"/>
          <w:sz w:val="22"/>
          <w:szCs w:val="22"/>
        </w:rPr>
      </w:pPr>
    </w:p>
    <w:p w14:paraId="30AF336C" w14:textId="5F57D425" w:rsidR="006B4A45" w:rsidRDefault="00AC6800" w:rsidP="00430FED">
      <w:pPr>
        <w:rPr>
          <w:rFonts w:ascii="Arial" w:hAnsi="Arial" w:cs="Arial"/>
          <w:sz w:val="22"/>
          <w:szCs w:val="22"/>
        </w:rPr>
      </w:pPr>
      <w:r>
        <w:rPr>
          <w:rFonts w:ascii="Arial" w:hAnsi="Arial" w:cs="Arial"/>
          <w:sz w:val="22"/>
          <w:szCs w:val="22"/>
        </w:rPr>
        <w:t>The types of effects that crimes can have on victims varies depending on the severity and sometimes the resilience of the victim, depending on how serious they feel it has changed or effected their lives. The</w:t>
      </w:r>
      <w:r w:rsidR="00A53FC4">
        <w:rPr>
          <w:rFonts w:ascii="Arial" w:hAnsi="Arial" w:cs="Arial"/>
          <w:sz w:val="22"/>
          <w:szCs w:val="22"/>
        </w:rPr>
        <w:t xml:space="preserve"> aftermath for the victim can sometimes have long term affects on their life, rather than just the initial experiences of upset and </w:t>
      </w:r>
      <w:r w:rsidR="00430FED">
        <w:rPr>
          <w:rFonts w:ascii="Arial" w:hAnsi="Arial" w:cs="Arial"/>
          <w:sz w:val="22"/>
          <w:szCs w:val="22"/>
        </w:rPr>
        <w:t>short-term</w:t>
      </w:r>
      <w:r w:rsidR="00A53FC4">
        <w:rPr>
          <w:rFonts w:ascii="Arial" w:hAnsi="Arial" w:cs="Arial"/>
          <w:sz w:val="22"/>
          <w:szCs w:val="22"/>
        </w:rPr>
        <w:t xml:space="preserve"> emotional impact. </w:t>
      </w:r>
      <w:r w:rsidR="00430FED" w:rsidRPr="00430FED">
        <w:rPr>
          <w:rFonts w:ascii="Arial" w:hAnsi="Arial" w:cs="Arial"/>
          <w:sz w:val="22"/>
          <w:szCs w:val="22"/>
        </w:rPr>
        <w:t>Eidell Wasserman and Carroll Ellis</w:t>
      </w:r>
      <w:r w:rsidR="00430FED">
        <w:rPr>
          <w:rFonts w:ascii="Arial" w:hAnsi="Arial" w:cs="Arial"/>
          <w:sz w:val="22"/>
          <w:szCs w:val="22"/>
        </w:rPr>
        <w:t xml:space="preserve"> explain in their study of victimisation that </w:t>
      </w:r>
      <w:r w:rsidR="00430FED" w:rsidRPr="00430FED">
        <w:rPr>
          <w:rFonts w:ascii="Arial" w:hAnsi="Arial" w:cs="Arial"/>
          <w:sz w:val="22"/>
          <w:szCs w:val="22"/>
        </w:rPr>
        <w:t>if victim trauma is neither identified nor addressed with mental health assistance, the initial and short-term trauma reactions can exacerbate and turn into long-term trauma reactions</w:t>
      </w:r>
      <w:r w:rsidR="00430FED">
        <w:rPr>
          <w:rFonts w:ascii="Arial" w:hAnsi="Arial" w:cs="Arial"/>
          <w:sz w:val="22"/>
          <w:szCs w:val="22"/>
        </w:rPr>
        <w:t xml:space="preserve"> which can include, major depression,</w:t>
      </w:r>
      <w:r w:rsidR="005C7F51">
        <w:rPr>
          <w:rFonts w:ascii="Arial" w:hAnsi="Arial" w:cs="Arial"/>
          <w:sz w:val="22"/>
          <w:szCs w:val="22"/>
        </w:rPr>
        <w:t xml:space="preserve"> PTSD,</w:t>
      </w:r>
      <w:r w:rsidR="00430FED">
        <w:rPr>
          <w:rFonts w:ascii="Arial" w:hAnsi="Arial" w:cs="Arial"/>
          <w:sz w:val="22"/>
          <w:szCs w:val="22"/>
        </w:rPr>
        <w:t xml:space="preserve"> thoughts of suicide or suicide attempts, use and abuse of drugs or alcohol, anxiety disorders, changed view of the world being a safe place and also increased risk of further victimization</w:t>
      </w:r>
      <w:r w:rsidR="00D874E5">
        <w:rPr>
          <w:rFonts w:ascii="Arial" w:hAnsi="Arial" w:cs="Arial"/>
          <w:sz w:val="22"/>
          <w:szCs w:val="22"/>
        </w:rPr>
        <w:t xml:space="preserve"> (Wasserman and Ellis, 2010). </w:t>
      </w:r>
    </w:p>
    <w:p w14:paraId="0B4848DD" w14:textId="0693F388" w:rsidR="00D874E5" w:rsidRDefault="00AE70B3" w:rsidP="00430FED">
      <w:pPr>
        <w:rPr>
          <w:rFonts w:ascii="Arial" w:hAnsi="Arial" w:cs="Arial"/>
          <w:sz w:val="22"/>
          <w:szCs w:val="22"/>
        </w:rPr>
      </w:pPr>
      <w:r>
        <w:rPr>
          <w:rFonts w:ascii="Arial" w:hAnsi="Arial" w:cs="Arial"/>
          <w:sz w:val="22"/>
          <w:szCs w:val="22"/>
        </w:rPr>
        <w:t xml:space="preserve">Another risk to persons who are victims of crimes such as domestic and child abuse crimes, more so in the repeat victims, they become bonded to their abuser and the relationships contain what is considered insane loyalty and attachment. </w:t>
      </w:r>
    </w:p>
    <w:p w14:paraId="74F2543D" w14:textId="76D4D001" w:rsidR="00AE70B3" w:rsidRDefault="00AE70B3" w:rsidP="00430FED">
      <w:pPr>
        <w:rPr>
          <w:rFonts w:ascii="Arial" w:hAnsi="Arial" w:cs="Arial"/>
          <w:sz w:val="22"/>
          <w:szCs w:val="22"/>
        </w:rPr>
      </w:pPr>
      <w:r>
        <w:rPr>
          <w:rFonts w:ascii="Arial" w:hAnsi="Arial" w:cs="Arial"/>
          <w:sz w:val="22"/>
          <w:szCs w:val="22"/>
        </w:rPr>
        <w:t xml:space="preserve">As defined by Patrick Carnes ‘These are all people who stay involved or wish to stay involved with people who betray them…emotional pain, severe consequences and even the prospect of death do not stop their caring or commitment. Clinicians call this traumatic bonding. This means that the victims have a certain dysfunctional attachment that occurs in the presence of danger, shame or exploitation’ (Carnes, 2019). </w:t>
      </w:r>
    </w:p>
    <w:p w14:paraId="5D3CAFC4" w14:textId="77777777" w:rsidR="001E2AAD" w:rsidRDefault="001E2AAD" w:rsidP="00430FED">
      <w:pPr>
        <w:rPr>
          <w:rFonts w:ascii="Arial" w:hAnsi="Arial" w:cs="Arial"/>
          <w:sz w:val="22"/>
          <w:szCs w:val="22"/>
        </w:rPr>
      </w:pPr>
    </w:p>
    <w:p w14:paraId="768F7C18" w14:textId="2356F298" w:rsidR="002A3CA7" w:rsidRDefault="00A22521" w:rsidP="000D47CD">
      <w:pPr>
        <w:rPr>
          <w:rFonts w:ascii="Arial" w:hAnsi="Arial" w:cs="Arial"/>
          <w:sz w:val="22"/>
          <w:szCs w:val="22"/>
        </w:rPr>
      </w:pPr>
      <w:r>
        <w:rPr>
          <w:rFonts w:ascii="Arial" w:hAnsi="Arial" w:cs="Arial"/>
          <w:sz w:val="22"/>
          <w:szCs w:val="22"/>
        </w:rPr>
        <w:t>A concerning notion that is recently increasing is the amount of serious and organised crime groups</w:t>
      </w:r>
      <w:r w:rsidR="001F3ED7">
        <w:rPr>
          <w:rFonts w:ascii="Arial" w:hAnsi="Arial" w:cs="Arial"/>
          <w:sz w:val="22"/>
          <w:szCs w:val="22"/>
        </w:rPr>
        <w:t xml:space="preserve"> (OCG’s</w:t>
      </w:r>
      <w:r w:rsidR="00336347">
        <w:rPr>
          <w:rFonts w:ascii="Arial" w:hAnsi="Arial" w:cs="Arial"/>
          <w:sz w:val="22"/>
          <w:szCs w:val="22"/>
        </w:rPr>
        <w:t>)</w:t>
      </w:r>
      <w:r>
        <w:rPr>
          <w:rFonts w:ascii="Arial" w:hAnsi="Arial" w:cs="Arial"/>
          <w:sz w:val="22"/>
          <w:szCs w:val="22"/>
        </w:rPr>
        <w:t xml:space="preserve"> that are </w:t>
      </w:r>
      <w:r w:rsidR="001F3ED7">
        <w:rPr>
          <w:rFonts w:ascii="Arial" w:hAnsi="Arial" w:cs="Arial"/>
          <w:sz w:val="22"/>
          <w:szCs w:val="22"/>
        </w:rPr>
        <w:t>forming</w:t>
      </w:r>
      <w:r>
        <w:rPr>
          <w:rFonts w:ascii="Arial" w:hAnsi="Arial" w:cs="Arial"/>
          <w:sz w:val="22"/>
          <w:szCs w:val="22"/>
        </w:rPr>
        <w:t xml:space="preserve">, and the victims and vulnerable people that they are targeting to involve and exploit </w:t>
      </w:r>
      <w:r w:rsidR="001F3ED7">
        <w:rPr>
          <w:rFonts w:ascii="Arial" w:hAnsi="Arial" w:cs="Arial"/>
          <w:sz w:val="22"/>
          <w:szCs w:val="22"/>
        </w:rPr>
        <w:t xml:space="preserve">to make a gain or commit the crimes. Amongst the many serious crimes that OCG groups commit, there are a large involvement of children with regards to child criminal exploitation and child sexual exploitation within the crimes, such as drugs supply and human trafficking. </w:t>
      </w:r>
      <w:r w:rsidR="00336347">
        <w:rPr>
          <w:rFonts w:ascii="Arial" w:hAnsi="Arial" w:cs="Arial"/>
          <w:sz w:val="22"/>
          <w:szCs w:val="22"/>
        </w:rPr>
        <w:t>The Office of National Statistics collected data from the only source available in relation to the exploitation of children through what is called the ‘National Referral Mechanism’ and advises that it’s a measure of potential victims however is known to undercount, but statistically within 2021 it shows ‘</w:t>
      </w:r>
      <w:r w:rsidR="00336347" w:rsidRPr="00336347">
        <w:rPr>
          <w:rFonts w:ascii="Arial" w:hAnsi="Arial" w:cs="Arial"/>
          <w:sz w:val="22"/>
          <w:szCs w:val="22"/>
        </w:rPr>
        <w:t>an increase of 9% in the number of potential child victims referred compared with the previous year (from 5,028 to 5,468)</w:t>
      </w:r>
      <w:r w:rsidR="00336347">
        <w:rPr>
          <w:rFonts w:ascii="Arial" w:hAnsi="Arial" w:cs="Arial"/>
          <w:sz w:val="22"/>
          <w:szCs w:val="22"/>
        </w:rPr>
        <w:t>’. It also shows that there is an increase ‘</w:t>
      </w:r>
      <w:r w:rsidR="00336347" w:rsidRPr="00336347">
        <w:rPr>
          <w:rFonts w:ascii="Arial" w:hAnsi="Arial" w:cs="Arial"/>
          <w:sz w:val="22"/>
          <w:szCs w:val="22"/>
        </w:rPr>
        <w:t>almost four-fifths (79%) of positive RGDs were for boys; this proportion has increased rapidly since the year ending March 2015</w:t>
      </w:r>
      <w:r w:rsidR="00336347">
        <w:rPr>
          <w:rFonts w:ascii="Arial" w:hAnsi="Arial" w:cs="Arial"/>
          <w:sz w:val="22"/>
          <w:szCs w:val="22"/>
        </w:rPr>
        <w:t xml:space="preserve">’ (ONS, 2022). </w:t>
      </w:r>
      <w:r w:rsidR="00336347">
        <w:rPr>
          <w:rFonts w:ascii="Arial" w:hAnsi="Arial" w:cs="Arial"/>
          <w:sz w:val="22"/>
          <w:szCs w:val="22"/>
        </w:rPr>
        <w:lastRenderedPageBreak/>
        <w:t xml:space="preserve">The children both female and male are brought into the criminal world and exploited either by using them as drug runners or to store the drugs, money and weapons that are used in </w:t>
      </w:r>
      <w:r w:rsidR="002A3CA7">
        <w:rPr>
          <w:rFonts w:ascii="Arial" w:hAnsi="Arial" w:cs="Arial"/>
          <w:sz w:val="22"/>
          <w:szCs w:val="22"/>
        </w:rPr>
        <w:t>the organised criminal networks, or to use them for sexual activities as elucidated by NSPCC ‘</w:t>
      </w:r>
      <w:r w:rsidR="002A3CA7" w:rsidRPr="002A3CA7">
        <w:rPr>
          <w:rFonts w:ascii="Arial" w:hAnsi="Arial" w:cs="Arial"/>
          <w:sz w:val="22"/>
          <w:szCs w:val="22"/>
        </w:rPr>
        <w:t>When a child or young person is exploited, they're given things, like gifts, drugs, money, status and affection, in exchange for performing sexual activities</w:t>
      </w:r>
      <w:r w:rsidR="002A3CA7">
        <w:rPr>
          <w:rFonts w:ascii="Arial" w:hAnsi="Arial" w:cs="Arial"/>
          <w:sz w:val="22"/>
          <w:szCs w:val="22"/>
        </w:rPr>
        <w:t xml:space="preserve">’ (NSPCC, 2016). </w:t>
      </w:r>
    </w:p>
    <w:p w14:paraId="2D0885DD" w14:textId="553994B5" w:rsidR="00A22521" w:rsidRDefault="002A3CA7" w:rsidP="000D47CD">
      <w:pPr>
        <w:rPr>
          <w:rFonts w:ascii="Arial" w:hAnsi="Arial" w:cs="Arial"/>
          <w:sz w:val="22"/>
          <w:szCs w:val="22"/>
        </w:rPr>
      </w:pPr>
      <w:r>
        <w:rPr>
          <w:rFonts w:ascii="Arial" w:hAnsi="Arial" w:cs="Arial"/>
          <w:sz w:val="22"/>
          <w:szCs w:val="22"/>
        </w:rPr>
        <w:t xml:space="preserve"> </w:t>
      </w:r>
    </w:p>
    <w:p w14:paraId="1D0AD74C" w14:textId="4642C9D8" w:rsidR="0043174B" w:rsidRDefault="0043174B" w:rsidP="000D47CD">
      <w:pPr>
        <w:rPr>
          <w:rFonts w:ascii="Arial" w:hAnsi="Arial" w:cs="Arial"/>
          <w:sz w:val="22"/>
          <w:szCs w:val="22"/>
        </w:rPr>
      </w:pPr>
      <w:r>
        <w:rPr>
          <w:rFonts w:ascii="Arial" w:hAnsi="Arial" w:cs="Arial"/>
          <w:sz w:val="22"/>
          <w:szCs w:val="22"/>
        </w:rPr>
        <w:t>Linking back to where victims suffer with long term effects from serious crimes, the children and vulnerable people that are exploited and used in the proceeds of cr</w:t>
      </w:r>
      <w:r w:rsidR="00691C63">
        <w:rPr>
          <w:rFonts w:ascii="Arial" w:hAnsi="Arial" w:cs="Arial"/>
          <w:sz w:val="22"/>
          <w:szCs w:val="22"/>
        </w:rPr>
        <w:t>ime suffer with what is interpreted as ACE’s. ‘</w:t>
      </w:r>
      <w:r w:rsidR="00691C63" w:rsidRPr="00691C63">
        <w:rPr>
          <w:rFonts w:ascii="Arial" w:hAnsi="Arial" w:cs="Arial"/>
          <w:sz w:val="22"/>
          <w:szCs w:val="22"/>
        </w:rPr>
        <w:t>Adverse Childhood Experiences (ACEs) are potentially traumatic events that occur in childhood. ACEs can include violence, abuse, and growing up in a family with mental health or substance use problems. Toxic stress from ACEs can change brain development and affect how the body responds to stress. ACEs are linked to chronic health problems, mental illness, and substance misuse in adulthood. However, ACEs can be prevented</w:t>
      </w:r>
      <w:r w:rsidR="00691C63">
        <w:rPr>
          <w:rFonts w:ascii="Arial" w:hAnsi="Arial" w:cs="Arial"/>
          <w:sz w:val="22"/>
          <w:szCs w:val="22"/>
        </w:rPr>
        <w:t xml:space="preserve">’ </w:t>
      </w:r>
      <w:r w:rsidR="00691C63" w:rsidRPr="00691C63">
        <w:rPr>
          <w:rFonts w:ascii="Arial" w:hAnsi="Arial" w:cs="Arial"/>
          <w:sz w:val="22"/>
          <w:szCs w:val="22"/>
        </w:rPr>
        <w:t>(</w:t>
      </w:r>
      <w:r w:rsidR="00691C63" w:rsidRPr="00BD52BF">
        <w:rPr>
          <w:rFonts w:ascii="Arial" w:hAnsi="Arial" w:cs="Arial"/>
          <w:sz w:val="22"/>
          <w:szCs w:val="22"/>
        </w:rPr>
        <w:t>Centers for Disease Control and Prevention</w:t>
      </w:r>
      <w:r w:rsidR="00691C63" w:rsidRPr="00691C63">
        <w:rPr>
          <w:rFonts w:ascii="Arial" w:hAnsi="Arial" w:cs="Arial"/>
          <w:sz w:val="22"/>
          <w:szCs w:val="22"/>
        </w:rPr>
        <w:t>,2019)</w:t>
      </w:r>
      <w:r w:rsidR="00691C63">
        <w:rPr>
          <w:rFonts w:ascii="Arial" w:hAnsi="Arial" w:cs="Arial"/>
          <w:sz w:val="22"/>
          <w:szCs w:val="22"/>
        </w:rPr>
        <w:t xml:space="preserve">. </w:t>
      </w:r>
    </w:p>
    <w:p w14:paraId="0B464F25" w14:textId="59A574E1" w:rsidR="00691C63" w:rsidRDefault="00691C63" w:rsidP="000D47CD">
      <w:pPr>
        <w:rPr>
          <w:rFonts w:ascii="Arial" w:hAnsi="Arial" w:cs="Arial"/>
          <w:sz w:val="22"/>
          <w:szCs w:val="22"/>
        </w:rPr>
      </w:pPr>
    </w:p>
    <w:p w14:paraId="3B81B667" w14:textId="464501EA" w:rsidR="00691C63" w:rsidRDefault="00CD4917" w:rsidP="000D47CD">
      <w:pPr>
        <w:rPr>
          <w:rFonts w:ascii="Arial" w:hAnsi="Arial" w:cs="Arial"/>
          <w:sz w:val="22"/>
          <w:szCs w:val="22"/>
        </w:rPr>
      </w:pPr>
      <w:r>
        <w:rPr>
          <w:rFonts w:ascii="Arial" w:hAnsi="Arial" w:cs="Arial"/>
          <w:sz w:val="22"/>
          <w:szCs w:val="22"/>
        </w:rPr>
        <w:t xml:space="preserve">Strategic </w:t>
      </w:r>
      <w:r w:rsidR="00691C63">
        <w:rPr>
          <w:rFonts w:ascii="Arial" w:hAnsi="Arial" w:cs="Arial"/>
          <w:sz w:val="22"/>
          <w:szCs w:val="22"/>
        </w:rPr>
        <w:t xml:space="preserve">methods and safeguarding options that police have in relation to dealing with all victims of crime, include MAPPA which are the multiagency public protection arrangements that are used to manage violent and sexual offenders. Another multi agency approach to victims is MARAC, multiagency risk assessment </w:t>
      </w:r>
      <w:r w:rsidR="00912D8C">
        <w:rPr>
          <w:rFonts w:ascii="Arial" w:hAnsi="Arial" w:cs="Arial"/>
          <w:sz w:val="22"/>
          <w:szCs w:val="22"/>
        </w:rPr>
        <w:t xml:space="preserve">conference, this is mainly in regard to domestic abuse victims and to safeguard children involved in cases. </w:t>
      </w:r>
      <w:r w:rsidR="005F6C1E">
        <w:rPr>
          <w:rFonts w:ascii="Arial" w:hAnsi="Arial" w:cs="Arial"/>
          <w:sz w:val="22"/>
          <w:szCs w:val="22"/>
        </w:rPr>
        <w:t>Data captured from safe lives found that ‘t</w:t>
      </w:r>
      <w:r w:rsidR="005F6C1E" w:rsidRPr="005F6C1E">
        <w:rPr>
          <w:rFonts w:ascii="Arial" w:hAnsi="Arial" w:cs="Arial"/>
          <w:sz w:val="22"/>
          <w:szCs w:val="22"/>
        </w:rPr>
        <w:t>he number of referrals made by the police has gradually increased from 65.7% to 67.4%</w:t>
      </w:r>
      <w:r w:rsidR="005F6C1E">
        <w:rPr>
          <w:rFonts w:ascii="Arial" w:hAnsi="Arial" w:cs="Arial"/>
          <w:sz w:val="22"/>
          <w:szCs w:val="22"/>
        </w:rPr>
        <w:t xml:space="preserve">’ since 2018 (Safe Lives, 2021). This in turn opens families up for child protection case conferences and further interventions from charities, social services and victim support that will assist in trying to better the life of victims both adult and child. A further strategy that is used </w:t>
      </w:r>
      <w:r>
        <w:rPr>
          <w:rFonts w:ascii="Arial" w:hAnsi="Arial" w:cs="Arial"/>
          <w:sz w:val="22"/>
          <w:szCs w:val="22"/>
        </w:rPr>
        <w:t>to try to intercept serious and organised crime is called the four P’s, which stands for Pursue, Prevent, Protect and Prepare. It incorporates the knowledge of serious and organised criminality and pursuing the criminals, which in turn would prevent further crimes occurring, protecting the vulnerable and victims against the criminality and finally preparing for its occurrence and mitigating the impact</w:t>
      </w:r>
      <w:r w:rsidR="004A0355">
        <w:rPr>
          <w:rFonts w:ascii="Arial" w:hAnsi="Arial" w:cs="Arial"/>
          <w:sz w:val="22"/>
          <w:szCs w:val="22"/>
        </w:rPr>
        <w:t xml:space="preserve"> (</w:t>
      </w:r>
      <w:r w:rsidR="004A0355" w:rsidRPr="004A0355">
        <w:rPr>
          <w:rFonts w:ascii="Arial" w:hAnsi="Arial" w:cs="Arial"/>
          <w:sz w:val="22"/>
          <w:szCs w:val="22"/>
        </w:rPr>
        <w:t>HM Government</w:t>
      </w:r>
      <w:r w:rsidR="004A0355">
        <w:rPr>
          <w:rFonts w:ascii="Arial" w:hAnsi="Arial" w:cs="Arial"/>
          <w:sz w:val="22"/>
          <w:szCs w:val="22"/>
        </w:rPr>
        <w:t xml:space="preserve">, </w:t>
      </w:r>
      <w:r w:rsidR="004A0355" w:rsidRPr="004A0355">
        <w:rPr>
          <w:rFonts w:ascii="Arial" w:hAnsi="Arial" w:cs="Arial"/>
          <w:sz w:val="22"/>
          <w:szCs w:val="22"/>
        </w:rPr>
        <w:t>2013)</w:t>
      </w:r>
      <w:r w:rsidR="004A0355">
        <w:rPr>
          <w:rFonts w:ascii="Arial" w:hAnsi="Arial" w:cs="Arial"/>
          <w:sz w:val="22"/>
          <w:szCs w:val="22"/>
        </w:rPr>
        <w:t>.</w:t>
      </w:r>
    </w:p>
    <w:p w14:paraId="7560556C" w14:textId="0BB9FB29" w:rsidR="00CD4917" w:rsidRDefault="00CD4917" w:rsidP="000D47CD">
      <w:pPr>
        <w:rPr>
          <w:rFonts w:ascii="Arial" w:hAnsi="Arial" w:cs="Arial"/>
          <w:sz w:val="22"/>
          <w:szCs w:val="22"/>
        </w:rPr>
      </w:pPr>
    </w:p>
    <w:p w14:paraId="78E50F29" w14:textId="6EDF9D24" w:rsidR="00CD4917" w:rsidRDefault="00CD4917" w:rsidP="000D47CD">
      <w:pPr>
        <w:rPr>
          <w:rFonts w:ascii="Arial" w:hAnsi="Arial" w:cs="Arial"/>
          <w:sz w:val="22"/>
          <w:szCs w:val="22"/>
        </w:rPr>
      </w:pPr>
      <w:r>
        <w:rPr>
          <w:rFonts w:ascii="Arial" w:hAnsi="Arial" w:cs="Arial"/>
          <w:sz w:val="22"/>
          <w:szCs w:val="22"/>
        </w:rPr>
        <w:t xml:space="preserve">To conclude, the methods that are currently being used by police to protect and deal with public protection incidents are working </w:t>
      </w:r>
      <w:r w:rsidR="002D6C54">
        <w:rPr>
          <w:rFonts w:ascii="Arial" w:hAnsi="Arial" w:cs="Arial"/>
          <w:sz w:val="22"/>
          <w:szCs w:val="22"/>
        </w:rPr>
        <w:t>to an extent</w:t>
      </w:r>
      <w:r>
        <w:rPr>
          <w:rFonts w:ascii="Arial" w:hAnsi="Arial" w:cs="Arial"/>
          <w:sz w:val="22"/>
          <w:szCs w:val="22"/>
        </w:rPr>
        <w:t xml:space="preserve"> and the support is there and available for victims, however the </w:t>
      </w:r>
      <w:r w:rsidR="002D6C54">
        <w:rPr>
          <w:rFonts w:ascii="Arial" w:hAnsi="Arial" w:cs="Arial"/>
          <w:sz w:val="22"/>
          <w:szCs w:val="22"/>
        </w:rPr>
        <w:t>number</w:t>
      </w:r>
      <w:r>
        <w:rPr>
          <w:rFonts w:ascii="Arial" w:hAnsi="Arial" w:cs="Arial"/>
          <w:sz w:val="22"/>
          <w:szCs w:val="22"/>
        </w:rPr>
        <w:t xml:space="preserve"> of young persons and children involved in criminality is rising and will likely continue if interventions are not made by the right services. There is room for improvement with how victims of crime</w:t>
      </w:r>
      <w:r w:rsidR="002D6C54">
        <w:rPr>
          <w:rFonts w:ascii="Arial" w:hAnsi="Arial" w:cs="Arial"/>
          <w:sz w:val="22"/>
          <w:szCs w:val="22"/>
        </w:rPr>
        <w:t xml:space="preserve">, especially those of public protection incidents are dealt with and supported. </w:t>
      </w:r>
    </w:p>
    <w:p w14:paraId="139C5748" w14:textId="6FCD1987" w:rsidR="001F6A6C" w:rsidRDefault="001F6A6C" w:rsidP="000D47CD">
      <w:pPr>
        <w:rPr>
          <w:rFonts w:ascii="Arial" w:hAnsi="Arial" w:cs="Arial"/>
          <w:sz w:val="22"/>
          <w:szCs w:val="22"/>
        </w:rPr>
      </w:pPr>
    </w:p>
    <w:p w14:paraId="2A594EF9" w14:textId="3DF2E5F2" w:rsidR="001F6A6C" w:rsidRDefault="001F6A6C" w:rsidP="000D47CD">
      <w:pPr>
        <w:rPr>
          <w:rFonts w:ascii="Arial" w:hAnsi="Arial" w:cs="Arial"/>
          <w:i/>
          <w:iCs/>
          <w:sz w:val="22"/>
          <w:szCs w:val="22"/>
        </w:rPr>
      </w:pPr>
      <w:r w:rsidRPr="001F6A6C">
        <w:rPr>
          <w:rFonts w:ascii="Arial" w:hAnsi="Arial" w:cs="Arial"/>
          <w:i/>
          <w:iCs/>
          <w:sz w:val="22"/>
          <w:szCs w:val="22"/>
        </w:rPr>
        <w:t>1</w:t>
      </w:r>
      <w:r w:rsidR="004A0355">
        <w:rPr>
          <w:rFonts w:ascii="Arial" w:hAnsi="Arial" w:cs="Arial"/>
          <w:i/>
          <w:iCs/>
          <w:sz w:val="22"/>
          <w:szCs w:val="22"/>
        </w:rPr>
        <w:t>100</w:t>
      </w:r>
      <w:r w:rsidRPr="001F6A6C">
        <w:rPr>
          <w:rFonts w:ascii="Arial" w:hAnsi="Arial" w:cs="Arial"/>
          <w:i/>
          <w:iCs/>
          <w:sz w:val="22"/>
          <w:szCs w:val="22"/>
        </w:rPr>
        <w:t xml:space="preserve"> words</w:t>
      </w:r>
    </w:p>
    <w:p w14:paraId="215DE9D1" w14:textId="2ADFB737" w:rsidR="001F6A6C" w:rsidRDefault="001F6A6C" w:rsidP="000D47CD">
      <w:pPr>
        <w:rPr>
          <w:rFonts w:ascii="Arial" w:hAnsi="Arial" w:cs="Arial"/>
          <w:i/>
          <w:iCs/>
          <w:sz w:val="22"/>
          <w:szCs w:val="22"/>
        </w:rPr>
      </w:pPr>
    </w:p>
    <w:p w14:paraId="63848CF9" w14:textId="6F211E0C" w:rsidR="001F6A6C" w:rsidRDefault="001F6A6C" w:rsidP="000D47CD">
      <w:pPr>
        <w:rPr>
          <w:rFonts w:ascii="Arial" w:hAnsi="Arial" w:cs="Arial"/>
          <w:i/>
          <w:iCs/>
          <w:sz w:val="22"/>
          <w:szCs w:val="22"/>
        </w:rPr>
      </w:pPr>
    </w:p>
    <w:p w14:paraId="648A9A48" w14:textId="344DB9F6" w:rsidR="001F6A6C" w:rsidRDefault="001F6A6C" w:rsidP="000D47CD">
      <w:pPr>
        <w:rPr>
          <w:rFonts w:ascii="Arial" w:hAnsi="Arial" w:cs="Arial"/>
          <w:i/>
          <w:iCs/>
          <w:sz w:val="22"/>
          <w:szCs w:val="22"/>
        </w:rPr>
      </w:pPr>
    </w:p>
    <w:p w14:paraId="24E3EB3C" w14:textId="56C4209B" w:rsidR="001F6A6C" w:rsidRDefault="001F6A6C" w:rsidP="000D47CD">
      <w:pPr>
        <w:rPr>
          <w:rFonts w:ascii="Arial" w:hAnsi="Arial" w:cs="Arial"/>
          <w:sz w:val="22"/>
          <w:szCs w:val="22"/>
        </w:rPr>
      </w:pPr>
    </w:p>
    <w:p w14:paraId="3D23C2E9" w14:textId="1FF92E00" w:rsidR="001F6A6C" w:rsidRDefault="001F6A6C" w:rsidP="000D47CD">
      <w:pPr>
        <w:rPr>
          <w:rFonts w:ascii="Arial" w:hAnsi="Arial" w:cs="Arial"/>
          <w:sz w:val="22"/>
          <w:szCs w:val="22"/>
        </w:rPr>
      </w:pPr>
    </w:p>
    <w:p w14:paraId="3566892C" w14:textId="39A9284A" w:rsidR="001F6A6C" w:rsidRDefault="001F6A6C" w:rsidP="000D47CD">
      <w:pPr>
        <w:rPr>
          <w:rFonts w:ascii="Arial" w:hAnsi="Arial" w:cs="Arial"/>
          <w:sz w:val="22"/>
          <w:szCs w:val="22"/>
        </w:rPr>
      </w:pPr>
    </w:p>
    <w:p w14:paraId="297B676A" w14:textId="7E3B20C0" w:rsidR="001F6A6C" w:rsidRDefault="001F6A6C" w:rsidP="000D47CD">
      <w:pPr>
        <w:rPr>
          <w:rFonts w:ascii="Arial" w:hAnsi="Arial" w:cs="Arial"/>
          <w:sz w:val="22"/>
          <w:szCs w:val="22"/>
        </w:rPr>
      </w:pPr>
    </w:p>
    <w:p w14:paraId="3D645E63" w14:textId="4E85C086" w:rsidR="001F6A6C" w:rsidRDefault="001F6A6C" w:rsidP="000D47CD">
      <w:pPr>
        <w:rPr>
          <w:rFonts w:ascii="Arial" w:hAnsi="Arial" w:cs="Arial"/>
          <w:sz w:val="22"/>
          <w:szCs w:val="22"/>
        </w:rPr>
      </w:pPr>
    </w:p>
    <w:p w14:paraId="7C37B63C" w14:textId="005708AC" w:rsidR="001F6A6C" w:rsidRDefault="001F6A6C" w:rsidP="000D47CD">
      <w:pPr>
        <w:rPr>
          <w:rFonts w:ascii="Arial" w:hAnsi="Arial" w:cs="Arial"/>
          <w:sz w:val="22"/>
          <w:szCs w:val="22"/>
        </w:rPr>
      </w:pPr>
    </w:p>
    <w:p w14:paraId="25F45F1D" w14:textId="2AF1B0F5" w:rsidR="001F6A6C" w:rsidRDefault="001F6A6C" w:rsidP="000D47CD">
      <w:pPr>
        <w:rPr>
          <w:rFonts w:ascii="Arial" w:hAnsi="Arial" w:cs="Arial"/>
          <w:sz w:val="22"/>
          <w:szCs w:val="22"/>
        </w:rPr>
      </w:pPr>
    </w:p>
    <w:p w14:paraId="151E6B91" w14:textId="4B1154DE" w:rsidR="001F6A6C" w:rsidRDefault="001F6A6C" w:rsidP="000D47CD">
      <w:pPr>
        <w:rPr>
          <w:rFonts w:ascii="Arial" w:hAnsi="Arial" w:cs="Arial"/>
          <w:sz w:val="22"/>
          <w:szCs w:val="22"/>
        </w:rPr>
      </w:pPr>
    </w:p>
    <w:p w14:paraId="72F1B584" w14:textId="3DCD863C" w:rsidR="001F6A6C" w:rsidRDefault="001F6A6C" w:rsidP="000D47CD">
      <w:pPr>
        <w:rPr>
          <w:rFonts w:ascii="Arial" w:hAnsi="Arial" w:cs="Arial"/>
          <w:sz w:val="22"/>
          <w:szCs w:val="22"/>
        </w:rPr>
      </w:pPr>
    </w:p>
    <w:p w14:paraId="10A37A40" w14:textId="6A95A38B" w:rsidR="001F6A6C" w:rsidRDefault="001F6A6C" w:rsidP="000D47CD">
      <w:pPr>
        <w:rPr>
          <w:rFonts w:ascii="Arial" w:hAnsi="Arial" w:cs="Arial"/>
          <w:sz w:val="22"/>
          <w:szCs w:val="22"/>
        </w:rPr>
      </w:pPr>
    </w:p>
    <w:p w14:paraId="09AFF17A" w14:textId="3DCF90F7" w:rsidR="001F6A6C" w:rsidRDefault="001F6A6C" w:rsidP="000D47CD">
      <w:pPr>
        <w:rPr>
          <w:rFonts w:ascii="Arial" w:hAnsi="Arial" w:cs="Arial"/>
          <w:sz w:val="22"/>
          <w:szCs w:val="22"/>
        </w:rPr>
      </w:pPr>
    </w:p>
    <w:p w14:paraId="5EF91DAF" w14:textId="15F4A722" w:rsidR="001F6A6C" w:rsidRDefault="001F6A6C" w:rsidP="000D47CD">
      <w:pPr>
        <w:rPr>
          <w:rFonts w:ascii="Arial" w:hAnsi="Arial" w:cs="Arial"/>
          <w:sz w:val="22"/>
          <w:szCs w:val="22"/>
        </w:rPr>
      </w:pPr>
    </w:p>
    <w:p w14:paraId="65BC6DAF" w14:textId="08C8C478" w:rsidR="001F6A6C" w:rsidRDefault="001F6A6C" w:rsidP="000D47CD">
      <w:pPr>
        <w:rPr>
          <w:rFonts w:ascii="Arial" w:hAnsi="Arial" w:cs="Arial"/>
          <w:sz w:val="22"/>
          <w:szCs w:val="22"/>
        </w:rPr>
      </w:pPr>
    </w:p>
    <w:p w14:paraId="4007501B" w14:textId="7398F02D" w:rsidR="001F6A6C" w:rsidRDefault="001F6A6C" w:rsidP="000D47CD">
      <w:pPr>
        <w:rPr>
          <w:rFonts w:ascii="Arial" w:hAnsi="Arial" w:cs="Arial"/>
          <w:sz w:val="22"/>
          <w:szCs w:val="22"/>
        </w:rPr>
      </w:pPr>
    </w:p>
    <w:p w14:paraId="124DF18E" w14:textId="77777777" w:rsidR="001F6A6C" w:rsidRPr="001F6A6C" w:rsidRDefault="001F6A6C" w:rsidP="001F6A6C">
      <w:pPr>
        <w:spacing w:line="257" w:lineRule="auto"/>
        <w:ind w:left="567" w:right="531"/>
        <w:rPr>
          <w:rFonts w:ascii="Arial" w:hAnsi="Arial" w:cs="Arial"/>
          <w:sz w:val="22"/>
          <w:szCs w:val="22"/>
          <w:u w:val="single"/>
        </w:rPr>
      </w:pPr>
      <w:r w:rsidRPr="001F6A6C">
        <w:rPr>
          <w:rFonts w:ascii="Arial" w:eastAsia="Calibri" w:hAnsi="Arial" w:cs="Arial"/>
          <w:b/>
          <w:bCs/>
          <w:sz w:val="22"/>
          <w:szCs w:val="22"/>
          <w:u w:val="single"/>
        </w:rPr>
        <w:lastRenderedPageBreak/>
        <w:t xml:space="preserve">Essay five: </w:t>
      </w:r>
    </w:p>
    <w:p w14:paraId="5338818B" w14:textId="77777777" w:rsidR="001F6A6C" w:rsidRPr="001F6A6C" w:rsidRDefault="001F6A6C" w:rsidP="001F6A6C">
      <w:pPr>
        <w:spacing w:line="257" w:lineRule="auto"/>
        <w:ind w:left="567" w:right="531"/>
        <w:rPr>
          <w:rFonts w:ascii="Arial" w:eastAsia="Calibri" w:hAnsi="Arial" w:cs="Arial"/>
          <w:sz w:val="22"/>
          <w:szCs w:val="22"/>
          <w:u w:val="single"/>
        </w:rPr>
      </w:pPr>
      <w:r w:rsidRPr="001F6A6C">
        <w:rPr>
          <w:rFonts w:ascii="Arial" w:eastAsia="Calibri" w:hAnsi="Arial" w:cs="Arial"/>
          <w:sz w:val="22"/>
          <w:szCs w:val="22"/>
          <w:u w:val="single"/>
        </w:rPr>
        <w:t>Critically analyse the concept of evidence-based policing and ‘what works’ in policing by evaluating crime prevention theories and strategies and considering the options available to reduce re-offending. You may choose a specific type of offence for this answer e.g. domestic violence, anti-social behaviour, knife crime. Your answer must be based on academic research, not personal experience.</w:t>
      </w:r>
    </w:p>
    <w:p w14:paraId="09E54216" w14:textId="77777777" w:rsidR="007B3CD3" w:rsidRDefault="007B3CD3" w:rsidP="000D47CD">
      <w:pPr>
        <w:rPr>
          <w:rFonts w:ascii="Arial" w:hAnsi="Arial" w:cs="Arial"/>
          <w:sz w:val="22"/>
          <w:szCs w:val="22"/>
        </w:rPr>
      </w:pPr>
    </w:p>
    <w:p w14:paraId="172F637D" w14:textId="5B676BBC" w:rsidR="007B3CD3" w:rsidRDefault="007B3CD3" w:rsidP="000D47CD">
      <w:pPr>
        <w:rPr>
          <w:rFonts w:ascii="Arial" w:hAnsi="Arial" w:cs="Arial"/>
          <w:sz w:val="22"/>
          <w:szCs w:val="22"/>
        </w:rPr>
      </w:pPr>
      <w:r>
        <w:rPr>
          <w:rFonts w:ascii="Arial" w:hAnsi="Arial" w:cs="Arial"/>
          <w:sz w:val="22"/>
          <w:szCs w:val="22"/>
        </w:rPr>
        <w:t>What is evidence-based policing? Simply put, ‘</w:t>
      </w:r>
      <w:r w:rsidRPr="007B3CD3">
        <w:rPr>
          <w:rFonts w:ascii="Arial" w:hAnsi="Arial" w:cs="Arial"/>
          <w:sz w:val="22"/>
          <w:szCs w:val="22"/>
        </w:rPr>
        <w:t>In an evidence-based policing approach, police officers and staff create, review and use the best available evidence to inform and challenge policies, practices and decisions</w:t>
      </w:r>
      <w:r>
        <w:rPr>
          <w:rFonts w:ascii="Arial" w:hAnsi="Arial" w:cs="Arial"/>
          <w:sz w:val="22"/>
          <w:szCs w:val="22"/>
        </w:rPr>
        <w:t>’ (</w:t>
      </w:r>
      <w:r w:rsidR="00976C7B">
        <w:rPr>
          <w:rFonts w:ascii="Arial" w:hAnsi="Arial" w:cs="Arial"/>
          <w:sz w:val="22"/>
          <w:szCs w:val="22"/>
        </w:rPr>
        <w:t>Knell, 2021).</w:t>
      </w:r>
    </w:p>
    <w:p w14:paraId="3AD4E8CA" w14:textId="3B250B4D" w:rsidR="00DF7FA5" w:rsidRDefault="0017166E" w:rsidP="000D47CD">
      <w:pPr>
        <w:rPr>
          <w:rFonts w:ascii="Arial" w:hAnsi="Arial" w:cs="Arial"/>
          <w:sz w:val="22"/>
          <w:szCs w:val="22"/>
        </w:rPr>
      </w:pPr>
      <w:r>
        <w:rPr>
          <w:rFonts w:ascii="Arial" w:hAnsi="Arial" w:cs="Arial"/>
          <w:sz w:val="22"/>
          <w:szCs w:val="22"/>
        </w:rPr>
        <w:t>The forefront however of evidence-based policing, is to understand the problem. As explained by Johannes Knutsson and Lisa Tompson, ‘the first reason for evidence-based policing relates to the need to understand the problems the police are attempting to address. If a problem is mis</w:t>
      </w:r>
      <w:r w:rsidR="00157F7F">
        <w:rPr>
          <w:rFonts w:ascii="Arial" w:hAnsi="Arial" w:cs="Arial"/>
          <w:sz w:val="22"/>
          <w:szCs w:val="22"/>
        </w:rPr>
        <w:t>construed, then finding an evidence-based solution to it will be difficult’ (Knutsson and Tomson, 2017).</w:t>
      </w:r>
    </w:p>
    <w:p w14:paraId="176F748C" w14:textId="30939D9E" w:rsidR="00477C7B" w:rsidRDefault="00477C7B" w:rsidP="00477C7B">
      <w:pPr>
        <w:rPr>
          <w:rFonts w:ascii="Arial" w:hAnsi="Arial" w:cs="Arial"/>
          <w:sz w:val="22"/>
          <w:szCs w:val="22"/>
        </w:rPr>
      </w:pPr>
      <w:r>
        <w:rPr>
          <w:rFonts w:ascii="Arial" w:hAnsi="Arial" w:cs="Arial"/>
          <w:sz w:val="22"/>
          <w:szCs w:val="22"/>
        </w:rPr>
        <w:t>Within the approach for evidence-based policing, trying to understand the problem and testing preventative theories, a model called ATLAS can be used. ATLAS stands for ‘</w:t>
      </w:r>
      <w:r w:rsidRPr="00B507F4">
        <w:rPr>
          <w:rFonts w:ascii="Arial" w:hAnsi="Arial" w:cs="Arial"/>
          <w:sz w:val="22"/>
          <w:szCs w:val="22"/>
        </w:rPr>
        <w:t>Ask questions that challenge current practices</w:t>
      </w:r>
      <w:r>
        <w:rPr>
          <w:rFonts w:ascii="Arial" w:hAnsi="Arial" w:cs="Arial"/>
          <w:sz w:val="22"/>
          <w:szCs w:val="22"/>
        </w:rPr>
        <w:t xml:space="preserve">, </w:t>
      </w:r>
      <w:r w:rsidRPr="00B507F4">
        <w:rPr>
          <w:rFonts w:ascii="Arial" w:hAnsi="Arial" w:cs="Arial"/>
          <w:sz w:val="22"/>
          <w:szCs w:val="22"/>
        </w:rPr>
        <w:t>Test and critically evaluate existing research and new ideas</w:t>
      </w:r>
      <w:r>
        <w:rPr>
          <w:rFonts w:ascii="Arial" w:hAnsi="Arial" w:cs="Arial"/>
          <w:sz w:val="22"/>
          <w:szCs w:val="22"/>
        </w:rPr>
        <w:t xml:space="preserve">, </w:t>
      </w:r>
      <w:r w:rsidRPr="00B507F4">
        <w:rPr>
          <w:rFonts w:ascii="Arial" w:hAnsi="Arial" w:cs="Arial"/>
          <w:sz w:val="22"/>
          <w:szCs w:val="22"/>
        </w:rPr>
        <w:t xml:space="preserve">Learn </w:t>
      </w:r>
      <w:r>
        <w:rPr>
          <w:rFonts w:ascii="Arial" w:hAnsi="Arial" w:cs="Arial"/>
          <w:sz w:val="22"/>
          <w:szCs w:val="22"/>
        </w:rPr>
        <w:t>f</w:t>
      </w:r>
      <w:r w:rsidRPr="00B507F4">
        <w:rPr>
          <w:rFonts w:ascii="Arial" w:hAnsi="Arial" w:cs="Arial"/>
          <w:sz w:val="22"/>
          <w:szCs w:val="22"/>
        </w:rPr>
        <w:t>rom existing approaches and new ideas while considering how they work in</w:t>
      </w:r>
      <w:r>
        <w:rPr>
          <w:rFonts w:ascii="Arial" w:hAnsi="Arial" w:cs="Arial"/>
          <w:sz w:val="22"/>
          <w:szCs w:val="22"/>
        </w:rPr>
        <w:t xml:space="preserve"> </w:t>
      </w:r>
      <w:r w:rsidRPr="00B507F4">
        <w:rPr>
          <w:rFonts w:ascii="Arial" w:hAnsi="Arial" w:cs="Arial"/>
          <w:sz w:val="22"/>
          <w:szCs w:val="22"/>
        </w:rPr>
        <w:t>workplace practices</w:t>
      </w:r>
      <w:r>
        <w:rPr>
          <w:rFonts w:ascii="Arial" w:hAnsi="Arial" w:cs="Arial"/>
          <w:sz w:val="22"/>
          <w:szCs w:val="22"/>
        </w:rPr>
        <w:t xml:space="preserve">, </w:t>
      </w:r>
      <w:r w:rsidRPr="00B507F4">
        <w:rPr>
          <w:rFonts w:ascii="Arial" w:hAnsi="Arial" w:cs="Arial"/>
          <w:sz w:val="22"/>
          <w:szCs w:val="22"/>
        </w:rPr>
        <w:t>Adapt practices and policies using the best evidence available</w:t>
      </w:r>
      <w:r>
        <w:rPr>
          <w:rFonts w:ascii="Arial" w:hAnsi="Arial" w:cs="Arial"/>
          <w:sz w:val="22"/>
          <w:szCs w:val="22"/>
        </w:rPr>
        <w:t xml:space="preserve"> and finally</w:t>
      </w:r>
      <w:r w:rsidRPr="00B507F4">
        <w:rPr>
          <w:rFonts w:ascii="Arial" w:hAnsi="Arial" w:cs="Arial"/>
          <w:sz w:val="22"/>
          <w:szCs w:val="22"/>
        </w:rPr>
        <w:t xml:space="preserve"> Share the outcomes across the service</w:t>
      </w:r>
      <w:r>
        <w:rPr>
          <w:rFonts w:ascii="Arial" w:hAnsi="Arial" w:cs="Arial"/>
          <w:sz w:val="22"/>
          <w:szCs w:val="22"/>
        </w:rPr>
        <w:t>’ (Pepper et al, 2020).</w:t>
      </w:r>
    </w:p>
    <w:p w14:paraId="12D1D89B" w14:textId="77777777" w:rsidR="00477C7B" w:rsidRDefault="00477C7B" w:rsidP="000D47CD">
      <w:pPr>
        <w:rPr>
          <w:rFonts w:ascii="Arial" w:hAnsi="Arial" w:cs="Arial"/>
          <w:sz w:val="22"/>
          <w:szCs w:val="22"/>
        </w:rPr>
      </w:pPr>
    </w:p>
    <w:p w14:paraId="62C4A3FE" w14:textId="333CDB9C" w:rsidR="00157F7F" w:rsidRDefault="00157F7F" w:rsidP="000D47CD">
      <w:pPr>
        <w:rPr>
          <w:rFonts w:ascii="Arial" w:hAnsi="Arial" w:cs="Arial"/>
          <w:sz w:val="22"/>
          <w:szCs w:val="22"/>
        </w:rPr>
      </w:pPr>
      <w:r>
        <w:rPr>
          <w:rFonts w:ascii="Arial" w:hAnsi="Arial" w:cs="Arial"/>
          <w:sz w:val="22"/>
          <w:szCs w:val="22"/>
        </w:rPr>
        <w:t>For the purpose of this short essay, the evidence-based policing approach will be around the problem of knife crime within the UK. Looking at recent statistics ‘</w:t>
      </w:r>
      <w:r w:rsidRPr="00157F7F">
        <w:rPr>
          <w:rFonts w:ascii="Arial" w:hAnsi="Arial" w:cs="Arial"/>
          <w:sz w:val="22"/>
          <w:szCs w:val="22"/>
        </w:rPr>
        <w:t>Knife-enabled crime recorded by the police saw a 10% increase to 49,027 offences in the year ending March 2022, from 44,642 in the year ending March 2021. There were increases across all knife-enabled violent and sexual offence</w:t>
      </w:r>
      <w:r w:rsidR="00BE0CAD">
        <w:rPr>
          <w:rFonts w:ascii="Arial" w:hAnsi="Arial" w:cs="Arial"/>
          <w:sz w:val="22"/>
          <w:szCs w:val="22"/>
        </w:rPr>
        <w:t xml:space="preserve">s’ (ONS, 2022). </w:t>
      </w:r>
    </w:p>
    <w:p w14:paraId="362240C3" w14:textId="6682C9B4" w:rsidR="00884DCF" w:rsidRPr="00884DCF" w:rsidRDefault="00BE0CAD" w:rsidP="00884DCF">
      <w:pPr>
        <w:rPr>
          <w:rFonts w:ascii="Arial" w:hAnsi="Arial" w:cs="Arial"/>
          <w:sz w:val="22"/>
          <w:szCs w:val="22"/>
        </w:rPr>
      </w:pPr>
      <w:r>
        <w:rPr>
          <w:rFonts w:ascii="Arial" w:hAnsi="Arial" w:cs="Arial"/>
          <w:sz w:val="22"/>
          <w:szCs w:val="22"/>
        </w:rPr>
        <w:t xml:space="preserve">Using the </w:t>
      </w:r>
      <w:r w:rsidR="00884DCF">
        <w:rPr>
          <w:rFonts w:ascii="Arial" w:hAnsi="Arial" w:cs="Arial"/>
          <w:sz w:val="22"/>
          <w:szCs w:val="22"/>
        </w:rPr>
        <w:t>idea that for effective evidence-based policing, you need to understand the problem, with regards to knife crime, The College of Policing have created knife crime evidence briefing that looks into the underlying reasons that people carry and use knives and have determined that ‘</w:t>
      </w:r>
      <w:r w:rsidR="00884DCF" w:rsidRPr="00884DCF">
        <w:rPr>
          <w:rFonts w:ascii="Arial" w:hAnsi="Arial" w:cs="Arial"/>
          <w:sz w:val="22"/>
          <w:szCs w:val="22"/>
        </w:rPr>
        <w:t xml:space="preserve">Evidence suggests there are three broad explanations as to why </w:t>
      </w:r>
    </w:p>
    <w:p w14:paraId="40C1B907" w14:textId="57D7809F" w:rsidR="00BE0CAD" w:rsidRDefault="00884DCF" w:rsidP="00884DCF">
      <w:pPr>
        <w:rPr>
          <w:rFonts w:ascii="Arial" w:hAnsi="Arial" w:cs="Arial"/>
          <w:sz w:val="22"/>
          <w:szCs w:val="22"/>
        </w:rPr>
      </w:pPr>
      <w:r w:rsidRPr="00884DCF">
        <w:rPr>
          <w:rFonts w:ascii="Arial" w:hAnsi="Arial" w:cs="Arial"/>
          <w:sz w:val="22"/>
          <w:szCs w:val="22"/>
        </w:rPr>
        <w:t>people carry knives</w:t>
      </w:r>
      <w:r>
        <w:rPr>
          <w:rFonts w:ascii="Arial" w:hAnsi="Arial" w:cs="Arial"/>
          <w:sz w:val="22"/>
          <w:szCs w:val="22"/>
        </w:rPr>
        <w:t>: firstly,</w:t>
      </w:r>
      <w:r w:rsidRPr="00884DCF">
        <w:rPr>
          <w:rFonts w:ascii="Arial" w:hAnsi="Arial" w:cs="Arial"/>
          <w:sz w:val="22"/>
          <w:szCs w:val="22"/>
        </w:rPr>
        <w:t xml:space="preserve"> </w:t>
      </w:r>
      <w:r>
        <w:rPr>
          <w:rFonts w:ascii="Arial" w:hAnsi="Arial" w:cs="Arial"/>
          <w:sz w:val="22"/>
          <w:szCs w:val="22"/>
        </w:rPr>
        <w:t>s</w:t>
      </w:r>
      <w:r w:rsidRPr="00884DCF">
        <w:rPr>
          <w:rFonts w:ascii="Arial" w:hAnsi="Arial" w:cs="Arial"/>
          <w:sz w:val="22"/>
          <w:szCs w:val="22"/>
        </w:rPr>
        <w:t>elf-protection and fear</w:t>
      </w:r>
      <w:r>
        <w:rPr>
          <w:rFonts w:ascii="Arial" w:hAnsi="Arial" w:cs="Arial"/>
          <w:sz w:val="22"/>
          <w:szCs w:val="22"/>
        </w:rPr>
        <w:t>, secondly, s</w:t>
      </w:r>
      <w:r w:rsidRPr="00884DCF">
        <w:rPr>
          <w:rFonts w:ascii="Arial" w:hAnsi="Arial" w:cs="Arial"/>
          <w:sz w:val="22"/>
          <w:szCs w:val="22"/>
        </w:rPr>
        <w:t>elf-presentation, particularly for individuals who want street credibility’ and ‘respect’</w:t>
      </w:r>
      <w:r>
        <w:rPr>
          <w:rFonts w:ascii="Arial" w:hAnsi="Arial" w:cs="Arial"/>
          <w:sz w:val="22"/>
          <w:szCs w:val="22"/>
        </w:rPr>
        <w:t>, and thirdly, u</w:t>
      </w:r>
      <w:r w:rsidRPr="00884DCF">
        <w:rPr>
          <w:rFonts w:ascii="Arial" w:hAnsi="Arial" w:cs="Arial"/>
          <w:sz w:val="22"/>
          <w:szCs w:val="22"/>
        </w:rPr>
        <w:t>tility (offensive weapon carrying)</w:t>
      </w:r>
      <w:r>
        <w:rPr>
          <w:rFonts w:ascii="Arial" w:hAnsi="Arial" w:cs="Arial"/>
          <w:sz w:val="22"/>
          <w:szCs w:val="22"/>
        </w:rPr>
        <w:t xml:space="preserve">. </w:t>
      </w:r>
      <w:r w:rsidRPr="00884DCF">
        <w:rPr>
          <w:rFonts w:ascii="Arial" w:hAnsi="Arial" w:cs="Arial"/>
          <w:sz w:val="22"/>
          <w:szCs w:val="22"/>
        </w:rPr>
        <w:t>Evidence also suggests a lack of trust in the police can potentially lead victims to becoming perpetrators, as they may use violence to seek revenge instead of relying on police procedures</w:t>
      </w:r>
      <w:r>
        <w:rPr>
          <w:rFonts w:ascii="Arial" w:hAnsi="Arial" w:cs="Arial"/>
          <w:sz w:val="22"/>
          <w:szCs w:val="22"/>
        </w:rPr>
        <w:t>’ (</w:t>
      </w:r>
      <w:r w:rsidR="00FB21FE">
        <w:rPr>
          <w:rFonts w:ascii="Arial" w:hAnsi="Arial" w:cs="Arial"/>
          <w:sz w:val="22"/>
          <w:szCs w:val="22"/>
        </w:rPr>
        <w:t>Mckneill and Wheller</w:t>
      </w:r>
      <w:r>
        <w:rPr>
          <w:rFonts w:ascii="Arial" w:hAnsi="Arial" w:cs="Arial"/>
          <w:sz w:val="22"/>
          <w:szCs w:val="22"/>
        </w:rPr>
        <w:t xml:space="preserve">, 2019). </w:t>
      </w:r>
    </w:p>
    <w:p w14:paraId="58252D7C" w14:textId="3D165EE7" w:rsidR="00477C7B" w:rsidRDefault="009F1A64" w:rsidP="00FC4B31">
      <w:pPr>
        <w:rPr>
          <w:rFonts w:ascii="Arial" w:hAnsi="Arial" w:cs="Arial"/>
          <w:sz w:val="22"/>
          <w:szCs w:val="22"/>
        </w:rPr>
      </w:pPr>
      <w:r>
        <w:rPr>
          <w:rFonts w:ascii="Arial" w:hAnsi="Arial" w:cs="Arial"/>
          <w:sz w:val="22"/>
          <w:szCs w:val="22"/>
        </w:rPr>
        <w:t xml:space="preserve">Within the College of </w:t>
      </w:r>
      <w:r w:rsidR="00FC4B31">
        <w:rPr>
          <w:rFonts w:ascii="Arial" w:hAnsi="Arial" w:cs="Arial"/>
          <w:sz w:val="22"/>
          <w:szCs w:val="22"/>
        </w:rPr>
        <w:t>Policing</w:t>
      </w:r>
      <w:r>
        <w:rPr>
          <w:rFonts w:ascii="Arial" w:hAnsi="Arial" w:cs="Arial"/>
          <w:sz w:val="22"/>
          <w:szCs w:val="22"/>
        </w:rPr>
        <w:t xml:space="preserve"> study and toolkit for knife crime, the prevention methods that have previously been used and are common in tackling knife crime </w:t>
      </w:r>
      <w:r w:rsidR="00FC4B31">
        <w:rPr>
          <w:rFonts w:ascii="Arial" w:hAnsi="Arial" w:cs="Arial"/>
          <w:sz w:val="22"/>
          <w:szCs w:val="22"/>
        </w:rPr>
        <w:t xml:space="preserve">include, school-based knife crime interventions, police stop and search, focused deterrence, import enforcement, knife sweeps, knife bins, knife arches and knife crime interventions based on ‘teachable’ or ‘reachable’ moments. There are negative effects to the above methods which include ‘evidence that has previously shown that crime prevention activities can sometimes backfire and make matters worse. </w:t>
      </w:r>
      <w:r w:rsidR="00FC4B31" w:rsidRPr="00FC4B31">
        <w:rPr>
          <w:rFonts w:ascii="Arial" w:hAnsi="Arial" w:cs="Arial"/>
          <w:sz w:val="22"/>
          <w:szCs w:val="22"/>
        </w:rPr>
        <w:t>This may occur because of the content of an intervention (i.e., what people are asked to do) or because of the way in which it is delivered</w:t>
      </w:r>
      <w:r w:rsidR="00FC4B31">
        <w:rPr>
          <w:rFonts w:ascii="Arial" w:hAnsi="Arial" w:cs="Arial"/>
          <w:sz w:val="22"/>
          <w:szCs w:val="22"/>
        </w:rPr>
        <w:t xml:space="preserve">’ (College of Policing, 2021). These existing prevention theories are formed from previous evidence based policing </w:t>
      </w:r>
      <w:r w:rsidR="00904503">
        <w:rPr>
          <w:rFonts w:ascii="Arial" w:hAnsi="Arial" w:cs="Arial"/>
          <w:sz w:val="22"/>
          <w:szCs w:val="22"/>
        </w:rPr>
        <w:t>practices;</w:t>
      </w:r>
      <w:r w:rsidR="00FC4B31">
        <w:rPr>
          <w:rFonts w:ascii="Arial" w:hAnsi="Arial" w:cs="Arial"/>
          <w:sz w:val="22"/>
          <w:szCs w:val="22"/>
        </w:rPr>
        <w:t xml:space="preserve"> </w:t>
      </w:r>
      <w:r w:rsidR="00794867">
        <w:rPr>
          <w:rFonts w:ascii="Arial" w:hAnsi="Arial" w:cs="Arial"/>
          <w:sz w:val="22"/>
          <w:szCs w:val="22"/>
        </w:rPr>
        <w:t>however,</w:t>
      </w:r>
      <w:r w:rsidR="00FC4B31">
        <w:rPr>
          <w:rFonts w:ascii="Arial" w:hAnsi="Arial" w:cs="Arial"/>
          <w:sz w:val="22"/>
          <w:szCs w:val="22"/>
        </w:rPr>
        <w:t xml:space="preserve"> it is apparent that despite the evidence and scale of knife crime in the UK, the use of </w:t>
      </w:r>
      <w:r w:rsidR="00A75FAE">
        <w:rPr>
          <w:rFonts w:ascii="Arial" w:hAnsi="Arial" w:cs="Arial"/>
          <w:sz w:val="22"/>
          <w:szCs w:val="22"/>
        </w:rPr>
        <w:t>evidence-based</w:t>
      </w:r>
      <w:r w:rsidR="00FC4B31">
        <w:rPr>
          <w:rFonts w:ascii="Arial" w:hAnsi="Arial" w:cs="Arial"/>
          <w:sz w:val="22"/>
          <w:szCs w:val="22"/>
        </w:rPr>
        <w:t xml:space="preserve"> policing surrounding the reduction of knife crime is underdeveloped and the impact of the theories that </w:t>
      </w:r>
      <w:r w:rsidR="00904503">
        <w:rPr>
          <w:rFonts w:ascii="Arial" w:hAnsi="Arial" w:cs="Arial"/>
          <w:sz w:val="22"/>
          <w:szCs w:val="22"/>
        </w:rPr>
        <w:t xml:space="preserve">exist for common preventions and interventions are inadequate. </w:t>
      </w:r>
    </w:p>
    <w:p w14:paraId="52A4B843" w14:textId="143DCF24" w:rsidR="00DB7EF0" w:rsidRDefault="00DB7EF0" w:rsidP="00FC4B31">
      <w:pPr>
        <w:rPr>
          <w:rFonts w:ascii="Arial" w:hAnsi="Arial" w:cs="Arial"/>
          <w:sz w:val="22"/>
          <w:szCs w:val="22"/>
        </w:rPr>
      </w:pPr>
    </w:p>
    <w:p w14:paraId="224041AA" w14:textId="1EC98505" w:rsidR="00DB7EF0" w:rsidRDefault="00DB7EF0" w:rsidP="008B0B35">
      <w:pPr>
        <w:rPr>
          <w:rFonts w:ascii="Arial" w:hAnsi="Arial" w:cs="Arial"/>
          <w:sz w:val="22"/>
          <w:szCs w:val="22"/>
        </w:rPr>
      </w:pPr>
      <w:r>
        <w:rPr>
          <w:rFonts w:ascii="Arial" w:hAnsi="Arial" w:cs="Arial"/>
          <w:sz w:val="22"/>
          <w:szCs w:val="22"/>
        </w:rPr>
        <w:t>Contemplating the prevention of knife crime, North Yorkshire Police in May 2018 started an operation called ‘OP DIVAN’. ‘</w:t>
      </w:r>
      <w:r w:rsidRPr="00DB7EF0">
        <w:rPr>
          <w:rFonts w:ascii="Arial" w:hAnsi="Arial" w:cs="Arial"/>
          <w:sz w:val="22"/>
          <w:szCs w:val="22"/>
        </w:rPr>
        <w:t>The intervention focuses on early prevention. Its</w:t>
      </w:r>
      <w:r>
        <w:rPr>
          <w:rFonts w:ascii="Arial" w:hAnsi="Arial" w:cs="Arial"/>
          <w:sz w:val="22"/>
          <w:szCs w:val="22"/>
        </w:rPr>
        <w:t xml:space="preserve"> </w:t>
      </w:r>
      <w:r w:rsidRPr="00DB7EF0">
        <w:rPr>
          <w:rFonts w:ascii="Arial" w:hAnsi="Arial" w:cs="Arial"/>
          <w:sz w:val="22"/>
          <w:szCs w:val="22"/>
        </w:rPr>
        <w:t>overarching aim is to help prevent the criminalisation of young people, keep them safe and promote</w:t>
      </w:r>
      <w:r>
        <w:rPr>
          <w:rFonts w:ascii="Arial" w:hAnsi="Arial" w:cs="Arial"/>
          <w:sz w:val="22"/>
          <w:szCs w:val="22"/>
        </w:rPr>
        <w:t xml:space="preserve"> </w:t>
      </w:r>
      <w:r w:rsidRPr="00DB7EF0">
        <w:rPr>
          <w:rFonts w:ascii="Arial" w:hAnsi="Arial" w:cs="Arial"/>
          <w:sz w:val="22"/>
          <w:szCs w:val="22"/>
        </w:rPr>
        <w:t xml:space="preserve">culture change around attitudes to carrying a knife. Op Divan is designed to educate young </w:t>
      </w:r>
      <w:r w:rsidRPr="00DB7EF0">
        <w:rPr>
          <w:rFonts w:ascii="Arial" w:hAnsi="Arial" w:cs="Arial"/>
          <w:sz w:val="22"/>
          <w:szCs w:val="22"/>
        </w:rPr>
        <w:lastRenderedPageBreak/>
        <w:t>people and raise awareness of the consequences of carrying a knife and reduce the number of young people carrying a weapon</w:t>
      </w:r>
      <w:r>
        <w:rPr>
          <w:rFonts w:ascii="Arial" w:hAnsi="Arial" w:cs="Arial"/>
          <w:sz w:val="22"/>
          <w:szCs w:val="22"/>
        </w:rPr>
        <w:t xml:space="preserve">’ (College of Policing, </w:t>
      </w:r>
      <w:r w:rsidR="008B0B35">
        <w:rPr>
          <w:rFonts w:ascii="Arial" w:hAnsi="Arial" w:cs="Arial"/>
          <w:sz w:val="22"/>
          <w:szCs w:val="22"/>
        </w:rPr>
        <w:t>2021). Op Divan is a good example of using evidence-based policing in order to establish a ‘what works’ approach and is a published operation that other forces now implicate and apply due to the evidence and results from the operation. Findings from this study do show that long term data will truly show how effective this approach has been and will provide better evidence of the impact that its having on young persons, however, ‘</w:t>
      </w:r>
      <w:r w:rsidR="008B0B35" w:rsidRPr="008B0B35">
        <w:rPr>
          <w:rFonts w:ascii="Arial" w:hAnsi="Arial" w:cs="Arial"/>
          <w:sz w:val="22"/>
          <w:szCs w:val="22"/>
        </w:rPr>
        <w:t>findings from the evaluation of th</w:t>
      </w:r>
      <w:r w:rsidR="008B0B35">
        <w:rPr>
          <w:rFonts w:ascii="Arial" w:hAnsi="Arial" w:cs="Arial"/>
          <w:sz w:val="22"/>
          <w:szCs w:val="22"/>
        </w:rPr>
        <w:t xml:space="preserve">e </w:t>
      </w:r>
      <w:r w:rsidR="008B0B35" w:rsidRPr="008B0B35">
        <w:rPr>
          <w:rFonts w:ascii="Arial" w:hAnsi="Arial" w:cs="Arial"/>
          <w:sz w:val="22"/>
          <w:szCs w:val="22"/>
        </w:rPr>
        <w:t>knife crime incidents indicates that nine of the 84 (10.7%) Op Divan participants committed further knife crime offences by the end of July 2020, meaning that 89.3% of participants did not come to the attention of Op Divan again over this period</w:t>
      </w:r>
      <w:r w:rsidR="008B0B35">
        <w:rPr>
          <w:rFonts w:ascii="Arial" w:hAnsi="Arial" w:cs="Arial"/>
          <w:sz w:val="22"/>
          <w:szCs w:val="22"/>
        </w:rPr>
        <w:t xml:space="preserve">’ thus showing some positive data and outcome from the study that can be used and adapted by other forces (College of Policing, 2021). </w:t>
      </w:r>
    </w:p>
    <w:p w14:paraId="41E9B5FD" w14:textId="77777777" w:rsidR="008B0B35" w:rsidRDefault="008B0B35" w:rsidP="008B0B35">
      <w:pPr>
        <w:rPr>
          <w:rFonts w:ascii="Arial" w:hAnsi="Arial" w:cs="Arial"/>
          <w:sz w:val="22"/>
          <w:szCs w:val="22"/>
        </w:rPr>
      </w:pPr>
    </w:p>
    <w:p w14:paraId="6EB2AE59" w14:textId="3E6D33E6" w:rsidR="00FB21FE" w:rsidRDefault="007B3CD3" w:rsidP="007B3CD3">
      <w:pPr>
        <w:rPr>
          <w:rFonts w:ascii="Arial" w:hAnsi="Arial" w:cs="Arial"/>
          <w:sz w:val="22"/>
          <w:szCs w:val="22"/>
        </w:rPr>
      </w:pPr>
      <w:r>
        <w:rPr>
          <w:rFonts w:ascii="Arial" w:hAnsi="Arial" w:cs="Arial"/>
          <w:sz w:val="22"/>
          <w:szCs w:val="22"/>
        </w:rPr>
        <w:t>With regards to knife crime, there is importance on reducing re-offending. One of the newly introduced methods that police have to reduce reoffending is a knife crime prevention order (KCPO), ‘</w:t>
      </w:r>
      <w:r w:rsidRPr="007B3CD3">
        <w:rPr>
          <w:rFonts w:ascii="Arial" w:hAnsi="Arial" w:cs="Arial"/>
          <w:sz w:val="22"/>
          <w:szCs w:val="22"/>
        </w:rPr>
        <w:t>. These are civil court orders that can be imposed on people aged 12 and over whom police “have reason to believe are carrying knives or are habitual knife carriers, or those who have been previously convicted of a knife-related offence”</w:t>
      </w:r>
      <w:r>
        <w:rPr>
          <w:rFonts w:ascii="Arial" w:hAnsi="Arial" w:cs="Arial"/>
          <w:sz w:val="22"/>
          <w:szCs w:val="22"/>
        </w:rPr>
        <w:t>’(</w:t>
      </w:r>
      <w:r w:rsidR="00976C7B" w:rsidRPr="00976C7B">
        <w:rPr>
          <w:rFonts w:ascii="Arial" w:hAnsi="Arial" w:cs="Arial"/>
          <w:sz w:val="22"/>
          <w:szCs w:val="22"/>
        </w:rPr>
        <w:t>Ryan, Joe, et al.2021</w:t>
      </w:r>
      <w:r>
        <w:rPr>
          <w:rFonts w:ascii="Arial" w:hAnsi="Arial" w:cs="Arial"/>
          <w:sz w:val="22"/>
          <w:szCs w:val="22"/>
        </w:rPr>
        <w:t xml:space="preserve">). The orders can place conditions on the defendant, both negative and also positive in order to prevent re-offending and apply conditions for the defendant to go to education courses, drug rehabilitation or anger management classes to prevent further offences. </w:t>
      </w:r>
    </w:p>
    <w:p w14:paraId="3C0851DC" w14:textId="4F6CDEF8" w:rsidR="00884DCF" w:rsidRDefault="00C71E43" w:rsidP="00884DCF">
      <w:pPr>
        <w:rPr>
          <w:rFonts w:ascii="Arial" w:hAnsi="Arial" w:cs="Arial"/>
          <w:sz w:val="22"/>
          <w:szCs w:val="22"/>
        </w:rPr>
      </w:pPr>
      <w:r>
        <w:rPr>
          <w:rFonts w:ascii="Arial" w:hAnsi="Arial" w:cs="Arial"/>
          <w:sz w:val="22"/>
          <w:szCs w:val="22"/>
        </w:rPr>
        <w:t xml:space="preserve">Another approach to prevent re-offending with regards to youths </w:t>
      </w:r>
      <w:r w:rsidR="00D703BD">
        <w:rPr>
          <w:rFonts w:ascii="Arial" w:hAnsi="Arial" w:cs="Arial"/>
          <w:sz w:val="22"/>
          <w:szCs w:val="22"/>
        </w:rPr>
        <w:t xml:space="preserve">is where ‘Youth Offending Teams </w:t>
      </w:r>
      <w:r w:rsidR="00D703BD" w:rsidRPr="00D703BD">
        <w:rPr>
          <w:rFonts w:ascii="Arial" w:hAnsi="Arial" w:cs="Arial"/>
          <w:sz w:val="22"/>
          <w:szCs w:val="22"/>
        </w:rPr>
        <w:t>delivered some kind of knife crime programme which sought to reduce children’s risks of reoffending. These programmes often took the form of group work and involved highlighting the risks and impacts of knife crime to deter people from carrying and using knives in the future</w:t>
      </w:r>
      <w:r w:rsidR="00D703BD">
        <w:rPr>
          <w:rFonts w:ascii="Arial" w:hAnsi="Arial" w:cs="Arial"/>
          <w:sz w:val="22"/>
          <w:szCs w:val="22"/>
        </w:rPr>
        <w:t xml:space="preserve">’ (Phillips et al, 2022). </w:t>
      </w:r>
    </w:p>
    <w:p w14:paraId="415FB332" w14:textId="34498384" w:rsidR="00D703BD" w:rsidRDefault="00D703BD" w:rsidP="00884DCF">
      <w:pPr>
        <w:rPr>
          <w:rFonts w:ascii="Arial" w:hAnsi="Arial" w:cs="Arial"/>
          <w:sz w:val="22"/>
          <w:szCs w:val="22"/>
        </w:rPr>
      </w:pPr>
      <w:r>
        <w:rPr>
          <w:rFonts w:ascii="Arial" w:hAnsi="Arial" w:cs="Arial"/>
          <w:sz w:val="22"/>
          <w:szCs w:val="22"/>
        </w:rPr>
        <w:t>As with other crime types, the use of restorative justice is also an option, it</w:t>
      </w:r>
      <w:r w:rsidRPr="00D703BD">
        <w:rPr>
          <w:rFonts w:ascii="Arial" w:hAnsi="Arial" w:cs="Arial"/>
          <w:sz w:val="22"/>
          <w:szCs w:val="22"/>
        </w:rPr>
        <w:t xml:space="preserve"> </w:t>
      </w:r>
      <w:r>
        <w:rPr>
          <w:rFonts w:ascii="Arial" w:hAnsi="Arial" w:cs="Arial"/>
          <w:sz w:val="22"/>
          <w:szCs w:val="22"/>
        </w:rPr>
        <w:t>‘</w:t>
      </w:r>
      <w:r w:rsidRPr="00D703BD">
        <w:rPr>
          <w:rFonts w:ascii="Arial" w:hAnsi="Arial" w:cs="Arial"/>
          <w:sz w:val="22"/>
          <w:szCs w:val="22"/>
        </w:rPr>
        <w:t>brings together people harmed by crime or conflict with those responsible for the harm, to find a positive way forward</w:t>
      </w:r>
      <w:r>
        <w:rPr>
          <w:rFonts w:ascii="Arial" w:hAnsi="Arial" w:cs="Arial"/>
          <w:sz w:val="22"/>
          <w:szCs w:val="22"/>
        </w:rPr>
        <w:t>’. It allows for the offender to apologise, take responsibility for their actions and try to make amends with the victim for it (Ministry of Justice, 2013)</w:t>
      </w:r>
    </w:p>
    <w:p w14:paraId="03473BCB" w14:textId="77777777" w:rsidR="00D703BD" w:rsidRDefault="00D703BD" w:rsidP="00884DCF">
      <w:pPr>
        <w:rPr>
          <w:rFonts w:ascii="Arial" w:hAnsi="Arial" w:cs="Arial"/>
          <w:sz w:val="22"/>
          <w:szCs w:val="22"/>
        </w:rPr>
      </w:pPr>
    </w:p>
    <w:p w14:paraId="7F1BF769" w14:textId="6D353666" w:rsidR="00D703BD" w:rsidRDefault="00D703BD" w:rsidP="00884DCF">
      <w:pPr>
        <w:rPr>
          <w:rFonts w:ascii="Arial" w:hAnsi="Arial" w:cs="Arial"/>
          <w:sz w:val="22"/>
          <w:szCs w:val="22"/>
        </w:rPr>
      </w:pPr>
      <w:r>
        <w:rPr>
          <w:rFonts w:ascii="Arial" w:hAnsi="Arial" w:cs="Arial"/>
          <w:sz w:val="22"/>
          <w:szCs w:val="22"/>
        </w:rPr>
        <w:t>In conclusion, the use of evidence-based policing is important to consider with any re-occurring policing problem as it allows for police services to use the best methods and preventions for problem solving policing and allows for the best delivery of service to the public and effectiveness of the police. Especially in knife crime, despite data being not yet definitive due to the length of time of the studies, it does show that the use of preventative measures and prevention tools is effective in reducing</w:t>
      </w:r>
      <w:r w:rsidR="006513F7">
        <w:rPr>
          <w:rFonts w:ascii="Arial" w:hAnsi="Arial" w:cs="Arial"/>
          <w:sz w:val="22"/>
          <w:szCs w:val="22"/>
        </w:rPr>
        <w:t xml:space="preserve"> knife</w:t>
      </w:r>
      <w:r>
        <w:rPr>
          <w:rFonts w:ascii="Arial" w:hAnsi="Arial" w:cs="Arial"/>
          <w:sz w:val="22"/>
          <w:szCs w:val="22"/>
        </w:rPr>
        <w:t xml:space="preserve"> crime, which gives further evidence for research into</w:t>
      </w:r>
      <w:r w:rsidR="006513F7">
        <w:rPr>
          <w:rFonts w:ascii="Arial" w:hAnsi="Arial" w:cs="Arial"/>
          <w:sz w:val="22"/>
          <w:szCs w:val="22"/>
        </w:rPr>
        <w:t xml:space="preserve"> that certain crime</w:t>
      </w:r>
      <w:r>
        <w:rPr>
          <w:rFonts w:ascii="Arial" w:hAnsi="Arial" w:cs="Arial"/>
          <w:sz w:val="22"/>
          <w:szCs w:val="22"/>
        </w:rPr>
        <w:t xml:space="preserve"> </w:t>
      </w:r>
      <w:r w:rsidR="006513F7">
        <w:rPr>
          <w:rFonts w:ascii="Arial" w:hAnsi="Arial" w:cs="Arial"/>
          <w:sz w:val="22"/>
          <w:szCs w:val="22"/>
        </w:rPr>
        <w:t>and leading ways to approach it, along with supporting the reduction in re-offending. Re-offending methods prove to be supported via evidence-based practices.</w:t>
      </w:r>
    </w:p>
    <w:p w14:paraId="2D74EA68" w14:textId="79515B4A" w:rsidR="006513F7" w:rsidRDefault="006513F7" w:rsidP="00884DCF">
      <w:pPr>
        <w:rPr>
          <w:rFonts w:ascii="Arial" w:hAnsi="Arial" w:cs="Arial"/>
          <w:sz w:val="22"/>
          <w:szCs w:val="22"/>
        </w:rPr>
      </w:pPr>
    </w:p>
    <w:p w14:paraId="412818F9" w14:textId="4B6C35FC" w:rsidR="006513F7" w:rsidRDefault="006513F7" w:rsidP="00884DCF">
      <w:pPr>
        <w:rPr>
          <w:rFonts w:ascii="Arial" w:hAnsi="Arial" w:cs="Arial"/>
          <w:i/>
          <w:iCs/>
          <w:sz w:val="22"/>
          <w:szCs w:val="22"/>
        </w:rPr>
      </w:pPr>
      <w:r w:rsidRPr="006513F7">
        <w:rPr>
          <w:rFonts w:ascii="Arial" w:hAnsi="Arial" w:cs="Arial"/>
          <w:i/>
          <w:iCs/>
          <w:sz w:val="22"/>
          <w:szCs w:val="22"/>
        </w:rPr>
        <w:t>1096 words</w:t>
      </w:r>
    </w:p>
    <w:p w14:paraId="115FD1F3" w14:textId="2406231B" w:rsidR="002544FC" w:rsidRDefault="002544FC" w:rsidP="00884DCF">
      <w:pPr>
        <w:rPr>
          <w:rFonts w:ascii="Arial" w:hAnsi="Arial" w:cs="Arial"/>
          <w:i/>
          <w:iCs/>
          <w:sz w:val="22"/>
          <w:szCs w:val="22"/>
        </w:rPr>
      </w:pPr>
    </w:p>
    <w:p w14:paraId="1A7D95C2" w14:textId="5EE6E9DF" w:rsidR="002544FC" w:rsidRDefault="002544FC" w:rsidP="00884DCF">
      <w:pPr>
        <w:rPr>
          <w:rFonts w:ascii="Arial" w:hAnsi="Arial" w:cs="Arial"/>
          <w:i/>
          <w:iCs/>
          <w:sz w:val="22"/>
          <w:szCs w:val="22"/>
        </w:rPr>
      </w:pPr>
    </w:p>
    <w:p w14:paraId="5BA70B44" w14:textId="32682830" w:rsidR="002544FC" w:rsidRDefault="002544FC" w:rsidP="00884DCF">
      <w:pPr>
        <w:rPr>
          <w:rFonts w:ascii="Arial" w:hAnsi="Arial" w:cs="Arial"/>
          <w:i/>
          <w:iCs/>
          <w:sz w:val="22"/>
          <w:szCs w:val="22"/>
        </w:rPr>
      </w:pPr>
    </w:p>
    <w:p w14:paraId="60DA9646" w14:textId="3CC3D74B" w:rsidR="002544FC" w:rsidRDefault="002544FC" w:rsidP="00884DCF">
      <w:pPr>
        <w:rPr>
          <w:rFonts w:ascii="Arial" w:hAnsi="Arial" w:cs="Arial"/>
          <w:i/>
          <w:iCs/>
          <w:sz w:val="22"/>
          <w:szCs w:val="22"/>
        </w:rPr>
      </w:pPr>
    </w:p>
    <w:p w14:paraId="4027263F" w14:textId="38F31C19" w:rsidR="002544FC" w:rsidRDefault="002544FC" w:rsidP="00884DCF">
      <w:pPr>
        <w:rPr>
          <w:rFonts w:ascii="Arial" w:hAnsi="Arial" w:cs="Arial"/>
          <w:i/>
          <w:iCs/>
          <w:sz w:val="22"/>
          <w:szCs w:val="22"/>
        </w:rPr>
      </w:pPr>
    </w:p>
    <w:p w14:paraId="6189C36C" w14:textId="7D1AE5FD" w:rsidR="002544FC" w:rsidRDefault="002544FC" w:rsidP="00884DCF">
      <w:pPr>
        <w:rPr>
          <w:rFonts w:ascii="Arial" w:hAnsi="Arial" w:cs="Arial"/>
          <w:i/>
          <w:iCs/>
          <w:sz w:val="22"/>
          <w:szCs w:val="22"/>
        </w:rPr>
      </w:pPr>
    </w:p>
    <w:p w14:paraId="0BF6205C" w14:textId="7C44303A" w:rsidR="002544FC" w:rsidRDefault="002544FC" w:rsidP="00884DCF">
      <w:pPr>
        <w:rPr>
          <w:rFonts w:ascii="Arial" w:hAnsi="Arial" w:cs="Arial"/>
          <w:i/>
          <w:iCs/>
          <w:sz w:val="22"/>
          <w:szCs w:val="22"/>
        </w:rPr>
      </w:pPr>
    </w:p>
    <w:p w14:paraId="5EFB13DC" w14:textId="6135C340" w:rsidR="002544FC" w:rsidRDefault="002544FC" w:rsidP="00884DCF">
      <w:pPr>
        <w:rPr>
          <w:rFonts w:ascii="Arial" w:hAnsi="Arial" w:cs="Arial"/>
          <w:i/>
          <w:iCs/>
          <w:sz w:val="22"/>
          <w:szCs w:val="22"/>
        </w:rPr>
      </w:pPr>
    </w:p>
    <w:p w14:paraId="66905067" w14:textId="49697DAC" w:rsidR="002544FC" w:rsidRDefault="002544FC" w:rsidP="00884DCF">
      <w:pPr>
        <w:rPr>
          <w:rFonts w:ascii="Arial" w:hAnsi="Arial" w:cs="Arial"/>
          <w:i/>
          <w:iCs/>
          <w:sz w:val="22"/>
          <w:szCs w:val="22"/>
        </w:rPr>
      </w:pPr>
    </w:p>
    <w:p w14:paraId="6F070BCB" w14:textId="7C5C628E" w:rsidR="002544FC" w:rsidRDefault="002544FC" w:rsidP="00884DCF">
      <w:pPr>
        <w:rPr>
          <w:rFonts w:ascii="Arial" w:hAnsi="Arial" w:cs="Arial"/>
          <w:i/>
          <w:iCs/>
          <w:sz w:val="22"/>
          <w:szCs w:val="22"/>
        </w:rPr>
      </w:pPr>
    </w:p>
    <w:p w14:paraId="7F3DCC81" w14:textId="00DB78DD" w:rsidR="002544FC" w:rsidRDefault="002544FC" w:rsidP="00884DCF">
      <w:pPr>
        <w:rPr>
          <w:rFonts w:ascii="Arial" w:hAnsi="Arial" w:cs="Arial"/>
          <w:i/>
          <w:iCs/>
          <w:sz w:val="22"/>
          <w:szCs w:val="22"/>
        </w:rPr>
      </w:pPr>
    </w:p>
    <w:p w14:paraId="7EB85D78" w14:textId="01E6C4BA" w:rsidR="002544FC" w:rsidRDefault="002544FC" w:rsidP="00884DCF">
      <w:pPr>
        <w:rPr>
          <w:rFonts w:ascii="Arial" w:hAnsi="Arial" w:cs="Arial"/>
          <w:i/>
          <w:iCs/>
          <w:sz w:val="22"/>
          <w:szCs w:val="22"/>
        </w:rPr>
      </w:pPr>
    </w:p>
    <w:p w14:paraId="0D15C374" w14:textId="16F7EF3E" w:rsidR="002544FC" w:rsidRDefault="002544FC" w:rsidP="00884DCF">
      <w:pPr>
        <w:rPr>
          <w:rFonts w:ascii="Arial" w:hAnsi="Arial" w:cs="Arial"/>
          <w:i/>
          <w:iCs/>
          <w:sz w:val="22"/>
          <w:szCs w:val="22"/>
        </w:rPr>
      </w:pPr>
    </w:p>
    <w:p w14:paraId="0C31CCEE" w14:textId="23C1AF7E" w:rsidR="002544FC" w:rsidRDefault="002544FC" w:rsidP="00884DCF">
      <w:pPr>
        <w:rPr>
          <w:rFonts w:ascii="Arial" w:hAnsi="Arial" w:cs="Arial"/>
          <w:sz w:val="36"/>
          <w:szCs w:val="36"/>
          <w:u w:val="single"/>
        </w:rPr>
      </w:pPr>
      <w:r w:rsidRPr="002544FC">
        <w:rPr>
          <w:rFonts w:ascii="Arial" w:hAnsi="Arial" w:cs="Arial"/>
          <w:sz w:val="36"/>
          <w:szCs w:val="36"/>
          <w:u w:val="single"/>
        </w:rPr>
        <w:lastRenderedPageBreak/>
        <w:t>Bibliography</w:t>
      </w:r>
    </w:p>
    <w:p w14:paraId="587633B6" w14:textId="49AABD22" w:rsidR="002544FC" w:rsidRDefault="002544FC" w:rsidP="00884DCF">
      <w:pPr>
        <w:rPr>
          <w:rFonts w:ascii="Arial" w:hAnsi="Arial" w:cs="Arial"/>
          <w:sz w:val="36"/>
          <w:szCs w:val="36"/>
          <w:u w:val="single"/>
        </w:rPr>
      </w:pPr>
    </w:p>
    <w:p w14:paraId="09188B52"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Arble E, Daugherty AM and Arnetz B (2019) Differential Effects of Physiological Arousal Following Acute Stress on Police Officer Performance in a Simulated Critical Incident. 9 Apr. 2019.</w:t>
      </w:r>
    </w:p>
    <w:p w14:paraId="0DA57F6A" w14:textId="77777777" w:rsidR="002544FC" w:rsidRPr="002544FC" w:rsidRDefault="002544FC" w:rsidP="002544FC">
      <w:pPr>
        <w:spacing w:before="100" w:beforeAutospacing="1" w:after="100" w:afterAutospacing="1" w:line="360" w:lineRule="auto"/>
        <w:ind w:left="567" w:hanging="567"/>
        <w:rPr>
          <w:rFonts w:ascii="Arial" w:hAnsi="Arial" w:cs="Arial"/>
          <w:sz w:val="22"/>
          <w:szCs w:val="22"/>
        </w:rPr>
      </w:pPr>
      <w:r w:rsidRPr="002544FC">
        <w:rPr>
          <w:rFonts w:ascii="Arial" w:hAnsi="Arial" w:cs="Arial"/>
          <w:sz w:val="22"/>
          <w:szCs w:val="22"/>
        </w:rPr>
        <w:t xml:space="preserve">Baltes, P.B. et al. 2001. Teaching as a Profession. In: </w:t>
      </w:r>
      <w:r w:rsidRPr="002544FC">
        <w:rPr>
          <w:rFonts w:ascii="Arial" w:hAnsi="Arial" w:cs="Arial"/>
          <w:i/>
          <w:iCs/>
          <w:sz w:val="22"/>
          <w:szCs w:val="22"/>
        </w:rPr>
        <w:t>International Encyclopedia of the Social &amp; Behavioral Sciences</w:t>
      </w:r>
      <w:r w:rsidRPr="002544FC">
        <w:rPr>
          <w:rFonts w:ascii="Arial" w:hAnsi="Arial" w:cs="Arial"/>
          <w:sz w:val="22"/>
          <w:szCs w:val="22"/>
        </w:rPr>
        <w:t>. Amsterdam: Elsevier, pp. 15472–15476.</w:t>
      </w:r>
    </w:p>
    <w:p w14:paraId="2115C8F2"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Bradshaw, Sarah.(2021) </w:t>
      </w:r>
      <w:r w:rsidRPr="002544FC">
        <w:rPr>
          <w:rFonts w:ascii="Arial" w:hAnsi="Arial" w:cs="Arial"/>
          <w:i/>
          <w:iCs/>
          <w:sz w:val="22"/>
          <w:szCs w:val="22"/>
        </w:rPr>
        <w:t>Blackstone’s Handbook for Policing Students</w:t>
      </w:r>
      <w:r w:rsidRPr="002544FC">
        <w:rPr>
          <w:rFonts w:ascii="Arial" w:hAnsi="Arial" w:cs="Arial"/>
          <w:sz w:val="22"/>
          <w:szCs w:val="22"/>
        </w:rPr>
        <w:t>. sixteenth ed., Oxford, Oxford University Press, 2021, p. 560.</w:t>
      </w:r>
    </w:p>
    <w:p w14:paraId="5BCAB1A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Bryant, Robin, et al. </w:t>
      </w:r>
      <w:r w:rsidRPr="002544FC">
        <w:rPr>
          <w:rFonts w:ascii="Arial" w:hAnsi="Arial" w:cs="Arial"/>
          <w:i/>
          <w:iCs/>
          <w:sz w:val="22"/>
          <w:szCs w:val="22"/>
        </w:rPr>
        <w:t>Blackstone’s Handbook for Policing Students 2013</w:t>
      </w:r>
      <w:r w:rsidRPr="002544FC">
        <w:rPr>
          <w:rFonts w:ascii="Arial" w:hAnsi="Arial" w:cs="Arial"/>
          <w:sz w:val="22"/>
          <w:szCs w:val="22"/>
        </w:rPr>
        <w:t>. Oxford, Oxford University Press, 2012.</w:t>
      </w:r>
    </w:p>
    <w:p w14:paraId="0A0EF173"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Carter-Lang, J. (2021). </w:t>
      </w:r>
      <w:r w:rsidRPr="002544FC">
        <w:rPr>
          <w:rFonts w:ascii="Arial" w:hAnsi="Arial" w:cs="Arial"/>
          <w:i/>
          <w:iCs/>
          <w:sz w:val="22"/>
          <w:szCs w:val="22"/>
        </w:rPr>
        <w:t>Police Degrees: There must be a route into policing that does not require university study to join</w:t>
      </w:r>
      <w:r w:rsidRPr="002544FC">
        <w:rPr>
          <w:rFonts w:ascii="Arial" w:hAnsi="Arial" w:cs="Arial"/>
          <w:sz w:val="22"/>
          <w:szCs w:val="22"/>
        </w:rPr>
        <w:t>. [online] www.polfed.org. Available at: https://www.polfed.org/leicestershire/news/2021/police-degrees-there-must-be-a-route-into-policing-that-does-not-require-university-study-to-join/ [Accessed 23 Nov. 2022].</w:t>
      </w:r>
    </w:p>
    <w:p w14:paraId="7A5173B5"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bookmarkStart w:id="0" w:name="_Hlk120387133"/>
      <w:r w:rsidRPr="002544FC">
        <w:rPr>
          <w:rFonts w:ascii="Arial" w:hAnsi="Arial" w:cs="Arial"/>
          <w:sz w:val="22"/>
          <w:szCs w:val="22"/>
        </w:rPr>
        <w:t xml:space="preserve">Centers for Disease Control and Prevention. </w:t>
      </w:r>
      <w:bookmarkEnd w:id="0"/>
      <w:r w:rsidRPr="002544FC">
        <w:rPr>
          <w:rFonts w:ascii="Arial" w:hAnsi="Arial" w:cs="Arial"/>
          <w:sz w:val="22"/>
          <w:szCs w:val="22"/>
        </w:rPr>
        <w:t xml:space="preserve">“Adverse Childhood Experiences (ACEs).” </w:t>
      </w:r>
      <w:r w:rsidRPr="002544FC">
        <w:rPr>
          <w:rFonts w:ascii="Arial" w:hAnsi="Arial" w:cs="Arial"/>
          <w:i/>
          <w:iCs/>
          <w:sz w:val="22"/>
          <w:szCs w:val="22"/>
        </w:rPr>
        <w:t>Centers for Disease Control and Prevention</w:t>
      </w:r>
      <w:r w:rsidRPr="002544FC">
        <w:rPr>
          <w:rFonts w:ascii="Arial" w:hAnsi="Arial" w:cs="Arial"/>
          <w:sz w:val="22"/>
          <w:szCs w:val="22"/>
        </w:rPr>
        <w:t xml:space="preserve">, 5 Nov. 2019, </w:t>
      </w:r>
      <w:hyperlink r:id="rId7" w:history="1">
        <w:r w:rsidRPr="002544FC">
          <w:rPr>
            <w:rFonts w:ascii="Arial" w:hAnsi="Arial" w:cs="Arial"/>
            <w:sz w:val="22"/>
            <w:szCs w:val="22"/>
            <w:u w:val="single"/>
          </w:rPr>
          <w:t>www.cdc.gov/vitalsigns/aces/index.html. Accessed 26 Nov. 2022</w:t>
        </w:r>
      </w:hyperlink>
      <w:r w:rsidRPr="002544FC">
        <w:rPr>
          <w:rFonts w:ascii="Arial" w:hAnsi="Arial" w:cs="Arial"/>
          <w:sz w:val="22"/>
          <w:szCs w:val="22"/>
        </w:rPr>
        <w:t>.</w:t>
      </w:r>
    </w:p>
    <w:p w14:paraId="21D0EA08" w14:textId="77777777" w:rsidR="002544FC" w:rsidRPr="002544FC" w:rsidRDefault="002544FC" w:rsidP="002544FC">
      <w:pPr>
        <w:spacing w:before="100" w:beforeAutospacing="1" w:after="100" w:afterAutospacing="1" w:line="360" w:lineRule="auto"/>
        <w:rPr>
          <w:rFonts w:ascii="Arial" w:eastAsiaTheme="minorHAnsi" w:hAnsi="Arial" w:cs="Arial"/>
          <w:sz w:val="22"/>
          <w:szCs w:val="22"/>
          <w:shd w:val="clear" w:color="auto" w:fill="FFFFFF"/>
          <w:lang w:eastAsia="en-US"/>
        </w:rPr>
      </w:pPr>
      <w:r w:rsidRPr="002544FC">
        <w:rPr>
          <w:rFonts w:ascii="Arial" w:eastAsiaTheme="minorHAnsi" w:hAnsi="Arial" w:cs="Arial"/>
          <w:sz w:val="22"/>
          <w:szCs w:val="22"/>
          <w:shd w:val="clear" w:color="auto" w:fill="FFFFFF"/>
          <w:lang w:eastAsia="en-US"/>
        </w:rPr>
        <w:t>College Of Policing (2020). Joining as a new PC. [online] College of Policing. Available at: https://www.college.police.uk/career-learning/joining-police/joining-new-pc. [Accessed: 23 November 2022].</w:t>
      </w:r>
    </w:p>
    <w:p w14:paraId="66AEF15F"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College of Policing (2021) “Vulnerability and Violent Crime Programme Evaluation of Operation Divan Key Findings and Implications for Practice.” </w:t>
      </w:r>
      <w:r w:rsidRPr="002544FC">
        <w:rPr>
          <w:rFonts w:ascii="Arial" w:hAnsi="Arial" w:cs="Arial"/>
          <w:i/>
          <w:iCs/>
          <w:sz w:val="22"/>
          <w:szCs w:val="22"/>
        </w:rPr>
        <w:t>College of Policing</w:t>
      </w:r>
      <w:r w:rsidRPr="002544FC">
        <w:rPr>
          <w:rFonts w:ascii="Arial" w:hAnsi="Arial" w:cs="Arial"/>
          <w:sz w:val="22"/>
          <w:szCs w:val="22"/>
        </w:rPr>
        <w:t>, 2021, assets.college.police.uk/s3fs-public/2021-07/vvcp-evaluation-op-divan-key-findings-practice-implications.pdf. Accessed 27 Nov. 2022.</w:t>
      </w:r>
    </w:p>
    <w:p w14:paraId="606EB9C1"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College of Policing (2022). </w:t>
      </w:r>
      <w:r w:rsidRPr="002544FC">
        <w:rPr>
          <w:rFonts w:ascii="Arial" w:hAnsi="Arial" w:cs="Arial"/>
          <w:i/>
          <w:iCs/>
          <w:sz w:val="22"/>
          <w:szCs w:val="22"/>
        </w:rPr>
        <w:t>Equality impact assessment PEQF PC entry routes Version control Version number Date Comments</w:t>
      </w:r>
      <w:r w:rsidRPr="002544FC">
        <w:rPr>
          <w:rFonts w:ascii="Arial" w:hAnsi="Arial" w:cs="Arial"/>
          <w:sz w:val="22"/>
          <w:szCs w:val="22"/>
        </w:rPr>
        <w:t>. [online] Available at: https://assets.college.police.uk/s3fs-public/2022-05/PEQF-PC-entry-routes-equality-impact-assessment.pdf.</w:t>
      </w:r>
    </w:p>
    <w:p w14:paraId="12D8FEB4"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lastRenderedPageBreak/>
        <w:t xml:space="preserve">College of Policing (2022). </w:t>
      </w:r>
      <w:r w:rsidRPr="002544FC">
        <w:rPr>
          <w:rFonts w:ascii="Arial" w:hAnsi="Arial" w:cs="Arial"/>
          <w:i/>
          <w:iCs/>
          <w:sz w:val="22"/>
          <w:szCs w:val="22"/>
        </w:rPr>
        <w:t>Response Policing Career Pathway</w:t>
      </w:r>
      <w:r w:rsidRPr="002544FC">
        <w:rPr>
          <w:rFonts w:ascii="Arial" w:hAnsi="Arial" w:cs="Arial"/>
          <w:sz w:val="22"/>
          <w:szCs w:val="22"/>
        </w:rPr>
        <w:t xml:space="preserve">. [online] College of Policing. Available at: </w:t>
      </w:r>
      <w:hyperlink r:id="rId8" w:anchor=":~:text=Response%20policing%20is%20the%20term" w:history="1">
        <w:r w:rsidRPr="002544FC">
          <w:rPr>
            <w:rFonts w:ascii="Arial" w:hAnsi="Arial" w:cs="Arial"/>
            <w:sz w:val="22"/>
            <w:szCs w:val="22"/>
            <w:u w:val="single"/>
          </w:rPr>
          <w:t>https://www.college.police.uk/career-learning/career-development/career-pathways/response-policing#:~:text=Response%20policing%20is%20the%20term</w:t>
        </w:r>
      </w:hyperlink>
      <w:r w:rsidRPr="002544FC">
        <w:rPr>
          <w:rFonts w:ascii="Arial" w:hAnsi="Arial" w:cs="Arial"/>
          <w:sz w:val="22"/>
          <w:szCs w:val="22"/>
        </w:rPr>
        <w:t>. Accessed 24 Nov. 2022</w:t>
      </w:r>
    </w:p>
    <w:p w14:paraId="29AFEDD9"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College of Policing. (2013) “Collection and Recording.” </w:t>
      </w:r>
      <w:r w:rsidRPr="002544FC">
        <w:rPr>
          <w:rFonts w:ascii="Arial" w:hAnsi="Arial" w:cs="Arial"/>
          <w:i/>
          <w:iCs/>
          <w:sz w:val="22"/>
          <w:szCs w:val="22"/>
        </w:rPr>
        <w:t>College of Policing</w:t>
      </w:r>
      <w:r w:rsidRPr="002544FC">
        <w:rPr>
          <w:rFonts w:ascii="Arial" w:hAnsi="Arial" w:cs="Arial"/>
          <w:sz w:val="22"/>
          <w:szCs w:val="22"/>
        </w:rPr>
        <w:t>, 23 Oct. 2013, www.college.police.uk/app/information-management/management-police-information/collection-and-recording#routine-collection. Accessed 24 Nov. 2022.</w:t>
      </w:r>
    </w:p>
    <w:p w14:paraId="5D4468F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College of Policing. (2013) “Introduction and Types of Critical Incidents.” </w:t>
      </w:r>
      <w:r w:rsidRPr="002544FC">
        <w:rPr>
          <w:rFonts w:ascii="Arial" w:hAnsi="Arial" w:cs="Arial"/>
          <w:i/>
          <w:iCs/>
          <w:sz w:val="22"/>
          <w:szCs w:val="22"/>
        </w:rPr>
        <w:t>College of Policing</w:t>
      </w:r>
      <w:r w:rsidRPr="002544FC">
        <w:rPr>
          <w:rFonts w:ascii="Arial" w:hAnsi="Arial" w:cs="Arial"/>
          <w:sz w:val="22"/>
          <w:szCs w:val="22"/>
        </w:rPr>
        <w:t>, 23 Oct. 2013, www.college.police.uk/app/critical-incident-management/introduction-and-types-critical-incidents#principles. Accessed 24 Nov. 2022</w:t>
      </w:r>
    </w:p>
    <w:p w14:paraId="247C6C82"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College of Policing. (2015) “Intelligence Collection, Development and Dissemination.” </w:t>
      </w:r>
      <w:r w:rsidRPr="002544FC">
        <w:rPr>
          <w:rFonts w:ascii="Arial" w:hAnsi="Arial" w:cs="Arial"/>
          <w:i/>
          <w:iCs/>
          <w:sz w:val="22"/>
          <w:szCs w:val="22"/>
        </w:rPr>
        <w:t>College of Policing</w:t>
      </w:r>
      <w:r w:rsidRPr="002544FC">
        <w:rPr>
          <w:rFonts w:ascii="Arial" w:hAnsi="Arial" w:cs="Arial"/>
          <w:sz w:val="22"/>
          <w:szCs w:val="22"/>
        </w:rPr>
        <w:t>, 16 Mar. 2015, www.college.police.uk/app/intelligence-management/intelligence-collection-development-and-dissemination. Accessed 24 Nov. 2022.</w:t>
      </w:r>
    </w:p>
    <w:p w14:paraId="545B6C5A"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College of Policing.(2021) “Knife Crime a Problem Solving Guide.” </w:t>
      </w:r>
      <w:r w:rsidRPr="002544FC">
        <w:rPr>
          <w:rFonts w:ascii="Arial" w:hAnsi="Arial" w:cs="Arial"/>
          <w:i/>
          <w:iCs/>
          <w:sz w:val="22"/>
          <w:szCs w:val="22"/>
        </w:rPr>
        <w:t>College of Policing</w:t>
      </w:r>
      <w:r w:rsidRPr="002544FC">
        <w:rPr>
          <w:rFonts w:ascii="Arial" w:hAnsi="Arial" w:cs="Arial"/>
          <w:sz w:val="22"/>
          <w:szCs w:val="22"/>
        </w:rPr>
        <w:t>, 19 Nov. 2021, assets.college.police.uk/s3fs-public/2021-11/Knife-crime-a-problem-solving-guide.pdf. Accessed 27 Nov. 2022.</w:t>
      </w:r>
    </w:p>
    <w:p w14:paraId="52588A37"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CPFIA (2022). </w:t>
      </w:r>
      <w:r w:rsidRPr="002544FC">
        <w:rPr>
          <w:rFonts w:ascii="Arial" w:hAnsi="Arial" w:cs="Arial"/>
          <w:i/>
          <w:iCs/>
          <w:sz w:val="22"/>
          <w:szCs w:val="22"/>
        </w:rPr>
        <w:t>Setting sustainability standards for the public sector</w:t>
      </w:r>
      <w:r w:rsidRPr="002544FC">
        <w:rPr>
          <w:rFonts w:ascii="Arial" w:hAnsi="Arial" w:cs="Arial"/>
          <w:sz w:val="22"/>
          <w:szCs w:val="22"/>
        </w:rPr>
        <w:t>. [online] www.cipfa.org. Available at: https://www.cipfa.org/cipfa-thinks/insight/sustainability-insights/setting-sustainability-standards-for-the-public-sector#:~:text=Why%20are%20international%20standards%20needed [Accessed 23 Nov. 2022].</w:t>
      </w:r>
    </w:p>
    <w:p w14:paraId="29BB51C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CPS. (2021) “Victims and Witnesses: Care and Treatment | the Crown Prosecution Service.” </w:t>
      </w:r>
      <w:r w:rsidRPr="002544FC">
        <w:rPr>
          <w:rFonts w:ascii="Arial" w:hAnsi="Arial" w:cs="Arial"/>
          <w:i/>
          <w:iCs/>
          <w:sz w:val="22"/>
          <w:szCs w:val="22"/>
        </w:rPr>
        <w:t>Www.cps.gov.uk</w:t>
      </w:r>
      <w:r w:rsidRPr="002544FC">
        <w:rPr>
          <w:rFonts w:ascii="Arial" w:hAnsi="Arial" w:cs="Arial"/>
          <w:sz w:val="22"/>
          <w:szCs w:val="22"/>
        </w:rPr>
        <w:t>, 1 Apr. 2021, www.cps.gov.uk/legal-guidance/victims-and-witnesses-care-and-treatment#:~:text=The%20Code%20defines%20a%20%27victim. Accessed 26 Nov. 2022.</w:t>
      </w:r>
    </w:p>
    <w:p w14:paraId="123DD594"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Dinisman, Tamar, and Ania Moroz. (2017)“Understanding Victims of Crime.” </w:t>
      </w:r>
      <w:r w:rsidRPr="002544FC">
        <w:rPr>
          <w:rFonts w:ascii="Arial" w:hAnsi="Arial" w:cs="Arial"/>
          <w:i/>
          <w:iCs/>
          <w:sz w:val="22"/>
          <w:szCs w:val="22"/>
        </w:rPr>
        <w:t>Victim Support</w:t>
      </w:r>
      <w:r w:rsidRPr="002544FC">
        <w:rPr>
          <w:rFonts w:ascii="Arial" w:hAnsi="Arial" w:cs="Arial"/>
          <w:sz w:val="22"/>
          <w:szCs w:val="22"/>
        </w:rPr>
        <w:t>, 2017, www.victimsupport.org.uk/wp-content/uploads/documents/files/VS_Understanding%20victims%20of%20crime_web.pdf. Accessed 26 Nov. 2022.</w:t>
      </w:r>
    </w:p>
    <w:p w14:paraId="693759C4"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lastRenderedPageBreak/>
        <w:t>Harfield, Clive. (2019). Risk and resilience in managing covert human intelligence sources. 10.13140/RG.2.2.23519.51361. Some practice thoughts on reducing corruption vulnerabilities in the management of covert police informers. Pp 2-3</w:t>
      </w:r>
    </w:p>
    <w:p w14:paraId="0B7BAD97"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Hesketh, Ian, et al. (2018) “Leading the Asset: Resilience Training Efficacy in UK Policing.” The Police Journal: Theory, Practice and Principles, vol. 92, no. 1, 18 Mar. 2018, pp. 56–71, 10.1177/0032258x18763101.</w:t>
      </w:r>
    </w:p>
    <w:p w14:paraId="22BF3739"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HM Government (2013) “Serious and Organised Crime Strategy Cm 8715.” </w:t>
      </w:r>
      <w:r w:rsidRPr="002544FC">
        <w:rPr>
          <w:rFonts w:ascii="Arial" w:hAnsi="Arial" w:cs="Arial"/>
          <w:i/>
          <w:iCs/>
          <w:sz w:val="22"/>
          <w:szCs w:val="22"/>
        </w:rPr>
        <w:t>Gov.uk</w:t>
      </w:r>
      <w:r w:rsidRPr="002544FC">
        <w:rPr>
          <w:rFonts w:ascii="Arial" w:hAnsi="Arial" w:cs="Arial"/>
          <w:sz w:val="22"/>
          <w:szCs w:val="22"/>
        </w:rPr>
        <w:t>, 2013, assets.publishing.service.gov.uk/government/uploads/system/uploads/attachment_data/file/248645/Serious_and_Organised_Crime_Strategy.pdf. Accessed 26 Nov. 2022.</w:t>
      </w:r>
    </w:p>
    <w:p w14:paraId="1CB6567B"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HMIC. (2009) “Critical Incident Management by Forces in England and Wales.” </w:t>
      </w:r>
      <w:r w:rsidRPr="002544FC">
        <w:rPr>
          <w:rFonts w:ascii="Arial" w:hAnsi="Arial" w:cs="Arial"/>
          <w:i/>
          <w:iCs/>
          <w:sz w:val="22"/>
          <w:szCs w:val="22"/>
        </w:rPr>
        <w:t>HMICFRS</w:t>
      </w:r>
      <w:r w:rsidRPr="002544FC">
        <w:rPr>
          <w:rFonts w:ascii="Arial" w:hAnsi="Arial" w:cs="Arial"/>
          <w:sz w:val="22"/>
          <w:szCs w:val="22"/>
        </w:rPr>
        <w:t>, 31 Aug. 2009, www.justiceinspectorates.gov.uk/hmicfrs/publications/critical-incident-management-by-forces-in-england-and-wales/. Accessed 24 Nov. 2022.</w:t>
      </w:r>
    </w:p>
    <w:p w14:paraId="1A207F2F" w14:textId="77777777" w:rsidR="002544FC" w:rsidRPr="002544FC" w:rsidRDefault="002544FC" w:rsidP="002544FC">
      <w:pPr>
        <w:spacing w:before="100" w:beforeAutospacing="1" w:after="100" w:afterAutospacing="1" w:line="360" w:lineRule="auto"/>
        <w:rPr>
          <w:rFonts w:ascii="Arial" w:eastAsiaTheme="minorHAnsi" w:hAnsi="Arial" w:cs="Arial"/>
          <w:sz w:val="22"/>
          <w:szCs w:val="22"/>
          <w:lang w:eastAsia="en-US"/>
        </w:rPr>
      </w:pPr>
      <w:r w:rsidRPr="002544FC">
        <w:rPr>
          <w:rFonts w:ascii="Arial" w:eastAsiaTheme="minorHAnsi" w:hAnsi="Arial" w:cs="Arial"/>
          <w:sz w:val="22"/>
          <w:szCs w:val="22"/>
          <w:lang w:eastAsia="en-US"/>
        </w:rPr>
        <w:t>Home Office (2017) Police Workforce, England and Wales, Statistical Bulletin 10/17. Available at https://www.gov.uk/government/uploads/system/ uploads/attachment_data/file/630471/hosb1017-police-workforce.pdf [Accessed 24 Nov. 2022]</w:t>
      </w:r>
    </w:p>
    <w:p w14:paraId="6BBBE106"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Home Office (2021). “Covert Human Intelligence Sources Bill Factsheet (Accessible Version).” </w:t>
      </w:r>
      <w:r w:rsidRPr="002544FC">
        <w:rPr>
          <w:rFonts w:ascii="Arial" w:hAnsi="Arial" w:cs="Arial"/>
          <w:i/>
          <w:iCs/>
          <w:sz w:val="22"/>
          <w:szCs w:val="22"/>
        </w:rPr>
        <w:t>GOV.UK</w:t>
      </w:r>
      <w:r w:rsidRPr="002544FC">
        <w:rPr>
          <w:rFonts w:ascii="Arial" w:hAnsi="Arial" w:cs="Arial"/>
          <w:sz w:val="22"/>
          <w:szCs w:val="22"/>
        </w:rPr>
        <w:t>, 11 Jan. 2021, www.gov.uk/government/publications/covert-human-intelligence-sources-draft-code-of-practice/covert-human-intelligence-sources-bill-factsheet-accessible-version#:~:text=Covert%20Human%20Intelligence%20Sources%20(CHIS. Accessed 24 Nov. 2022.</w:t>
      </w:r>
    </w:p>
    <w:p w14:paraId="21B490CD"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Home Office. (2005) “Code of Practice - National Intelligence Model.” </w:t>
      </w:r>
      <w:r w:rsidRPr="002544FC">
        <w:rPr>
          <w:rFonts w:ascii="Arial" w:hAnsi="Arial" w:cs="Arial"/>
          <w:i/>
          <w:iCs/>
          <w:sz w:val="22"/>
          <w:szCs w:val="22"/>
        </w:rPr>
        <w:t>Library.college.police.uk</w:t>
      </w:r>
      <w:r w:rsidRPr="002544FC">
        <w:rPr>
          <w:rFonts w:ascii="Arial" w:hAnsi="Arial" w:cs="Arial"/>
          <w:sz w:val="22"/>
          <w:szCs w:val="22"/>
        </w:rPr>
        <w:t>, 2005, library.college.police.uk.</w:t>
      </w:r>
    </w:p>
    <w:p w14:paraId="2723D86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Home Office. (2022) “Police Workforce, England and Wales: 31 March 2022.” </w:t>
      </w:r>
      <w:r w:rsidRPr="002544FC">
        <w:rPr>
          <w:rFonts w:ascii="Arial" w:hAnsi="Arial" w:cs="Arial"/>
          <w:i/>
          <w:iCs/>
          <w:sz w:val="22"/>
          <w:szCs w:val="22"/>
        </w:rPr>
        <w:t>GOV.UK</w:t>
      </w:r>
      <w:r w:rsidRPr="002544FC">
        <w:rPr>
          <w:rFonts w:ascii="Arial" w:hAnsi="Arial" w:cs="Arial"/>
          <w:sz w:val="22"/>
          <w:szCs w:val="22"/>
        </w:rPr>
        <w:t>, 27 July 2022, www.gov.uk/government/statistics/police-workforce-england-and-wales-31-march-2022/police-workforce-england-and-wales-31-march-2022#officer-wellbeing. Accessed 24 Nov. 2022.</w:t>
      </w:r>
    </w:p>
    <w:p w14:paraId="253279CF" w14:textId="77777777" w:rsidR="002544FC" w:rsidRPr="002544FC" w:rsidRDefault="002544FC" w:rsidP="002544FC">
      <w:pPr>
        <w:spacing w:before="100" w:beforeAutospacing="1" w:after="100" w:afterAutospacing="1" w:line="360" w:lineRule="auto"/>
        <w:ind w:left="567" w:hanging="567"/>
        <w:rPr>
          <w:rFonts w:ascii="Arial" w:hAnsi="Arial" w:cs="Arial"/>
          <w:sz w:val="22"/>
          <w:szCs w:val="22"/>
        </w:rPr>
      </w:pPr>
      <w:r w:rsidRPr="002544FC">
        <w:rPr>
          <w:rFonts w:ascii="Arial" w:hAnsi="Arial" w:cs="Arial"/>
          <w:sz w:val="22"/>
          <w:szCs w:val="22"/>
        </w:rPr>
        <w:t>Hoyle, E 2001. Professionalization [Online] Available at: https://www.sciencedirect.com/topics/psychology/professionalization#:~:text=Professio</w:t>
      </w:r>
      <w:r w:rsidRPr="002544FC">
        <w:rPr>
          <w:rFonts w:ascii="Arial" w:hAnsi="Arial" w:cs="Arial"/>
          <w:sz w:val="22"/>
          <w:szCs w:val="22"/>
        </w:rPr>
        <w:lastRenderedPageBreak/>
        <w:t>nalization%20is%20a%20process%20whereby,with%20the%20improvement%20of%20status. [Accessed: 23 November 2022].</w:t>
      </w:r>
    </w:p>
    <w:p w14:paraId="1C77B41F"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Knell, Laurie.(2021) “Exploring Evidence-Based Policing.” </w:t>
      </w:r>
      <w:r w:rsidRPr="002544FC">
        <w:rPr>
          <w:rFonts w:ascii="Arial" w:hAnsi="Arial" w:cs="Arial"/>
          <w:i/>
          <w:iCs/>
          <w:sz w:val="22"/>
          <w:szCs w:val="22"/>
        </w:rPr>
        <w:t>OpenLearn</w:t>
      </w:r>
      <w:r w:rsidRPr="002544FC">
        <w:rPr>
          <w:rFonts w:ascii="Arial" w:hAnsi="Arial" w:cs="Arial"/>
          <w:sz w:val="22"/>
          <w:szCs w:val="22"/>
        </w:rPr>
        <w:t>, Mar. 2021, www.open.edu/openlearn/money-business/leadership-management/exploring-evidence-based-policing/content-section-2. Accessed 27 Nov. 2022.</w:t>
      </w:r>
    </w:p>
    <w:p w14:paraId="3745CC66" w14:textId="77777777" w:rsidR="002544FC" w:rsidRPr="002544FC" w:rsidRDefault="002544FC" w:rsidP="002544FC">
      <w:pPr>
        <w:spacing w:before="100" w:beforeAutospacing="1" w:after="100" w:afterAutospacing="1" w:line="360" w:lineRule="auto"/>
        <w:ind w:left="720" w:hanging="720"/>
        <w:rPr>
          <w:rFonts w:ascii="Arial" w:eastAsiaTheme="minorHAnsi" w:hAnsi="Arial" w:cs="Arial"/>
          <w:sz w:val="22"/>
          <w:szCs w:val="22"/>
          <w:shd w:val="clear" w:color="auto" w:fill="FFFFFF"/>
          <w:lang w:eastAsia="en-US"/>
        </w:rPr>
      </w:pPr>
      <w:r w:rsidRPr="002544FC">
        <w:rPr>
          <w:rFonts w:ascii="Arial" w:eastAsiaTheme="minorHAnsi" w:hAnsi="Arial" w:cs="Arial"/>
          <w:sz w:val="22"/>
          <w:szCs w:val="22"/>
          <w:shd w:val="clear" w:color="auto" w:fill="FFFFFF"/>
          <w:lang w:eastAsia="en-US"/>
        </w:rPr>
        <w:t>Knutsson, J, &amp; Tompson, L (eds) 2017, Advances in Evidence-Based Policing, Taylor &amp; Francis Group, London. Available from: ProQuest Ebook Central. [26 November 2022].</w:t>
      </w:r>
    </w:p>
    <w:p w14:paraId="0BBF354E"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LESLP. (2007) LESLP Manual. London, Tso, 29 June 2007, pp. 1–82.</w:t>
      </w:r>
    </w:p>
    <w:p w14:paraId="416CB96B" w14:textId="77777777" w:rsidR="002544FC" w:rsidRPr="002544FC" w:rsidRDefault="002544FC" w:rsidP="002544FC">
      <w:pPr>
        <w:spacing w:before="100" w:beforeAutospacing="1" w:after="100" w:afterAutospacing="1" w:line="360" w:lineRule="auto"/>
        <w:ind w:left="720" w:hanging="720"/>
        <w:rPr>
          <w:rFonts w:ascii="Arial" w:eastAsiaTheme="minorHAnsi" w:hAnsi="Arial" w:cs="Arial"/>
          <w:sz w:val="22"/>
          <w:szCs w:val="22"/>
          <w:shd w:val="clear" w:color="auto" w:fill="FFFFFF"/>
          <w:lang w:eastAsia="en-US"/>
        </w:rPr>
      </w:pPr>
      <w:r w:rsidRPr="002544FC">
        <w:rPr>
          <w:rFonts w:ascii="Arial" w:eastAsiaTheme="minorHAnsi" w:hAnsi="Arial" w:cs="Arial"/>
          <w:sz w:val="22"/>
          <w:szCs w:val="22"/>
          <w:shd w:val="clear" w:color="auto" w:fill="FFFFFF"/>
          <w:lang w:eastAsia="en-US"/>
        </w:rPr>
        <w:t>Lum, C. and Koper, C.S., 2015. </w:t>
      </w:r>
      <w:r w:rsidRPr="002544FC">
        <w:rPr>
          <w:rFonts w:ascii="Arial" w:eastAsiaTheme="minorHAnsi" w:hAnsi="Arial" w:cs="Arial"/>
          <w:i/>
          <w:iCs/>
          <w:sz w:val="22"/>
          <w:szCs w:val="22"/>
          <w:shd w:val="clear" w:color="auto" w:fill="FFFFFF"/>
          <w:lang w:eastAsia="en-US"/>
        </w:rPr>
        <w:t>Evidence-based policing</w:t>
      </w:r>
      <w:r w:rsidRPr="002544FC">
        <w:rPr>
          <w:rFonts w:ascii="Arial" w:eastAsiaTheme="minorHAnsi" w:hAnsi="Arial" w:cs="Arial"/>
          <w:sz w:val="22"/>
          <w:szCs w:val="22"/>
          <w:shd w:val="clear" w:color="auto" w:fill="FFFFFF"/>
          <w:lang w:eastAsia="en-US"/>
        </w:rPr>
        <w:t> (pp. 260-274). Illinois, IL: Waveland Press.</w:t>
      </w:r>
    </w:p>
    <w:p w14:paraId="03120DA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Mcneill, Abigail, and Levin Wheller. (2019) “Evidence Briefing.” </w:t>
      </w:r>
      <w:r w:rsidRPr="002544FC">
        <w:rPr>
          <w:rFonts w:ascii="Arial" w:hAnsi="Arial" w:cs="Arial"/>
          <w:i/>
          <w:iCs/>
          <w:sz w:val="22"/>
          <w:szCs w:val="22"/>
        </w:rPr>
        <w:t>College of Policing</w:t>
      </w:r>
      <w:r w:rsidRPr="002544FC">
        <w:rPr>
          <w:rFonts w:ascii="Arial" w:hAnsi="Arial" w:cs="Arial"/>
          <w:sz w:val="22"/>
          <w:szCs w:val="22"/>
        </w:rPr>
        <w:t>, 2019, assets.college.police.uk/s3fs-public/2022-03/Knife_Crime_Evidence_Briefing.pdf. Accessed 27 Nov. 2022.</w:t>
      </w:r>
    </w:p>
    <w:p w14:paraId="66A3441E"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Mind. (2021) “Trauma Risk Management (TRiM) in the Police.” </w:t>
      </w:r>
      <w:r w:rsidRPr="002544FC">
        <w:rPr>
          <w:rFonts w:ascii="Arial" w:hAnsi="Arial" w:cs="Arial"/>
          <w:i/>
          <w:iCs/>
          <w:sz w:val="22"/>
          <w:szCs w:val="22"/>
        </w:rPr>
        <w:t>Blue Light Together</w:t>
      </w:r>
      <w:r w:rsidRPr="002544FC">
        <w:rPr>
          <w:rFonts w:ascii="Arial" w:hAnsi="Arial" w:cs="Arial"/>
          <w:sz w:val="22"/>
          <w:szCs w:val="22"/>
        </w:rPr>
        <w:t>, 2021, bluelighttogether.org.uk/police/trauma-risk-management-trim-in-the-police/. Accessed 24 Nov. 2022.</w:t>
      </w:r>
    </w:p>
    <w:p w14:paraId="20791B6E"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Ministry of Justice. (2013) “Restorative Justice.” </w:t>
      </w:r>
      <w:r w:rsidRPr="002544FC">
        <w:rPr>
          <w:rFonts w:ascii="Arial" w:hAnsi="Arial" w:cs="Arial"/>
          <w:i/>
          <w:iCs/>
          <w:sz w:val="22"/>
          <w:szCs w:val="22"/>
        </w:rPr>
        <w:t>GOV.UK</w:t>
      </w:r>
      <w:r w:rsidRPr="002544FC">
        <w:rPr>
          <w:rFonts w:ascii="Arial" w:hAnsi="Arial" w:cs="Arial"/>
          <w:sz w:val="22"/>
          <w:szCs w:val="22"/>
        </w:rPr>
        <w:t>, 19 Nov. 2013, www.gov.uk/government/collections/restorative-justice-action-plan. Accessed 27 Nov. 2022.</w:t>
      </w:r>
    </w:p>
    <w:p w14:paraId="611DFDF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National Criminal Intelligence Service. (2000) “National Intelligence Model.” 2000. </w:t>
      </w:r>
      <w:hyperlink r:id="rId9" w:history="1">
        <w:r w:rsidRPr="002544FC">
          <w:rPr>
            <w:rFonts w:ascii="Arial" w:hAnsi="Arial" w:cs="Arial"/>
            <w:sz w:val="22"/>
            <w:szCs w:val="22"/>
            <w:u w:val="single"/>
          </w:rPr>
          <w:t>http://www.intelligenceanalysis.net/National%20Intelligence%20Model.pdf</w:t>
        </w:r>
      </w:hyperlink>
      <w:r w:rsidRPr="002544FC">
        <w:rPr>
          <w:rFonts w:ascii="Arial" w:hAnsi="Arial" w:cs="Arial"/>
          <w:sz w:val="22"/>
          <w:szCs w:val="22"/>
        </w:rPr>
        <w:t xml:space="preserve"> Accessed 24 Nov. 2022.</w:t>
      </w:r>
    </w:p>
    <w:p w14:paraId="56A5A122" w14:textId="77777777" w:rsidR="002544FC" w:rsidRPr="002544FC" w:rsidRDefault="002544FC" w:rsidP="002544FC">
      <w:pPr>
        <w:spacing w:before="100" w:beforeAutospacing="1" w:after="100" w:afterAutospacing="1" w:line="360" w:lineRule="auto"/>
        <w:rPr>
          <w:rFonts w:ascii="Arial" w:eastAsiaTheme="minorHAnsi" w:hAnsi="Arial" w:cs="Arial"/>
          <w:sz w:val="22"/>
          <w:szCs w:val="22"/>
          <w:shd w:val="clear" w:color="auto" w:fill="FFFFFF"/>
          <w:lang w:eastAsia="en-US"/>
        </w:rPr>
      </w:pPr>
      <w:r w:rsidRPr="002544FC">
        <w:rPr>
          <w:rFonts w:ascii="Arial" w:eastAsiaTheme="minorHAnsi" w:hAnsi="Arial" w:cs="Arial"/>
          <w:sz w:val="22"/>
          <w:szCs w:val="22"/>
          <w:shd w:val="clear" w:color="auto" w:fill="FFFFFF"/>
          <w:lang w:eastAsia="en-US"/>
        </w:rPr>
        <w:t>Neyroud, P., 2011. Review of police leadership and training. </w:t>
      </w:r>
      <w:r w:rsidRPr="002544FC">
        <w:rPr>
          <w:rFonts w:ascii="Arial" w:eastAsiaTheme="minorHAnsi" w:hAnsi="Arial" w:cs="Arial"/>
          <w:i/>
          <w:iCs/>
          <w:sz w:val="22"/>
          <w:szCs w:val="22"/>
          <w:shd w:val="clear" w:color="auto" w:fill="FFFFFF"/>
          <w:lang w:eastAsia="en-US"/>
        </w:rPr>
        <w:t>London: Home Office</w:t>
      </w:r>
      <w:r w:rsidRPr="002544FC">
        <w:rPr>
          <w:rFonts w:ascii="Arial" w:eastAsiaTheme="minorHAnsi" w:hAnsi="Arial" w:cs="Arial"/>
          <w:sz w:val="22"/>
          <w:szCs w:val="22"/>
          <w:shd w:val="clear" w:color="auto" w:fill="FFFFFF"/>
          <w:lang w:eastAsia="en-US"/>
        </w:rPr>
        <w:t>.</w:t>
      </w:r>
    </w:p>
    <w:p w14:paraId="2B238778"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North Yorkshire Police. (2022) “The Power of Intelligence.” Northyorkshirepolice, 9 June 2022, www.northyorkshire.police.uk/news/north-yorkshire/news/news/2022/06-june/the-power-of-intelligence--an-insight-into-the-world-of-intelligence-in-policing/. Accessed 24 Nov. 2022.</w:t>
      </w:r>
    </w:p>
    <w:p w14:paraId="0D10D293"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lastRenderedPageBreak/>
        <w:t>NPCC (2018). 2018 - 2025 NPCC Diversity, Equality and Inclusion Strategy. [online] Available at: https://www.npcc.police.uk/documents/edhr/2018/NPCC%20Diversity%20Equality%20Inclusion%20Strategy%20May%202018.pdf [Accessed 23 Nov. 2022]</w:t>
      </w:r>
    </w:p>
    <w:p w14:paraId="596B0BE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NSPCC (2016) “Child Sexual Exploitation.” </w:t>
      </w:r>
      <w:r w:rsidRPr="002544FC">
        <w:rPr>
          <w:rFonts w:ascii="Arial" w:hAnsi="Arial" w:cs="Arial"/>
          <w:i/>
          <w:iCs/>
          <w:sz w:val="22"/>
          <w:szCs w:val="22"/>
        </w:rPr>
        <w:t>NSPCC</w:t>
      </w:r>
      <w:r w:rsidRPr="002544FC">
        <w:rPr>
          <w:rFonts w:ascii="Arial" w:hAnsi="Arial" w:cs="Arial"/>
          <w:sz w:val="22"/>
          <w:szCs w:val="22"/>
        </w:rPr>
        <w:t>, 2016, www.nspcc.org.uk/what-is-child-abuse/types-of-abuse/child-sexual-exploitation/. Accessed 26 Nov. 2022.</w:t>
      </w:r>
    </w:p>
    <w:p w14:paraId="7AB53140"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Office of National Statistics (2022). </w:t>
      </w:r>
      <w:r w:rsidRPr="002544FC">
        <w:rPr>
          <w:rFonts w:ascii="Arial" w:hAnsi="Arial" w:cs="Arial"/>
          <w:i/>
          <w:iCs/>
          <w:sz w:val="22"/>
          <w:szCs w:val="22"/>
        </w:rPr>
        <w:t>Police workforce, England and Wales: 31 March 2022</w:t>
      </w:r>
      <w:r w:rsidRPr="002544FC">
        <w:rPr>
          <w:rFonts w:ascii="Arial" w:hAnsi="Arial" w:cs="Arial"/>
          <w:sz w:val="22"/>
          <w:szCs w:val="22"/>
        </w:rPr>
        <w:t>. [online] GOV.UK. Available at: https://www.gov.uk/government/statistics/police-workforce-england-and-wales-31-march-2022/police-workforce-england-and-wales-31-march-2022#promotions-joiners-and-leavers.</w:t>
      </w:r>
    </w:p>
    <w:p w14:paraId="142F6042"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OHCHR. “Declaration of Basic Principles of Justice for Victims of Crime and Abuse of Power.” </w:t>
      </w:r>
      <w:r w:rsidRPr="002544FC">
        <w:rPr>
          <w:rFonts w:ascii="Arial" w:hAnsi="Arial" w:cs="Arial"/>
          <w:i/>
          <w:iCs/>
          <w:sz w:val="22"/>
          <w:szCs w:val="22"/>
        </w:rPr>
        <w:t>OHCHR</w:t>
      </w:r>
      <w:r w:rsidRPr="002544FC">
        <w:rPr>
          <w:rFonts w:ascii="Arial" w:hAnsi="Arial" w:cs="Arial"/>
          <w:sz w:val="22"/>
          <w:szCs w:val="22"/>
        </w:rPr>
        <w:t>, 29 Nov. 1985, www.ohchr.org/en/instruments-mechanisms/instruments/declaration-basic-principles-justice-victims-crime-and-abuse. Accessed 26 Nov. 2022.</w:t>
      </w:r>
    </w:p>
    <w:p w14:paraId="788C8F20"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ONS. (2022) “Crime in England and Wales - Office for National Statistics.” </w:t>
      </w:r>
      <w:r w:rsidRPr="002544FC">
        <w:rPr>
          <w:rFonts w:ascii="Arial" w:hAnsi="Arial" w:cs="Arial"/>
          <w:i/>
          <w:iCs/>
          <w:sz w:val="22"/>
          <w:szCs w:val="22"/>
        </w:rPr>
        <w:t>Www.ons.gov.uk</w:t>
      </w:r>
      <w:r w:rsidRPr="002544FC">
        <w:rPr>
          <w:rFonts w:ascii="Arial" w:hAnsi="Arial" w:cs="Arial"/>
          <w:sz w:val="22"/>
          <w:szCs w:val="22"/>
        </w:rPr>
        <w:t>, 21 July 2022, www.ons.gov.uk/peoplepopulationandcommunity/crimeandjustice/bulletins/crimeinenglandandwales/yearendingmarch2022#knife-or-sharp-instrument-offences. Accessed 26 Nov. 2022.</w:t>
      </w:r>
    </w:p>
    <w:p w14:paraId="435BC5F2" w14:textId="77777777" w:rsidR="002544FC" w:rsidRPr="002544FC" w:rsidRDefault="002544FC" w:rsidP="002544FC">
      <w:pPr>
        <w:spacing w:before="100" w:beforeAutospacing="1" w:after="100" w:afterAutospacing="1" w:line="360" w:lineRule="auto"/>
        <w:ind w:left="720" w:hanging="720"/>
        <w:rPr>
          <w:rFonts w:ascii="Arial" w:eastAsiaTheme="minorHAnsi" w:hAnsi="Arial" w:cs="Arial"/>
          <w:sz w:val="22"/>
          <w:szCs w:val="22"/>
          <w:shd w:val="clear" w:color="auto" w:fill="E3E8EE"/>
          <w:lang w:eastAsia="en-US"/>
        </w:rPr>
      </w:pPr>
      <w:r w:rsidRPr="002544FC">
        <w:rPr>
          <w:rFonts w:ascii="Arial" w:hAnsi="Arial" w:cs="Arial"/>
          <w:sz w:val="22"/>
          <w:szCs w:val="22"/>
        </w:rPr>
        <w:t xml:space="preserve">ONS.(2022) “Child Victims of Modern Slavery in the UK – Office for National Statistics.” </w:t>
      </w:r>
      <w:hyperlink r:id="rId10" w:history="1">
        <w:r w:rsidRPr="002544FC">
          <w:rPr>
            <w:rFonts w:ascii="Arial" w:hAnsi="Arial" w:cs="Arial"/>
            <w:color w:val="0563C1" w:themeColor="hyperlink"/>
            <w:sz w:val="22"/>
            <w:szCs w:val="22"/>
            <w:u w:val="single"/>
          </w:rPr>
          <w:t>www.ons.gov.uk</w:t>
        </w:r>
      </w:hyperlink>
      <w:r w:rsidRPr="002544FC">
        <w:rPr>
          <w:rFonts w:ascii="Arial" w:hAnsi="Arial" w:cs="Arial"/>
          <w:sz w:val="22"/>
          <w:szCs w:val="22"/>
        </w:rPr>
        <w:t xml:space="preserve">, 29 Mar. 2022, </w:t>
      </w:r>
      <w:hyperlink r:id="rId11" w:anchor="glossary" w:history="1">
        <w:r w:rsidRPr="002544FC">
          <w:rPr>
            <w:rFonts w:ascii="Arial" w:hAnsi="Arial" w:cs="Arial"/>
            <w:sz w:val="22"/>
            <w:szCs w:val="22"/>
            <w:u w:val="single"/>
          </w:rPr>
          <w:t>www.ons.gov.uk/peoplepopulationandcommunity/crimeandjustice/bulletins/childvictimsofmodernslaveryintheuk/march2022#glossary</w:t>
        </w:r>
      </w:hyperlink>
      <w:r w:rsidRPr="002544FC">
        <w:rPr>
          <w:rFonts w:ascii="Arial" w:hAnsi="Arial" w:cs="Arial"/>
          <w:sz w:val="22"/>
          <w:szCs w:val="22"/>
        </w:rPr>
        <w:t>. Accessed 26 Nov. 2022.</w:t>
      </w:r>
    </w:p>
    <w:p w14:paraId="6512F0AE"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Patrick Carnes (2019). Betrayal Bond : Breaking Free of Exploitive Relationships. 1997. Health Communications, Incorporated, 12 Feb. 2019, pp. 1–336.</w:t>
      </w:r>
    </w:p>
    <w:p w14:paraId="22A82CC9"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Pepper, Ian, et al. </w:t>
      </w:r>
      <w:r w:rsidRPr="002544FC">
        <w:rPr>
          <w:rFonts w:ascii="Arial" w:hAnsi="Arial" w:cs="Arial"/>
          <w:i/>
          <w:iCs/>
          <w:sz w:val="22"/>
          <w:szCs w:val="22"/>
        </w:rPr>
        <w:t>Evidence Based Policing: A View on Its Development within the Police Service</w:t>
      </w:r>
      <w:r w:rsidRPr="002544FC">
        <w:rPr>
          <w:rFonts w:ascii="Arial" w:hAnsi="Arial" w:cs="Arial"/>
          <w:sz w:val="22"/>
          <w:szCs w:val="22"/>
        </w:rPr>
        <w:t>. 10 Jan. 2020, pure.southwales.ac.uk/ws/portalfiles/portal/3670886/10_1108_JWAM_01_2020_0001.pdf. Accessed 27 Nov. 2022.</w:t>
      </w:r>
    </w:p>
    <w:p w14:paraId="28CAF23D"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Phillips, Jake, et al. (2022) “Promising Approaches to Knife Crime: An Exploratory Study.” </w:t>
      </w:r>
      <w:r w:rsidRPr="002544FC">
        <w:rPr>
          <w:rFonts w:ascii="Arial" w:hAnsi="Arial" w:cs="Arial"/>
          <w:i/>
          <w:iCs/>
          <w:sz w:val="22"/>
          <w:szCs w:val="22"/>
        </w:rPr>
        <w:t>Justice Inspectorates</w:t>
      </w:r>
      <w:r w:rsidRPr="002544FC">
        <w:rPr>
          <w:rFonts w:ascii="Arial" w:hAnsi="Arial" w:cs="Arial"/>
          <w:sz w:val="22"/>
          <w:szCs w:val="22"/>
        </w:rPr>
        <w:t xml:space="preserve">, May 2022, </w:t>
      </w:r>
      <w:hyperlink r:id="rId12" w:history="1">
        <w:r w:rsidRPr="002544FC">
          <w:rPr>
            <w:rFonts w:ascii="Arial" w:hAnsi="Arial" w:cs="Arial"/>
            <w:sz w:val="22"/>
            <w:szCs w:val="22"/>
            <w:u w:val="single"/>
          </w:rPr>
          <w:t>www.justiceinspectorates.gov.uk/hmiprobation/wp-</w:t>
        </w:r>
        <w:r w:rsidRPr="002544FC">
          <w:rPr>
            <w:rFonts w:ascii="Arial" w:hAnsi="Arial" w:cs="Arial"/>
            <w:sz w:val="22"/>
            <w:szCs w:val="22"/>
            <w:u w:val="single"/>
          </w:rPr>
          <w:lastRenderedPageBreak/>
          <w:t>content/uploads/sites/5/2022/05/RAB-2022-03-Promising-approaches-to-knife-crime-v1.1.pdf. Accessed 27 Nov. 2022</w:t>
        </w:r>
      </w:hyperlink>
      <w:r w:rsidRPr="002544FC">
        <w:rPr>
          <w:rFonts w:ascii="Arial" w:hAnsi="Arial" w:cs="Arial"/>
          <w:sz w:val="22"/>
          <w:szCs w:val="22"/>
        </w:rPr>
        <w:t>.</w:t>
      </w:r>
    </w:p>
    <w:p w14:paraId="0CBBD220"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Police Firearms Officers Association. (2017) “Trauma Risk Management (TRiM).” Www.pfoa.co.uk, 2017, www.pfoa.co.uk/support/trauma-risk-management-trim. Accessed 24 Nov. 2022</w:t>
      </w:r>
    </w:p>
    <w:p w14:paraId="1C78BF70"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bookmarkStart w:id="1" w:name="_Hlk120405142"/>
      <w:r w:rsidRPr="002544FC">
        <w:rPr>
          <w:rFonts w:ascii="Arial" w:hAnsi="Arial" w:cs="Arial"/>
          <w:sz w:val="22"/>
          <w:szCs w:val="22"/>
        </w:rPr>
        <w:t xml:space="preserve">Ryan, Joe, et al. (2021) </w:t>
      </w:r>
      <w:bookmarkEnd w:id="1"/>
      <w:r w:rsidRPr="002544FC">
        <w:rPr>
          <w:rFonts w:ascii="Arial" w:hAnsi="Arial" w:cs="Arial"/>
          <w:sz w:val="22"/>
          <w:szCs w:val="22"/>
        </w:rPr>
        <w:t xml:space="preserve">“Tackling Knife Crime.” </w:t>
      </w:r>
      <w:r w:rsidRPr="002544FC">
        <w:rPr>
          <w:rFonts w:ascii="Arial" w:hAnsi="Arial" w:cs="Arial"/>
          <w:i/>
          <w:iCs/>
          <w:sz w:val="22"/>
          <w:szCs w:val="22"/>
        </w:rPr>
        <w:t>Parliament.uk</w:t>
      </w:r>
      <w:r w:rsidRPr="002544FC">
        <w:rPr>
          <w:rFonts w:ascii="Arial" w:hAnsi="Arial" w:cs="Arial"/>
          <w:sz w:val="22"/>
          <w:szCs w:val="22"/>
        </w:rPr>
        <w:t>, 14 July 2021, researchbriefings.files.parliament.uk/documents/CDP-2021-0129/CDP-2021-0129.pdf. Accessed 27 Nov. 2022.</w:t>
      </w:r>
    </w:p>
    <w:p w14:paraId="5F54ECCC"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Safe Lives. (2021)“Marac Data -Key Findings.” </w:t>
      </w:r>
      <w:r w:rsidRPr="002544FC">
        <w:rPr>
          <w:rFonts w:ascii="Arial" w:hAnsi="Arial" w:cs="Arial"/>
          <w:i/>
          <w:iCs/>
          <w:sz w:val="22"/>
          <w:szCs w:val="22"/>
        </w:rPr>
        <w:t>Safe Lives</w:t>
      </w:r>
      <w:r w:rsidRPr="002544FC">
        <w:rPr>
          <w:rFonts w:ascii="Arial" w:hAnsi="Arial" w:cs="Arial"/>
          <w:sz w:val="22"/>
          <w:szCs w:val="22"/>
        </w:rPr>
        <w:t>, 2021, safelives.org.uk/sites/default/files/resources/Marac%20Data%20Key%20Findings%20External%20July%2021%20to%20June%2022.pdf. Accessed 26 Nov. 2022.</w:t>
      </w:r>
    </w:p>
    <w:p w14:paraId="580D4864"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The Guardian. “The Guardian View on Covert Human Intelligence Sources: Draw a Line | Editorial.” </w:t>
      </w:r>
      <w:r w:rsidRPr="002544FC">
        <w:rPr>
          <w:rFonts w:ascii="Arial" w:hAnsi="Arial" w:cs="Arial"/>
          <w:i/>
          <w:iCs/>
          <w:sz w:val="22"/>
          <w:szCs w:val="22"/>
        </w:rPr>
        <w:t>The Guardian</w:t>
      </w:r>
      <w:r w:rsidRPr="002544FC">
        <w:rPr>
          <w:rFonts w:ascii="Arial" w:hAnsi="Arial" w:cs="Arial"/>
          <w:sz w:val="22"/>
          <w:szCs w:val="22"/>
        </w:rPr>
        <w:t>, 11 Oct. 2020, www.theguardian.com/commentisfree/2020/oct/11/the-guardian-view-on-covert-human-intelligence-sources-draw-a-line. Accessed 24 Nov. 2022.</w:t>
      </w:r>
    </w:p>
    <w:p w14:paraId="109F0EF4"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 xml:space="preserve">Tudor, Sarah. (2021) “Covert Human Intelligence Sources: Criminal Conduct.” </w:t>
      </w:r>
      <w:r w:rsidRPr="002544FC">
        <w:rPr>
          <w:rFonts w:ascii="Arial" w:hAnsi="Arial" w:cs="Arial"/>
          <w:i/>
          <w:iCs/>
          <w:sz w:val="22"/>
          <w:szCs w:val="22"/>
        </w:rPr>
        <w:t>Lordslibrary.parliament.uk</w:t>
      </w:r>
      <w:r w:rsidRPr="002544FC">
        <w:rPr>
          <w:rFonts w:ascii="Arial" w:hAnsi="Arial" w:cs="Arial"/>
          <w:sz w:val="22"/>
          <w:szCs w:val="22"/>
        </w:rPr>
        <w:t>, 30 Sept. 2021, lordslibrary.parliament.uk/covert-human-intelligence-sources-criminal-conduct/. Accessed 24 Nov. 2022.</w:t>
      </w:r>
    </w:p>
    <w:p w14:paraId="410D6C53" w14:textId="77777777" w:rsidR="002544FC" w:rsidRPr="002544FC" w:rsidRDefault="002544FC" w:rsidP="002544FC">
      <w:pPr>
        <w:spacing w:before="100" w:beforeAutospacing="1" w:after="100" w:afterAutospacing="1" w:line="360" w:lineRule="auto"/>
        <w:rPr>
          <w:rFonts w:ascii="Arial" w:hAnsi="Arial" w:cs="Arial"/>
          <w:sz w:val="22"/>
          <w:szCs w:val="22"/>
        </w:rPr>
      </w:pPr>
      <w:r w:rsidRPr="002544FC">
        <w:rPr>
          <w:rFonts w:ascii="Arial" w:hAnsi="Arial" w:cs="Arial"/>
          <w:sz w:val="22"/>
          <w:szCs w:val="22"/>
        </w:rPr>
        <w:t xml:space="preserve">Tyler, M.A. and McKenzie, W.E. (2011). Mentoring first year police constables: police mentors’ perspectives. </w:t>
      </w:r>
      <w:r w:rsidRPr="002544FC">
        <w:rPr>
          <w:rFonts w:ascii="Arial" w:hAnsi="Arial" w:cs="Arial"/>
          <w:i/>
          <w:iCs/>
          <w:sz w:val="22"/>
          <w:szCs w:val="22"/>
        </w:rPr>
        <w:t>Journal of Workplace Learning</w:t>
      </w:r>
      <w:r w:rsidRPr="002544FC">
        <w:rPr>
          <w:rFonts w:ascii="Arial" w:hAnsi="Arial" w:cs="Arial"/>
          <w:sz w:val="22"/>
          <w:szCs w:val="22"/>
        </w:rPr>
        <w:t>, 23(8), pp.518–530. doi:10.1108/13665621111174870.</w:t>
      </w:r>
    </w:p>
    <w:p w14:paraId="3B018325" w14:textId="77777777" w:rsidR="002544FC" w:rsidRPr="002544FC" w:rsidRDefault="002544FC" w:rsidP="002544FC">
      <w:pPr>
        <w:spacing w:before="100" w:beforeAutospacing="1" w:after="100" w:afterAutospacing="1" w:line="360" w:lineRule="auto"/>
        <w:ind w:left="720" w:hanging="720"/>
        <w:rPr>
          <w:rFonts w:ascii="Arial" w:hAnsi="Arial" w:cs="Arial"/>
          <w:sz w:val="22"/>
          <w:szCs w:val="22"/>
        </w:rPr>
      </w:pPr>
      <w:r w:rsidRPr="002544FC">
        <w:rPr>
          <w:rFonts w:ascii="Arial" w:hAnsi="Arial" w:cs="Arial"/>
          <w:sz w:val="22"/>
          <w:szCs w:val="22"/>
        </w:rPr>
        <w:t>Wasserman, Eidell, and Carroll Ann Ellis.(2010) “IMPACT of CRIME on VICTIMS - March 2010 National Victim Assistance Academy Track 1: Foundation-Level Training.” Ce4less, Fairfax, 2010, pp. 1–12, ce4less.com/Tests/Materials/E075Materials.pdf. Accessed 26 Nov. 2022.</w:t>
      </w:r>
    </w:p>
    <w:p w14:paraId="3626B065" w14:textId="77777777" w:rsidR="002544FC" w:rsidRPr="002544FC" w:rsidRDefault="002544FC" w:rsidP="00884DCF">
      <w:pPr>
        <w:rPr>
          <w:rFonts w:ascii="Arial" w:hAnsi="Arial" w:cs="Arial"/>
          <w:sz w:val="22"/>
          <w:szCs w:val="22"/>
        </w:rPr>
      </w:pPr>
    </w:p>
    <w:sectPr w:rsidR="002544FC" w:rsidRPr="002544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5445C" w14:textId="77777777" w:rsidR="008406C4" w:rsidRDefault="008406C4" w:rsidP="008406C4">
      <w:r>
        <w:separator/>
      </w:r>
    </w:p>
  </w:endnote>
  <w:endnote w:type="continuationSeparator" w:id="0">
    <w:p w14:paraId="5E18AC68" w14:textId="77777777" w:rsidR="008406C4" w:rsidRDefault="008406C4" w:rsidP="008406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ff2">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5A048" w14:textId="77777777" w:rsidR="008406C4" w:rsidRDefault="008406C4" w:rsidP="008406C4">
      <w:r>
        <w:separator/>
      </w:r>
    </w:p>
  </w:footnote>
  <w:footnote w:type="continuationSeparator" w:id="0">
    <w:p w14:paraId="221D5BBB" w14:textId="77777777" w:rsidR="008406C4" w:rsidRDefault="008406C4" w:rsidP="008406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9C"/>
    <w:rsid w:val="000005C3"/>
    <w:rsid w:val="00036214"/>
    <w:rsid w:val="000B1AC9"/>
    <w:rsid w:val="000C1EA4"/>
    <w:rsid w:val="000D47CD"/>
    <w:rsid w:val="00107035"/>
    <w:rsid w:val="001373A9"/>
    <w:rsid w:val="00157F7F"/>
    <w:rsid w:val="00167B84"/>
    <w:rsid w:val="0017166E"/>
    <w:rsid w:val="001B057D"/>
    <w:rsid w:val="001D2482"/>
    <w:rsid w:val="001E2AAD"/>
    <w:rsid w:val="001F3ED7"/>
    <w:rsid w:val="001F6A6C"/>
    <w:rsid w:val="00220B73"/>
    <w:rsid w:val="0022306A"/>
    <w:rsid w:val="002544FC"/>
    <w:rsid w:val="00255C8D"/>
    <w:rsid w:val="002612C5"/>
    <w:rsid w:val="00266C0A"/>
    <w:rsid w:val="00273F9D"/>
    <w:rsid w:val="00290C6C"/>
    <w:rsid w:val="002A3CA7"/>
    <w:rsid w:val="002B4CE4"/>
    <w:rsid w:val="002D1B86"/>
    <w:rsid w:val="002D4074"/>
    <w:rsid w:val="002D6C54"/>
    <w:rsid w:val="002E6BA2"/>
    <w:rsid w:val="00335D43"/>
    <w:rsid w:val="00336347"/>
    <w:rsid w:val="0038216A"/>
    <w:rsid w:val="003A1EF9"/>
    <w:rsid w:val="003A2ADE"/>
    <w:rsid w:val="00430FED"/>
    <w:rsid w:val="0043174B"/>
    <w:rsid w:val="00434714"/>
    <w:rsid w:val="00475A8A"/>
    <w:rsid w:val="00477C7B"/>
    <w:rsid w:val="004A0355"/>
    <w:rsid w:val="004C053F"/>
    <w:rsid w:val="005320ED"/>
    <w:rsid w:val="00546D8D"/>
    <w:rsid w:val="005A66B3"/>
    <w:rsid w:val="005C3211"/>
    <w:rsid w:val="005C7F51"/>
    <w:rsid w:val="005F6C1E"/>
    <w:rsid w:val="006513F7"/>
    <w:rsid w:val="00654906"/>
    <w:rsid w:val="00691C63"/>
    <w:rsid w:val="00693140"/>
    <w:rsid w:val="006B13FD"/>
    <w:rsid w:val="006B4A45"/>
    <w:rsid w:val="006D73BF"/>
    <w:rsid w:val="00703674"/>
    <w:rsid w:val="00715633"/>
    <w:rsid w:val="00787BB8"/>
    <w:rsid w:val="00793A9C"/>
    <w:rsid w:val="00794867"/>
    <w:rsid w:val="007B3CD3"/>
    <w:rsid w:val="0080351B"/>
    <w:rsid w:val="00807C2C"/>
    <w:rsid w:val="008406C4"/>
    <w:rsid w:val="00884DCF"/>
    <w:rsid w:val="00885B84"/>
    <w:rsid w:val="008B0B35"/>
    <w:rsid w:val="008C7839"/>
    <w:rsid w:val="008F0F00"/>
    <w:rsid w:val="008F12A5"/>
    <w:rsid w:val="00904503"/>
    <w:rsid w:val="0090503B"/>
    <w:rsid w:val="00912D8C"/>
    <w:rsid w:val="0093045A"/>
    <w:rsid w:val="00972C7C"/>
    <w:rsid w:val="00976C7B"/>
    <w:rsid w:val="00987719"/>
    <w:rsid w:val="009F1A64"/>
    <w:rsid w:val="009F1F4D"/>
    <w:rsid w:val="00A22521"/>
    <w:rsid w:val="00A37F4B"/>
    <w:rsid w:val="00A53FC4"/>
    <w:rsid w:val="00A56C24"/>
    <w:rsid w:val="00A577DB"/>
    <w:rsid w:val="00A627B4"/>
    <w:rsid w:val="00A71ADC"/>
    <w:rsid w:val="00A75FAE"/>
    <w:rsid w:val="00AC6800"/>
    <w:rsid w:val="00AC7BFD"/>
    <w:rsid w:val="00AD6178"/>
    <w:rsid w:val="00AE70B3"/>
    <w:rsid w:val="00AF4BAE"/>
    <w:rsid w:val="00B45720"/>
    <w:rsid w:val="00B507F4"/>
    <w:rsid w:val="00B55E75"/>
    <w:rsid w:val="00B73D2B"/>
    <w:rsid w:val="00B92A90"/>
    <w:rsid w:val="00BA4245"/>
    <w:rsid w:val="00BD4BFC"/>
    <w:rsid w:val="00BE0CAD"/>
    <w:rsid w:val="00BE52F7"/>
    <w:rsid w:val="00BF478B"/>
    <w:rsid w:val="00C16312"/>
    <w:rsid w:val="00C21F92"/>
    <w:rsid w:val="00C408C5"/>
    <w:rsid w:val="00C571D1"/>
    <w:rsid w:val="00C660E5"/>
    <w:rsid w:val="00C71E43"/>
    <w:rsid w:val="00CB323E"/>
    <w:rsid w:val="00CD4917"/>
    <w:rsid w:val="00D12874"/>
    <w:rsid w:val="00D21AF1"/>
    <w:rsid w:val="00D703BD"/>
    <w:rsid w:val="00D728EC"/>
    <w:rsid w:val="00D74581"/>
    <w:rsid w:val="00D85760"/>
    <w:rsid w:val="00D874E5"/>
    <w:rsid w:val="00D94797"/>
    <w:rsid w:val="00DA717A"/>
    <w:rsid w:val="00DB7EF0"/>
    <w:rsid w:val="00DF7FA5"/>
    <w:rsid w:val="00E423BC"/>
    <w:rsid w:val="00E516B0"/>
    <w:rsid w:val="00E56593"/>
    <w:rsid w:val="00E808D5"/>
    <w:rsid w:val="00F66A5A"/>
    <w:rsid w:val="00F66E4B"/>
    <w:rsid w:val="00F76AE3"/>
    <w:rsid w:val="00F858DE"/>
    <w:rsid w:val="00FB21FE"/>
    <w:rsid w:val="00FC4B31"/>
    <w:rsid w:val="00FC60E3"/>
    <w:rsid w:val="00FD59B9"/>
    <w:rsid w:val="00FE7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427E583"/>
  <w15:chartTrackingRefBased/>
  <w15:docId w15:val="{5E4331F3-AEF9-467A-95A7-F6FD8CD61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A9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opic-highlight">
    <w:name w:val="topic-highlight"/>
    <w:basedOn w:val="DefaultParagraphFont"/>
    <w:rsid w:val="001D2482"/>
  </w:style>
  <w:style w:type="character" w:customStyle="1" w:styleId="ref-lnk">
    <w:name w:val="ref-lnk"/>
    <w:basedOn w:val="DefaultParagraphFont"/>
    <w:rsid w:val="0080351B"/>
  </w:style>
  <w:style w:type="character" w:styleId="Hyperlink">
    <w:name w:val="Hyperlink"/>
    <w:basedOn w:val="DefaultParagraphFont"/>
    <w:uiPriority w:val="99"/>
    <w:unhideWhenUsed/>
    <w:rsid w:val="0080351B"/>
    <w:rPr>
      <w:color w:val="0000FF"/>
      <w:u w:val="single"/>
    </w:rPr>
  </w:style>
  <w:style w:type="character" w:customStyle="1" w:styleId="ref-overlay">
    <w:name w:val="ref-overlay"/>
    <w:basedOn w:val="DefaultParagraphFont"/>
    <w:rsid w:val="0080351B"/>
  </w:style>
  <w:style w:type="character" w:customStyle="1" w:styleId="hlfld-contribauthor">
    <w:name w:val="hlfld-contribauthor"/>
    <w:basedOn w:val="DefaultParagraphFont"/>
    <w:rsid w:val="0080351B"/>
  </w:style>
  <w:style w:type="character" w:customStyle="1" w:styleId="nlmgiven-names">
    <w:name w:val="nlm_given-names"/>
    <w:basedOn w:val="DefaultParagraphFont"/>
    <w:rsid w:val="0080351B"/>
  </w:style>
  <w:style w:type="character" w:customStyle="1" w:styleId="nlmyear">
    <w:name w:val="nlm_year"/>
    <w:basedOn w:val="DefaultParagraphFont"/>
    <w:rsid w:val="0080351B"/>
  </w:style>
  <w:style w:type="character" w:customStyle="1" w:styleId="reflink-block">
    <w:name w:val="reflink-block"/>
    <w:basedOn w:val="DefaultParagraphFont"/>
    <w:rsid w:val="0080351B"/>
  </w:style>
  <w:style w:type="character" w:customStyle="1" w:styleId="googlescholar-container">
    <w:name w:val="googlescholar-container"/>
    <w:basedOn w:val="DefaultParagraphFont"/>
    <w:rsid w:val="0080351B"/>
  </w:style>
  <w:style w:type="paragraph" w:styleId="ListParagraph">
    <w:name w:val="List Paragraph"/>
    <w:basedOn w:val="Normal"/>
    <w:uiPriority w:val="34"/>
    <w:qFormat/>
    <w:rsid w:val="00C21F92"/>
    <w:pPr>
      <w:ind w:left="720"/>
      <w:contextualSpacing/>
    </w:pPr>
  </w:style>
  <w:style w:type="character" w:customStyle="1" w:styleId="ls1b">
    <w:name w:val="ls1b"/>
    <w:basedOn w:val="DefaultParagraphFont"/>
    <w:rsid w:val="00167B84"/>
  </w:style>
  <w:style w:type="character" w:customStyle="1" w:styleId="ls21">
    <w:name w:val="ls21"/>
    <w:basedOn w:val="DefaultParagraphFont"/>
    <w:rsid w:val="00167B84"/>
  </w:style>
  <w:style w:type="character" w:customStyle="1" w:styleId="ls29">
    <w:name w:val="ls29"/>
    <w:basedOn w:val="DefaultParagraphFont"/>
    <w:rsid w:val="00167B84"/>
  </w:style>
  <w:style w:type="character" w:customStyle="1" w:styleId="ls1f">
    <w:name w:val="ls1f"/>
    <w:basedOn w:val="DefaultParagraphFont"/>
    <w:rsid w:val="00167B84"/>
  </w:style>
  <w:style w:type="character" w:customStyle="1" w:styleId="ls2">
    <w:name w:val="ls2"/>
    <w:basedOn w:val="DefaultParagraphFont"/>
    <w:rsid w:val="00167B84"/>
  </w:style>
  <w:style w:type="character" w:customStyle="1" w:styleId="ls18">
    <w:name w:val="ls18"/>
    <w:basedOn w:val="DefaultParagraphFont"/>
    <w:rsid w:val="00167B84"/>
  </w:style>
  <w:style w:type="character" w:customStyle="1" w:styleId="ls1e">
    <w:name w:val="ls1e"/>
    <w:basedOn w:val="DefaultParagraphFont"/>
    <w:rsid w:val="00167B84"/>
  </w:style>
  <w:style w:type="character" w:customStyle="1" w:styleId="ls32">
    <w:name w:val="ls32"/>
    <w:basedOn w:val="DefaultParagraphFont"/>
    <w:rsid w:val="00167B84"/>
  </w:style>
  <w:style w:type="character" w:styleId="UnresolvedMention">
    <w:name w:val="Unresolved Mention"/>
    <w:basedOn w:val="DefaultParagraphFont"/>
    <w:uiPriority w:val="99"/>
    <w:semiHidden/>
    <w:unhideWhenUsed/>
    <w:rsid w:val="00C71E43"/>
    <w:rPr>
      <w:color w:val="605E5C"/>
      <w:shd w:val="clear" w:color="auto" w:fill="E1DFDD"/>
    </w:rPr>
  </w:style>
  <w:style w:type="paragraph" w:styleId="Title">
    <w:name w:val="Title"/>
    <w:basedOn w:val="Normal"/>
    <w:next w:val="Normal"/>
    <w:link w:val="TitleChar"/>
    <w:uiPriority w:val="10"/>
    <w:qFormat/>
    <w:rsid w:val="00D7458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581"/>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104686">
      <w:bodyDiv w:val="1"/>
      <w:marLeft w:val="0"/>
      <w:marRight w:val="0"/>
      <w:marTop w:val="0"/>
      <w:marBottom w:val="0"/>
      <w:divBdr>
        <w:top w:val="none" w:sz="0" w:space="0" w:color="auto"/>
        <w:left w:val="none" w:sz="0" w:space="0" w:color="auto"/>
        <w:bottom w:val="none" w:sz="0" w:space="0" w:color="auto"/>
        <w:right w:val="none" w:sz="0" w:space="0" w:color="auto"/>
      </w:divBdr>
    </w:div>
    <w:div w:id="891886475">
      <w:bodyDiv w:val="1"/>
      <w:marLeft w:val="0"/>
      <w:marRight w:val="0"/>
      <w:marTop w:val="0"/>
      <w:marBottom w:val="0"/>
      <w:divBdr>
        <w:top w:val="none" w:sz="0" w:space="0" w:color="auto"/>
        <w:left w:val="none" w:sz="0" w:space="0" w:color="auto"/>
        <w:bottom w:val="none" w:sz="0" w:space="0" w:color="auto"/>
        <w:right w:val="none" w:sz="0" w:space="0" w:color="auto"/>
      </w:divBdr>
    </w:div>
    <w:div w:id="1560440195">
      <w:bodyDiv w:val="1"/>
      <w:marLeft w:val="0"/>
      <w:marRight w:val="0"/>
      <w:marTop w:val="0"/>
      <w:marBottom w:val="0"/>
      <w:divBdr>
        <w:top w:val="none" w:sz="0" w:space="0" w:color="auto"/>
        <w:left w:val="none" w:sz="0" w:space="0" w:color="auto"/>
        <w:bottom w:val="none" w:sz="0" w:space="0" w:color="auto"/>
        <w:right w:val="none" w:sz="0" w:space="0" w:color="auto"/>
      </w:divBdr>
    </w:div>
    <w:div w:id="1567299607">
      <w:bodyDiv w:val="1"/>
      <w:marLeft w:val="0"/>
      <w:marRight w:val="0"/>
      <w:marTop w:val="0"/>
      <w:marBottom w:val="0"/>
      <w:divBdr>
        <w:top w:val="none" w:sz="0" w:space="0" w:color="auto"/>
        <w:left w:val="none" w:sz="0" w:space="0" w:color="auto"/>
        <w:bottom w:val="none" w:sz="0" w:space="0" w:color="auto"/>
        <w:right w:val="none" w:sz="0" w:space="0" w:color="auto"/>
      </w:divBdr>
      <w:divsChild>
        <w:div w:id="2009598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career-development/career-pathways/response-polic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dc.gov/vitalsigns/aces/index.html.%20Accessed%2026%20Nov.%202022" TargetMode="External"/><Relationship Id="rId12" Type="http://schemas.openxmlformats.org/officeDocument/2006/relationships/hyperlink" Target="http://www.justiceinspectorates.gov.uk/hmiprobation/wp-content/uploads/sites/5/2022/05/RAB-2022-03-Promising-approaches-to-knife-crime-v1.1.pdf.%20Accessed%2027%20Nov.%20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ns.gov.uk/peoplepopulationandcommunity/crimeandjustice/bulletins/childvictimsofmodernslaveryintheuk/march2022" TargetMode="External"/><Relationship Id="rId5" Type="http://schemas.openxmlformats.org/officeDocument/2006/relationships/footnotes" Target="footnotes.xml"/><Relationship Id="rId10" Type="http://schemas.openxmlformats.org/officeDocument/2006/relationships/hyperlink" Target="http://www.ons.gov.uk" TargetMode="External"/><Relationship Id="rId4" Type="http://schemas.openxmlformats.org/officeDocument/2006/relationships/webSettings" Target="webSettings.xml"/><Relationship Id="rId9" Type="http://schemas.openxmlformats.org/officeDocument/2006/relationships/hyperlink" Target="http://www.intelligenceanalysis.net/National%20Intelligence%20Mode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7349</Words>
  <Characters>41895</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Caddick, Emily</dc:creator>
  <cp:keywords/>
  <dc:description/>
  <cp:lastModifiedBy>Caddick, Emily</cp:lastModifiedBy>
  <cp:revision>3</cp:revision>
  <dcterms:created xsi:type="dcterms:W3CDTF">2022-11-27T02:16:00Z</dcterms:created>
  <dcterms:modified xsi:type="dcterms:W3CDTF">2022-11-28T00:35:00Z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2022-11-23T13:50:48Z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5778514b-0646-4b89-bff6-0612ea81e7f3</vt:lpwstr>
  </property>
  <property fmtid="{D5CDD505-2E9C-101B-9397-08002B2CF9AE}" pid="8" name="MSIP_Label_f2acd28b-79a3-4a0f-b0ff-4b75658b1549_ContentBits">
    <vt:lpwstr>0</vt:lpwstr>
  </property>
</Properties>
</file>