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FCFB352" wp14:paraId="566E3525" wp14:textId="025A09A3">
      <w:pPr>
        <w:spacing w:before="0" w:beforeAutospacing="off" w:after="160" w:afterAutospacing="off" w:line="330" w:lineRule="auto"/>
        <w:jc w:val="center"/>
      </w:pPr>
      <w:r w:rsidRPr="3FCFB352" w:rsidR="104E783E">
        <w:rPr>
          <w:rFonts w:ascii="Arial" w:hAnsi="Arial" w:eastAsia="Arial" w:cs="Arial"/>
          <w:noProof w:val="0"/>
          <w:color w:val="000000" w:themeColor="text1" w:themeTint="FF" w:themeShade="FF"/>
          <w:sz w:val="22"/>
          <w:szCs w:val="22"/>
          <w:lang w:val="en-GB"/>
        </w:rPr>
        <w:t>Dalsooz Alshateri</w:t>
      </w:r>
    </w:p>
    <w:p xmlns:wp14="http://schemas.microsoft.com/office/word/2010/wordml" w:rsidP="3FCFB352" wp14:paraId="43A20287" wp14:textId="3AF9FBB3">
      <w:pPr>
        <w:spacing w:before="0" w:beforeAutospacing="off" w:after="160" w:afterAutospacing="off" w:line="330" w:lineRule="auto"/>
        <w:jc w:val="center"/>
      </w:pPr>
      <w:r w:rsidRPr="71C92BFD" w:rsidR="75AA5FFF">
        <w:rPr>
          <w:rFonts w:ascii="Arial" w:hAnsi="Arial" w:eastAsia="Arial" w:cs="Arial"/>
          <w:noProof w:val="0"/>
          <w:color w:val="000000" w:themeColor="text1" w:themeTint="FF" w:themeShade="FF"/>
          <w:sz w:val="22"/>
          <w:szCs w:val="22"/>
          <w:lang w:val="en-GB"/>
        </w:rPr>
        <w:t>Student Number</w:t>
      </w:r>
      <w:r w:rsidRPr="71C92BFD" w:rsidR="308B38F6">
        <w:rPr>
          <w:rFonts w:ascii="Arial" w:hAnsi="Arial" w:eastAsia="Arial" w:cs="Arial"/>
          <w:noProof w:val="0"/>
          <w:color w:val="000000" w:themeColor="text1" w:themeTint="FF" w:themeShade="FF"/>
          <w:sz w:val="22"/>
          <w:szCs w:val="22"/>
          <w:lang w:val="en-GB"/>
        </w:rPr>
        <w:t>: (2432908)</w:t>
      </w:r>
    </w:p>
    <w:p xmlns:wp14="http://schemas.microsoft.com/office/word/2010/wordml" w:rsidP="71C92BFD" wp14:paraId="22935BC8" wp14:textId="58D6FFC2">
      <w:pPr>
        <w:pStyle w:val="Normal"/>
        <w:spacing w:before="0" w:beforeAutospacing="off" w:after="160" w:afterAutospacing="off" w:line="330" w:lineRule="auto"/>
        <w:jc w:val="center"/>
        <w:rPr>
          <w:rFonts w:ascii="Arial" w:hAnsi="Arial" w:eastAsia="Arial" w:cs="Arial"/>
          <w:b w:val="0"/>
          <w:bCs w:val="0"/>
          <w:noProof w:val="0"/>
          <w:color w:val="000000" w:themeColor="text1" w:themeTint="FF" w:themeShade="FF"/>
          <w:sz w:val="22"/>
          <w:szCs w:val="22"/>
          <w:lang w:val="en-US"/>
        </w:rPr>
      </w:pPr>
      <w:r w:rsidRPr="71C92BFD" w:rsidR="75AA5FFF">
        <w:rPr>
          <w:rFonts w:ascii="Arial" w:hAnsi="Arial" w:eastAsia="Arial" w:cs="Arial"/>
          <w:noProof w:val="0"/>
          <w:color w:val="000000" w:themeColor="text1" w:themeTint="FF" w:themeShade="FF"/>
          <w:sz w:val="22"/>
          <w:szCs w:val="22"/>
          <w:lang w:val="en-GB"/>
        </w:rPr>
        <w:t>Module Code and Title</w:t>
      </w:r>
      <w:r w:rsidRPr="71C92BFD" w:rsidR="71A1397E">
        <w:rPr>
          <w:rFonts w:ascii="Arial" w:hAnsi="Arial" w:eastAsia="Arial" w:cs="Arial"/>
          <w:noProof w:val="0"/>
          <w:color w:val="000000" w:themeColor="text1" w:themeTint="FF" w:themeShade="FF"/>
          <w:sz w:val="22"/>
          <w:szCs w:val="22"/>
          <w:lang w:val="en-GB"/>
        </w:rPr>
        <w:t xml:space="preserve">: </w:t>
      </w:r>
      <w:r w:rsidRPr="71C92BFD" w:rsidR="71A1397E">
        <w:rPr>
          <w:rFonts w:ascii="Arial" w:hAnsi="Arial" w:eastAsia="Arial" w:cs="Arial"/>
          <w:b w:val="0"/>
          <w:bCs w:val="0"/>
          <w:noProof w:val="0"/>
          <w:color w:val="000000" w:themeColor="text1" w:themeTint="FF" w:themeShade="FF"/>
          <w:sz w:val="22"/>
          <w:szCs w:val="22"/>
          <w:lang w:val="en-US"/>
        </w:rPr>
        <w:t>LCHS4010</w:t>
      </w:r>
      <w:r w:rsidRPr="71C92BFD" w:rsidR="3D01D4B5">
        <w:rPr>
          <w:rFonts w:ascii="Arial" w:hAnsi="Arial" w:eastAsia="Arial" w:cs="Arial"/>
          <w:b w:val="0"/>
          <w:bCs w:val="0"/>
          <w:noProof w:val="0"/>
          <w:color w:val="000000" w:themeColor="text1" w:themeTint="FF" w:themeShade="FF"/>
          <w:sz w:val="22"/>
          <w:szCs w:val="22"/>
          <w:lang w:val="en-GB"/>
        </w:rPr>
        <w:t xml:space="preserve"> </w:t>
      </w:r>
    </w:p>
    <w:p xmlns:wp14="http://schemas.microsoft.com/office/word/2010/wordml" w:rsidP="71C92BFD" wp14:paraId="1F93CEA0" wp14:textId="065527C7">
      <w:pPr>
        <w:spacing w:before="0" w:beforeAutospacing="off" w:after="160" w:afterAutospacing="off" w:line="330" w:lineRule="auto"/>
        <w:jc w:val="center"/>
        <w:rPr>
          <w:rFonts w:ascii="Arial" w:hAnsi="Arial" w:eastAsia="Arial" w:cs="Arial"/>
          <w:noProof w:val="0"/>
          <w:color w:val="000000" w:themeColor="text1" w:themeTint="FF" w:themeShade="FF"/>
          <w:sz w:val="22"/>
          <w:szCs w:val="22"/>
          <w:lang w:val="en-GB"/>
        </w:rPr>
      </w:pPr>
      <w:r w:rsidRPr="71C92BFD" w:rsidR="75AA5FFF">
        <w:rPr>
          <w:rFonts w:ascii="Arial" w:hAnsi="Arial" w:eastAsia="Arial" w:cs="Arial"/>
          <w:noProof w:val="0"/>
          <w:color w:val="000000" w:themeColor="text1" w:themeTint="FF" w:themeShade="FF"/>
          <w:sz w:val="22"/>
          <w:szCs w:val="22"/>
          <w:lang w:val="en-GB"/>
        </w:rPr>
        <w:t>Lecturer Name</w:t>
      </w:r>
      <w:r w:rsidRPr="71C92BFD" w:rsidR="7FC78BDD">
        <w:rPr>
          <w:rFonts w:ascii="Arial" w:hAnsi="Arial" w:eastAsia="Arial" w:cs="Arial"/>
          <w:noProof w:val="0"/>
          <w:color w:val="000000" w:themeColor="text1" w:themeTint="FF" w:themeShade="FF"/>
          <w:sz w:val="22"/>
          <w:szCs w:val="22"/>
          <w:lang w:val="en-GB"/>
        </w:rPr>
        <w:t xml:space="preserve">: Helen </w:t>
      </w:r>
      <w:r w:rsidRPr="71C92BFD" w:rsidR="2797C781">
        <w:rPr>
          <w:rFonts w:ascii="Arial" w:hAnsi="Arial" w:eastAsia="Arial" w:cs="Arial"/>
          <w:noProof w:val="0"/>
          <w:color w:val="000000" w:themeColor="text1" w:themeTint="FF" w:themeShade="FF"/>
          <w:sz w:val="22"/>
          <w:szCs w:val="22"/>
          <w:lang w:val="en-GB"/>
        </w:rPr>
        <w:t>Parsons</w:t>
      </w:r>
    </w:p>
    <w:p w:rsidR="75AA5FFF" w:rsidP="71C92BFD" w:rsidRDefault="75AA5FFF" w14:paraId="648F1EE3" w14:textId="6EFCA1ED">
      <w:pPr>
        <w:pStyle w:val="Normal"/>
        <w:spacing w:before="0" w:beforeAutospacing="off" w:after="160" w:afterAutospacing="off" w:line="330" w:lineRule="auto"/>
        <w:jc w:val="center"/>
        <w:rPr>
          <w:rFonts w:ascii="Arial" w:hAnsi="Arial" w:eastAsia="Arial" w:cs="Arial"/>
          <w:b w:val="0"/>
          <w:bCs w:val="0"/>
          <w:noProof w:val="0"/>
          <w:color w:val="000000" w:themeColor="text1" w:themeTint="FF" w:themeShade="FF"/>
          <w:sz w:val="24"/>
          <w:szCs w:val="24"/>
          <w:lang w:val="en-US"/>
        </w:rPr>
      </w:pPr>
      <w:r w:rsidRPr="71C92BFD" w:rsidR="75AA5FFF">
        <w:rPr>
          <w:rFonts w:ascii="Arial" w:hAnsi="Arial" w:eastAsia="Arial" w:cs="Arial"/>
          <w:noProof w:val="0"/>
          <w:color w:val="000000" w:themeColor="text1" w:themeTint="FF" w:themeShade="FF"/>
          <w:sz w:val="22"/>
          <w:szCs w:val="22"/>
          <w:lang w:val="en-GB"/>
        </w:rPr>
        <w:t>Assignment Title</w:t>
      </w:r>
      <w:r w:rsidRPr="71C92BFD" w:rsidR="4D4CFD1D">
        <w:rPr>
          <w:rFonts w:ascii="Arial" w:hAnsi="Arial" w:eastAsia="Arial" w:cs="Arial"/>
          <w:noProof w:val="0"/>
          <w:color w:val="000000" w:themeColor="text1" w:themeTint="FF" w:themeShade="FF"/>
          <w:sz w:val="22"/>
          <w:szCs w:val="22"/>
          <w:lang w:val="en-GB"/>
        </w:rPr>
        <w:t xml:space="preserve">: </w:t>
      </w:r>
      <w:r w:rsidRPr="71C92BFD" w:rsidR="4D4CFD1D">
        <w:rPr>
          <w:rFonts w:ascii="Arial" w:hAnsi="Arial" w:eastAsia="Arial" w:cs="Arial"/>
          <w:b w:val="0"/>
          <w:bCs w:val="0"/>
          <w:noProof w:val="0"/>
          <w:color w:val="000000" w:themeColor="text1" w:themeTint="FF" w:themeShade="FF"/>
          <w:sz w:val="22"/>
          <w:szCs w:val="22"/>
          <w:lang w:val="en-US"/>
        </w:rPr>
        <w:t>A</w:t>
      </w:r>
      <w:r w:rsidRPr="71C92BFD" w:rsidR="4D4CFD1D">
        <w:rPr>
          <w:rFonts w:ascii="Arial" w:hAnsi="Arial" w:eastAsia="Arial" w:cs="Arial"/>
          <w:b w:val="0"/>
          <w:bCs w:val="0"/>
          <w:noProof w:val="0"/>
          <w:color w:val="000000" w:themeColor="text1" w:themeTint="FF" w:themeShade="FF"/>
          <w:sz w:val="22"/>
          <w:szCs w:val="22"/>
          <w:lang w:val="en-US"/>
        </w:rPr>
        <w:t>ssessment 2 Bibliography &amp; report</w:t>
      </w:r>
    </w:p>
    <w:p xmlns:wp14="http://schemas.microsoft.com/office/word/2010/wordml" w:rsidP="3FCFB352" wp14:paraId="39794B6B" wp14:textId="03914C76">
      <w:pPr>
        <w:spacing w:line="330" w:lineRule="auto"/>
      </w:pPr>
    </w:p>
    <w:p xmlns:wp14="http://schemas.microsoft.com/office/word/2010/wordml" w:rsidP="3FCFB352" wp14:paraId="30B11767" wp14:textId="58B4B776">
      <w:pPr>
        <w:spacing w:line="330" w:lineRule="auto"/>
      </w:pPr>
    </w:p>
    <w:p xmlns:wp14="http://schemas.microsoft.com/office/word/2010/wordml" w:rsidP="3FCFB352" wp14:paraId="0292CAED" wp14:textId="01EC3B1F">
      <w:pPr>
        <w:spacing w:line="330" w:lineRule="auto"/>
      </w:pPr>
    </w:p>
    <w:p xmlns:wp14="http://schemas.microsoft.com/office/word/2010/wordml" w:rsidP="3FCFB352" wp14:paraId="77B32E45" wp14:textId="119F6FD1">
      <w:pPr>
        <w:spacing w:line="330" w:lineRule="auto"/>
      </w:pPr>
    </w:p>
    <w:p xmlns:wp14="http://schemas.microsoft.com/office/word/2010/wordml" w:rsidP="3FCFB352" wp14:paraId="7809D434" wp14:textId="4C33AFBD">
      <w:pPr>
        <w:spacing w:line="330" w:lineRule="auto"/>
      </w:pPr>
    </w:p>
    <w:p xmlns:wp14="http://schemas.microsoft.com/office/word/2010/wordml" w:rsidP="3FCFB352" wp14:paraId="2ED0A751" wp14:textId="56346484">
      <w:pPr>
        <w:spacing w:line="330" w:lineRule="auto"/>
      </w:pPr>
    </w:p>
    <w:p xmlns:wp14="http://schemas.microsoft.com/office/word/2010/wordml" w:rsidP="3FCFB352" wp14:paraId="3F27B2CF" wp14:textId="0A7B67C4">
      <w:pPr>
        <w:spacing w:line="330" w:lineRule="auto"/>
      </w:pPr>
    </w:p>
    <w:p xmlns:wp14="http://schemas.microsoft.com/office/word/2010/wordml" w:rsidP="3FCFB352" wp14:paraId="717AF6AC" wp14:textId="31AE2481">
      <w:pPr>
        <w:spacing w:line="330" w:lineRule="auto"/>
      </w:pPr>
    </w:p>
    <w:p xmlns:wp14="http://schemas.microsoft.com/office/word/2010/wordml" w:rsidP="3FCFB352" wp14:paraId="6D17B666" wp14:textId="4A55F4CF">
      <w:pPr>
        <w:spacing w:line="330" w:lineRule="auto"/>
      </w:pPr>
    </w:p>
    <w:p xmlns:wp14="http://schemas.microsoft.com/office/word/2010/wordml" w:rsidP="3FCFB352" wp14:paraId="2B7756C4" wp14:textId="2161D0C4">
      <w:pPr>
        <w:spacing w:line="330" w:lineRule="auto"/>
      </w:pPr>
    </w:p>
    <w:p xmlns:wp14="http://schemas.microsoft.com/office/word/2010/wordml" w:rsidP="3FCFB352" wp14:paraId="488CF888" wp14:textId="29FB5598">
      <w:pPr>
        <w:spacing w:line="330" w:lineRule="auto"/>
      </w:pPr>
    </w:p>
    <w:p xmlns:wp14="http://schemas.microsoft.com/office/word/2010/wordml" w:rsidP="3FCFB352" wp14:paraId="60D1A3F4" wp14:textId="63FDB6A7">
      <w:pPr>
        <w:spacing w:line="330" w:lineRule="auto"/>
      </w:pPr>
    </w:p>
    <w:p xmlns:wp14="http://schemas.microsoft.com/office/word/2010/wordml" w:rsidP="3FCFB352" wp14:paraId="65A3B3E6" wp14:textId="34D4E487">
      <w:pPr>
        <w:spacing w:line="330" w:lineRule="auto"/>
      </w:pPr>
    </w:p>
    <w:p xmlns:wp14="http://schemas.microsoft.com/office/word/2010/wordml" w:rsidP="3FCFB352" wp14:paraId="5252CFD9" wp14:textId="4881F843">
      <w:pPr>
        <w:spacing w:line="330" w:lineRule="auto"/>
      </w:pPr>
    </w:p>
    <w:p xmlns:wp14="http://schemas.microsoft.com/office/word/2010/wordml" w:rsidP="3FCFB352" wp14:paraId="613EA679" wp14:textId="53E8D209">
      <w:pPr>
        <w:spacing w:line="330" w:lineRule="auto"/>
      </w:pPr>
    </w:p>
    <w:p xmlns:wp14="http://schemas.microsoft.com/office/word/2010/wordml" w:rsidP="3FCFB352" wp14:paraId="0B0CFEA5" wp14:textId="5E781E22">
      <w:pPr>
        <w:spacing w:line="330" w:lineRule="auto"/>
      </w:pPr>
    </w:p>
    <w:p xmlns:wp14="http://schemas.microsoft.com/office/word/2010/wordml" w:rsidP="3FCFB352" wp14:paraId="21A2C1A6" wp14:textId="0CC4F509">
      <w:pPr>
        <w:spacing w:line="330" w:lineRule="auto"/>
      </w:pPr>
    </w:p>
    <w:p xmlns:wp14="http://schemas.microsoft.com/office/word/2010/wordml" w:rsidP="3FCFB352" wp14:paraId="5B7436A7" wp14:textId="2DA066FA">
      <w:pPr>
        <w:spacing w:line="330" w:lineRule="auto"/>
      </w:pPr>
    </w:p>
    <w:p xmlns:wp14="http://schemas.microsoft.com/office/word/2010/wordml" w:rsidP="3FCFB352" wp14:paraId="2DEB509B" wp14:textId="7D14037D">
      <w:pPr>
        <w:spacing w:line="330" w:lineRule="auto"/>
      </w:pPr>
    </w:p>
    <w:p xmlns:wp14="http://schemas.microsoft.com/office/word/2010/wordml" w:rsidP="3FCFB352" wp14:paraId="4D1ECA20" wp14:textId="006779E1">
      <w:pPr>
        <w:spacing w:line="330" w:lineRule="auto"/>
      </w:pPr>
    </w:p>
    <w:p xmlns:wp14="http://schemas.microsoft.com/office/word/2010/wordml" w:rsidP="3FCFB352" wp14:paraId="19EC2160" wp14:textId="2D205615">
      <w:pPr>
        <w:pStyle w:val="Normal"/>
        <w:spacing w:line="330" w:lineRule="auto"/>
      </w:pPr>
    </w:p>
    <w:p xmlns:wp14="http://schemas.microsoft.com/office/word/2010/wordml" w:rsidP="3FCFB352" wp14:paraId="3461F4D3" wp14:textId="3539C31A">
      <w:pPr>
        <w:spacing w:before="0" w:beforeAutospacing="off" w:after="160" w:afterAutospacing="off" w:line="330" w:lineRule="auto"/>
        <w:jc w:val="left"/>
      </w:pPr>
      <w:r w:rsidRPr="3FCFB352" w:rsidR="104E783E">
        <w:rPr>
          <w:rFonts w:ascii="Arial" w:hAnsi="Arial" w:eastAsia="Arial" w:cs="Arial"/>
          <w:noProof w:val="0"/>
          <w:color w:val="000000" w:themeColor="text1" w:themeTint="FF" w:themeShade="FF"/>
          <w:sz w:val="22"/>
          <w:szCs w:val="22"/>
          <w:lang w:val="en-GB"/>
        </w:rPr>
        <w:t xml:space="preserve"> </w:t>
      </w:r>
    </w:p>
    <w:p xmlns:wp14="http://schemas.microsoft.com/office/word/2010/wordml" w:rsidP="3FCFB352" wp14:paraId="74AD9241" wp14:textId="5BBC2C15">
      <w:pPr>
        <w:spacing w:before="240" w:beforeAutospacing="off" w:after="0" w:afterAutospacing="off" w:line="330" w:lineRule="auto"/>
        <w:jc w:val="center"/>
      </w:pPr>
      <w:r w:rsidRPr="3FCFB352" w:rsidR="104E783E">
        <w:rPr>
          <w:rFonts w:ascii="Arial" w:hAnsi="Arial" w:eastAsia="Arial" w:cs="Arial"/>
          <w:b w:val="1"/>
          <w:bCs w:val="1"/>
          <w:noProof w:val="0"/>
          <w:color w:val="2F5496"/>
          <w:sz w:val="22"/>
          <w:szCs w:val="22"/>
          <w:lang w:val="en-US"/>
        </w:rPr>
        <w:t>Contents</w:t>
      </w:r>
    </w:p>
    <w:p xmlns:wp14="http://schemas.microsoft.com/office/word/2010/wordml" w:rsidP="3FCFB352" wp14:paraId="695824D5" wp14:textId="0D9B73DC">
      <w:pPr>
        <w:spacing w:before="0" w:beforeAutospacing="off" w:after="100" w:afterAutospacing="off" w:line="235" w:lineRule="auto"/>
        <w:jc w:val="both"/>
      </w:pPr>
      <w:r w:rsidRPr="3FCFB352" w:rsidR="104E783E">
        <w:rPr>
          <w:rFonts w:ascii="Arial" w:hAnsi="Arial" w:eastAsia="Arial" w:cs="Arial"/>
          <w:noProof w:val="0"/>
          <w:color w:val="954F72"/>
          <w:sz w:val="22"/>
          <w:szCs w:val="22"/>
          <w:lang w:val="en-GB"/>
        </w:rPr>
        <w:t>Part A – Annotated Bibliography</w:t>
      </w:r>
    </w:p>
    <w:p xmlns:wp14="http://schemas.microsoft.com/office/word/2010/wordml" w:rsidP="3FCFB352" wp14:paraId="13FAB24D" wp14:textId="176BE3CB">
      <w:pPr>
        <w:spacing w:before="0" w:beforeAutospacing="off" w:after="100" w:afterAutospacing="off" w:line="235" w:lineRule="auto"/>
        <w:ind w:left="240" w:right="0"/>
        <w:jc w:val="both"/>
      </w:pPr>
      <w:r w:rsidRPr="3FCFB352" w:rsidR="104E783E">
        <w:rPr>
          <w:rFonts w:ascii="Arial" w:hAnsi="Arial" w:eastAsia="Arial" w:cs="Arial"/>
          <w:noProof w:val="0"/>
          <w:color w:val="954F72"/>
          <w:sz w:val="22"/>
          <w:szCs w:val="22"/>
          <w:lang w:val="en-GB"/>
        </w:rPr>
        <w:t>Bowlby’s Attachment</w:t>
      </w:r>
    </w:p>
    <w:p xmlns:wp14="http://schemas.microsoft.com/office/word/2010/wordml" w:rsidP="3FCFB352" wp14:paraId="5492D71E" wp14:textId="7FEC2D7B">
      <w:pPr>
        <w:spacing w:before="0" w:beforeAutospacing="off" w:after="100" w:afterAutospacing="off" w:line="235" w:lineRule="auto"/>
        <w:ind w:left="480" w:right="0"/>
        <w:jc w:val="both"/>
      </w:pPr>
      <w:r w:rsidRPr="3FCFB352" w:rsidR="104E783E">
        <w:rPr>
          <w:rFonts w:ascii="Arial" w:hAnsi="Arial" w:eastAsia="Arial" w:cs="Arial"/>
          <w:noProof w:val="0"/>
          <w:color w:val="954F72"/>
          <w:sz w:val="22"/>
          <w:szCs w:val="22"/>
          <w:lang w:val="en-GB"/>
        </w:rPr>
        <w:t>Source 1</w:t>
      </w:r>
    </w:p>
    <w:p xmlns:wp14="http://schemas.microsoft.com/office/word/2010/wordml" w:rsidP="3FCFB352" wp14:paraId="4C192CD9" wp14:textId="3C211348">
      <w:pPr>
        <w:spacing w:before="0" w:beforeAutospacing="off" w:after="100" w:afterAutospacing="off" w:line="235" w:lineRule="auto"/>
        <w:ind w:left="480" w:right="0"/>
        <w:jc w:val="both"/>
      </w:pPr>
      <w:r w:rsidRPr="3FCFB352" w:rsidR="104E783E">
        <w:rPr>
          <w:rFonts w:ascii="Arial" w:hAnsi="Arial" w:eastAsia="Arial" w:cs="Arial"/>
          <w:noProof w:val="0"/>
          <w:color w:val="954F72"/>
          <w:sz w:val="22"/>
          <w:szCs w:val="22"/>
          <w:lang w:val="en-GB"/>
        </w:rPr>
        <w:t>Source 2</w:t>
      </w:r>
    </w:p>
    <w:p xmlns:wp14="http://schemas.microsoft.com/office/word/2010/wordml" w:rsidP="3FCFB352" wp14:paraId="3EDD1A1F" wp14:textId="1C6ABC41">
      <w:pPr>
        <w:spacing w:before="0" w:beforeAutospacing="off" w:after="100" w:afterAutospacing="off" w:line="235" w:lineRule="auto"/>
        <w:ind w:left="240" w:right="0"/>
        <w:jc w:val="both"/>
      </w:pPr>
      <w:r w:rsidRPr="3FCFB352" w:rsidR="104E783E">
        <w:rPr>
          <w:rFonts w:ascii="Arial" w:hAnsi="Arial" w:eastAsia="Arial" w:cs="Arial"/>
          <w:noProof w:val="0"/>
          <w:color w:val="954F72"/>
          <w:sz w:val="22"/>
          <w:szCs w:val="22"/>
          <w:lang w:val="en-GB"/>
        </w:rPr>
        <w:t>Piaget’s Cognitive Development</w:t>
      </w:r>
    </w:p>
    <w:p xmlns:wp14="http://schemas.microsoft.com/office/word/2010/wordml" w:rsidP="3FCFB352" wp14:paraId="47D5E8F7" wp14:textId="4CA26CEE">
      <w:pPr>
        <w:spacing w:before="0" w:beforeAutospacing="off" w:after="100" w:afterAutospacing="off" w:line="235" w:lineRule="auto"/>
        <w:ind w:left="480" w:right="0"/>
        <w:jc w:val="both"/>
      </w:pPr>
      <w:r w:rsidRPr="3FCFB352" w:rsidR="104E783E">
        <w:rPr>
          <w:rFonts w:ascii="Arial" w:hAnsi="Arial" w:eastAsia="Arial" w:cs="Arial"/>
          <w:noProof w:val="0"/>
          <w:color w:val="954F72"/>
          <w:sz w:val="22"/>
          <w:szCs w:val="22"/>
          <w:lang w:val="en-GB"/>
        </w:rPr>
        <w:t>Source 3</w:t>
      </w:r>
    </w:p>
    <w:p xmlns:wp14="http://schemas.microsoft.com/office/word/2010/wordml" w:rsidP="3FCFB352" wp14:paraId="437A7704" wp14:textId="72E48454">
      <w:pPr>
        <w:spacing w:before="0" w:beforeAutospacing="off" w:after="100" w:afterAutospacing="off" w:line="235" w:lineRule="auto"/>
        <w:ind w:left="480" w:right="0"/>
        <w:jc w:val="both"/>
      </w:pPr>
      <w:r w:rsidRPr="3FCFB352" w:rsidR="104E783E">
        <w:rPr>
          <w:rFonts w:ascii="Arial" w:hAnsi="Arial" w:eastAsia="Arial" w:cs="Arial"/>
          <w:noProof w:val="0"/>
          <w:color w:val="954F72"/>
          <w:sz w:val="22"/>
          <w:szCs w:val="22"/>
          <w:lang w:val="en-GB"/>
        </w:rPr>
        <w:t>Source 4</w:t>
      </w:r>
    </w:p>
    <w:p xmlns:wp14="http://schemas.microsoft.com/office/word/2010/wordml" w:rsidP="3FCFB352" wp14:paraId="175731ED" wp14:textId="04ED077A">
      <w:pPr>
        <w:spacing w:before="0" w:beforeAutospacing="off" w:after="100" w:afterAutospacing="off" w:line="235" w:lineRule="auto"/>
        <w:jc w:val="both"/>
      </w:pPr>
      <w:r w:rsidRPr="3FCFB352" w:rsidR="104E783E">
        <w:rPr>
          <w:rFonts w:ascii="Arial" w:hAnsi="Arial" w:eastAsia="Arial" w:cs="Arial"/>
          <w:noProof w:val="0"/>
          <w:color w:val="954F72"/>
          <w:sz w:val="22"/>
          <w:szCs w:val="22"/>
          <w:lang w:val="en-GB"/>
        </w:rPr>
        <w:t>Part B</w:t>
      </w:r>
    </w:p>
    <w:p xmlns:wp14="http://schemas.microsoft.com/office/word/2010/wordml" w:rsidP="3FCFB352" wp14:paraId="2DC7C2FF" wp14:textId="5889A6B2">
      <w:pPr>
        <w:spacing w:before="0" w:beforeAutospacing="off" w:after="100" w:afterAutospacing="off" w:line="235" w:lineRule="auto"/>
        <w:ind w:left="240" w:right="0"/>
        <w:jc w:val="both"/>
      </w:pPr>
      <w:r w:rsidRPr="3FCFB352" w:rsidR="104E783E">
        <w:rPr>
          <w:rFonts w:ascii="Arial" w:hAnsi="Arial" w:eastAsia="Arial" w:cs="Arial"/>
          <w:noProof w:val="0"/>
          <w:color w:val="954F72"/>
          <w:sz w:val="22"/>
          <w:szCs w:val="22"/>
          <w:lang w:val="en-GB"/>
        </w:rPr>
        <w:t>Introduction</w:t>
      </w:r>
    </w:p>
    <w:p xmlns:wp14="http://schemas.microsoft.com/office/word/2010/wordml" w:rsidP="3FCFB352" wp14:paraId="6A0DB4E3" wp14:textId="71CF3842">
      <w:pPr>
        <w:spacing w:before="0" w:beforeAutospacing="off" w:after="100" w:afterAutospacing="off" w:line="235" w:lineRule="auto"/>
        <w:ind w:left="240" w:right="0"/>
        <w:jc w:val="both"/>
      </w:pPr>
      <w:r w:rsidRPr="3FCFB352" w:rsidR="104E783E">
        <w:rPr>
          <w:rFonts w:ascii="Arial" w:hAnsi="Arial" w:eastAsia="Arial" w:cs="Arial"/>
          <w:noProof w:val="0"/>
          <w:color w:val="954F72"/>
          <w:sz w:val="22"/>
          <w:szCs w:val="22"/>
          <w:lang w:val="en-GB"/>
        </w:rPr>
        <w:t>Theory and Well-being</w:t>
      </w:r>
    </w:p>
    <w:p xmlns:wp14="http://schemas.microsoft.com/office/word/2010/wordml" w:rsidP="3FCFB352" wp14:paraId="1FF64AE8" wp14:textId="0B4F7904">
      <w:pPr>
        <w:spacing w:before="0" w:beforeAutospacing="off" w:after="100" w:afterAutospacing="off" w:line="235" w:lineRule="auto"/>
        <w:ind w:left="240" w:right="0"/>
        <w:jc w:val="both"/>
      </w:pPr>
      <w:r w:rsidRPr="3FCFB352" w:rsidR="104E783E">
        <w:rPr>
          <w:rFonts w:ascii="Arial" w:hAnsi="Arial" w:eastAsia="Arial" w:cs="Arial"/>
          <w:noProof w:val="0"/>
          <w:color w:val="954F72"/>
          <w:sz w:val="22"/>
          <w:szCs w:val="22"/>
          <w:lang w:val="en-GB"/>
        </w:rPr>
        <w:t>References</w:t>
      </w:r>
    </w:p>
    <w:p xmlns:wp14="http://schemas.microsoft.com/office/word/2010/wordml" w:rsidP="3FCFB352" wp14:paraId="4E18B7B0" wp14:textId="252D1BBC">
      <w:pPr>
        <w:spacing w:before="0" w:beforeAutospacing="off" w:after="160" w:afterAutospacing="off" w:line="330" w:lineRule="auto"/>
        <w:jc w:val="both"/>
      </w:pPr>
      <w:r w:rsidRPr="3FCFB352" w:rsidR="104E783E">
        <w:rPr>
          <w:rFonts w:ascii="Arial" w:hAnsi="Arial" w:eastAsia="Arial" w:cs="Arial"/>
          <w:noProof w:val="0"/>
          <w:sz w:val="22"/>
          <w:szCs w:val="22"/>
          <w:lang w:val="en-GB"/>
        </w:rPr>
        <w:t xml:space="preserve"> </w:t>
      </w:r>
    </w:p>
    <w:p xmlns:wp14="http://schemas.microsoft.com/office/word/2010/wordml" w:rsidP="3FCFB352" wp14:paraId="411E61C9" wp14:textId="3E1E63B8">
      <w:pPr>
        <w:spacing w:line="330" w:lineRule="auto"/>
      </w:pPr>
    </w:p>
    <w:p xmlns:wp14="http://schemas.microsoft.com/office/word/2010/wordml" w:rsidP="3FCFB352" wp14:paraId="323C383D" wp14:textId="758ADB59">
      <w:pPr>
        <w:spacing w:before="0" w:beforeAutospacing="off" w:after="160" w:afterAutospacing="off" w:line="330" w:lineRule="auto"/>
        <w:jc w:val="left"/>
      </w:pPr>
      <w:r w:rsidRPr="3FCFB352" w:rsidR="104E783E">
        <w:rPr>
          <w:rFonts w:ascii="Arial" w:hAnsi="Arial" w:eastAsia="Arial" w:cs="Arial"/>
          <w:b w:val="1"/>
          <w:bCs w:val="1"/>
          <w:noProof w:val="0"/>
          <w:color w:val="000000" w:themeColor="text1" w:themeTint="FF" w:themeShade="FF"/>
          <w:sz w:val="22"/>
          <w:szCs w:val="22"/>
          <w:lang w:val="en-GB"/>
        </w:rPr>
        <w:t xml:space="preserve"> </w:t>
      </w:r>
    </w:p>
    <w:p xmlns:wp14="http://schemas.microsoft.com/office/word/2010/wordml" w:rsidP="3FCFB352" wp14:paraId="40641DE1" wp14:textId="2146F7F8">
      <w:pPr>
        <w:pStyle w:val="Heading1"/>
        <w:spacing w:before="240" w:beforeAutospacing="off" w:after="0" w:afterAutospacing="off" w:line="330" w:lineRule="auto"/>
        <w:jc w:val="center"/>
      </w:pPr>
      <w:r w:rsidRPr="71C92BFD" w:rsidR="75AA5FFF">
        <w:rPr>
          <w:rFonts w:ascii="Arial" w:hAnsi="Arial" w:eastAsia="Arial" w:cs="Arial"/>
          <w:b w:val="1"/>
          <w:bCs w:val="1"/>
          <w:noProof w:val="0"/>
          <w:color w:val="000000" w:themeColor="text1" w:themeTint="FF" w:themeShade="FF"/>
          <w:sz w:val="22"/>
          <w:szCs w:val="22"/>
          <w:lang w:val="en-GB"/>
        </w:rPr>
        <w:t>Part A</w:t>
      </w:r>
      <w:r w:rsidRPr="71C92BFD" w:rsidR="0E1742E5">
        <w:rPr>
          <w:rFonts w:ascii="Arial" w:hAnsi="Arial" w:eastAsia="Arial" w:cs="Arial"/>
          <w:b w:val="1"/>
          <w:bCs w:val="1"/>
          <w:noProof w:val="0"/>
          <w:color w:val="000000" w:themeColor="text1" w:themeTint="FF" w:themeShade="FF"/>
          <w:sz w:val="22"/>
          <w:szCs w:val="22"/>
          <w:lang w:val="en-GB"/>
        </w:rPr>
        <w:t>:</w:t>
      </w:r>
      <w:r w:rsidRPr="71C92BFD" w:rsidR="75AA5FFF">
        <w:rPr>
          <w:rFonts w:ascii="Arial" w:hAnsi="Arial" w:eastAsia="Arial" w:cs="Arial"/>
          <w:b w:val="1"/>
          <w:bCs w:val="1"/>
          <w:noProof w:val="0"/>
          <w:color w:val="000000" w:themeColor="text1" w:themeTint="FF" w:themeShade="FF"/>
          <w:sz w:val="22"/>
          <w:szCs w:val="22"/>
          <w:lang w:val="en-GB"/>
        </w:rPr>
        <w:t xml:space="preserve"> Annotated Bibliography</w:t>
      </w:r>
    </w:p>
    <w:p xmlns:wp14="http://schemas.microsoft.com/office/word/2010/wordml" w:rsidP="3FCFB352" wp14:paraId="070D5B0C" wp14:textId="141DC0AB">
      <w:pPr>
        <w:pStyle w:val="Heading3"/>
        <w:spacing w:before="40" w:beforeAutospacing="off" w:after="0" w:afterAutospacing="off" w:line="330" w:lineRule="auto"/>
        <w:jc w:val="both"/>
      </w:pPr>
      <w:r w:rsidRPr="3FCFB352" w:rsidR="104E783E">
        <w:rPr>
          <w:rFonts w:ascii="Arial" w:hAnsi="Arial" w:eastAsia="Arial" w:cs="Arial"/>
          <w:b w:val="1"/>
          <w:bCs w:val="1"/>
          <w:i w:val="1"/>
          <w:iCs w:val="1"/>
          <w:noProof w:val="0"/>
          <w:color w:val="000000" w:themeColor="text1" w:themeTint="FF" w:themeShade="FF"/>
          <w:sz w:val="22"/>
          <w:szCs w:val="22"/>
          <w:lang w:val="en-GB"/>
        </w:rPr>
        <w:t>Source 1</w:t>
      </w:r>
    </w:p>
    <w:p xmlns:wp14="http://schemas.microsoft.com/office/word/2010/wordml" w:rsidP="3FCFB352" wp14:paraId="58ED1511" wp14:textId="12EFF39C">
      <w:pPr>
        <w:spacing w:before="240" w:beforeAutospacing="off" w:after="240" w:afterAutospacing="off" w:line="330" w:lineRule="auto"/>
        <w:jc w:val="both"/>
      </w:pPr>
      <w:r w:rsidRPr="3FCFB352" w:rsidR="104E783E">
        <w:rPr>
          <w:rFonts w:ascii="Arial" w:hAnsi="Arial" w:eastAsia="Arial" w:cs="Arial"/>
          <w:noProof w:val="0"/>
          <w:color w:val="222222"/>
          <w:sz w:val="22"/>
          <w:szCs w:val="22"/>
          <w:lang w:val="en-GB"/>
        </w:rPr>
        <w:t xml:space="preserve">Platts, L.G., Alm Norbrian, A. and Frick, M.A., 2023. Attachment in older adults is stably associated with health and quality of life: findings from a 14-year follow-up of the Whitehall II study. </w:t>
      </w:r>
      <w:r w:rsidRPr="3FCFB352" w:rsidR="104E783E">
        <w:rPr>
          <w:rFonts w:ascii="Arial" w:hAnsi="Arial" w:eastAsia="Arial" w:cs="Arial"/>
          <w:i w:val="1"/>
          <w:iCs w:val="1"/>
          <w:noProof w:val="0"/>
          <w:color w:val="222222"/>
          <w:sz w:val="22"/>
          <w:szCs w:val="22"/>
          <w:lang w:val="en-GB"/>
        </w:rPr>
        <w:t>Aging &amp; Mental Health</w:t>
      </w:r>
      <w:r w:rsidRPr="3FCFB352" w:rsidR="104E783E">
        <w:rPr>
          <w:rFonts w:ascii="Arial" w:hAnsi="Arial" w:eastAsia="Arial" w:cs="Arial"/>
          <w:noProof w:val="0"/>
          <w:color w:val="222222"/>
          <w:sz w:val="22"/>
          <w:szCs w:val="22"/>
          <w:lang w:val="en-GB"/>
        </w:rPr>
        <w:t xml:space="preserve">, </w:t>
      </w:r>
      <w:r w:rsidRPr="3FCFB352" w:rsidR="104E783E">
        <w:rPr>
          <w:rFonts w:ascii="Arial" w:hAnsi="Arial" w:eastAsia="Arial" w:cs="Arial"/>
          <w:i w:val="1"/>
          <w:iCs w:val="1"/>
          <w:noProof w:val="0"/>
          <w:color w:val="222222"/>
          <w:sz w:val="22"/>
          <w:szCs w:val="22"/>
          <w:lang w:val="en-GB"/>
        </w:rPr>
        <w:t>27</w:t>
      </w:r>
      <w:r w:rsidRPr="3FCFB352" w:rsidR="104E783E">
        <w:rPr>
          <w:rFonts w:ascii="Arial" w:hAnsi="Arial" w:eastAsia="Arial" w:cs="Arial"/>
          <w:noProof w:val="0"/>
          <w:color w:val="222222"/>
          <w:sz w:val="22"/>
          <w:szCs w:val="22"/>
          <w:lang w:val="en-GB"/>
        </w:rPr>
        <w:t>(9), pp.1832-1842.</w:t>
      </w:r>
    </w:p>
    <w:p xmlns:wp14="http://schemas.microsoft.com/office/word/2010/wordml" w:rsidP="3FCFB352" wp14:paraId="1AEDA151" wp14:textId="3A0B4BA7">
      <w:pPr>
        <w:spacing w:before="240" w:beforeAutospacing="off" w:after="240" w:afterAutospacing="off" w:line="330" w:lineRule="auto"/>
        <w:jc w:val="both"/>
      </w:pPr>
      <w:r w:rsidRPr="3FCFB352" w:rsidR="104E783E">
        <w:rPr>
          <w:rFonts w:ascii="Arial" w:hAnsi="Arial" w:eastAsia="Arial" w:cs="Arial"/>
          <w:noProof w:val="0"/>
          <w:color w:val="000000" w:themeColor="text1" w:themeTint="FF" w:themeShade="FF"/>
          <w:sz w:val="22"/>
          <w:szCs w:val="22"/>
          <w:lang w:val="en-GB"/>
        </w:rPr>
        <w:t>This study examined the relationship between adult attachment style and mental and physical well-being and life quality among elderly people aged 14 years and above. There is also secure attachment that leads to improved health, and insecure attachment styles, such as preoccupied and fearful, with poor mental health. The research showed that the patterns of attachments are fairly stable even in old age, and they affect well-being in the long run. It is directly connected with the Attachment Theory provided by Bowlby, because it elaborates on the part of attachment in the preservation of emotional control and human relations later in life.</w:t>
      </w:r>
    </w:p>
    <w:p xmlns:wp14="http://schemas.microsoft.com/office/word/2010/wordml" w:rsidP="3FCFB352" wp14:paraId="0A1A70A7" wp14:textId="17CFBDDA">
      <w:pPr>
        <w:spacing w:before="240" w:beforeAutospacing="off" w:after="240" w:afterAutospacing="off" w:line="330" w:lineRule="auto"/>
        <w:jc w:val="both"/>
      </w:pPr>
      <w:r w:rsidRPr="3FCFB352" w:rsidR="104E783E">
        <w:rPr>
          <w:rFonts w:ascii="Arial" w:hAnsi="Arial" w:eastAsia="Arial" w:cs="Arial"/>
          <w:noProof w:val="0"/>
          <w:color w:val="000000" w:themeColor="text1" w:themeTint="FF" w:themeShade="FF"/>
          <w:sz w:val="22"/>
          <w:szCs w:val="22"/>
          <w:lang w:val="en-GB"/>
        </w:rPr>
        <w:t xml:space="preserve">The study was helpful in explaining the way attachment influences the mental and physical health of older adults, especially </w:t>
      </w:r>
      <w:r w:rsidRPr="3FCFB352" w:rsidR="4205D81E">
        <w:rPr>
          <w:rFonts w:ascii="Arial" w:hAnsi="Arial" w:eastAsia="Arial" w:cs="Arial"/>
          <w:noProof w:val="0"/>
          <w:color w:val="000000" w:themeColor="text1" w:themeTint="FF" w:themeShade="FF"/>
          <w:sz w:val="22"/>
          <w:szCs w:val="22"/>
          <w:lang w:val="en-GB"/>
        </w:rPr>
        <w:t>regarding</w:t>
      </w:r>
      <w:r w:rsidRPr="3FCFB352" w:rsidR="104E783E">
        <w:rPr>
          <w:rFonts w:ascii="Arial" w:hAnsi="Arial" w:eastAsia="Arial" w:cs="Arial"/>
          <w:noProof w:val="0"/>
          <w:color w:val="000000" w:themeColor="text1" w:themeTint="FF" w:themeShade="FF"/>
          <w:sz w:val="22"/>
          <w:szCs w:val="22"/>
          <w:lang w:val="en-GB"/>
        </w:rPr>
        <w:t xml:space="preserve"> long-term stability. The large sample size and the duration of the follow-up of the study were a strength, as they gave substantial evidence on the role of attachment in aging. The limitations of the study, however, were the possibility of biases in the self-report measures and the inability to </w:t>
      </w:r>
      <w:r w:rsidRPr="3FCFB352" w:rsidR="104E783E">
        <w:rPr>
          <w:rFonts w:ascii="Arial" w:hAnsi="Arial" w:eastAsia="Arial" w:cs="Arial"/>
          <w:noProof w:val="0"/>
          <w:color w:val="000000" w:themeColor="text1" w:themeTint="FF" w:themeShade="FF"/>
          <w:sz w:val="22"/>
          <w:szCs w:val="22"/>
          <w:lang w:val="en-GB"/>
        </w:rPr>
        <w:t>ascertain</w:t>
      </w:r>
      <w:r w:rsidRPr="3FCFB352" w:rsidR="104E783E">
        <w:rPr>
          <w:rFonts w:ascii="Arial" w:hAnsi="Arial" w:eastAsia="Arial" w:cs="Arial"/>
          <w:noProof w:val="0"/>
          <w:color w:val="000000" w:themeColor="text1" w:themeTint="FF" w:themeShade="FF"/>
          <w:sz w:val="22"/>
          <w:szCs w:val="22"/>
          <w:lang w:val="en-GB"/>
        </w:rPr>
        <w:t xml:space="preserve"> causality. Irrespective of these limitations, it was very applicable to health and social care practice, especially in interventions that are aimed at the emotional well-being of older adults and relationship building in older adults' care environments.</w:t>
      </w:r>
    </w:p>
    <w:p xmlns:wp14="http://schemas.microsoft.com/office/word/2010/wordml" w:rsidP="71C92BFD" wp14:paraId="5FD903FF" wp14:textId="53942F7C">
      <w:pPr>
        <w:pStyle w:val="Heading3"/>
        <w:spacing w:before="40" w:beforeAutospacing="off" w:after="0" w:afterAutospacing="off" w:line="330" w:lineRule="auto"/>
        <w:jc w:val="both"/>
      </w:pPr>
      <w:r w:rsidRPr="71C92BFD" w:rsidR="75AA5FFF">
        <w:rPr>
          <w:rFonts w:ascii="Arial" w:hAnsi="Arial" w:eastAsia="Arial" w:cs="Arial"/>
          <w:b w:val="1"/>
          <w:bCs w:val="1"/>
          <w:i w:val="1"/>
          <w:iCs w:val="1"/>
          <w:noProof w:val="0"/>
          <w:color w:val="000000" w:themeColor="text1" w:themeTint="FF" w:themeShade="FF"/>
          <w:sz w:val="22"/>
          <w:szCs w:val="22"/>
          <w:lang w:val="en-GB"/>
        </w:rPr>
        <w:t>Source 2</w:t>
      </w:r>
    </w:p>
    <w:p xmlns:wp14="http://schemas.microsoft.com/office/word/2010/wordml" w:rsidP="71C92BFD" wp14:paraId="3B559C1C" wp14:textId="7F8BDEF0">
      <w:pPr>
        <w:pStyle w:val="Normal"/>
        <w:rPr>
          <w:noProof w:val="0"/>
          <w:lang w:val="en-GB"/>
        </w:rPr>
      </w:pPr>
    </w:p>
    <w:p xmlns:wp14="http://schemas.microsoft.com/office/word/2010/wordml" w:rsidP="3FCFB352" wp14:paraId="4CC8B540" wp14:textId="69605431">
      <w:pPr>
        <w:spacing w:before="0" w:beforeAutospacing="off" w:after="160" w:afterAutospacing="off" w:line="330" w:lineRule="auto"/>
        <w:jc w:val="both"/>
      </w:pPr>
      <w:r w:rsidRPr="71C92BFD" w:rsidR="32726331">
        <w:rPr>
          <w:rFonts w:ascii="Arial" w:hAnsi="Arial" w:eastAsia="Arial" w:cs="Arial"/>
          <w:noProof w:val="0"/>
          <w:color w:val="222222"/>
          <w:sz w:val="22"/>
          <w:szCs w:val="22"/>
          <w:lang w:val="en-GB"/>
        </w:rPr>
        <w:t xml:space="preserve">Jiang, S., 2025. An Applied Analysis of Piaget’s Theory in Cognitive Development and Educational Practice. </w:t>
      </w:r>
      <w:r w:rsidRPr="71C92BFD" w:rsidR="32726331">
        <w:rPr>
          <w:rFonts w:ascii="Arial" w:hAnsi="Arial" w:eastAsia="Arial" w:cs="Arial"/>
          <w:i w:val="1"/>
          <w:iCs w:val="1"/>
          <w:noProof w:val="0"/>
          <w:color w:val="222222"/>
          <w:sz w:val="22"/>
          <w:szCs w:val="22"/>
          <w:lang w:val="en-GB"/>
        </w:rPr>
        <w:t>Lecture Notes in Education Psychology and Public Media</w:t>
      </w:r>
      <w:r w:rsidRPr="71C92BFD" w:rsidR="32726331">
        <w:rPr>
          <w:rFonts w:ascii="Arial" w:hAnsi="Arial" w:eastAsia="Arial" w:cs="Arial"/>
          <w:noProof w:val="0"/>
          <w:color w:val="222222"/>
          <w:sz w:val="22"/>
          <w:szCs w:val="22"/>
          <w:lang w:val="en-GB"/>
        </w:rPr>
        <w:t xml:space="preserve">, </w:t>
      </w:r>
      <w:r w:rsidRPr="71C92BFD" w:rsidR="32726331">
        <w:rPr>
          <w:rFonts w:ascii="Arial" w:hAnsi="Arial" w:eastAsia="Arial" w:cs="Arial"/>
          <w:i w:val="1"/>
          <w:iCs w:val="1"/>
          <w:noProof w:val="0"/>
          <w:color w:val="222222"/>
          <w:sz w:val="22"/>
          <w:szCs w:val="22"/>
          <w:lang w:val="en-GB"/>
        </w:rPr>
        <w:t>111</w:t>
      </w:r>
      <w:r w:rsidRPr="71C92BFD" w:rsidR="32726331">
        <w:rPr>
          <w:rFonts w:ascii="Arial" w:hAnsi="Arial" w:eastAsia="Arial" w:cs="Arial"/>
          <w:noProof w:val="0"/>
          <w:color w:val="222222"/>
          <w:sz w:val="22"/>
          <w:szCs w:val="22"/>
          <w:lang w:val="en-GB"/>
        </w:rPr>
        <w:t>(1), pp.147-153.</w:t>
      </w:r>
    </w:p>
    <w:p xmlns:wp14="http://schemas.microsoft.com/office/word/2010/wordml" w:rsidP="3FCFB352" wp14:paraId="58F0C081" wp14:textId="60E7D024">
      <w:pPr>
        <w:spacing w:before="0" w:beforeAutospacing="off" w:after="160" w:afterAutospacing="off" w:line="330" w:lineRule="auto"/>
        <w:jc w:val="both"/>
      </w:pPr>
      <w:r w:rsidRPr="71C92BFD" w:rsidR="32726331">
        <w:rPr>
          <w:rFonts w:ascii="Arial" w:hAnsi="Arial" w:eastAsia="Arial" w:cs="Arial"/>
          <w:noProof w:val="0"/>
          <w:color w:val="000000" w:themeColor="text1" w:themeTint="FF" w:themeShade="FF"/>
          <w:sz w:val="22"/>
          <w:szCs w:val="22"/>
          <w:lang w:val="en-GB"/>
        </w:rPr>
        <w:t>This article took Piaget Cognitive Development Theory applied in education by connecting Piagetian concepts career stage of development, assimilation and accommodation to teaching strategies that are effective. It was proposed in the study that cognitive conflict and experiences of concrete nature can be used to enhance conceptual learning in the students. The results revealed that developmentally appropriate pedagogy proved to be more efficient in terms of developing critical thinking and problem-solving abilities across disciplines and the necessity to comprehend cognitive stages in the educational settings. The article was connected to the Piaget theory as it demonstrates that it aided contemporary educational activities and cognitive development during life.</w:t>
      </w:r>
    </w:p>
    <w:p xmlns:wp14="http://schemas.microsoft.com/office/word/2010/wordml" w:rsidP="3FCFB352" wp14:paraId="24F8FAFC" wp14:textId="711D0F60">
      <w:pPr>
        <w:spacing w:before="0" w:beforeAutospacing="off" w:after="160" w:afterAutospacing="off" w:line="330" w:lineRule="auto"/>
        <w:jc w:val="both"/>
      </w:pPr>
      <w:r w:rsidRPr="71C92BFD" w:rsidR="32726331">
        <w:rPr>
          <w:rFonts w:ascii="Arial" w:hAnsi="Arial" w:eastAsia="Arial" w:cs="Arial"/>
          <w:noProof w:val="0"/>
          <w:color w:val="000000" w:themeColor="text1" w:themeTint="FF" w:themeShade="FF"/>
          <w:sz w:val="22"/>
          <w:szCs w:val="22"/>
          <w:lang w:val="en-GB"/>
        </w:rPr>
        <w:t xml:space="preserve">This article was useful in its application to concrete educational settings </w:t>
      </w:r>
      <w:r w:rsidRPr="71C92BFD" w:rsidR="32726331">
        <w:rPr>
          <w:rFonts w:ascii="Arial" w:hAnsi="Arial" w:eastAsia="Arial" w:cs="Arial"/>
          <w:noProof w:val="0"/>
          <w:color w:val="000000" w:themeColor="text1" w:themeTint="FF" w:themeShade="FF"/>
          <w:sz w:val="22"/>
          <w:szCs w:val="22"/>
          <w:lang w:val="en-GB"/>
        </w:rPr>
        <w:t>in order to</w:t>
      </w:r>
      <w:r w:rsidRPr="71C92BFD" w:rsidR="32726331">
        <w:rPr>
          <w:rFonts w:ascii="Arial" w:hAnsi="Arial" w:eastAsia="Arial" w:cs="Arial"/>
          <w:noProof w:val="0"/>
          <w:color w:val="000000" w:themeColor="text1" w:themeTint="FF" w:themeShade="FF"/>
          <w:sz w:val="22"/>
          <w:szCs w:val="22"/>
          <w:lang w:val="en-GB"/>
        </w:rPr>
        <w:t xml:space="preserve"> understand how Piaget's theory can be applied to the teaching process through the application of the developmental stages. The study also had a strength in its practical implications as it </w:t>
      </w:r>
      <w:r w:rsidRPr="71C92BFD" w:rsidR="32726331">
        <w:rPr>
          <w:rFonts w:ascii="Arial" w:hAnsi="Arial" w:eastAsia="Arial" w:cs="Arial"/>
          <w:noProof w:val="0"/>
          <w:color w:val="000000" w:themeColor="text1" w:themeTint="FF" w:themeShade="FF"/>
          <w:sz w:val="22"/>
          <w:szCs w:val="22"/>
          <w:lang w:val="en-GB"/>
        </w:rPr>
        <w:t>provided</w:t>
      </w:r>
      <w:r w:rsidRPr="71C92BFD" w:rsidR="32726331">
        <w:rPr>
          <w:rFonts w:ascii="Arial" w:hAnsi="Arial" w:eastAsia="Arial" w:cs="Arial"/>
          <w:noProof w:val="0"/>
          <w:color w:val="000000" w:themeColor="text1" w:themeTint="FF" w:themeShade="FF"/>
          <w:sz w:val="22"/>
          <w:szCs w:val="22"/>
          <w:lang w:val="en-GB"/>
        </w:rPr>
        <w:t xml:space="preserve"> practical advice to the educators. The drawback was, however, that it is not focused on the older adults and therefore cannot be kept for the health and social care setting of the elderly. However, the article was still applicable to health and social care practice because it highlighted the cognitive processes that support lifelong learning and engagement, which are important in adult care and rehabilitation programs.</w:t>
      </w:r>
    </w:p>
    <w:p xmlns:wp14="http://schemas.microsoft.com/office/word/2010/wordml" w:rsidP="3FCFB352" wp14:paraId="5BD0B073" wp14:textId="1D9EE78A">
      <w:pPr>
        <w:pStyle w:val="Heading3"/>
        <w:spacing w:before="40" w:beforeAutospacing="off" w:after="0" w:afterAutospacing="off" w:line="330" w:lineRule="auto"/>
        <w:jc w:val="both"/>
      </w:pPr>
      <w:r w:rsidRPr="71C92BFD" w:rsidR="75AA5FFF">
        <w:rPr>
          <w:rFonts w:ascii="Arial" w:hAnsi="Arial" w:eastAsia="Arial" w:cs="Arial"/>
          <w:b w:val="1"/>
          <w:bCs w:val="1"/>
          <w:i w:val="1"/>
          <w:iCs w:val="1"/>
          <w:noProof w:val="0"/>
          <w:color w:val="000000" w:themeColor="text1" w:themeTint="FF" w:themeShade="FF"/>
          <w:sz w:val="22"/>
          <w:szCs w:val="22"/>
          <w:lang w:val="en-GB"/>
        </w:rPr>
        <w:t>Source 3</w:t>
      </w:r>
    </w:p>
    <w:p w:rsidR="71C92BFD" w:rsidP="71C92BFD" w:rsidRDefault="71C92BFD" w14:paraId="6C64F327" w14:textId="04827845">
      <w:pPr>
        <w:pStyle w:val="Normal"/>
        <w:spacing w:before="40" w:beforeAutospacing="off" w:after="0" w:afterAutospacing="off" w:line="330" w:lineRule="auto"/>
        <w:jc w:val="both"/>
        <w:rPr>
          <w:rFonts w:ascii="Arial" w:hAnsi="Arial" w:eastAsia="Arial" w:cs="Arial"/>
          <w:b w:val="1"/>
          <w:bCs w:val="1"/>
          <w:i w:val="1"/>
          <w:iCs w:val="1"/>
          <w:noProof w:val="0"/>
          <w:color w:val="000000" w:themeColor="text1" w:themeTint="FF" w:themeShade="FF"/>
          <w:sz w:val="22"/>
          <w:szCs w:val="22"/>
          <w:lang w:val="en-GB"/>
        </w:rPr>
      </w:pPr>
    </w:p>
    <w:p w:rsidR="3CEBBDE1" w:rsidP="71C92BFD" w:rsidRDefault="3CEBBDE1" w14:paraId="7E914FF9" w14:textId="666FE9E3">
      <w:pPr>
        <w:spacing w:before="240" w:beforeAutospacing="off" w:after="240" w:afterAutospacing="off"/>
        <w:jc w:val="both"/>
      </w:pPr>
      <w:r w:rsidRPr="71C92BFD" w:rsidR="3CEBBDE1">
        <w:rPr>
          <w:rFonts w:ascii="Arial" w:hAnsi="Arial" w:eastAsia="Arial" w:cs="Arial"/>
          <w:noProof w:val="0"/>
          <w:sz w:val="22"/>
          <w:szCs w:val="22"/>
          <w:lang w:val="en-GB"/>
        </w:rPr>
        <w:t xml:space="preserve">Teles, S. and Ribeiro, O. (2021) Activity Theory. In: Gu, D. and Dupre, M.E. (eds.) </w:t>
      </w:r>
      <w:r w:rsidRPr="71C92BFD" w:rsidR="3CEBBDE1">
        <w:rPr>
          <w:rFonts w:ascii="Arial" w:hAnsi="Arial" w:eastAsia="Arial" w:cs="Arial"/>
          <w:i w:val="1"/>
          <w:iCs w:val="1"/>
          <w:noProof w:val="0"/>
          <w:sz w:val="22"/>
          <w:szCs w:val="22"/>
          <w:lang w:val="en-GB"/>
        </w:rPr>
        <w:t>Encyclopedia of Gerontology and Population Aging</w:t>
      </w:r>
      <w:r w:rsidRPr="71C92BFD" w:rsidR="3CEBBDE1">
        <w:rPr>
          <w:rFonts w:ascii="Arial" w:hAnsi="Arial" w:eastAsia="Arial" w:cs="Arial"/>
          <w:noProof w:val="0"/>
          <w:sz w:val="22"/>
          <w:szCs w:val="22"/>
          <w:lang w:val="en-GB"/>
        </w:rPr>
        <w:t xml:space="preserve">. Cham: Springer. Available at: </w:t>
      </w:r>
      <w:hyperlink r:id="R7c60615d90dd424b">
        <w:r w:rsidRPr="71C92BFD" w:rsidR="3CEBBDE1">
          <w:rPr>
            <w:rStyle w:val="Hyperlink"/>
            <w:rFonts w:ascii="Arial" w:hAnsi="Arial" w:eastAsia="Arial" w:cs="Arial"/>
            <w:noProof w:val="0"/>
            <w:sz w:val="22"/>
            <w:szCs w:val="22"/>
            <w:lang w:val="en-GB"/>
          </w:rPr>
          <w:t>https://doi.org/10.1007/978-3-030-22009-9_748</w:t>
        </w:r>
      </w:hyperlink>
      <w:r w:rsidRPr="71C92BFD" w:rsidR="3CEBBDE1">
        <w:rPr>
          <w:rFonts w:ascii="Arial" w:hAnsi="Arial" w:eastAsia="Arial" w:cs="Arial"/>
          <w:noProof w:val="0"/>
          <w:sz w:val="22"/>
          <w:szCs w:val="22"/>
          <w:lang w:val="en-GB"/>
        </w:rPr>
        <w:t xml:space="preserve"> [Accessed 22 March 2026].</w:t>
      </w:r>
    </w:p>
    <w:p w:rsidR="3CEBBDE1" w:rsidP="71C92BFD" w:rsidRDefault="3CEBBDE1" w14:paraId="39F75A03" w14:textId="1D25AE50">
      <w:pPr>
        <w:spacing w:before="240" w:beforeAutospacing="off" w:after="240" w:afterAutospacing="off"/>
        <w:jc w:val="both"/>
      </w:pPr>
      <w:r w:rsidRPr="71C92BFD" w:rsidR="3CEBBDE1">
        <w:rPr>
          <w:rFonts w:ascii="Arial" w:hAnsi="Arial" w:eastAsia="Arial" w:cs="Arial"/>
          <w:noProof w:val="0"/>
          <w:sz w:val="22"/>
          <w:szCs w:val="22"/>
          <w:lang w:val="en-GB"/>
        </w:rPr>
        <w:t>This entry argues that "successful aging" is directly linked to an individual’s ability to remain active and maintain social interactions as they grow older. The authors explain that as people transition out of middle-age roles—such as retiring from work—they must replace these activities with new ones to maintain their well-being. A key finding is that high levels of social and physical participation help prevent feelings of isolation and maintain a positive self-image. The study relates directly to Activity Theory, defining it as a psychosocial framework where life satisfaction is achieved through staying busy. Overall, it suggests that being active is not just a hobby, but a core requirement for psychological health in later life.</w:t>
      </w:r>
    </w:p>
    <w:p w:rsidR="3CEBBDE1" w:rsidP="71C92BFD" w:rsidRDefault="3CEBBDE1" w14:paraId="4CFC507D" w14:textId="32417C9D">
      <w:pPr>
        <w:spacing w:before="240" w:beforeAutospacing="off" w:after="240" w:afterAutospacing="off"/>
        <w:jc w:val="both"/>
      </w:pPr>
      <w:r w:rsidRPr="71C92BFD" w:rsidR="3CEBBDE1">
        <w:rPr>
          <w:rFonts w:ascii="Arial" w:hAnsi="Arial" w:eastAsia="Arial" w:cs="Arial"/>
          <w:noProof w:val="0"/>
          <w:sz w:val="22"/>
          <w:szCs w:val="22"/>
          <w:lang w:val="en-GB"/>
        </w:rPr>
        <w:t xml:space="preserve">This source is highly useful for understanding older adults because it clarifies how social engagement acts as a protective factor against the negative effects of aging. A significant strength of this work is its credibility; being part of a 2021 encyclopedia, it provides an up-to-date and evidence-based overview of the theory. However, a limitation is that the theory may be considered "normative," meaning it assumes all older adults </w:t>
      </w:r>
      <w:r w:rsidRPr="71C92BFD" w:rsidR="3CEBBDE1">
        <w:rPr>
          <w:rFonts w:ascii="Arial" w:hAnsi="Arial" w:eastAsia="Arial" w:cs="Arial"/>
          <w:i w:val="1"/>
          <w:iCs w:val="1"/>
          <w:noProof w:val="0"/>
          <w:sz w:val="22"/>
          <w:szCs w:val="22"/>
          <w:lang w:val="en-GB"/>
        </w:rPr>
        <w:t>should</w:t>
      </w:r>
      <w:r w:rsidRPr="71C92BFD" w:rsidR="3CEBBDE1">
        <w:rPr>
          <w:rFonts w:ascii="Arial" w:hAnsi="Arial" w:eastAsia="Arial" w:cs="Arial"/>
          <w:noProof w:val="0"/>
          <w:sz w:val="22"/>
          <w:szCs w:val="22"/>
          <w:lang w:val="en-GB"/>
        </w:rPr>
        <w:t xml:space="preserve"> be active to be happy, which may not account for those with chronic illnesses or those who prefer a quieter lifestyle. For health and social care practice, this study is very relevant as it supports the shift toward "person-centered care" that encourages residents to stay involved in community life. It serves as a reminder for practitioners that providing activities is just as important as providing medical physical care.</w:t>
      </w:r>
    </w:p>
    <w:p w:rsidR="71C92BFD" w:rsidP="71C92BFD" w:rsidRDefault="71C92BFD" w14:paraId="3054ABB0" w14:textId="13012DE1">
      <w:pPr>
        <w:pStyle w:val="Heading3"/>
        <w:rPr>
          <w:noProof w:val="0"/>
          <w:lang w:val="en-GB"/>
        </w:rPr>
      </w:pPr>
    </w:p>
    <w:p xmlns:wp14="http://schemas.microsoft.com/office/word/2010/wordml" w:rsidP="3FCFB352" wp14:paraId="761D51C6" wp14:textId="3FD4A60F">
      <w:pPr>
        <w:pStyle w:val="Heading3"/>
        <w:spacing w:before="40" w:beforeAutospacing="off" w:after="0" w:afterAutospacing="off" w:line="330" w:lineRule="auto"/>
        <w:jc w:val="both"/>
      </w:pPr>
      <w:r w:rsidRPr="3FCFB352" w:rsidR="104E783E">
        <w:rPr>
          <w:rFonts w:ascii="Arial" w:hAnsi="Arial" w:eastAsia="Arial" w:cs="Arial"/>
          <w:b w:val="1"/>
          <w:bCs w:val="1"/>
          <w:i w:val="1"/>
          <w:iCs w:val="1"/>
          <w:noProof w:val="0"/>
          <w:color w:val="000000" w:themeColor="text1" w:themeTint="FF" w:themeShade="FF"/>
          <w:sz w:val="22"/>
          <w:szCs w:val="22"/>
          <w:lang w:val="en-GB"/>
        </w:rPr>
        <w:t>Source 4</w:t>
      </w:r>
    </w:p>
    <w:p xmlns:wp14="http://schemas.microsoft.com/office/word/2010/wordml" w:rsidP="3FCFB352" wp14:paraId="1EBB341C" wp14:textId="5B6BA4BE">
      <w:pPr>
        <w:pStyle w:val="Normal"/>
        <w:rPr>
          <w:noProof w:val="0"/>
          <w:lang w:val="en-GB"/>
        </w:rPr>
      </w:pPr>
    </w:p>
    <w:p xmlns:wp14="http://schemas.microsoft.com/office/word/2010/wordml" w:rsidP="71C92BFD" wp14:paraId="1A3E6043" wp14:textId="1CCC986F">
      <w:pPr>
        <w:spacing w:before="240" w:beforeAutospacing="off" w:after="240" w:afterAutospacing="off"/>
      </w:pPr>
      <w:r w:rsidRPr="71C92BFD" w:rsidR="1E4206D0">
        <w:rPr>
          <w:rFonts w:ascii="Aptos" w:hAnsi="Aptos" w:eastAsia="Aptos" w:cs="Aptos"/>
          <w:noProof w:val="0"/>
          <w:sz w:val="24"/>
          <w:szCs w:val="24"/>
          <w:lang w:val="en-GB"/>
        </w:rPr>
        <w:t xml:space="preserve">Asiamah, N. (2017) 'Social engagement and physical activity: Commentary on why the activity and disengagement theories of ageing may both be valid', </w:t>
      </w:r>
      <w:r w:rsidRPr="71C92BFD" w:rsidR="1E4206D0">
        <w:rPr>
          <w:rFonts w:ascii="Aptos" w:hAnsi="Aptos" w:eastAsia="Aptos" w:cs="Aptos"/>
          <w:i w:val="1"/>
          <w:iCs w:val="1"/>
          <w:noProof w:val="0"/>
          <w:sz w:val="24"/>
          <w:szCs w:val="24"/>
          <w:lang w:val="en-GB"/>
        </w:rPr>
        <w:t>Cogent Medicine</w:t>
      </w:r>
      <w:r w:rsidRPr="71C92BFD" w:rsidR="1E4206D0">
        <w:rPr>
          <w:rFonts w:ascii="Aptos" w:hAnsi="Aptos" w:eastAsia="Aptos" w:cs="Aptos"/>
          <w:noProof w:val="0"/>
          <w:sz w:val="24"/>
          <w:szCs w:val="24"/>
          <w:lang w:val="en-GB"/>
        </w:rPr>
        <w:t xml:space="preserve">, 4(1), 1289664. Available at: </w:t>
      </w:r>
      <w:hyperlink r:id="Rc6d19295e4834c80">
        <w:r w:rsidRPr="71C92BFD" w:rsidR="1E4206D0">
          <w:rPr>
            <w:rStyle w:val="Hyperlink"/>
            <w:rFonts w:ascii="Aptos" w:hAnsi="Aptos" w:eastAsia="Aptos" w:cs="Aptos"/>
            <w:noProof w:val="0"/>
            <w:sz w:val="24"/>
            <w:szCs w:val="24"/>
            <w:lang w:val="en-GB"/>
          </w:rPr>
          <w:t>https://doi.org/10.1080/2331205X.2017.1289664</w:t>
        </w:r>
      </w:hyperlink>
      <w:r w:rsidRPr="71C92BFD" w:rsidR="1E4206D0">
        <w:rPr>
          <w:rFonts w:ascii="Aptos" w:hAnsi="Aptos" w:eastAsia="Aptos" w:cs="Aptos"/>
          <w:noProof w:val="0"/>
          <w:sz w:val="24"/>
          <w:szCs w:val="24"/>
          <w:lang w:val="en-GB"/>
        </w:rPr>
        <w:t xml:space="preserve"> (Accessed: 23 March 2026).</w:t>
      </w:r>
    </w:p>
    <w:p xmlns:wp14="http://schemas.microsoft.com/office/word/2010/wordml" w:rsidP="71C92BFD" wp14:paraId="7F6FE225" wp14:textId="63F66E68">
      <w:pPr>
        <w:spacing w:before="240" w:beforeAutospacing="off" w:after="240" w:afterAutospacing="off"/>
      </w:pPr>
      <w:r w:rsidRPr="71C92BFD" w:rsidR="1E4206D0">
        <w:rPr>
          <w:rFonts w:ascii="Aptos" w:hAnsi="Aptos" w:eastAsia="Aptos" w:cs="Aptos"/>
          <w:noProof w:val="0"/>
          <w:sz w:val="24"/>
          <w:szCs w:val="24"/>
          <w:lang w:val="en-GB"/>
        </w:rPr>
        <w:t>This article explores the connection between older adults' social activities and their physical health as they age. The author argues that taking a step back from certain social roles is a normal part of ageing, but these roles should be replaced with healthier, more active routines. A key finding is that stepping away from busy social demands and staying physically active can happen at the same time to support overall wellbeing. The study directly relates to two major ideas in sociology: the Disengagement Theory and the Activity Theory of ageing. Ultimately, it suggests that these two theories do not have to contradict each other, as both explain different but equally important parts of the ageing process.</w:t>
      </w:r>
    </w:p>
    <w:p xmlns:wp14="http://schemas.microsoft.com/office/word/2010/wordml" w:rsidP="3FCFB352" wp14:paraId="50857A5C" wp14:textId="6328E575">
      <w:pPr>
        <w:pStyle w:val="Normal"/>
      </w:pPr>
      <w:r w:rsidRPr="71C92BFD" w:rsidR="1E4206D0">
        <w:rPr>
          <w:rFonts w:ascii="Aptos" w:hAnsi="Aptos" w:eastAsia="Aptos" w:cs="Aptos"/>
          <w:noProof w:val="0"/>
          <w:sz w:val="24"/>
          <w:szCs w:val="24"/>
          <w:lang w:val="en-GB"/>
        </w:rPr>
        <w:t>This paper is highly useful for understanding older adults because it offers a balanced view of how their social and physical needs naturally change over time. A major strength of the article is its clear logic, successfully bringing together two theories that are normally seen as complete opposites. However, a limitation is that it is a commentary rather than an experiment with new data, meaning it relies heavily on past research rather than fresh evidence. Despite this, it is very relevant to health and social care practice because it teaches professionals to respect an older person's need for rest while still encouraging safe physical movement. By applying this balanced approach, care workers can create better, more personalized care plans that support both mental and physical health.</w:t>
      </w:r>
    </w:p>
    <w:p xmlns:wp14="http://schemas.microsoft.com/office/word/2010/wordml" w:rsidP="3FCFB352" wp14:paraId="5162B439" wp14:textId="53CD584D">
      <w:pPr>
        <w:pStyle w:val="Normal"/>
        <w:rPr>
          <w:noProof w:val="0"/>
          <w:lang w:val="en-GB"/>
        </w:rPr>
      </w:pPr>
    </w:p>
    <w:p xmlns:wp14="http://schemas.microsoft.com/office/word/2010/wordml" w:rsidP="3FCFB352" wp14:paraId="48E4506A" wp14:textId="6F9A3492">
      <w:pPr>
        <w:spacing w:before="0" w:beforeAutospacing="off" w:after="160" w:afterAutospacing="off" w:line="330" w:lineRule="auto"/>
        <w:jc w:val="both"/>
      </w:pPr>
      <w:r w:rsidRPr="3FCFB352" w:rsidR="104E783E">
        <w:rPr>
          <w:rFonts w:ascii="Arial" w:hAnsi="Arial" w:eastAsia="Arial" w:cs="Arial"/>
          <w:noProof w:val="0"/>
          <w:color w:val="000000" w:themeColor="text1" w:themeTint="FF" w:themeShade="FF"/>
          <w:sz w:val="22"/>
          <w:szCs w:val="22"/>
          <w:lang w:val="en-GB"/>
        </w:rPr>
        <w:t xml:space="preserve"> </w:t>
      </w:r>
    </w:p>
    <w:p xmlns:wp14="http://schemas.microsoft.com/office/word/2010/wordml" w:rsidP="3FCFB352" wp14:paraId="094F57FA" wp14:textId="6372E8B5">
      <w:pPr>
        <w:spacing w:line="330" w:lineRule="auto"/>
      </w:pPr>
    </w:p>
    <w:p xmlns:wp14="http://schemas.microsoft.com/office/word/2010/wordml" w:rsidP="3FCFB352" wp14:paraId="4584FA6D" wp14:textId="648ACE64">
      <w:pPr>
        <w:spacing w:before="0" w:beforeAutospacing="off" w:after="160" w:afterAutospacing="off" w:line="330" w:lineRule="auto"/>
        <w:jc w:val="left"/>
      </w:pPr>
      <w:r w:rsidRPr="3FCFB352" w:rsidR="104E783E">
        <w:rPr>
          <w:rFonts w:ascii="Arial" w:hAnsi="Arial" w:eastAsia="Arial" w:cs="Arial"/>
          <w:b w:val="1"/>
          <w:bCs w:val="1"/>
          <w:noProof w:val="0"/>
          <w:color w:val="000000" w:themeColor="text1" w:themeTint="FF" w:themeShade="FF"/>
          <w:sz w:val="22"/>
          <w:szCs w:val="22"/>
          <w:lang w:val="en-GB"/>
        </w:rPr>
        <w:t xml:space="preserve"> </w:t>
      </w:r>
    </w:p>
    <w:p xmlns:wp14="http://schemas.microsoft.com/office/word/2010/wordml" w:rsidP="3FCFB352" wp14:paraId="31ACC6D9" wp14:textId="3C061008">
      <w:pPr>
        <w:pStyle w:val="Heading1"/>
        <w:spacing w:before="240" w:beforeAutospacing="off" w:after="0" w:afterAutospacing="off" w:line="330" w:lineRule="auto"/>
        <w:jc w:val="center"/>
      </w:pPr>
      <w:r w:rsidRPr="3FCFB352" w:rsidR="104E783E">
        <w:rPr>
          <w:rFonts w:ascii="Arial" w:hAnsi="Arial" w:eastAsia="Arial" w:cs="Arial"/>
          <w:b w:val="1"/>
          <w:bCs w:val="1"/>
          <w:noProof w:val="0"/>
          <w:color w:val="000000" w:themeColor="text1" w:themeTint="FF" w:themeShade="FF"/>
          <w:sz w:val="22"/>
          <w:szCs w:val="22"/>
          <w:lang w:val="en-GB"/>
        </w:rPr>
        <w:t>Part B</w:t>
      </w:r>
    </w:p>
    <w:p xmlns:wp14="http://schemas.microsoft.com/office/word/2010/wordml" w:rsidP="3FCFB352" wp14:paraId="67EADCDF" wp14:textId="40A75A66">
      <w:pPr>
        <w:pStyle w:val="Heading2"/>
        <w:spacing w:before="40" w:beforeAutospacing="off" w:after="0" w:afterAutospacing="off" w:line="330" w:lineRule="auto"/>
      </w:pPr>
      <w:r w:rsidRPr="3FCFB352" w:rsidR="104E783E">
        <w:rPr>
          <w:rFonts w:ascii="Arial" w:hAnsi="Arial" w:eastAsia="Arial" w:cs="Arial"/>
          <w:b w:val="1"/>
          <w:bCs w:val="1"/>
          <w:noProof w:val="0"/>
          <w:color w:val="000000" w:themeColor="text1" w:themeTint="FF" w:themeShade="FF"/>
          <w:sz w:val="22"/>
          <w:szCs w:val="22"/>
          <w:lang w:val="en-GB"/>
        </w:rPr>
        <w:t>Introduction</w:t>
      </w:r>
    </w:p>
    <w:p xmlns:wp14="http://schemas.microsoft.com/office/word/2010/wordml" w:rsidP="3FCFB352" wp14:paraId="224EBC0C" wp14:textId="49BDDE1D">
      <w:pPr>
        <w:spacing w:before="240" w:beforeAutospacing="off" w:after="240" w:afterAutospacing="off" w:line="330" w:lineRule="auto"/>
        <w:ind w:firstLine="720"/>
        <w:jc w:val="both"/>
      </w:pPr>
      <w:r w:rsidRPr="3FCFB352" w:rsidR="104E783E">
        <w:rPr>
          <w:rFonts w:ascii="Arial" w:hAnsi="Arial" w:eastAsia="Arial" w:cs="Arial"/>
          <w:noProof w:val="0"/>
          <w:color w:val="000000" w:themeColor="text1" w:themeTint="FF" w:themeShade="FF"/>
          <w:sz w:val="22"/>
          <w:szCs w:val="22"/>
          <w:lang w:val="en-GB"/>
        </w:rPr>
        <w:t xml:space="preserve">The mental health of older adults at residential care centres is based on the sense of emotional safety and supportive relationships. The Attachment Theory by Bowlby emphasised the bonds throughout a lifetime and the necessity of a safe base, even in adulthood (Rodway and Spencer, 2025). The relevance of the theory to the well-being of older adults in care homes will be described in this report, and practical applications that could be used to improve relational care will be discussed. </w:t>
      </w:r>
    </w:p>
    <w:p xmlns:wp14="http://schemas.microsoft.com/office/word/2010/wordml" w:rsidP="3FCFB352" wp14:paraId="22B1919D" wp14:textId="13EA0090">
      <w:pPr>
        <w:pStyle w:val="Heading2"/>
        <w:spacing w:before="40" w:beforeAutospacing="off" w:after="0" w:afterAutospacing="off" w:line="330" w:lineRule="auto"/>
      </w:pPr>
      <w:r w:rsidRPr="3FCFB352" w:rsidR="104E783E">
        <w:rPr>
          <w:rFonts w:ascii="Arial" w:hAnsi="Arial" w:eastAsia="Arial" w:cs="Arial"/>
          <w:b w:val="1"/>
          <w:bCs w:val="1"/>
          <w:noProof w:val="0"/>
          <w:color w:val="000000" w:themeColor="text1" w:themeTint="FF" w:themeShade="FF"/>
          <w:sz w:val="22"/>
          <w:szCs w:val="22"/>
          <w:lang w:val="en-GB"/>
        </w:rPr>
        <w:t>Theory and Well-being</w:t>
      </w:r>
    </w:p>
    <w:p xmlns:wp14="http://schemas.microsoft.com/office/word/2010/wordml" w:rsidP="3FCFB352" wp14:paraId="4F14CC3A" wp14:textId="08CDD351">
      <w:pPr>
        <w:spacing w:before="0" w:beforeAutospacing="off" w:after="160" w:afterAutospacing="off" w:line="330" w:lineRule="auto"/>
        <w:ind w:firstLine="720"/>
        <w:jc w:val="both"/>
      </w:pPr>
      <w:r w:rsidRPr="3FCFB352" w:rsidR="104E783E">
        <w:rPr>
          <w:rFonts w:ascii="Arial" w:hAnsi="Arial" w:eastAsia="Arial" w:cs="Arial"/>
          <w:noProof w:val="0"/>
          <w:color w:val="000000" w:themeColor="text1" w:themeTint="FF" w:themeShade="FF"/>
          <w:sz w:val="22"/>
          <w:szCs w:val="22"/>
          <w:lang w:val="en-GB"/>
        </w:rPr>
        <w:t>The Attachment Theory proposed by Bowlby held that early attachment relationships generated internal working models that influenced expectations of relationships in life. The models affect emotional regulation, trust, as well as coping mechanisms, and are lifelong relevant, even in old adulthood (Rodway and Spencer, 2025). In residential settings, the presence of a secure attachment was shown to promote emotional well-being, trust among caregivers, and resiliency. An insecure attachment has been associated with anxiety and avoidance, as Platts et al. (2023) demonstrated that people with a secure attachment are more positive about mental and physical health compared to people with an insecure attachment. Secure attachment in care homes provides emotional security and enhances the quality of relationships and coping skills. Besides, Humphreys et al. (2022) argued that distress reduction, trust development, and positive interactions could be accomplished by the responsiveness and recognition of attachment needs by the caregiver. Attachment theory can therefore be applied to assist positive emotional adjustment to the old adults to enhance their quality of life in residential facilities.</w:t>
      </w:r>
    </w:p>
    <w:p xmlns:wp14="http://schemas.microsoft.com/office/word/2010/wordml" w:rsidP="3FCFB352" wp14:paraId="5E58E9F8" wp14:textId="5A0E1F9A">
      <w:pPr>
        <w:spacing w:before="0" w:beforeAutospacing="off" w:after="160" w:afterAutospacing="off" w:line="330" w:lineRule="auto"/>
        <w:ind w:firstLine="720"/>
        <w:jc w:val="both"/>
      </w:pPr>
      <w:r w:rsidRPr="71C92BFD" w:rsidR="75AA5FFF">
        <w:rPr>
          <w:rFonts w:ascii="Arial" w:hAnsi="Arial" w:eastAsia="Arial" w:cs="Arial"/>
          <w:noProof w:val="0"/>
          <w:color w:val="000000" w:themeColor="text1" w:themeTint="FF" w:themeShade="FF"/>
          <w:sz w:val="22"/>
          <w:szCs w:val="22"/>
          <w:lang w:val="en-GB"/>
        </w:rPr>
        <w:t xml:space="preserve"> </w:t>
      </w:r>
    </w:p>
    <w:p xmlns:wp14="http://schemas.microsoft.com/office/word/2010/wordml" w:rsidP="71C92BFD" wp14:paraId="4AACF591" wp14:textId="4A489E7E">
      <w:pPr>
        <w:pStyle w:val="Heading3"/>
        <w:spacing w:before="0" w:beforeAutospacing="off" w:after="281" w:afterAutospacing="off" w:line="330" w:lineRule="auto"/>
      </w:pPr>
      <w:r w:rsidRPr="71C92BFD" w:rsidR="617F6F3F">
        <w:rPr>
          <w:rFonts w:ascii="Aptos" w:hAnsi="Aptos" w:eastAsia="Aptos" w:cs="Aptos"/>
          <w:b w:val="1"/>
          <w:bCs w:val="1"/>
          <w:noProof w:val="0"/>
          <w:sz w:val="24"/>
          <w:szCs w:val="24"/>
          <w:lang w:val="en-GB"/>
        </w:rPr>
        <w:t>Application to Residential Care</w:t>
      </w:r>
    </w:p>
    <w:p xmlns:wp14="http://schemas.microsoft.com/office/word/2010/wordml" w:rsidP="71C92BFD" wp14:paraId="52B756BB" wp14:textId="0C584CF1">
      <w:pPr>
        <w:spacing w:before="240" w:beforeAutospacing="off" w:after="240" w:afterAutospacing="off" w:line="330" w:lineRule="auto"/>
      </w:pPr>
      <w:r w:rsidRPr="71C92BFD" w:rsidR="617F6F3F">
        <w:rPr>
          <w:rFonts w:ascii="Aptos" w:hAnsi="Aptos" w:eastAsia="Aptos" w:cs="Aptos"/>
          <w:noProof w:val="0"/>
          <w:sz w:val="24"/>
          <w:szCs w:val="24"/>
          <w:lang w:val="en-GB"/>
        </w:rPr>
        <w:t xml:space="preserve">Applying Attachment Theory to residential care requires a shift from purely task-oriented nursing to relational care. By acting as a "secure base," caregivers can significantly improve the emotional wellbeing of older adults who are navigating the </w:t>
      </w:r>
      <w:r w:rsidRPr="71C92BFD" w:rsidR="090566BF">
        <w:rPr>
          <w:rFonts w:ascii="Aptos" w:hAnsi="Aptos" w:eastAsia="Aptos" w:cs="Aptos"/>
          <w:noProof w:val="0"/>
          <w:sz w:val="24"/>
          <w:szCs w:val="24"/>
          <w:lang w:val="en-GB"/>
        </w:rPr>
        <w:t>often-distressing</w:t>
      </w:r>
      <w:r w:rsidRPr="71C92BFD" w:rsidR="617F6F3F">
        <w:rPr>
          <w:rFonts w:ascii="Aptos" w:hAnsi="Aptos" w:eastAsia="Aptos" w:cs="Aptos"/>
          <w:noProof w:val="0"/>
          <w:sz w:val="24"/>
          <w:szCs w:val="24"/>
          <w:lang w:val="en-GB"/>
        </w:rPr>
        <w:t xml:space="preserve"> transition into a care facility.</w:t>
      </w:r>
    </w:p>
    <w:p xmlns:wp14="http://schemas.microsoft.com/office/word/2010/wordml" w:rsidP="71C92BFD" wp14:paraId="1DAF689C" wp14:textId="35BFA9F7">
      <w:pPr>
        <w:spacing w:before="240" w:beforeAutospacing="off" w:after="240" w:afterAutospacing="off" w:line="330" w:lineRule="auto"/>
      </w:pPr>
      <w:r w:rsidRPr="71C92BFD" w:rsidR="617F6F3F">
        <w:rPr>
          <w:rFonts w:ascii="Aptos" w:hAnsi="Aptos" w:eastAsia="Aptos" w:cs="Aptos"/>
          <w:noProof w:val="0"/>
          <w:sz w:val="24"/>
          <w:szCs w:val="24"/>
          <w:lang w:val="en-GB"/>
        </w:rPr>
        <w:t>Practical strategies to foster this secure base include implementing a robust "key worker" system. By consistently pairing a resident with the same core staff members, care homes can build the predictability and trust necessary for a secure attachment to form. Furthermore, caregivers can support residents by validating their lifelong attachments. This can be achieved through reminiscence therapy, displaying familiar photographs, and actively facilitating regular contact with family members. Recognizing individual attachment styles also allows staff to tailor their approach; for example, a resident with an avoidant attachment style may require more personal space and gradual trust-building, whereas an anxious resident may need frequent, proactive reassurance.</w:t>
      </w:r>
    </w:p>
    <w:p xmlns:wp14="http://schemas.microsoft.com/office/word/2010/wordml" w:rsidP="71C92BFD" wp14:paraId="3780EC10" wp14:textId="207D2573">
      <w:pPr>
        <w:spacing w:before="240" w:beforeAutospacing="off" w:after="240" w:afterAutospacing="off" w:line="330" w:lineRule="auto"/>
      </w:pPr>
      <w:r w:rsidRPr="71C92BFD" w:rsidR="617F6F3F">
        <w:rPr>
          <w:rFonts w:ascii="Aptos" w:hAnsi="Aptos" w:eastAsia="Aptos" w:cs="Aptos"/>
          <w:b w:val="1"/>
          <w:bCs w:val="1"/>
          <w:noProof w:val="0"/>
          <w:sz w:val="24"/>
          <w:szCs w:val="24"/>
          <w:lang w:val="en-GB"/>
        </w:rPr>
        <w:t>Case Scenario:</w:t>
      </w:r>
      <w:r w:rsidRPr="71C92BFD" w:rsidR="617F6F3F">
        <w:rPr>
          <w:rFonts w:ascii="Aptos" w:hAnsi="Aptos" w:eastAsia="Aptos" w:cs="Aptos"/>
          <w:noProof w:val="0"/>
          <w:sz w:val="24"/>
          <w:szCs w:val="24"/>
          <w:lang w:val="en-GB"/>
        </w:rPr>
        <w:t xml:space="preserve"> Consider Arthur, an 82-year-old who recently moved into a care facility. Initially, Arthur displayed anxious attachment behaviours—frequently using his call bell and becoming highly distressed when staff left his room. Rather than labelling him as "demanding," the staff recognized this as an attachment-seeking response to a frightening new environment. They assigned two primary key workers to Arthur and scheduled predictable, reassuring check-ins </w:t>
      </w:r>
      <w:r w:rsidRPr="71C92BFD" w:rsidR="617F6F3F">
        <w:rPr>
          <w:rFonts w:ascii="Aptos" w:hAnsi="Aptos" w:eastAsia="Aptos" w:cs="Aptos"/>
          <w:i w:val="1"/>
          <w:iCs w:val="1"/>
          <w:noProof w:val="0"/>
          <w:sz w:val="24"/>
          <w:szCs w:val="24"/>
          <w:lang w:val="en-GB"/>
        </w:rPr>
        <w:t>before</w:t>
      </w:r>
      <w:r w:rsidRPr="71C92BFD" w:rsidR="617F6F3F">
        <w:rPr>
          <w:rFonts w:ascii="Aptos" w:hAnsi="Aptos" w:eastAsia="Aptos" w:cs="Aptos"/>
          <w:noProof w:val="0"/>
          <w:sz w:val="24"/>
          <w:szCs w:val="24"/>
          <w:lang w:val="en-GB"/>
        </w:rPr>
        <w:t xml:space="preserve"> he felt the need to ring his bell. Over a few weeks, this consistent and responsive caregiving established a new secure base. Arthur’s anxiety decreased, and he began confidently participating in communal activities, demonstrating how attachment-informed care directly enhances quality of life.</w:t>
      </w:r>
    </w:p>
    <w:p xmlns:wp14="http://schemas.microsoft.com/office/word/2010/wordml" w:rsidP="71C92BFD" wp14:paraId="42DE4231" wp14:textId="773E748E">
      <w:pPr>
        <w:pStyle w:val="Heading3"/>
        <w:spacing w:before="281" w:beforeAutospacing="off" w:after="281" w:afterAutospacing="off" w:line="330" w:lineRule="auto"/>
      </w:pPr>
      <w:r w:rsidRPr="71C92BFD" w:rsidR="617F6F3F">
        <w:rPr>
          <w:rFonts w:ascii="Aptos" w:hAnsi="Aptos" w:eastAsia="Aptos" w:cs="Aptos"/>
          <w:b w:val="1"/>
          <w:bCs w:val="1"/>
          <w:noProof w:val="0"/>
          <w:sz w:val="24"/>
          <w:szCs w:val="24"/>
          <w:lang w:val="en-GB"/>
        </w:rPr>
        <w:t>Challenge &amp; Strategy</w:t>
      </w:r>
    </w:p>
    <w:p xmlns:wp14="http://schemas.microsoft.com/office/word/2010/wordml" w:rsidP="71C92BFD" wp14:paraId="433A2DA4" wp14:textId="31C870DF">
      <w:pPr>
        <w:spacing w:before="240" w:beforeAutospacing="off" w:after="240" w:afterAutospacing="off" w:line="330" w:lineRule="auto"/>
      </w:pPr>
      <w:r w:rsidRPr="71C92BFD" w:rsidR="617F6F3F">
        <w:rPr>
          <w:rFonts w:ascii="Aptos" w:hAnsi="Aptos" w:eastAsia="Aptos" w:cs="Aptos"/>
          <w:noProof w:val="0"/>
          <w:sz w:val="24"/>
          <w:szCs w:val="24"/>
          <w:lang w:val="en-GB"/>
        </w:rPr>
        <w:t>A significant, realistic challenge in applying Attachment Theory within residential care is high staff turnover and inconsistent shift patterns. When staffing is erratic, it is incredibly difficult for older adults to form the reliable, trusting bonds required to establish a secure base. This instability can trigger attachment anxiety, leading to distress and withdrawn behaviour.</w:t>
      </w:r>
    </w:p>
    <w:p xmlns:wp14="http://schemas.microsoft.com/office/word/2010/wordml" w:rsidP="71C92BFD" wp14:paraId="1FCA049F" wp14:textId="2713E4BD">
      <w:pPr>
        <w:spacing w:before="240" w:beforeAutospacing="off" w:after="240" w:afterAutospacing="off" w:line="330" w:lineRule="auto"/>
      </w:pPr>
      <w:r w:rsidRPr="71C92BFD" w:rsidR="617F6F3F">
        <w:rPr>
          <w:rFonts w:ascii="Aptos" w:hAnsi="Aptos" w:eastAsia="Aptos" w:cs="Aptos"/>
          <w:noProof w:val="0"/>
          <w:sz w:val="24"/>
          <w:szCs w:val="24"/>
          <w:lang w:val="en-GB"/>
        </w:rPr>
        <w:t>An evidence-based strategy to overcome this obstacle is utilizing a "team-based attachment" approach, supported by routine relational training for all staff. Instead of relying solely on one key worker, the entire care team is trained in attachment-informed practices so that the care environment itself becomes the secure base. By maintaining highly consistent daily routines, communicating residents' specific emotional needs clearly during shift handovers, and ensuring a uniformly warm approach, care homes can mitigate the disruption caused by individual staff changes.</w:t>
      </w:r>
    </w:p>
    <w:p xmlns:wp14="http://schemas.microsoft.com/office/word/2010/wordml" w:rsidP="71C92BFD" wp14:paraId="12C3458B" wp14:textId="0E6E3D19">
      <w:pPr>
        <w:pStyle w:val="Heading3"/>
        <w:spacing w:before="281" w:beforeAutospacing="off" w:after="281" w:afterAutospacing="off" w:line="330" w:lineRule="auto"/>
      </w:pPr>
      <w:r w:rsidRPr="71C92BFD" w:rsidR="617F6F3F">
        <w:rPr>
          <w:rFonts w:ascii="Aptos" w:hAnsi="Aptos" w:eastAsia="Aptos" w:cs="Aptos"/>
          <w:b w:val="1"/>
          <w:bCs w:val="1"/>
          <w:noProof w:val="0"/>
          <w:sz w:val="24"/>
          <w:szCs w:val="24"/>
          <w:lang w:val="en-GB"/>
        </w:rPr>
        <w:t>Conclusion</w:t>
      </w:r>
    </w:p>
    <w:p xmlns:wp14="http://schemas.microsoft.com/office/word/2010/wordml" w:rsidP="71C92BFD" wp14:paraId="26621B88" wp14:textId="07940535">
      <w:pPr>
        <w:spacing w:before="240" w:beforeAutospacing="off" w:after="240" w:afterAutospacing="off" w:line="330" w:lineRule="auto"/>
      </w:pPr>
      <w:r w:rsidRPr="71C92BFD" w:rsidR="617F6F3F">
        <w:rPr>
          <w:rFonts w:ascii="Aptos" w:hAnsi="Aptos" w:eastAsia="Aptos" w:cs="Aptos"/>
          <w:noProof w:val="0"/>
          <w:sz w:val="24"/>
          <w:szCs w:val="24"/>
          <w:lang w:val="en-GB"/>
        </w:rPr>
        <w:t>In conclusion, applying Attachment Theory in residential settings highlights that our fundamental need for a secure base does not diminish with age. By prioritizing consistent, responsive relationships and attachment-informed care, practitioners can significantly reduce resident anxiety, build resilience, and profoundly enhance the overall quality of life for older adults.</w:t>
      </w:r>
    </w:p>
    <w:p xmlns:wp14="http://schemas.microsoft.com/office/word/2010/wordml" w:rsidP="3FCFB352" wp14:paraId="6DD1F812" wp14:textId="56775C10">
      <w:pPr>
        <w:spacing w:line="330" w:lineRule="auto"/>
      </w:pPr>
    </w:p>
    <w:p xmlns:wp14="http://schemas.microsoft.com/office/word/2010/wordml" w:rsidP="3FCFB352" wp14:paraId="5E22E08F" wp14:textId="599FB3DA">
      <w:pPr>
        <w:spacing w:before="0" w:beforeAutospacing="off" w:after="160" w:afterAutospacing="off" w:line="330" w:lineRule="auto"/>
        <w:jc w:val="left"/>
      </w:pPr>
      <w:r w:rsidRPr="3FCFB352" w:rsidR="104E783E">
        <w:rPr>
          <w:rFonts w:ascii="Arial" w:hAnsi="Arial" w:eastAsia="Arial" w:cs="Arial"/>
          <w:b w:val="1"/>
          <w:bCs w:val="1"/>
          <w:noProof w:val="0"/>
          <w:color w:val="000000" w:themeColor="text1" w:themeTint="FF" w:themeShade="FF"/>
          <w:sz w:val="22"/>
          <w:szCs w:val="22"/>
          <w:lang w:val="en-GB"/>
        </w:rPr>
        <w:t xml:space="preserve"> </w:t>
      </w:r>
    </w:p>
    <w:p xmlns:wp14="http://schemas.microsoft.com/office/word/2010/wordml" w:rsidP="3FCFB352" wp14:paraId="455F1C90" wp14:textId="55DF12F1">
      <w:pPr>
        <w:pStyle w:val="Heading2"/>
        <w:spacing w:before="40" w:beforeAutospacing="off" w:after="0" w:afterAutospacing="off" w:line="330" w:lineRule="auto"/>
      </w:pPr>
      <w:r w:rsidRPr="3FCFB352" w:rsidR="104E783E">
        <w:rPr>
          <w:rFonts w:ascii="Arial" w:hAnsi="Arial" w:eastAsia="Arial" w:cs="Arial"/>
          <w:b w:val="1"/>
          <w:bCs w:val="1"/>
          <w:noProof w:val="0"/>
          <w:color w:val="000000" w:themeColor="text1" w:themeTint="FF" w:themeShade="FF"/>
          <w:sz w:val="22"/>
          <w:szCs w:val="22"/>
          <w:lang w:val="en-GB"/>
        </w:rPr>
        <w:t>References</w:t>
      </w:r>
    </w:p>
    <w:p xmlns:wp14="http://schemas.microsoft.com/office/word/2010/wordml" w:rsidP="3FCFB352" wp14:paraId="5D5C284C" wp14:textId="07E94D1F">
      <w:pPr>
        <w:spacing w:before="0" w:beforeAutospacing="off" w:after="160" w:afterAutospacing="off" w:line="330" w:lineRule="auto"/>
        <w:ind w:left="720" w:right="0" w:hanging="720"/>
        <w:jc w:val="both"/>
      </w:pPr>
      <w:r w:rsidRPr="3FCFB352" w:rsidR="104E783E">
        <w:rPr>
          <w:rFonts w:ascii="Arial" w:hAnsi="Arial" w:eastAsia="Arial" w:cs="Arial"/>
          <w:noProof w:val="0"/>
          <w:color w:val="222222"/>
          <w:sz w:val="22"/>
          <w:szCs w:val="22"/>
          <w:lang w:val="en-GB"/>
        </w:rPr>
        <w:t xml:space="preserve">Humphreys, K.L., King, L.S., Guyon-Harris, K.L. and Zeanah, C.H. (2022) ‘Caregiver regulation: A modifiable target promoting resilience to early adverse experiences’, </w:t>
      </w:r>
      <w:r w:rsidRPr="3FCFB352" w:rsidR="104E783E">
        <w:rPr>
          <w:rFonts w:ascii="Arial" w:hAnsi="Arial" w:eastAsia="Arial" w:cs="Arial"/>
          <w:i w:val="1"/>
          <w:iCs w:val="1"/>
          <w:noProof w:val="0"/>
          <w:color w:val="222222"/>
          <w:sz w:val="22"/>
          <w:szCs w:val="22"/>
          <w:lang w:val="en-GB"/>
        </w:rPr>
        <w:t>Psychological trauma: theory, research, practice, and policy</w:t>
      </w:r>
      <w:r w:rsidRPr="3FCFB352" w:rsidR="104E783E">
        <w:rPr>
          <w:rFonts w:ascii="Arial" w:hAnsi="Arial" w:eastAsia="Arial" w:cs="Arial"/>
          <w:noProof w:val="0"/>
          <w:color w:val="222222"/>
          <w:sz w:val="22"/>
          <w:szCs w:val="22"/>
          <w:lang w:val="en-GB"/>
        </w:rPr>
        <w:t>, 14(S1), p.S63.</w:t>
      </w:r>
    </w:p>
    <w:p xmlns:wp14="http://schemas.microsoft.com/office/word/2010/wordml" w:rsidP="3FCFB352" wp14:paraId="06BF633E" wp14:textId="2213A9FE">
      <w:pPr>
        <w:spacing w:before="0" w:beforeAutospacing="off" w:after="160" w:afterAutospacing="off" w:line="330" w:lineRule="auto"/>
        <w:ind w:left="720" w:right="0" w:hanging="720"/>
        <w:jc w:val="both"/>
      </w:pPr>
      <w:r w:rsidRPr="3FCFB352" w:rsidR="104E783E">
        <w:rPr>
          <w:rFonts w:ascii="Arial" w:hAnsi="Arial" w:eastAsia="Arial" w:cs="Arial"/>
          <w:noProof w:val="0"/>
          <w:color w:val="222222"/>
          <w:sz w:val="22"/>
          <w:szCs w:val="22"/>
          <w:lang w:val="en-GB"/>
        </w:rPr>
        <w:t xml:space="preserve">Platts, L.G., Alm Norbrian, A. and Frick, M.A. (2023) ‘Attachment in older adults is stably associated with health and quality of life: findings from a 14-year follow-up of the Whitehall II study’, </w:t>
      </w:r>
      <w:r w:rsidRPr="3FCFB352" w:rsidR="104E783E">
        <w:rPr>
          <w:rFonts w:ascii="Arial" w:hAnsi="Arial" w:eastAsia="Arial" w:cs="Arial"/>
          <w:i w:val="1"/>
          <w:iCs w:val="1"/>
          <w:noProof w:val="0"/>
          <w:color w:val="222222"/>
          <w:sz w:val="22"/>
          <w:szCs w:val="22"/>
          <w:lang w:val="en-GB"/>
        </w:rPr>
        <w:t>Aging &amp; Mental Health</w:t>
      </w:r>
      <w:r w:rsidRPr="3FCFB352" w:rsidR="104E783E">
        <w:rPr>
          <w:rFonts w:ascii="Arial" w:hAnsi="Arial" w:eastAsia="Arial" w:cs="Arial"/>
          <w:noProof w:val="0"/>
          <w:color w:val="222222"/>
          <w:sz w:val="22"/>
          <w:szCs w:val="22"/>
          <w:lang w:val="en-GB"/>
        </w:rPr>
        <w:t>, 27(9), pp.1832-1842.</w:t>
      </w:r>
    </w:p>
    <w:p xmlns:wp14="http://schemas.microsoft.com/office/word/2010/wordml" w:rsidP="3FCFB352" wp14:paraId="2F26C12D" wp14:textId="7084B6D9">
      <w:pPr>
        <w:spacing w:before="0" w:beforeAutospacing="off" w:after="160" w:afterAutospacing="off" w:line="330" w:lineRule="auto"/>
        <w:ind w:left="720" w:right="0" w:hanging="720"/>
        <w:jc w:val="both"/>
      </w:pPr>
      <w:r w:rsidRPr="71C92BFD" w:rsidR="75AA5FFF">
        <w:rPr>
          <w:rFonts w:ascii="Arial" w:hAnsi="Arial" w:eastAsia="Arial" w:cs="Arial"/>
          <w:noProof w:val="0"/>
          <w:color w:val="222222"/>
          <w:sz w:val="22"/>
          <w:szCs w:val="22"/>
          <w:lang w:val="en-GB"/>
        </w:rPr>
        <w:t xml:space="preserve">Rodway, C. and Spencer, R. (2025) ‘Attachment in Old Age: A Fundamental Pillar for Public Health and Wellbeing’, </w:t>
      </w:r>
      <w:r w:rsidRPr="71C92BFD" w:rsidR="75AA5FFF">
        <w:rPr>
          <w:rFonts w:ascii="Arial" w:hAnsi="Arial" w:eastAsia="Arial" w:cs="Arial"/>
          <w:i w:val="1"/>
          <w:iCs w:val="1"/>
          <w:noProof w:val="0"/>
          <w:color w:val="222222"/>
          <w:sz w:val="22"/>
          <w:szCs w:val="22"/>
          <w:lang w:val="en-GB"/>
        </w:rPr>
        <w:t>International Journal of Public Health</w:t>
      </w:r>
      <w:r w:rsidRPr="71C92BFD" w:rsidR="75AA5FFF">
        <w:rPr>
          <w:rFonts w:ascii="Arial" w:hAnsi="Arial" w:eastAsia="Arial" w:cs="Arial"/>
          <w:noProof w:val="0"/>
          <w:color w:val="222222"/>
          <w:sz w:val="22"/>
          <w:szCs w:val="22"/>
          <w:lang w:val="en-GB"/>
        </w:rPr>
        <w:t>, 70, p.1607770.</w:t>
      </w:r>
    </w:p>
    <w:p w:rsidR="71C92BFD" w:rsidP="71C92BFD" w:rsidRDefault="71C92BFD" w14:paraId="4E6FA07D" w14:textId="2435CD6F">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Jne8XCboDCEI2H" int2:id="b6lo4vbd">
      <int2:state int2:type="spell" int2:value="Rejected"/>
    </int2:textHash>
    <int2:textHash int2:hashCode="Ef53+qmgAlV5pi" int2:id="LWCFYzJc">
      <int2:state int2:type="spell" int2:value="Rejected"/>
    </int2:textHash>
    <int2:textHash int2:hashCode="tLGfogg/ZtERwi" int2:id="n0oy7mi5">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B823B5"/>
    <w:rsid w:val="02911192"/>
    <w:rsid w:val="07DF334F"/>
    <w:rsid w:val="090566BF"/>
    <w:rsid w:val="0941B648"/>
    <w:rsid w:val="0AC8C322"/>
    <w:rsid w:val="0E1742E5"/>
    <w:rsid w:val="0EB823B5"/>
    <w:rsid w:val="104E783E"/>
    <w:rsid w:val="12BC630A"/>
    <w:rsid w:val="1E4206D0"/>
    <w:rsid w:val="22981AC2"/>
    <w:rsid w:val="2797C781"/>
    <w:rsid w:val="2D0A4878"/>
    <w:rsid w:val="304BD6C1"/>
    <w:rsid w:val="308B38F6"/>
    <w:rsid w:val="308E687F"/>
    <w:rsid w:val="32726331"/>
    <w:rsid w:val="350300B6"/>
    <w:rsid w:val="36D5B98D"/>
    <w:rsid w:val="3975EFF3"/>
    <w:rsid w:val="3CEBBDE1"/>
    <w:rsid w:val="3D01D4B5"/>
    <w:rsid w:val="3F27A119"/>
    <w:rsid w:val="3FCFB352"/>
    <w:rsid w:val="42030787"/>
    <w:rsid w:val="4205D81E"/>
    <w:rsid w:val="43FFF4D2"/>
    <w:rsid w:val="456BB054"/>
    <w:rsid w:val="4671CB27"/>
    <w:rsid w:val="4D4CFD1D"/>
    <w:rsid w:val="536127CC"/>
    <w:rsid w:val="54D2DE2F"/>
    <w:rsid w:val="58D01954"/>
    <w:rsid w:val="5BB67566"/>
    <w:rsid w:val="5CC9FA7D"/>
    <w:rsid w:val="617F6F3F"/>
    <w:rsid w:val="61BE2447"/>
    <w:rsid w:val="63C7C9E4"/>
    <w:rsid w:val="65238955"/>
    <w:rsid w:val="686689C7"/>
    <w:rsid w:val="6928BDE4"/>
    <w:rsid w:val="6C1F0FB0"/>
    <w:rsid w:val="6E1E8F83"/>
    <w:rsid w:val="6F305C1E"/>
    <w:rsid w:val="71A1397E"/>
    <w:rsid w:val="71C92BFD"/>
    <w:rsid w:val="748BF514"/>
    <w:rsid w:val="75AA5FFF"/>
    <w:rsid w:val="79B46AD1"/>
    <w:rsid w:val="7B387C00"/>
    <w:rsid w:val="7DCAF45C"/>
    <w:rsid w:val="7E421424"/>
    <w:rsid w:val="7FC78B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238955"/>
  <w15:chartTrackingRefBased/>
  <w15:docId w15:val="{9DE3DD0B-9288-43A0-BD05-BCF0F5A570B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FCFB35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3FCFB35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FCFB352"/>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71C92BF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07/978-3-030-22009-9_748" TargetMode="External" Id="R7c60615d90dd424b" /><Relationship Type="http://schemas.openxmlformats.org/officeDocument/2006/relationships/hyperlink" Target="https://doi.org/10.1080/2331205X.2017.1289664" TargetMode="External" Id="Rc6d19295e4834c80" /><Relationship Type="http://schemas.microsoft.com/office/2020/10/relationships/intelligence" Target="/word/intelligence2.xml" Id="Rf67e0651cd14479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Dalsooz Alshateri (2432908)</dc:creator>
  <keywords/>
  <dc:description/>
  <lastModifiedBy>Dalsooz Alshateri (2432908)</lastModifiedBy>
  <revision>3</revision>
  <dcterms:created xsi:type="dcterms:W3CDTF">2026-03-21T22:55:41.3289983Z</dcterms:created>
  <dcterms:modified xsi:type="dcterms:W3CDTF">2026-03-23T11:51:54.9560512Z</dcterms:modified>
</coreProperties>
</file>