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3A68D" w14:textId="68B2A438" w:rsidR="00601B22" w:rsidRPr="00062104" w:rsidRDefault="00601B22">
      <w:pPr>
        <w:rPr>
          <w:color w:val="538135" w:themeColor="accent6" w:themeShade="BF"/>
        </w:rPr>
      </w:pPr>
    </w:p>
    <w:p w14:paraId="52032409" w14:textId="2852E451" w:rsidR="00062104" w:rsidRDefault="00FB2012" w:rsidP="00062104">
      <w:pPr>
        <w:spacing w:after="134" w:line="259" w:lineRule="auto"/>
        <w:ind w:left="0" w:firstLine="0"/>
        <w:rPr>
          <w:rFonts w:asciiTheme="majorHAnsi" w:hAnsiTheme="majorHAnsi" w:cstheme="majorHAnsi"/>
          <w:b/>
          <w:color w:val="538135" w:themeColor="accent6" w:themeShade="BF"/>
          <w:sz w:val="48"/>
        </w:rPr>
      </w:pPr>
      <w:r>
        <w:rPr>
          <w:noProof/>
        </w:rPr>
        <w:drawing>
          <wp:anchor distT="0" distB="0" distL="114300" distR="114300" simplePos="0" relativeHeight="251658240" behindDoc="0" locked="0" layoutInCell="1" allowOverlap="1" wp14:anchorId="4D47945F" wp14:editId="1D8FED55">
            <wp:simplePos x="0" y="0"/>
            <wp:positionH relativeFrom="column">
              <wp:posOffset>1123950</wp:posOffset>
            </wp:positionH>
            <wp:positionV relativeFrom="paragraph">
              <wp:posOffset>227965</wp:posOffset>
            </wp:positionV>
            <wp:extent cx="3810000" cy="3324225"/>
            <wp:effectExtent l="0" t="0" r="0" b="9525"/>
            <wp:wrapTight wrapText="bothSides">
              <wp:wrapPolygon edited="0">
                <wp:start x="0" y="0"/>
                <wp:lineTo x="0" y="21538"/>
                <wp:lineTo x="21492" y="21538"/>
                <wp:lineTo x="21492" y="0"/>
                <wp:lineTo x="0" y="0"/>
              </wp:wrapPolygon>
            </wp:wrapTight>
            <wp:docPr id="174309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3514"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810000" cy="3324225"/>
                    </a:xfrm>
                    <a:prstGeom prst="rect">
                      <a:avLst/>
                    </a:prstGeom>
                  </pic:spPr>
                </pic:pic>
              </a:graphicData>
            </a:graphic>
            <wp14:sizeRelV relativeFrom="margin">
              <wp14:pctHeight>0</wp14:pctHeight>
            </wp14:sizeRelV>
          </wp:anchor>
        </w:drawing>
      </w:r>
    </w:p>
    <w:p w14:paraId="1C8EF214" w14:textId="2B4F9690" w:rsidR="00062104" w:rsidRDefault="00062104" w:rsidP="00062104">
      <w:pPr>
        <w:spacing w:after="134" w:line="259" w:lineRule="auto"/>
        <w:ind w:left="0" w:firstLine="0"/>
        <w:rPr>
          <w:rFonts w:asciiTheme="majorHAnsi" w:hAnsiTheme="majorHAnsi" w:cstheme="majorHAnsi"/>
          <w:b/>
          <w:color w:val="538135" w:themeColor="accent6" w:themeShade="BF"/>
          <w:sz w:val="48"/>
        </w:rPr>
      </w:pPr>
    </w:p>
    <w:p w14:paraId="10802151" w14:textId="04C1B9DD" w:rsidR="00062104" w:rsidRPr="00062104" w:rsidRDefault="00062104" w:rsidP="00062104">
      <w:pPr>
        <w:spacing w:after="134" w:line="259" w:lineRule="auto"/>
        <w:ind w:left="0" w:firstLine="0"/>
        <w:jc w:val="center"/>
        <w:rPr>
          <w:rFonts w:asciiTheme="majorHAnsi" w:hAnsiTheme="majorHAnsi" w:cstheme="majorHAnsi"/>
          <w:b/>
          <w:color w:val="538135" w:themeColor="accent6" w:themeShade="BF"/>
        </w:rPr>
      </w:pPr>
      <w:r w:rsidRPr="00062104">
        <w:rPr>
          <w:rFonts w:asciiTheme="majorHAnsi" w:hAnsiTheme="majorHAnsi" w:cstheme="majorHAnsi"/>
          <w:b/>
          <w:color w:val="538135" w:themeColor="accent6" w:themeShade="BF"/>
          <w:sz w:val="48"/>
        </w:rPr>
        <w:t>Promoting Health and Wellbeing</w:t>
      </w:r>
    </w:p>
    <w:p w14:paraId="0822D560" w14:textId="71960CCC" w:rsidR="00601B22" w:rsidRDefault="00601B22" w:rsidP="00062104">
      <w:pPr>
        <w:jc w:val="center"/>
      </w:pPr>
    </w:p>
    <w:p w14:paraId="7F456410" w14:textId="3FA5B8D3" w:rsidR="00601B22" w:rsidRPr="00062104" w:rsidRDefault="00062104" w:rsidP="00062104">
      <w:pPr>
        <w:jc w:val="center"/>
        <w:rPr>
          <w:rFonts w:asciiTheme="majorHAnsi" w:hAnsiTheme="majorHAnsi" w:cstheme="majorHAnsi"/>
          <w:b/>
          <w:bCs/>
          <w:color w:val="538135" w:themeColor="accent6" w:themeShade="BF"/>
          <w:sz w:val="48"/>
          <w:szCs w:val="44"/>
        </w:rPr>
      </w:pPr>
      <w:r w:rsidRPr="00062104">
        <w:rPr>
          <w:rFonts w:asciiTheme="majorHAnsi" w:hAnsiTheme="majorHAnsi" w:cstheme="majorHAnsi"/>
          <w:b/>
          <w:bCs/>
          <w:color w:val="538135" w:themeColor="accent6" w:themeShade="BF"/>
          <w:sz w:val="48"/>
          <w:szCs w:val="44"/>
        </w:rPr>
        <w:t>Workbook</w:t>
      </w:r>
    </w:p>
    <w:p w14:paraId="7AB4B8D1" w14:textId="726DFDCA" w:rsidR="00601B22" w:rsidRDefault="00601B22"/>
    <w:p w14:paraId="6DB0FC69" w14:textId="77777777" w:rsidR="00062104" w:rsidRDefault="00062104" w:rsidP="00062104">
      <w:pPr>
        <w:ind w:left="0" w:firstLine="0"/>
        <w:rPr>
          <w:rFonts w:asciiTheme="majorHAnsi" w:hAnsiTheme="majorHAnsi" w:cstheme="majorHAnsi"/>
          <w:szCs w:val="24"/>
        </w:rPr>
      </w:pPr>
    </w:p>
    <w:p w14:paraId="020AA2FC" w14:textId="77777777" w:rsidR="00062104" w:rsidRDefault="00062104" w:rsidP="00062104">
      <w:pPr>
        <w:ind w:left="0" w:firstLine="0"/>
        <w:rPr>
          <w:rFonts w:asciiTheme="majorHAnsi" w:hAnsiTheme="majorHAnsi" w:cstheme="majorHAnsi"/>
          <w:szCs w:val="24"/>
        </w:rPr>
      </w:pPr>
    </w:p>
    <w:p w14:paraId="5596C34F" w14:textId="77777777" w:rsidR="00C500DE" w:rsidRDefault="00C500DE">
      <w:pPr>
        <w:rPr>
          <w:rFonts w:asciiTheme="majorHAnsi" w:hAnsiTheme="majorHAnsi" w:cstheme="majorHAnsi"/>
          <w:szCs w:val="24"/>
        </w:rPr>
      </w:pPr>
    </w:p>
    <w:p w14:paraId="46F6208E" w14:textId="77777777" w:rsidR="00062104" w:rsidRDefault="00062104">
      <w:pPr>
        <w:rPr>
          <w:rFonts w:asciiTheme="majorHAnsi" w:hAnsiTheme="majorHAnsi" w:cstheme="majorHAnsi"/>
          <w:szCs w:val="24"/>
        </w:rPr>
      </w:pPr>
    </w:p>
    <w:p w14:paraId="14667067" w14:textId="77777777" w:rsidR="00062104" w:rsidRDefault="00062104" w:rsidP="00FB2012">
      <w:pPr>
        <w:ind w:left="0" w:firstLine="0"/>
        <w:rPr>
          <w:rFonts w:asciiTheme="majorHAnsi" w:hAnsiTheme="majorHAnsi" w:cstheme="majorHAnsi"/>
          <w:szCs w:val="24"/>
        </w:rPr>
      </w:pPr>
    </w:p>
    <w:p w14:paraId="590410AB" w14:textId="77777777" w:rsidR="00062104" w:rsidRDefault="00062104">
      <w:pPr>
        <w:rPr>
          <w:rFonts w:asciiTheme="majorHAnsi" w:hAnsiTheme="majorHAnsi" w:cstheme="majorHAnsi"/>
          <w:szCs w:val="24"/>
        </w:rPr>
      </w:pPr>
    </w:p>
    <w:p w14:paraId="05698E48" w14:textId="77777777" w:rsidR="00062104" w:rsidRDefault="00062104">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F4C48" w14:paraId="16747E38" w14:textId="77777777" w:rsidTr="005F4C48">
        <w:tc>
          <w:tcPr>
            <w:tcW w:w="4508" w:type="dxa"/>
          </w:tcPr>
          <w:p w14:paraId="548706BC" w14:textId="7F38D59C" w:rsidR="005F4C48" w:rsidRDefault="005F4C48">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5B1A2E71" w14:textId="6908B378" w:rsidR="005F4C48" w:rsidRDefault="002014B4">
            <w:pPr>
              <w:ind w:left="0" w:firstLine="0"/>
              <w:rPr>
                <w:rFonts w:asciiTheme="majorHAnsi" w:hAnsiTheme="majorHAnsi" w:cstheme="majorHAnsi"/>
                <w:szCs w:val="24"/>
              </w:rPr>
            </w:pPr>
            <w:r>
              <w:rPr>
                <w:rFonts w:asciiTheme="majorHAnsi" w:hAnsiTheme="majorHAnsi" w:cstheme="majorHAnsi"/>
                <w:szCs w:val="24"/>
              </w:rPr>
              <w:t>Rhian Wilyeo</w:t>
            </w:r>
          </w:p>
        </w:tc>
      </w:tr>
      <w:tr w:rsidR="005F4C48" w14:paraId="71D3043A" w14:textId="77777777" w:rsidTr="005F4C48">
        <w:tc>
          <w:tcPr>
            <w:tcW w:w="4508" w:type="dxa"/>
          </w:tcPr>
          <w:p w14:paraId="0E1AE3AB" w14:textId="09ECD868" w:rsidR="005F4C48" w:rsidRDefault="005F4C48">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389CC8E0" w14:textId="7375B41F" w:rsidR="005F4C48" w:rsidRDefault="002014B4">
            <w:pPr>
              <w:ind w:left="0" w:firstLine="0"/>
              <w:rPr>
                <w:rFonts w:asciiTheme="majorHAnsi" w:hAnsiTheme="majorHAnsi" w:cstheme="majorHAnsi"/>
                <w:szCs w:val="24"/>
              </w:rPr>
            </w:pPr>
            <w:r>
              <w:rPr>
                <w:rFonts w:asciiTheme="majorHAnsi" w:hAnsiTheme="majorHAnsi" w:cstheme="majorHAnsi"/>
                <w:szCs w:val="24"/>
              </w:rPr>
              <w:t>0054833</w:t>
            </w:r>
          </w:p>
        </w:tc>
      </w:tr>
    </w:tbl>
    <w:p w14:paraId="0CC4589E" w14:textId="77777777" w:rsidR="00062104" w:rsidRDefault="00062104">
      <w:pPr>
        <w:rPr>
          <w:rFonts w:asciiTheme="majorHAnsi" w:hAnsiTheme="majorHAnsi" w:cstheme="majorHAnsi"/>
          <w:szCs w:val="24"/>
        </w:rPr>
      </w:pPr>
    </w:p>
    <w:p w14:paraId="7FC9666D" w14:textId="77777777" w:rsidR="00062104" w:rsidRDefault="00062104">
      <w:pPr>
        <w:rPr>
          <w:rFonts w:asciiTheme="majorHAnsi" w:hAnsiTheme="majorHAnsi" w:cstheme="majorHAnsi"/>
          <w:szCs w:val="24"/>
        </w:rPr>
      </w:pPr>
    </w:p>
    <w:p w14:paraId="6BAA6634" w14:textId="77777777" w:rsidR="00062104" w:rsidRDefault="00062104">
      <w:pPr>
        <w:rPr>
          <w:rFonts w:asciiTheme="majorHAnsi" w:hAnsiTheme="majorHAnsi" w:cstheme="majorHAnsi"/>
          <w:szCs w:val="24"/>
        </w:rPr>
      </w:pPr>
    </w:p>
    <w:p w14:paraId="773D0672" w14:textId="77777777" w:rsidR="00062104" w:rsidRDefault="00062104">
      <w:pPr>
        <w:rPr>
          <w:rFonts w:asciiTheme="majorHAnsi" w:hAnsiTheme="majorHAnsi" w:cstheme="majorHAnsi"/>
          <w:szCs w:val="24"/>
        </w:rPr>
      </w:pPr>
    </w:p>
    <w:p w14:paraId="125CCF17" w14:textId="77777777" w:rsidR="00062104" w:rsidRDefault="00062104">
      <w:pPr>
        <w:rPr>
          <w:rFonts w:asciiTheme="majorHAnsi" w:hAnsiTheme="majorHAnsi" w:cstheme="majorHAnsi"/>
          <w:szCs w:val="24"/>
        </w:rPr>
      </w:pPr>
    </w:p>
    <w:p w14:paraId="395E90D7" w14:textId="77777777" w:rsidR="00062104" w:rsidRDefault="00062104">
      <w:pPr>
        <w:rPr>
          <w:rFonts w:asciiTheme="majorHAnsi" w:hAnsiTheme="majorHAnsi" w:cstheme="majorHAnsi"/>
          <w:szCs w:val="24"/>
        </w:rPr>
      </w:pPr>
    </w:p>
    <w:p w14:paraId="76211888" w14:textId="77777777" w:rsidR="00062104" w:rsidRDefault="00062104">
      <w:pPr>
        <w:rPr>
          <w:rFonts w:asciiTheme="majorHAnsi" w:hAnsiTheme="majorHAnsi" w:cstheme="majorHAnsi"/>
          <w:szCs w:val="24"/>
        </w:rPr>
      </w:pPr>
    </w:p>
    <w:p w14:paraId="6F232FC5" w14:textId="77777777" w:rsidR="00447006" w:rsidRDefault="00447006">
      <w:pPr>
        <w:rPr>
          <w:rFonts w:asciiTheme="majorHAnsi" w:hAnsiTheme="majorHAnsi" w:cstheme="majorHAnsi"/>
          <w:szCs w:val="24"/>
        </w:rPr>
      </w:pPr>
    </w:p>
    <w:p w14:paraId="2779B2E1" w14:textId="77777777" w:rsidR="005F4C48" w:rsidRPr="006006B3" w:rsidRDefault="005F4C48" w:rsidP="005F4C48">
      <w:pPr>
        <w:spacing w:after="134" w:line="259" w:lineRule="auto"/>
        <w:ind w:left="0" w:firstLine="0"/>
        <w:rPr>
          <w:rFonts w:asciiTheme="majorHAnsi" w:hAnsiTheme="majorHAnsi" w:cstheme="majorHAnsi"/>
          <w:sz w:val="28"/>
          <w:szCs w:val="28"/>
        </w:rPr>
      </w:pPr>
      <w:r w:rsidRPr="006006B3">
        <w:rPr>
          <w:rFonts w:asciiTheme="majorHAnsi" w:hAnsiTheme="majorHAnsi" w:cstheme="majorHAnsi"/>
          <w:b/>
          <w:sz w:val="28"/>
          <w:szCs w:val="28"/>
        </w:rPr>
        <w:t>Promoting Health and Wellbeing</w:t>
      </w:r>
    </w:p>
    <w:p w14:paraId="02D02973" w14:textId="77777777" w:rsidR="005F4C48" w:rsidRPr="006006B3" w:rsidRDefault="005F4C48" w:rsidP="005F4C48">
      <w:pPr>
        <w:tabs>
          <w:tab w:val="center" w:pos="2815"/>
        </w:tabs>
        <w:ind w:left="-15" w:firstLine="0"/>
        <w:rPr>
          <w:rFonts w:asciiTheme="majorHAnsi" w:hAnsiTheme="majorHAnsi" w:cstheme="majorHAnsi"/>
          <w:sz w:val="28"/>
          <w:szCs w:val="28"/>
        </w:rPr>
      </w:pPr>
      <w:r w:rsidRPr="006006B3">
        <w:rPr>
          <w:rFonts w:asciiTheme="majorHAnsi" w:hAnsiTheme="majorHAnsi" w:cstheme="majorHAnsi"/>
          <w:sz w:val="28"/>
          <w:szCs w:val="28"/>
        </w:rPr>
        <w:t>Unit Code:</w:t>
      </w:r>
      <w:r w:rsidRPr="006006B3">
        <w:rPr>
          <w:rFonts w:asciiTheme="majorHAnsi" w:hAnsiTheme="majorHAnsi" w:cstheme="majorHAnsi"/>
          <w:sz w:val="28"/>
          <w:szCs w:val="28"/>
        </w:rPr>
        <w:tab/>
        <w:t>PA94CY001</w:t>
      </w:r>
    </w:p>
    <w:p w14:paraId="06D2CDBD" w14:textId="77777777" w:rsidR="005F4C48" w:rsidRPr="006006B3" w:rsidRDefault="005F4C48" w:rsidP="005F4C48">
      <w:pPr>
        <w:tabs>
          <w:tab w:val="center" w:pos="2433"/>
        </w:tabs>
        <w:ind w:left="-15" w:firstLine="0"/>
        <w:rPr>
          <w:rFonts w:asciiTheme="majorHAnsi" w:hAnsiTheme="majorHAnsi" w:cstheme="majorHAnsi"/>
          <w:sz w:val="28"/>
          <w:szCs w:val="28"/>
        </w:rPr>
      </w:pPr>
      <w:r w:rsidRPr="006006B3">
        <w:rPr>
          <w:rFonts w:asciiTheme="majorHAnsi" w:hAnsiTheme="majorHAnsi" w:cstheme="majorHAnsi"/>
          <w:sz w:val="28"/>
          <w:szCs w:val="28"/>
        </w:rPr>
        <w:t>Level:</w:t>
      </w:r>
      <w:r w:rsidRPr="006006B3">
        <w:rPr>
          <w:rFonts w:asciiTheme="majorHAnsi" w:hAnsiTheme="majorHAnsi" w:cstheme="majorHAnsi"/>
          <w:sz w:val="28"/>
          <w:szCs w:val="28"/>
        </w:rPr>
        <w:tab/>
        <w:t>Four</w:t>
      </w:r>
    </w:p>
    <w:p w14:paraId="602B7E8A" w14:textId="77777777" w:rsidR="005F4C48" w:rsidRPr="006006B3" w:rsidRDefault="005F4C48" w:rsidP="005F4C48">
      <w:pPr>
        <w:tabs>
          <w:tab w:val="center" w:pos="2326"/>
        </w:tabs>
        <w:ind w:left="-15" w:firstLine="0"/>
        <w:rPr>
          <w:rFonts w:asciiTheme="majorHAnsi" w:hAnsiTheme="majorHAnsi" w:cstheme="majorHAnsi"/>
          <w:sz w:val="28"/>
          <w:szCs w:val="28"/>
        </w:rPr>
      </w:pPr>
      <w:r w:rsidRPr="006006B3">
        <w:rPr>
          <w:rFonts w:asciiTheme="majorHAnsi" w:hAnsiTheme="majorHAnsi" w:cstheme="majorHAnsi"/>
          <w:sz w:val="28"/>
          <w:szCs w:val="28"/>
        </w:rPr>
        <w:t>Credit Value:</w:t>
      </w:r>
      <w:r w:rsidRPr="006006B3">
        <w:rPr>
          <w:rFonts w:asciiTheme="majorHAnsi" w:hAnsiTheme="majorHAnsi" w:cstheme="majorHAnsi"/>
          <w:sz w:val="28"/>
          <w:szCs w:val="28"/>
        </w:rPr>
        <w:tab/>
        <w:t>10</w:t>
      </w:r>
    </w:p>
    <w:p w14:paraId="7FA24B69" w14:textId="77777777" w:rsidR="005F4C48" w:rsidRPr="006006B3" w:rsidRDefault="005F4C48" w:rsidP="005F4C48">
      <w:pPr>
        <w:tabs>
          <w:tab w:val="center" w:pos="2640"/>
        </w:tabs>
        <w:ind w:left="-15" w:firstLine="0"/>
        <w:rPr>
          <w:rFonts w:asciiTheme="majorHAnsi" w:hAnsiTheme="majorHAnsi" w:cstheme="majorHAnsi"/>
          <w:sz w:val="28"/>
          <w:szCs w:val="28"/>
        </w:rPr>
      </w:pPr>
      <w:r w:rsidRPr="006006B3">
        <w:rPr>
          <w:rFonts w:asciiTheme="majorHAnsi" w:hAnsiTheme="majorHAnsi" w:cstheme="majorHAnsi"/>
          <w:sz w:val="28"/>
          <w:szCs w:val="28"/>
        </w:rPr>
        <w:t>Unit ID:</w:t>
      </w:r>
      <w:r w:rsidRPr="006006B3">
        <w:rPr>
          <w:rFonts w:asciiTheme="majorHAnsi" w:hAnsiTheme="majorHAnsi" w:cstheme="majorHAnsi"/>
          <w:sz w:val="28"/>
          <w:szCs w:val="28"/>
        </w:rPr>
        <w:tab/>
        <w:t>CDN190</w:t>
      </w:r>
    </w:p>
    <w:p w14:paraId="10340384" w14:textId="77777777" w:rsidR="005F4C48" w:rsidRPr="006006B3" w:rsidRDefault="005F4C48" w:rsidP="005F4C48">
      <w:pPr>
        <w:tabs>
          <w:tab w:val="center" w:pos="2409"/>
        </w:tabs>
        <w:ind w:left="-15" w:firstLine="0"/>
        <w:rPr>
          <w:rFonts w:asciiTheme="majorHAnsi" w:hAnsiTheme="majorHAnsi" w:cstheme="majorHAnsi"/>
          <w:sz w:val="28"/>
          <w:szCs w:val="28"/>
        </w:rPr>
      </w:pPr>
      <w:r w:rsidRPr="006006B3">
        <w:rPr>
          <w:rFonts w:asciiTheme="majorHAnsi" w:hAnsiTheme="majorHAnsi" w:cstheme="majorHAnsi"/>
          <w:sz w:val="28"/>
          <w:szCs w:val="28"/>
        </w:rPr>
        <w:t>LDCS:</w:t>
      </w:r>
      <w:r w:rsidRPr="006006B3">
        <w:rPr>
          <w:rFonts w:asciiTheme="majorHAnsi" w:hAnsiTheme="majorHAnsi" w:cstheme="majorHAnsi"/>
          <w:sz w:val="28"/>
          <w:szCs w:val="28"/>
        </w:rPr>
        <w:tab/>
        <w:t>PA9</w:t>
      </w:r>
    </w:p>
    <w:p w14:paraId="3677A8E9" w14:textId="77777777" w:rsidR="005F4C48" w:rsidRPr="006006B3" w:rsidRDefault="005F4C48" w:rsidP="005F4C48">
      <w:pPr>
        <w:tabs>
          <w:tab w:val="center" w:pos="2356"/>
        </w:tabs>
        <w:ind w:left="-15" w:firstLine="0"/>
        <w:rPr>
          <w:rFonts w:asciiTheme="majorHAnsi" w:hAnsiTheme="majorHAnsi" w:cstheme="majorHAnsi"/>
          <w:sz w:val="28"/>
          <w:szCs w:val="28"/>
        </w:rPr>
      </w:pPr>
      <w:r w:rsidRPr="006006B3">
        <w:rPr>
          <w:rFonts w:asciiTheme="majorHAnsi" w:hAnsiTheme="majorHAnsi" w:cstheme="majorHAnsi"/>
          <w:sz w:val="28"/>
          <w:szCs w:val="28"/>
        </w:rPr>
        <w:t>Sector:</w:t>
      </w:r>
      <w:r w:rsidRPr="006006B3">
        <w:rPr>
          <w:rFonts w:asciiTheme="majorHAnsi" w:hAnsiTheme="majorHAnsi" w:cstheme="majorHAnsi"/>
          <w:sz w:val="28"/>
          <w:szCs w:val="28"/>
        </w:rPr>
        <w:tab/>
        <w:t>1.3</w:t>
      </w:r>
    </w:p>
    <w:p w14:paraId="2797B0D6" w14:textId="77777777" w:rsidR="005F4C48" w:rsidRPr="006006B3" w:rsidRDefault="005F4C48" w:rsidP="005F4C48">
      <w:pPr>
        <w:spacing w:after="978"/>
        <w:ind w:left="-5"/>
        <w:rPr>
          <w:rFonts w:asciiTheme="majorHAnsi" w:hAnsiTheme="majorHAnsi" w:cstheme="majorHAnsi"/>
          <w:sz w:val="28"/>
          <w:szCs w:val="28"/>
        </w:rPr>
      </w:pPr>
      <w:r w:rsidRPr="006006B3">
        <w:rPr>
          <w:rFonts w:asciiTheme="majorHAnsi" w:hAnsiTheme="majorHAnsi" w:cstheme="majorHAnsi"/>
          <w:sz w:val="28"/>
          <w:szCs w:val="28"/>
        </w:rPr>
        <w:t>Last registration date: 31/10/2024</w:t>
      </w:r>
    </w:p>
    <w:p w14:paraId="7408A77D" w14:textId="77777777" w:rsidR="005F4C48" w:rsidRPr="006006B3" w:rsidRDefault="005F4C48" w:rsidP="005F4C48">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0B0E6677" w14:textId="77777777" w:rsidR="005F4C48" w:rsidRPr="006006B3" w:rsidRDefault="005F4C48" w:rsidP="005F4C48">
      <w:pPr>
        <w:spacing w:after="340"/>
        <w:ind w:left="-5"/>
        <w:rPr>
          <w:rFonts w:asciiTheme="majorHAnsi" w:hAnsiTheme="majorHAnsi" w:cstheme="majorHAnsi"/>
          <w:sz w:val="28"/>
          <w:szCs w:val="28"/>
        </w:rPr>
      </w:pPr>
      <w:r w:rsidRPr="006006B3">
        <w:rPr>
          <w:rFonts w:asciiTheme="majorHAnsi" w:hAnsiTheme="majorHAnsi" w:cstheme="majorHAnsi"/>
          <w:sz w:val="28"/>
          <w:szCs w:val="28"/>
        </w:rPr>
        <w:t>This unit will enable the learner to develop an understanding of the theory of self-management and remaining well. It also covers co-production and promoting public health and examples of these principles applied within Therapy Assistant Practitioner practice.</w:t>
      </w:r>
    </w:p>
    <w:p w14:paraId="0F28BE2A" w14:textId="77777777" w:rsidR="005F4C48" w:rsidRPr="006006B3" w:rsidRDefault="005F4C48">
      <w:pPr>
        <w:rPr>
          <w:rFonts w:asciiTheme="majorHAnsi" w:hAnsiTheme="majorHAnsi" w:cstheme="majorHAnsi"/>
          <w:b/>
          <w:bCs/>
          <w:sz w:val="28"/>
          <w:szCs w:val="28"/>
        </w:rPr>
      </w:pPr>
    </w:p>
    <w:p w14:paraId="03AF87D0" w14:textId="77777777" w:rsidR="005F4C48" w:rsidRPr="006006B3" w:rsidRDefault="005F4C48">
      <w:pPr>
        <w:rPr>
          <w:rFonts w:asciiTheme="majorHAnsi" w:hAnsiTheme="majorHAnsi" w:cstheme="majorHAnsi"/>
          <w:b/>
          <w:bCs/>
          <w:sz w:val="28"/>
          <w:szCs w:val="28"/>
        </w:rPr>
      </w:pPr>
    </w:p>
    <w:p w14:paraId="31665560" w14:textId="77777777" w:rsidR="005F4C48" w:rsidRPr="006006B3" w:rsidRDefault="005F4C48">
      <w:pPr>
        <w:rPr>
          <w:rFonts w:asciiTheme="majorHAnsi" w:hAnsiTheme="majorHAnsi" w:cstheme="majorHAnsi"/>
          <w:b/>
          <w:bCs/>
          <w:sz w:val="28"/>
          <w:szCs w:val="28"/>
        </w:rPr>
      </w:pPr>
    </w:p>
    <w:p w14:paraId="76936E1E" w14:textId="4EDBC153" w:rsidR="00E1298E"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sidR="00E1298E">
        <w:rPr>
          <w:rFonts w:asciiTheme="majorHAnsi" w:hAnsiTheme="majorHAnsi" w:cstheme="majorHAnsi"/>
          <w:b/>
          <w:bCs/>
          <w:sz w:val="28"/>
          <w:szCs w:val="28"/>
        </w:rPr>
        <w:t xml:space="preserve">every </w:t>
      </w:r>
      <w:r w:rsidR="000E5CB0">
        <w:rPr>
          <w:rFonts w:asciiTheme="majorHAnsi" w:hAnsiTheme="majorHAnsi" w:cstheme="majorHAnsi"/>
          <w:b/>
          <w:bCs/>
          <w:sz w:val="28"/>
          <w:szCs w:val="28"/>
        </w:rPr>
        <w:t>tas</w:t>
      </w:r>
      <w:r w:rsidR="00F16BD5">
        <w:rPr>
          <w:rFonts w:asciiTheme="majorHAnsi" w:hAnsiTheme="majorHAnsi" w:cstheme="majorHAnsi"/>
          <w:b/>
          <w:bCs/>
          <w:sz w:val="28"/>
          <w:szCs w:val="28"/>
        </w:rPr>
        <w:t xml:space="preserve">k </w:t>
      </w:r>
      <w:r w:rsidR="00E1298E">
        <w:rPr>
          <w:rFonts w:asciiTheme="majorHAnsi" w:hAnsiTheme="majorHAnsi" w:cstheme="majorHAnsi"/>
          <w:b/>
          <w:bCs/>
          <w:sz w:val="28"/>
          <w:szCs w:val="28"/>
        </w:rPr>
        <w:t xml:space="preserve">within </w:t>
      </w:r>
      <w:r w:rsidRPr="006006B3">
        <w:rPr>
          <w:rFonts w:asciiTheme="majorHAnsi" w:hAnsiTheme="majorHAnsi" w:cstheme="majorHAnsi"/>
          <w:b/>
          <w:bCs/>
          <w:sz w:val="28"/>
          <w:szCs w:val="28"/>
        </w:rPr>
        <w:t xml:space="preserve">the </w:t>
      </w:r>
      <w:r w:rsidR="00E1298E">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sidR="00E1298E">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sidR="00F16BD5">
        <w:rPr>
          <w:rFonts w:asciiTheme="majorHAnsi" w:hAnsiTheme="majorHAnsi" w:cstheme="majorHAnsi"/>
          <w:b/>
          <w:bCs/>
          <w:sz w:val="28"/>
          <w:szCs w:val="28"/>
        </w:rPr>
        <w:t xml:space="preserve"> (a minimum of 8 credible sources)</w:t>
      </w:r>
      <w:r w:rsidR="00E1298E">
        <w:rPr>
          <w:rFonts w:asciiTheme="majorHAnsi" w:hAnsiTheme="majorHAnsi" w:cstheme="majorHAnsi"/>
          <w:b/>
          <w:bCs/>
          <w:sz w:val="28"/>
          <w:szCs w:val="28"/>
        </w:rPr>
        <w:t xml:space="preserve">; </w:t>
      </w:r>
      <w:r w:rsidR="00F16BD5">
        <w:rPr>
          <w:rFonts w:asciiTheme="majorHAnsi" w:hAnsiTheme="majorHAnsi" w:cstheme="majorHAnsi"/>
          <w:b/>
          <w:bCs/>
          <w:sz w:val="28"/>
          <w:szCs w:val="28"/>
        </w:rPr>
        <w:t>t</w:t>
      </w:r>
      <w:r w:rsidR="00E1298E">
        <w:rPr>
          <w:rFonts w:asciiTheme="majorHAnsi" w:hAnsiTheme="majorHAnsi" w:cstheme="majorHAnsi"/>
          <w:b/>
          <w:bCs/>
          <w:sz w:val="28"/>
          <w:szCs w:val="28"/>
        </w:rPr>
        <w:t>here is a section at the end of the booklet to compile a corresponding reference list.</w:t>
      </w:r>
    </w:p>
    <w:p w14:paraId="5255E76E" w14:textId="21A1E9E9" w:rsidR="005F4C48" w:rsidRPr="006006B3"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Appendices can include </w:t>
      </w:r>
      <w:r w:rsidR="006006B3" w:rsidRPr="006006B3">
        <w:rPr>
          <w:rFonts w:asciiTheme="majorHAnsi" w:hAnsiTheme="majorHAnsi" w:cstheme="majorHAnsi"/>
          <w:b/>
          <w:bCs/>
          <w:sz w:val="28"/>
          <w:szCs w:val="28"/>
        </w:rPr>
        <w:t>any evidence to support content for each task</w:t>
      </w:r>
      <w:r w:rsidR="00F16BD5">
        <w:rPr>
          <w:rFonts w:asciiTheme="majorHAnsi" w:hAnsiTheme="majorHAnsi" w:cstheme="majorHAnsi"/>
          <w:b/>
          <w:bCs/>
          <w:sz w:val="28"/>
          <w:szCs w:val="28"/>
        </w:rPr>
        <w:t>, and are not compulsory.</w:t>
      </w:r>
    </w:p>
    <w:p w14:paraId="3E655A4B" w14:textId="77777777" w:rsidR="005F4C48" w:rsidRPr="006006B3" w:rsidRDefault="005F4C48">
      <w:pPr>
        <w:rPr>
          <w:rFonts w:asciiTheme="majorHAnsi" w:hAnsiTheme="majorHAnsi" w:cstheme="majorHAnsi"/>
          <w:b/>
          <w:bCs/>
          <w:sz w:val="28"/>
          <w:szCs w:val="28"/>
        </w:rPr>
      </w:pPr>
    </w:p>
    <w:p w14:paraId="7C996A29" w14:textId="77777777" w:rsidR="005F4C48" w:rsidRDefault="005F4C48">
      <w:pPr>
        <w:rPr>
          <w:rFonts w:asciiTheme="minorHAnsi" w:hAnsiTheme="minorHAnsi" w:cstheme="minorHAnsi"/>
          <w:b/>
          <w:bCs/>
          <w:szCs w:val="24"/>
        </w:rPr>
      </w:pPr>
    </w:p>
    <w:p w14:paraId="777B2D57" w14:textId="77777777" w:rsidR="005F4C48" w:rsidRDefault="005F4C48">
      <w:pPr>
        <w:rPr>
          <w:rFonts w:asciiTheme="minorHAnsi" w:hAnsiTheme="minorHAnsi" w:cstheme="minorHAnsi"/>
          <w:b/>
          <w:bCs/>
          <w:szCs w:val="24"/>
        </w:rPr>
      </w:pPr>
    </w:p>
    <w:p w14:paraId="24B287D7" w14:textId="77777777" w:rsidR="005F4C48" w:rsidRDefault="005F4C48">
      <w:pPr>
        <w:rPr>
          <w:rFonts w:asciiTheme="minorHAnsi" w:hAnsiTheme="minorHAnsi" w:cstheme="minorHAnsi"/>
          <w:b/>
          <w:bCs/>
          <w:szCs w:val="24"/>
        </w:rPr>
      </w:pPr>
    </w:p>
    <w:p w14:paraId="0057F3D3" w14:textId="77777777" w:rsidR="005F4C48" w:rsidRDefault="005F4C48">
      <w:pPr>
        <w:rPr>
          <w:rFonts w:asciiTheme="minorHAnsi" w:hAnsiTheme="minorHAnsi" w:cstheme="minorHAnsi"/>
          <w:b/>
          <w:bCs/>
          <w:szCs w:val="24"/>
        </w:rPr>
      </w:pPr>
    </w:p>
    <w:p w14:paraId="0F958F9D" w14:textId="77777777" w:rsidR="005F4C48" w:rsidRDefault="005F4C48">
      <w:pPr>
        <w:rPr>
          <w:rFonts w:asciiTheme="minorHAnsi" w:hAnsiTheme="minorHAnsi" w:cstheme="minorHAnsi"/>
          <w:b/>
          <w:bCs/>
          <w:szCs w:val="24"/>
        </w:rPr>
      </w:pPr>
    </w:p>
    <w:p w14:paraId="2EFFD69C" w14:textId="77777777" w:rsidR="005F4C48" w:rsidRDefault="005F4C48">
      <w:pPr>
        <w:rPr>
          <w:rFonts w:asciiTheme="minorHAnsi" w:hAnsiTheme="minorHAnsi" w:cstheme="minorHAnsi"/>
          <w:b/>
          <w:bCs/>
          <w:szCs w:val="24"/>
        </w:rPr>
      </w:pPr>
    </w:p>
    <w:p w14:paraId="476126AE" w14:textId="77777777" w:rsidR="005F4C48" w:rsidRDefault="005F4C48">
      <w:pPr>
        <w:rPr>
          <w:rFonts w:asciiTheme="minorHAnsi" w:hAnsiTheme="minorHAnsi" w:cstheme="minorHAnsi"/>
          <w:b/>
          <w:bCs/>
          <w:szCs w:val="24"/>
        </w:rPr>
      </w:pPr>
    </w:p>
    <w:p w14:paraId="0BA07876" w14:textId="77777777" w:rsidR="006006B3" w:rsidRDefault="006006B3" w:rsidP="00F16BD5">
      <w:pPr>
        <w:ind w:left="0" w:firstLine="0"/>
        <w:rPr>
          <w:rFonts w:asciiTheme="minorHAnsi" w:hAnsiTheme="minorHAnsi" w:cstheme="minorHAnsi"/>
          <w:b/>
          <w:bCs/>
          <w:szCs w:val="24"/>
        </w:rPr>
      </w:pPr>
    </w:p>
    <w:p w14:paraId="4ECED2FE" w14:textId="6255AB7B" w:rsidR="00062104" w:rsidRPr="00062104" w:rsidRDefault="00062104">
      <w:pPr>
        <w:rPr>
          <w:rFonts w:asciiTheme="minorHAnsi" w:hAnsiTheme="minorHAnsi" w:cstheme="minorHAnsi"/>
          <w:b/>
          <w:bCs/>
          <w:szCs w:val="24"/>
        </w:rPr>
      </w:pPr>
      <w:r w:rsidRPr="00062104">
        <w:rPr>
          <w:rFonts w:asciiTheme="minorHAnsi" w:hAnsiTheme="minorHAnsi" w:cstheme="minorHAnsi"/>
          <w:b/>
          <w:bCs/>
          <w:szCs w:val="24"/>
        </w:rPr>
        <w:t xml:space="preserve">Task One: </w:t>
      </w:r>
      <w:r w:rsidRPr="00062104">
        <w:rPr>
          <w:rFonts w:asciiTheme="minorHAnsi" w:hAnsiTheme="minorHAnsi" w:cstheme="minorHAnsi"/>
          <w:b/>
          <w:bCs/>
        </w:rPr>
        <w:t>Understand the meaning of health and wellbeing.</w:t>
      </w:r>
    </w:p>
    <w:tbl>
      <w:tblPr>
        <w:tblStyle w:val="TableGrid0"/>
        <w:tblW w:w="0" w:type="auto"/>
        <w:tblInd w:w="55" w:type="dxa"/>
        <w:tblLook w:val="04A0" w:firstRow="1" w:lastRow="0" w:firstColumn="1" w:lastColumn="0" w:noHBand="0" w:noVBand="1"/>
      </w:tblPr>
      <w:tblGrid>
        <w:gridCol w:w="8961"/>
      </w:tblGrid>
      <w:tr w:rsidR="00C500DE" w:rsidRPr="00601B22" w14:paraId="5DC7D624" w14:textId="77777777" w:rsidTr="00C500DE">
        <w:tc>
          <w:tcPr>
            <w:tcW w:w="9016" w:type="dxa"/>
          </w:tcPr>
          <w:p w14:paraId="7E7B5DBB" w14:textId="048E3FCA" w:rsidR="00C500DE" w:rsidRPr="00062104" w:rsidRDefault="00C500DE" w:rsidP="00062104">
            <w:pPr>
              <w:pStyle w:val="ListParagraph"/>
              <w:numPr>
                <w:ilvl w:val="1"/>
                <w:numId w:val="2"/>
              </w:numPr>
              <w:rPr>
                <w:rFonts w:asciiTheme="majorHAnsi" w:hAnsiTheme="majorHAnsi" w:cstheme="majorHAnsi"/>
                <w:szCs w:val="24"/>
              </w:rPr>
            </w:pPr>
            <w:r w:rsidRPr="00062104">
              <w:rPr>
                <w:rFonts w:asciiTheme="majorHAnsi" w:hAnsiTheme="majorHAnsi" w:cstheme="majorHAnsi"/>
                <w:szCs w:val="24"/>
              </w:rPr>
              <w:t xml:space="preserve">Explain the meaning of the </w:t>
            </w:r>
            <w:proofErr w:type="gramStart"/>
            <w:r w:rsidRPr="00062104">
              <w:rPr>
                <w:rFonts w:asciiTheme="majorHAnsi" w:hAnsiTheme="majorHAnsi" w:cstheme="majorHAnsi"/>
                <w:szCs w:val="24"/>
              </w:rPr>
              <w:t>terms</w:t>
            </w:r>
            <w:proofErr w:type="gramEnd"/>
            <w:r w:rsidRPr="00062104">
              <w:rPr>
                <w:rFonts w:asciiTheme="majorHAnsi" w:hAnsiTheme="majorHAnsi" w:cstheme="majorHAnsi"/>
                <w:szCs w:val="24"/>
              </w:rPr>
              <w:t xml:space="preserve"> health and wellbeing:</w:t>
            </w:r>
          </w:p>
        </w:tc>
      </w:tr>
      <w:tr w:rsidR="00C500DE" w:rsidRPr="00601B22" w14:paraId="7C7C02EF" w14:textId="77777777" w:rsidTr="00C500DE">
        <w:tc>
          <w:tcPr>
            <w:tcW w:w="9016" w:type="dxa"/>
          </w:tcPr>
          <w:p w14:paraId="344EE2B6" w14:textId="7438E718"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The term ‘health’ has been subject to extensive research and considered a concept open to a range of meanings depending on a range of societal and biological factors such as culture, religion, ethnicity, gender </w:t>
            </w:r>
            <w:r w:rsidR="003506DB">
              <w:rPr>
                <w:rFonts w:ascii="Aptos" w:hAnsi="Aptos"/>
                <w:color w:val="auto"/>
                <w:szCs w:val="24"/>
              </w:rPr>
              <w:t>and</w:t>
            </w:r>
            <w:r w:rsidRPr="0020008C">
              <w:rPr>
                <w:rFonts w:ascii="Aptos" w:hAnsi="Aptos"/>
                <w:color w:val="auto"/>
                <w:szCs w:val="24"/>
              </w:rPr>
              <w:t xml:space="preserve"> age and most importantly individual opinions (Cross and Woodall, 2024). </w:t>
            </w:r>
          </w:p>
          <w:p w14:paraId="515C1E62" w14:textId="77777777"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Throughout the research, what constitutes as ‘health’ has been criticised especially since the 1948 World Health Organisation definition of health, which they claim is “a state of complete physical, mental and social well-being and not merely the absence of disease or infirmity”. Critics claim that such definition is unrealistic and unfit for purpose. </w:t>
            </w:r>
          </w:p>
          <w:p w14:paraId="56066D44" w14:textId="4CC2BE09"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Naidoo and Wills (2016) argue that for individuals to sustain “complete</w:t>
            </w:r>
            <w:r w:rsidR="00545B9A">
              <w:rPr>
                <w:rFonts w:ascii="Aptos" w:hAnsi="Aptos"/>
                <w:color w:val="auto"/>
                <w:szCs w:val="24"/>
              </w:rPr>
              <w:t>”</w:t>
            </w:r>
            <w:r w:rsidRPr="0020008C">
              <w:rPr>
                <w:rFonts w:ascii="Aptos" w:hAnsi="Aptos"/>
                <w:color w:val="auto"/>
                <w:szCs w:val="24"/>
              </w:rPr>
              <w:t xml:space="preserve"> health this portrays individuals as unhealthy most of the time, supporting reliance on pharmacy and encouraging advancements in medicine and pharmacology. They also argue that under this definition ‘health’ is difficult to measure as it does not allow healthcare professionals or individuals to set achievable goals as part of their treatment plan. </w:t>
            </w:r>
          </w:p>
          <w:p w14:paraId="4F9AB779" w14:textId="68AC6862" w:rsidR="0020008C" w:rsidRPr="0020008C" w:rsidRDefault="0020008C" w:rsidP="0020008C">
            <w:pPr>
              <w:spacing w:after="160" w:line="278" w:lineRule="auto"/>
              <w:ind w:left="0" w:firstLine="0"/>
              <w:jc w:val="both"/>
              <w:rPr>
                <w:rFonts w:ascii="Aptos" w:hAnsi="Aptos"/>
                <w:color w:val="auto"/>
                <w:szCs w:val="24"/>
              </w:rPr>
            </w:pPr>
            <w:proofErr w:type="spellStart"/>
            <w:r w:rsidRPr="0020008C">
              <w:rPr>
                <w:rFonts w:ascii="Aptos" w:hAnsi="Aptos"/>
                <w:color w:val="auto"/>
                <w:szCs w:val="24"/>
              </w:rPr>
              <w:t>Krahn</w:t>
            </w:r>
            <w:proofErr w:type="spellEnd"/>
            <w:r w:rsidRPr="0020008C">
              <w:rPr>
                <w:rFonts w:ascii="Aptos" w:hAnsi="Aptos"/>
                <w:color w:val="auto"/>
                <w:szCs w:val="24"/>
              </w:rPr>
              <w:t xml:space="preserve"> et al (202</w:t>
            </w:r>
            <w:r w:rsidR="003506DB">
              <w:rPr>
                <w:rFonts w:ascii="Aptos" w:hAnsi="Aptos"/>
                <w:color w:val="auto"/>
                <w:szCs w:val="24"/>
              </w:rPr>
              <w:t>1</w:t>
            </w:r>
            <w:r w:rsidRPr="0020008C">
              <w:rPr>
                <w:rFonts w:ascii="Aptos" w:hAnsi="Aptos"/>
                <w:color w:val="auto"/>
                <w:szCs w:val="24"/>
              </w:rPr>
              <w:t xml:space="preserve">) proposed a new definition of health as “the dynamic balance of physical, mental, social and existential well-being in adapting to conditions of life and the environment” as they felt that the World Health Organisation definition of health did not account for any disability or chronic conditions and that a more holistic definition was needed. </w:t>
            </w:r>
          </w:p>
          <w:p w14:paraId="7D7D7AC4" w14:textId="6159C545" w:rsidR="0020008C" w:rsidRPr="0020008C" w:rsidRDefault="0020008C" w:rsidP="0020008C">
            <w:pPr>
              <w:spacing w:after="160" w:line="278" w:lineRule="auto"/>
              <w:ind w:left="0" w:firstLine="0"/>
              <w:jc w:val="both"/>
              <w:rPr>
                <w:rFonts w:ascii="Aptos" w:hAnsi="Aptos"/>
                <w:color w:val="auto"/>
                <w:szCs w:val="24"/>
              </w:rPr>
            </w:pPr>
            <w:proofErr w:type="spellStart"/>
            <w:r w:rsidRPr="0020008C">
              <w:rPr>
                <w:rFonts w:ascii="Aptos" w:hAnsi="Aptos"/>
                <w:color w:val="auto"/>
                <w:szCs w:val="24"/>
              </w:rPr>
              <w:t>Schramme</w:t>
            </w:r>
            <w:proofErr w:type="spellEnd"/>
            <w:r w:rsidRPr="0020008C">
              <w:rPr>
                <w:rFonts w:ascii="Aptos" w:hAnsi="Aptos"/>
                <w:color w:val="auto"/>
                <w:szCs w:val="24"/>
              </w:rPr>
              <w:t xml:space="preserve"> (2023) disagreed with </w:t>
            </w:r>
            <w:proofErr w:type="spellStart"/>
            <w:r w:rsidRPr="0020008C">
              <w:rPr>
                <w:rFonts w:ascii="Aptos" w:hAnsi="Aptos"/>
                <w:color w:val="auto"/>
                <w:szCs w:val="24"/>
              </w:rPr>
              <w:t>Nadioo</w:t>
            </w:r>
            <w:proofErr w:type="spellEnd"/>
            <w:r w:rsidRPr="0020008C">
              <w:rPr>
                <w:rFonts w:ascii="Aptos" w:hAnsi="Aptos"/>
                <w:color w:val="auto"/>
                <w:szCs w:val="24"/>
              </w:rPr>
              <w:t xml:space="preserve"> and Wills (2016) arguing that “complete health” may not mean perfect health but exhaustive health encompassing a more </w:t>
            </w:r>
            <w:bookmarkStart w:id="0" w:name="_Int_hGVa8jLi"/>
            <w:r w:rsidRPr="0020008C">
              <w:rPr>
                <w:rFonts w:ascii="Aptos" w:hAnsi="Aptos"/>
                <w:color w:val="auto"/>
                <w:szCs w:val="24"/>
              </w:rPr>
              <w:t>holistic approach</w:t>
            </w:r>
            <w:bookmarkEnd w:id="0"/>
            <w:r w:rsidRPr="0020008C">
              <w:rPr>
                <w:rFonts w:ascii="Aptos" w:hAnsi="Aptos"/>
                <w:color w:val="auto"/>
                <w:szCs w:val="24"/>
              </w:rPr>
              <w:t xml:space="preserve"> as put forward by </w:t>
            </w:r>
            <w:proofErr w:type="spellStart"/>
            <w:r w:rsidRPr="0020008C">
              <w:rPr>
                <w:rFonts w:ascii="Aptos" w:hAnsi="Aptos"/>
                <w:color w:val="auto"/>
                <w:szCs w:val="24"/>
              </w:rPr>
              <w:t>Krahn</w:t>
            </w:r>
            <w:proofErr w:type="spellEnd"/>
            <w:r w:rsidRPr="0020008C">
              <w:rPr>
                <w:rFonts w:ascii="Aptos" w:hAnsi="Aptos"/>
                <w:color w:val="auto"/>
                <w:szCs w:val="24"/>
              </w:rPr>
              <w:t xml:space="preserve"> et al (202</w:t>
            </w:r>
            <w:r w:rsidR="003506DB">
              <w:rPr>
                <w:rFonts w:ascii="Aptos" w:hAnsi="Aptos"/>
                <w:color w:val="auto"/>
                <w:szCs w:val="24"/>
              </w:rPr>
              <w:t>1</w:t>
            </w:r>
            <w:r w:rsidRPr="0020008C">
              <w:rPr>
                <w:rFonts w:ascii="Aptos" w:hAnsi="Aptos"/>
                <w:color w:val="auto"/>
                <w:szCs w:val="24"/>
              </w:rPr>
              <w:t>).</w:t>
            </w:r>
          </w:p>
          <w:p w14:paraId="51DB9AED" w14:textId="5DF02A41"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NHS England </w:t>
            </w:r>
            <w:r w:rsidR="003506DB">
              <w:rPr>
                <w:rFonts w:ascii="Aptos" w:hAnsi="Aptos"/>
                <w:color w:val="auto"/>
                <w:szCs w:val="24"/>
              </w:rPr>
              <w:t xml:space="preserve">(2021) </w:t>
            </w:r>
            <w:r w:rsidRPr="0020008C">
              <w:rPr>
                <w:rFonts w:ascii="Aptos" w:hAnsi="Aptos"/>
                <w:color w:val="auto"/>
                <w:szCs w:val="24"/>
              </w:rPr>
              <w:t>state that health is more than “the absence of disease” and that mental, emotional, physical health and a healthy lifestyle all contribute to health and wellbeing, where wellbeing is described as positivity outlined by social, economic and environmental conditions with a focus on a good quality of life that has meaning and purpose (World Health Organisation, 2025).</w:t>
            </w:r>
          </w:p>
          <w:p w14:paraId="70D35B53" w14:textId="77777777" w:rsidR="0020008C" w:rsidRPr="0020008C" w:rsidRDefault="0020008C" w:rsidP="0020008C">
            <w:pPr>
              <w:spacing w:after="160" w:line="278" w:lineRule="auto"/>
              <w:ind w:left="0" w:firstLine="0"/>
              <w:jc w:val="both"/>
              <w:rPr>
                <w:rFonts w:ascii="Aptos" w:hAnsi="Aptos"/>
                <w:color w:val="auto"/>
                <w:szCs w:val="24"/>
              </w:rPr>
            </w:pPr>
            <w:proofErr w:type="spellStart"/>
            <w:r w:rsidRPr="0020008C">
              <w:rPr>
                <w:rFonts w:ascii="Aptos" w:hAnsi="Aptos"/>
                <w:color w:val="auto"/>
                <w:szCs w:val="24"/>
              </w:rPr>
              <w:t>Stoewen</w:t>
            </w:r>
            <w:proofErr w:type="spellEnd"/>
            <w:r w:rsidRPr="0020008C">
              <w:rPr>
                <w:rFonts w:ascii="Aptos" w:hAnsi="Aptos"/>
                <w:color w:val="auto"/>
                <w:szCs w:val="24"/>
              </w:rPr>
              <w:t xml:space="preserve"> (2017) claims that wellness incorporates eight dimensions of health namely physical (</w:t>
            </w:r>
            <w:proofErr w:type="gramStart"/>
            <w:r w:rsidRPr="0020008C">
              <w:rPr>
                <w:rFonts w:ascii="Aptos" w:hAnsi="Aptos"/>
                <w:color w:val="auto"/>
                <w:szCs w:val="24"/>
              </w:rPr>
              <w:t>eg</w:t>
            </w:r>
            <w:proofErr w:type="gramEnd"/>
            <w:r w:rsidRPr="0020008C">
              <w:rPr>
                <w:rFonts w:ascii="Aptos" w:hAnsi="Aptos"/>
                <w:color w:val="auto"/>
                <w:szCs w:val="24"/>
              </w:rPr>
              <w:t xml:space="preserve"> fitness); intellectual (eg knowledge and skills); emotional (eg coping with feelings and emotions); social (eg relationships and friend and family support); spiritual (eg having morals, beliefs or religious practice); vocational (eg participating in work); financial (eg living within your means) and environmental (eg commitment to healthy planet).</w:t>
            </w:r>
          </w:p>
          <w:p w14:paraId="251DEEDB" w14:textId="77777777" w:rsidR="0020008C" w:rsidRDefault="0020008C" w:rsidP="0020008C">
            <w:pPr>
              <w:spacing w:after="160" w:line="278" w:lineRule="auto"/>
              <w:ind w:left="0" w:firstLine="0"/>
              <w:jc w:val="both"/>
              <w:rPr>
                <w:rFonts w:ascii="Aptos" w:hAnsi="Aptos"/>
                <w:color w:val="auto"/>
                <w:szCs w:val="24"/>
              </w:rPr>
            </w:pPr>
          </w:p>
          <w:p w14:paraId="77636833" w14:textId="473F74E0"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lastRenderedPageBreak/>
              <w:t>Naidoo and Wills (2016) state that the dimensions of health are all linked where both inner and outer circumstances influence each other thereby affecting an individual’s health and wellbeing. Such health and wellbeing can change at any time if one or more of these dimensions change (</w:t>
            </w:r>
            <w:proofErr w:type="spellStart"/>
            <w:r w:rsidRPr="0020008C">
              <w:rPr>
                <w:rFonts w:ascii="Aptos" w:hAnsi="Aptos"/>
                <w:color w:val="auto"/>
                <w:szCs w:val="24"/>
              </w:rPr>
              <w:t>Krahn</w:t>
            </w:r>
            <w:proofErr w:type="spellEnd"/>
            <w:r w:rsidRPr="0020008C">
              <w:rPr>
                <w:rFonts w:ascii="Aptos" w:hAnsi="Aptos"/>
                <w:color w:val="auto"/>
                <w:szCs w:val="24"/>
              </w:rPr>
              <w:t xml:space="preserve"> et al 202</w:t>
            </w:r>
            <w:r w:rsidR="003506DB">
              <w:rPr>
                <w:rFonts w:ascii="Aptos" w:hAnsi="Aptos"/>
                <w:color w:val="auto"/>
                <w:szCs w:val="24"/>
              </w:rPr>
              <w:t>1</w:t>
            </w:r>
            <w:r w:rsidRPr="0020008C">
              <w:rPr>
                <w:rFonts w:ascii="Aptos" w:hAnsi="Aptos"/>
                <w:color w:val="auto"/>
                <w:szCs w:val="24"/>
              </w:rPr>
              <w:t>).</w:t>
            </w:r>
          </w:p>
          <w:p w14:paraId="38E6A9ED" w14:textId="77777777"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The public’s interpretation of health known as the lay concepts of health are equally important as these can vary between societies and populations (Cross, 2020). Thompson (2023) agreeing with Cross adds that individual opinions on what it means to be healthy can vary significantly. For example, one individual may find that being absent from illness is healthy while another who has experienced a long recovery from illness, may find that life fulfilment is healthy. </w:t>
            </w:r>
          </w:p>
          <w:p w14:paraId="0411B561" w14:textId="77777777"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The Department of Health (2013) state that health is key to an individual’s wellbeing, however this is ambiguous as good health </w:t>
            </w:r>
            <w:bookmarkStart w:id="1" w:name="_Int_8nUmLFuF"/>
            <w:r w:rsidRPr="0020008C">
              <w:rPr>
                <w:rFonts w:ascii="Aptos" w:hAnsi="Aptos"/>
                <w:color w:val="auto"/>
                <w:szCs w:val="24"/>
              </w:rPr>
              <w:t>does not always constitute</w:t>
            </w:r>
            <w:bookmarkEnd w:id="1"/>
            <w:r w:rsidRPr="0020008C">
              <w:rPr>
                <w:rFonts w:ascii="Aptos" w:hAnsi="Aptos"/>
                <w:color w:val="auto"/>
                <w:szCs w:val="24"/>
              </w:rPr>
              <w:t xml:space="preserve"> good wellbeing. Individuals with poor health may have a good sense of wellbeing, while individuals with good health may not have any wellbeing. The Welsh Government Wellbeing of Wales Report (2024) is more inclusive stating that well-being is where an individual is “happy, healthy and comfortable with their life and what they do”.</w:t>
            </w:r>
          </w:p>
          <w:p w14:paraId="3667FA45" w14:textId="10B47BAE" w:rsidR="0020008C" w:rsidRPr="0020008C" w:rsidRDefault="0020008C" w:rsidP="0020008C">
            <w:pPr>
              <w:spacing w:after="160" w:line="278" w:lineRule="auto"/>
              <w:ind w:left="0" w:firstLine="0"/>
              <w:jc w:val="both"/>
              <w:rPr>
                <w:rFonts w:ascii="Aptos" w:hAnsi="Aptos"/>
                <w:color w:val="auto"/>
                <w:szCs w:val="24"/>
              </w:rPr>
            </w:pPr>
            <w:r w:rsidRPr="0020008C">
              <w:rPr>
                <w:rFonts w:ascii="Aptos" w:hAnsi="Aptos"/>
                <w:color w:val="auto"/>
                <w:szCs w:val="24"/>
              </w:rPr>
              <w:t xml:space="preserve">Government agencies such as the Department of Health, the National Institute </w:t>
            </w:r>
            <w:r w:rsidR="003506DB">
              <w:rPr>
                <w:rFonts w:ascii="Aptos" w:hAnsi="Aptos"/>
                <w:color w:val="auto"/>
                <w:szCs w:val="24"/>
              </w:rPr>
              <w:t>for Health and Care</w:t>
            </w:r>
            <w:r w:rsidRPr="0020008C">
              <w:rPr>
                <w:rFonts w:ascii="Aptos" w:hAnsi="Aptos"/>
                <w:color w:val="auto"/>
                <w:szCs w:val="24"/>
              </w:rPr>
              <w:t xml:space="preserve"> Excellence, the Health Protection Agency, National Health Service and Public Health Departments all work collaboratively through developing policies and strategies to help improve the health and wellbeing of individuals across England and Wales.  Examples in Wales include national campaigns such as Healthy Weight: Healthy Wales 2022-2024 which looks at preventing and reducing obesity in Wales, national screening programmes that </w:t>
            </w:r>
            <w:bookmarkStart w:id="2" w:name="_Int_EjDwQ4kS"/>
            <w:r w:rsidRPr="0020008C">
              <w:rPr>
                <w:rFonts w:ascii="Aptos" w:hAnsi="Aptos"/>
                <w:color w:val="auto"/>
                <w:szCs w:val="24"/>
              </w:rPr>
              <w:t>identify</w:t>
            </w:r>
            <w:bookmarkEnd w:id="2"/>
            <w:r w:rsidRPr="0020008C">
              <w:rPr>
                <w:rFonts w:ascii="Aptos" w:hAnsi="Aptos"/>
                <w:color w:val="auto"/>
                <w:szCs w:val="24"/>
              </w:rPr>
              <w:t xml:space="preserve"> early indicators of diseases such as breast or bowel cancers and patient education programmes such as the Type 2 X-PERT diabetes management programme.  Wales also has the new All-Age Mental Health and Well-being Strategy 2024-2034, a new development which looks at improving mental health and wellbeing for all ages.</w:t>
            </w:r>
          </w:p>
          <w:p w14:paraId="1B670995" w14:textId="2BC9C99E" w:rsidR="002014B4" w:rsidRPr="00414A68" w:rsidRDefault="0020008C" w:rsidP="00414A68">
            <w:pPr>
              <w:spacing w:after="160" w:line="278" w:lineRule="auto"/>
              <w:ind w:left="0" w:firstLine="0"/>
              <w:jc w:val="both"/>
              <w:rPr>
                <w:rFonts w:ascii="Aptos" w:hAnsi="Aptos"/>
                <w:color w:val="auto"/>
                <w:szCs w:val="24"/>
              </w:rPr>
            </w:pPr>
            <w:r w:rsidRPr="0020008C">
              <w:rPr>
                <w:rFonts w:ascii="Aptos" w:hAnsi="Aptos"/>
                <w:color w:val="auto"/>
                <w:szCs w:val="24"/>
              </w:rPr>
              <w:t xml:space="preserve">In conclusion, there are many concepts that determine health and wellbeing with individuals likely to have different opinions depending on their individual circumstances with no right or wrong answer.  The dimensions of health can help </w:t>
            </w:r>
            <w:bookmarkStart w:id="3" w:name="_Int_UAyqnW72"/>
            <w:r w:rsidRPr="0020008C">
              <w:rPr>
                <w:rFonts w:ascii="Aptos" w:hAnsi="Aptos"/>
                <w:color w:val="auto"/>
                <w:szCs w:val="24"/>
              </w:rPr>
              <w:t>identify</w:t>
            </w:r>
            <w:bookmarkEnd w:id="3"/>
            <w:r w:rsidRPr="0020008C">
              <w:rPr>
                <w:rFonts w:ascii="Aptos" w:hAnsi="Aptos"/>
                <w:color w:val="auto"/>
                <w:szCs w:val="24"/>
              </w:rPr>
              <w:t xml:space="preserve"> areas that affect health and wellbeing with government agencies setting up strategies giving the population incentives to improve their health and wellbeing through health programmes and community initiatives with an overall aim to improve health outcomes and wellbeing across society.</w:t>
            </w:r>
          </w:p>
          <w:p w14:paraId="301C5128" w14:textId="77777777" w:rsidR="002014B4" w:rsidRDefault="002014B4">
            <w:pPr>
              <w:ind w:left="0" w:firstLine="0"/>
              <w:rPr>
                <w:rFonts w:asciiTheme="majorHAnsi" w:hAnsiTheme="majorHAnsi" w:cstheme="majorHAnsi"/>
                <w:szCs w:val="24"/>
              </w:rPr>
            </w:pPr>
          </w:p>
          <w:p w14:paraId="566F0768" w14:textId="77777777" w:rsidR="00C500DE" w:rsidRPr="00601B22" w:rsidRDefault="00C500DE">
            <w:pPr>
              <w:ind w:left="0" w:firstLine="0"/>
              <w:rPr>
                <w:rFonts w:asciiTheme="majorHAnsi" w:hAnsiTheme="majorHAnsi" w:cstheme="majorHAnsi"/>
                <w:szCs w:val="24"/>
              </w:rPr>
            </w:pPr>
          </w:p>
        </w:tc>
      </w:tr>
    </w:tbl>
    <w:p w14:paraId="76C6874C"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10881F3B" w14:textId="77777777" w:rsidTr="00C500DE">
        <w:tc>
          <w:tcPr>
            <w:tcW w:w="9016" w:type="dxa"/>
          </w:tcPr>
          <w:p w14:paraId="5CE677A0" w14:textId="7E4F16DE" w:rsidR="00C500DE" w:rsidRPr="00601B22" w:rsidRDefault="00C500DE">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1.2 Outline the components of </w:t>
            </w:r>
            <w:r w:rsidR="004D0980">
              <w:rPr>
                <w:rFonts w:asciiTheme="majorHAnsi" w:hAnsiTheme="majorHAnsi" w:cstheme="majorHAnsi"/>
                <w:szCs w:val="24"/>
              </w:rPr>
              <w:t xml:space="preserve">both </w:t>
            </w:r>
            <w:r w:rsidRPr="00601B22">
              <w:rPr>
                <w:rFonts w:asciiTheme="majorHAnsi" w:hAnsiTheme="majorHAnsi" w:cstheme="majorHAnsi"/>
                <w:szCs w:val="24"/>
              </w:rPr>
              <w:t xml:space="preserve">the Medical Model and Health Belief Model of health, </w:t>
            </w:r>
            <w:r w:rsidR="006E53F1">
              <w:rPr>
                <w:rFonts w:asciiTheme="majorHAnsi" w:hAnsiTheme="majorHAnsi" w:cstheme="majorHAnsi"/>
                <w:szCs w:val="24"/>
              </w:rPr>
              <w:t>then</w:t>
            </w:r>
            <w:r w:rsidRPr="00601B22">
              <w:rPr>
                <w:rFonts w:asciiTheme="majorHAnsi" w:hAnsiTheme="majorHAnsi" w:cstheme="majorHAnsi"/>
                <w:szCs w:val="24"/>
              </w:rPr>
              <w:t xml:space="preserve"> explain any similarities and differences:</w:t>
            </w:r>
          </w:p>
        </w:tc>
      </w:tr>
      <w:tr w:rsidR="00C500DE" w:rsidRPr="00601B22" w14:paraId="3E1FE261" w14:textId="77777777" w:rsidTr="00C500DE">
        <w:tc>
          <w:tcPr>
            <w:tcW w:w="9016" w:type="dxa"/>
          </w:tcPr>
          <w:p w14:paraId="101D6E06" w14:textId="77777777"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 xml:space="preserve">Models used in healthcare are important for healthcare professionals to understand and address issues associated with health.  Healthcare professionals use both the Medical Model and Health Belief Model but in different contexts. Both models vary significantly in that the Medical Model is used to diagnose and treat disease while the Health Belief Model focuses on behaviours that influence decisions around health. Despite their differences, they are both valuable to healthcare professionals. </w:t>
            </w:r>
          </w:p>
          <w:p w14:paraId="54128756" w14:textId="77777777"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The Medical Model introduced in the 18</w:t>
            </w:r>
            <w:r w:rsidRPr="007E1560">
              <w:rPr>
                <w:rFonts w:ascii="Aptos" w:hAnsi="Aptos"/>
                <w:color w:val="auto"/>
                <w:szCs w:val="24"/>
                <w:vertAlign w:val="superscript"/>
              </w:rPr>
              <w:t>th</w:t>
            </w:r>
            <w:r w:rsidRPr="007E1560">
              <w:rPr>
                <w:rFonts w:ascii="Aptos" w:hAnsi="Aptos"/>
                <w:color w:val="auto"/>
                <w:szCs w:val="24"/>
              </w:rPr>
              <w:t xml:space="preserve"> Century in Western societies, looks at the biological and physiological factors to </w:t>
            </w:r>
            <w:bookmarkStart w:id="4" w:name="_Int_1uNpvAQv"/>
            <w:r w:rsidRPr="007E1560">
              <w:rPr>
                <w:rFonts w:ascii="Aptos" w:hAnsi="Aptos"/>
                <w:color w:val="auto"/>
                <w:szCs w:val="24"/>
              </w:rPr>
              <w:t>identify</w:t>
            </w:r>
            <w:bookmarkEnd w:id="4"/>
            <w:r w:rsidRPr="007E1560">
              <w:rPr>
                <w:rFonts w:ascii="Aptos" w:hAnsi="Aptos"/>
                <w:color w:val="auto"/>
                <w:szCs w:val="24"/>
              </w:rPr>
              <w:t xml:space="preserve"> and treat disease.  It is used in clinical settings with an aim to treat or cure a patient allowing healthcare professionals to make decisions about a patient’s health. Science is used to find a biological cause for the disease (Evans, </w:t>
            </w:r>
            <w:proofErr w:type="spellStart"/>
            <w:r w:rsidRPr="007E1560">
              <w:rPr>
                <w:rFonts w:ascii="Aptos" w:hAnsi="Aptos"/>
                <w:color w:val="auto"/>
                <w:szCs w:val="24"/>
              </w:rPr>
              <w:t>Coutsaftiki</w:t>
            </w:r>
            <w:proofErr w:type="spellEnd"/>
            <w:r w:rsidRPr="007E1560">
              <w:rPr>
                <w:rFonts w:ascii="Aptos" w:hAnsi="Aptos"/>
                <w:color w:val="auto"/>
                <w:szCs w:val="24"/>
              </w:rPr>
              <w:t xml:space="preserve"> and Fathers 2017) where patients are treated as ‘sick’ thereby encouraging reliance on healthcare professionals, who can persuade patients to co-operate and comply with treatment (Naidoo and Wills, 2016).</w:t>
            </w:r>
          </w:p>
          <w:p w14:paraId="65DEE00E" w14:textId="77777777"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Under this model, healthcare professionals are more likely to respond to ill health with patients blamed for their disease. The medical model does not account for promoting good health and does not consider any social, environment or political factors that influences behaviour (Cross and Woodall 2024).  For example, a patient presenting with Chronic Obstructive Pulmonary Disease could be blamed for smoking cigarettes instead of investigations made into the reasons why the patient started smoking in the first instance.</w:t>
            </w:r>
          </w:p>
          <w:p w14:paraId="324675EB" w14:textId="33C7206D" w:rsidR="007E1560" w:rsidRPr="007E1560" w:rsidRDefault="003874F8" w:rsidP="007E1560">
            <w:pPr>
              <w:spacing w:after="160" w:line="278" w:lineRule="auto"/>
              <w:ind w:left="0" w:firstLine="0"/>
              <w:jc w:val="both"/>
              <w:rPr>
                <w:rFonts w:ascii="Aptos" w:hAnsi="Aptos"/>
                <w:color w:val="auto"/>
                <w:szCs w:val="24"/>
              </w:rPr>
            </w:pPr>
            <w:r>
              <w:rPr>
                <w:rFonts w:ascii="Aptos" w:hAnsi="Aptos"/>
                <w:color w:val="auto"/>
                <w:szCs w:val="24"/>
              </w:rPr>
              <w:t>I</w:t>
            </w:r>
            <w:r w:rsidR="007E1560" w:rsidRPr="007E1560">
              <w:rPr>
                <w:rFonts w:ascii="Aptos" w:hAnsi="Aptos"/>
                <w:color w:val="auto"/>
                <w:szCs w:val="24"/>
              </w:rPr>
              <w:t xml:space="preserve">n Nutrition and Dietetics, the medical model has always been used in clinical practice where patients are given diet sheets to help with medical conditions. Research has found that even though some patients like </w:t>
            </w:r>
            <w:bookmarkStart w:id="5" w:name="_Int_Mm4jiGpd"/>
            <w:r w:rsidR="007E1560" w:rsidRPr="007E1560">
              <w:rPr>
                <w:rFonts w:ascii="Aptos" w:hAnsi="Aptos"/>
                <w:color w:val="auto"/>
                <w:szCs w:val="24"/>
              </w:rPr>
              <w:t>being told</w:t>
            </w:r>
            <w:bookmarkEnd w:id="5"/>
            <w:r w:rsidR="007E1560" w:rsidRPr="007E1560">
              <w:rPr>
                <w:rFonts w:ascii="Aptos" w:hAnsi="Aptos"/>
                <w:color w:val="auto"/>
                <w:szCs w:val="24"/>
              </w:rPr>
              <w:t xml:space="preserve"> what to do, it does not change their behaviour.  The profession has since moved towards a more patient centred model. </w:t>
            </w:r>
          </w:p>
          <w:p w14:paraId="54268360" w14:textId="2B9F6AAB"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The Health Belief Model is more recent, developed in the 20</w:t>
            </w:r>
            <w:r w:rsidRPr="007E1560">
              <w:rPr>
                <w:rFonts w:ascii="Aptos" w:hAnsi="Aptos"/>
                <w:color w:val="auto"/>
                <w:szCs w:val="24"/>
                <w:vertAlign w:val="superscript"/>
              </w:rPr>
              <w:t>th</w:t>
            </w:r>
            <w:r w:rsidRPr="007E1560">
              <w:rPr>
                <w:rFonts w:ascii="Aptos" w:hAnsi="Aptos"/>
                <w:color w:val="auto"/>
                <w:szCs w:val="24"/>
              </w:rPr>
              <w:t xml:space="preserve"> Century and focuse</w:t>
            </w:r>
            <w:r w:rsidR="00B55214">
              <w:rPr>
                <w:rFonts w:ascii="Aptos" w:hAnsi="Aptos"/>
                <w:color w:val="auto"/>
                <w:szCs w:val="24"/>
              </w:rPr>
              <w:t>s</w:t>
            </w:r>
            <w:r w:rsidRPr="007E1560">
              <w:rPr>
                <w:rFonts w:ascii="Aptos" w:hAnsi="Aptos"/>
                <w:color w:val="auto"/>
                <w:szCs w:val="24"/>
              </w:rPr>
              <w:t xml:space="preserve"> on health behaviour research. The model looks at the reasons behind behaviours towards health and the willingness to change such behaviour. In particular, the </w:t>
            </w:r>
            <w:r w:rsidR="00B55214">
              <w:rPr>
                <w:rFonts w:ascii="Aptos" w:hAnsi="Aptos"/>
                <w:color w:val="auto"/>
                <w:szCs w:val="24"/>
              </w:rPr>
              <w:t>m</w:t>
            </w:r>
            <w:r w:rsidRPr="007E1560">
              <w:rPr>
                <w:rFonts w:ascii="Aptos" w:hAnsi="Aptos"/>
                <w:color w:val="auto"/>
                <w:szCs w:val="24"/>
              </w:rPr>
              <w:t xml:space="preserve">odel looks at six dimensions that influence behaviour - beliefs about susceptibility to illness, the severity of an illness and any perceived threats, the benefits of engaging in healthy behaviour and any anticipatory barriers with expected outcomes which leads to looking at individual’s self-efficacy and any cues to action. </w:t>
            </w:r>
          </w:p>
          <w:p w14:paraId="648ACCE5" w14:textId="7FBC50EB"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The Health Belief Model is used in health promotion practices and has helped develop public health programmes.  Through education, it can h</w:t>
            </w:r>
            <w:r w:rsidR="00AA16A6">
              <w:rPr>
                <w:rFonts w:ascii="Aptos" w:hAnsi="Aptos"/>
                <w:color w:val="auto"/>
                <w:szCs w:val="24"/>
              </w:rPr>
              <w:t xml:space="preserve">elp </w:t>
            </w:r>
            <w:r w:rsidRPr="007E1560">
              <w:rPr>
                <w:rFonts w:ascii="Aptos" w:hAnsi="Aptos"/>
                <w:color w:val="auto"/>
                <w:szCs w:val="24"/>
              </w:rPr>
              <w:t>prevent illness and disease by reducing barriers and can help predict health behaviours</w:t>
            </w:r>
            <w:r w:rsidR="006772DC">
              <w:rPr>
                <w:rFonts w:ascii="Aptos" w:hAnsi="Aptos"/>
                <w:color w:val="auto"/>
                <w:szCs w:val="24"/>
              </w:rPr>
              <w:t xml:space="preserve"> and support behaviour change</w:t>
            </w:r>
            <w:r w:rsidR="002B3C80">
              <w:rPr>
                <w:rFonts w:ascii="Aptos" w:hAnsi="Aptos"/>
                <w:color w:val="auto"/>
                <w:szCs w:val="24"/>
              </w:rPr>
              <w:t xml:space="preserve"> </w:t>
            </w:r>
            <w:r w:rsidR="00800FD3">
              <w:rPr>
                <w:rFonts w:ascii="Aptos" w:hAnsi="Aptos"/>
                <w:color w:val="auto"/>
                <w:szCs w:val="24"/>
              </w:rPr>
              <w:t>(</w:t>
            </w:r>
            <w:proofErr w:type="spellStart"/>
            <w:r w:rsidR="00800FD3">
              <w:rPr>
                <w:rFonts w:ascii="Aptos" w:hAnsi="Aptos"/>
                <w:color w:val="auto"/>
                <w:szCs w:val="24"/>
              </w:rPr>
              <w:t>Boskey</w:t>
            </w:r>
            <w:proofErr w:type="spellEnd"/>
            <w:r w:rsidR="00800FD3">
              <w:rPr>
                <w:rFonts w:ascii="Aptos" w:hAnsi="Aptos"/>
                <w:color w:val="auto"/>
                <w:szCs w:val="24"/>
              </w:rPr>
              <w:t>, 2024)</w:t>
            </w:r>
            <w:r w:rsidR="002B3C80">
              <w:rPr>
                <w:rFonts w:ascii="Aptos" w:hAnsi="Aptos"/>
                <w:color w:val="auto"/>
                <w:szCs w:val="24"/>
              </w:rPr>
              <w:t>.</w:t>
            </w:r>
            <w:r w:rsidRPr="007E1560">
              <w:rPr>
                <w:rFonts w:ascii="Aptos" w:hAnsi="Aptos"/>
                <w:color w:val="auto"/>
                <w:szCs w:val="24"/>
              </w:rPr>
              <w:t xml:space="preserve"> It helps professionals understand the reasons why an individual will or will not engage in certain health practices. For example, during the COVID-19 pandemic there </w:t>
            </w:r>
            <w:r w:rsidRPr="007E1560">
              <w:rPr>
                <w:rFonts w:ascii="Aptos" w:hAnsi="Aptos"/>
                <w:color w:val="auto"/>
                <w:szCs w:val="24"/>
              </w:rPr>
              <w:lastRenderedPageBreak/>
              <w:t>was varied public opinion over the safety of the COVID vaccine and the importance of wearing face masks.</w:t>
            </w:r>
          </w:p>
          <w:p w14:paraId="3BE350EC" w14:textId="28A4A0B9"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In nutrition, the Health Belief Model can be used to understand behaviours relating to healthy eating, such as increasing fruit and vegetable intake in diets.   Glick et al (202</w:t>
            </w:r>
            <w:r w:rsidR="00B55214">
              <w:rPr>
                <w:rFonts w:ascii="Aptos" w:hAnsi="Aptos"/>
                <w:color w:val="auto"/>
                <w:szCs w:val="24"/>
              </w:rPr>
              <w:t>4</w:t>
            </w:r>
            <w:r w:rsidRPr="007E1560">
              <w:rPr>
                <w:rFonts w:ascii="Aptos" w:hAnsi="Aptos"/>
                <w:color w:val="auto"/>
                <w:szCs w:val="24"/>
              </w:rPr>
              <w:t xml:space="preserve">) successfully used the health belief model to predict the likelihood of American adults eating nutrient rich food and found it to be a valuable tool in nutrition research. </w:t>
            </w:r>
          </w:p>
          <w:p w14:paraId="1AA43E82" w14:textId="77777777"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 xml:space="preserve">The main difference between the two models is that the Medical Model is used in clinical settings and specifically looks at treating disease </w:t>
            </w:r>
            <w:bookmarkStart w:id="6" w:name="_Int_vxGGRFAr"/>
            <w:r w:rsidRPr="007E1560">
              <w:rPr>
                <w:rFonts w:ascii="Aptos" w:hAnsi="Aptos"/>
                <w:color w:val="auto"/>
                <w:szCs w:val="24"/>
              </w:rPr>
              <w:t>whereas</w:t>
            </w:r>
            <w:bookmarkEnd w:id="6"/>
            <w:r w:rsidRPr="007E1560">
              <w:rPr>
                <w:rFonts w:ascii="Aptos" w:hAnsi="Aptos"/>
                <w:color w:val="auto"/>
                <w:szCs w:val="24"/>
              </w:rPr>
              <w:t xml:space="preserve"> the Health Belief Model is used in the community and looks at societal behaviours that affect health which can lead to disease. Unlike the Health Belief Model, there is limited emphasis under the Medical Model on disease prevention. The Health Belief Model focuses on health promotion and </w:t>
            </w:r>
            <w:bookmarkStart w:id="7" w:name="_Int_HijBpibA"/>
            <w:r w:rsidRPr="007E1560">
              <w:rPr>
                <w:rFonts w:ascii="Aptos" w:hAnsi="Aptos"/>
                <w:color w:val="auto"/>
                <w:szCs w:val="24"/>
              </w:rPr>
              <w:t>is used</w:t>
            </w:r>
            <w:bookmarkEnd w:id="7"/>
            <w:r w:rsidRPr="007E1560">
              <w:rPr>
                <w:rFonts w:ascii="Aptos" w:hAnsi="Aptos"/>
                <w:color w:val="auto"/>
                <w:szCs w:val="24"/>
              </w:rPr>
              <w:t xml:space="preserve"> to set up strategies and initiatives to help communities with behaviour change to promote good health. In contrast, the Medical Model does not take into consideration beliefs surrounding health with limited reference to health promotion (Naidoo and Wills, 2016).</w:t>
            </w:r>
          </w:p>
          <w:p w14:paraId="61A3BBB1" w14:textId="4D987596" w:rsidR="00CB7A42"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 xml:space="preserve">Both models, however, involve collaborative working between healthcare professionals and individuals allowing for a patient centred care approach. They both aim to improve health in that the medical model aims to treat illness and disease and the health belief model to address health inequalities that can lead to illness and disease. </w:t>
            </w:r>
            <w:proofErr w:type="spellStart"/>
            <w:r w:rsidR="00CB7A42">
              <w:rPr>
                <w:rFonts w:ascii="Aptos" w:hAnsi="Aptos"/>
                <w:color w:val="auto"/>
                <w:szCs w:val="24"/>
              </w:rPr>
              <w:t>Alyafei</w:t>
            </w:r>
            <w:proofErr w:type="spellEnd"/>
            <w:r w:rsidR="00CB7A42">
              <w:rPr>
                <w:rFonts w:ascii="Aptos" w:hAnsi="Aptos"/>
                <w:color w:val="auto"/>
                <w:szCs w:val="24"/>
              </w:rPr>
              <w:t xml:space="preserve"> and Easton-</w:t>
            </w:r>
            <w:proofErr w:type="spellStart"/>
            <w:r w:rsidR="00CB7A42">
              <w:rPr>
                <w:rFonts w:ascii="Aptos" w:hAnsi="Aptos"/>
                <w:color w:val="auto"/>
                <w:szCs w:val="24"/>
              </w:rPr>
              <w:t>Carr</w:t>
            </w:r>
            <w:proofErr w:type="spellEnd"/>
            <w:r w:rsidR="00CB7A42">
              <w:rPr>
                <w:rFonts w:ascii="Aptos" w:hAnsi="Aptos"/>
                <w:color w:val="auto"/>
                <w:szCs w:val="24"/>
              </w:rPr>
              <w:t xml:space="preserve"> (2024) argue that the </w:t>
            </w:r>
            <w:r w:rsidR="00AF37A5">
              <w:rPr>
                <w:rFonts w:ascii="Aptos" w:hAnsi="Aptos"/>
                <w:color w:val="auto"/>
                <w:szCs w:val="24"/>
              </w:rPr>
              <w:t xml:space="preserve">health belief </w:t>
            </w:r>
            <w:r w:rsidR="00CB7A42">
              <w:rPr>
                <w:rFonts w:ascii="Aptos" w:hAnsi="Aptos"/>
                <w:color w:val="auto"/>
                <w:szCs w:val="24"/>
              </w:rPr>
              <w:t>model do</w:t>
            </w:r>
            <w:r w:rsidR="00AF37A5">
              <w:rPr>
                <w:rFonts w:ascii="Aptos" w:hAnsi="Aptos"/>
                <w:color w:val="auto"/>
                <w:szCs w:val="24"/>
              </w:rPr>
              <w:t>es</w:t>
            </w:r>
            <w:r w:rsidR="00CB7A42">
              <w:rPr>
                <w:rFonts w:ascii="Aptos" w:hAnsi="Aptos"/>
                <w:color w:val="auto"/>
                <w:szCs w:val="24"/>
              </w:rPr>
              <w:t xml:space="preserve"> not take into consideration any emotional or social factors including culture and social influences on behaviours</w:t>
            </w:r>
            <w:r w:rsidR="00CB43F6">
              <w:rPr>
                <w:rFonts w:ascii="Aptos" w:hAnsi="Aptos"/>
                <w:color w:val="auto"/>
                <w:szCs w:val="24"/>
              </w:rPr>
              <w:t>.  This coincides with Cross and Woodall</w:t>
            </w:r>
            <w:r w:rsidR="00F6123E">
              <w:rPr>
                <w:rFonts w:ascii="Aptos" w:hAnsi="Aptos"/>
                <w:color w:val="auto"/>
                <w:szCs w:val="24"/>
              </w:rPr>
              <w:t>’s</w:t>
            </w:r>
            <w:r w:rsidR="00CB43F6">
              <w:rPr>
                <w:rFonts w:ascii="Aptos" w:hAnsi="Aptos"/>
                <w:color w:val="auto"/>
                <w:szCs w:val="24"/>
              </w:rPr>
              <w:t xml:space="preserve"> </w:t>
            </w:r>
            <w:r w:rsidR="0020375C">
              <w:rPr>
                <w:rFonts w:ascii="Aptos" w:hAnsi="Aptos"/>
                <w:color w:val="auto"/>
                <w:szCs w:val="24"/>
              </w:rPr>
              <w:t xml:space="preserve">(2024) opinion on the medical belief model. </w:t>
            </w:r>
          </w:p>
          <w:p w14:paraId="2ED94404" w14:textId="7F23246B" w:rsidR="00CB7A42" w:rsidRPr="00103003" w:rsidRDefault="007E1560" w:rsidP="00103003">
            <w:pPr>
              <w:spacing w:after="160" w:line="278" w:lineRule="auto"/>
              <w:ind w:left="0" w:firstLine="0"/>
              <w:jc w:val="both"/>
              <w:rPr>
                <w:rFonts w:ascii="Aptos" w:hAnsi="Aptos"/>
                <w:color w:val="auto"/>
                <w:szCs w:val="24"/>
              </w:rPr>
            </w:pPr>
            <w:r w:rsidRPr="007E1560">
              <w:rPr>
                <w:rFonts w:ascii="Aptos" w:hAnsi="Aptos"/>
                <w:color w:val="auto"/>
                <w:szCs w:val="24"/>
              </w:rPr>
              <w:t>In conclusion</w:t>
            </w:r>
            <w:r w:rsidR="00ED1A85">
              <w:rPr>
                <w:rFonts w:ascii="Aptos" w:hAnsi="Aptos"/>
                <w:color w:val="auto"/>
                <w:szCs w:val="24"/>
              </w:rPr>
              <w:t>,</w:t>
            </w:r>
            <w:r w:rsidRPr="007E1560">
              <w:rPr>
                <w:rFonts w:ascii="Aptos" w:hAnsi="Aptos"/>
                <w:color w:val="auto"/>
                <w:szCs w:val="24"/>
              </w:rPr>
              <w:t xml:space="preserve"> despite their differences both models can be used consecutively to provide effective care, tailoring to the needs of the patient. With professionals working in the community addressing behaviour change and healthcare professionals treating patients in clinical settings, both models can use a patient centred care approach to help patients understand health, thereby improving patient care and patient outcomes. </w:t>
            </w:r>
          </w:p>
          <w:p w14:paraId="7D2CA2B3" w14:textId="346AB7DF" w:rsidR="007E1560" w:rsidRDefault="007E1560">
            <w:pPr>
              <w:ind w:left="0" w:firstLine="0"/>
              <w:rPr>
                <w:rFonts w:asciiTheme="majorHAnsi" w:hAnsiTheme="majorHAnsi" w:cstheme="majorHAnsi"/>
                <w:szCs w:val="24"/>
              </w:rPr>
            </w:pPr>
          </w:p>
          <w:p w14:paraId="7D1CAFD0" w14:textId="5091BB8B" w:rsidR="007E1560" w:rsidRDefault="007E1560">
            <w:pPr>
              <w:ind w:left="0" w:firstLine="0"/>
              <w:rPr>
                <w:rFonts w:asciiTheme="majorHAnsi" w:hAnsiTheme="majorHAnsi" w:cstheme="majorHAnsi"/>
                <w:szCs w:val="24"/>
              </w:rPr>
            </w:pPr>
          </w:p>
          <w:p w14:paraId="01D49C71" w14:textId="7B193665" w:rsidR="007E1560" w:rsidRDefault="007E1560">
            <w:pPr>
              <w:ind w:left="0" w:firstLine="0"/>
              <w:rPr>
                <w:rFonts w:asciiTheme="majorHAnsi" w:hAnsiTheme="majorHAnsi" w:cstheme="majorHAnsi"/>
                <w:szCs w:val="24"/>
              </w:rPr>
            </w:pPr>
          </w:p>
          <w:p w14:paraId="1148A912" w14:textId="2B8ACC11" w:rsidR="00D03551" w:rsidRDefault="00D03551">
            <w:pPr>
              <w:ind w:left="0" w:firstLine="0"/>
              <w:rPr>
                <w:rFonts w:asciiTheme="majorHAnsi" w:hAnsiTheme="majorHAnsi" w:cstheme="majorHAnsi"/>
                <w:szCs w:val="24"/>
              </w:rPr>
            </w:pPr>
          </w:p>
          <w:p w14:paraId="06C36851" w14:textId="1185B17D" w:rsidR="00D03551" w:rsidRDefault="00D03551">
            <w:pPr>
              <w:ind w:left="0" w:firstLine="0"/>
              <w:rPr>
                <w:rFonts w:asciiTheme="majorHAnsi" w:hAnsiTheme="majorHAnsi" w:cstheme="majorHAnsi"/>
                <w:szCs w:val="24"/>
              </w:rPr>
            </w:pPr>
          </w:p>
          <w:p w14:paraId="50F6B584" w14:textId="239E7022" w:rsidR="00D03551" w:rsidRDefault="00D03551">
            <w:pPr>
              <w:ind w:left="0" w:firstLine="0"/>
              <w:rPr>
                <w:rFonts w:asciiTheme="majorHAnsi" w:hAnsiTheme="majorHAnsi" w:cstheme="majorHAnsi"/>
                <w:szCs w:val="24"/>
              </w:rPr>
            </w:pPr>
          </w:p>
          <w:p w14:paraId="10408067" w14:textId="77777777" w:rsidR="00D03551" w:rsidRDefault="00D03551">
            <w:pPr>
              <w:ind w:left="0" w:firstLine="0"/>
              <w:rPr>
                <w:rFonts w:asciiTheme="majorHAnsi" w:hAnsiTheme="majorHAnsi" w:cstheme="majorHAnsi"/>
                <w:szCs w:val="24"/>
              </w:rPr>
            </w:pPr>
          </w:p>
          <w:p w14:paraId="5122C657" w14:textId="77777777" w:rsidR="00C500DE" w:rsidRPr="00601B22" w:rsidRDefault="00C500DE">
            <w:pPr>
              <w:ind w:left="0" w:firstLine="0"/>
              <w:rPr>
                <w:rFonts w:asciiTheme="majorHAnsi" w:hAnsiTheme="majorHAnsi" w:cstheme="majorHAnsi"/>
                <w:szCs w:val="24"/>
              </w:rPr>
            </w:pPr>
          </w:p>
        </w:tc>
      </w:tr>
    </w:tbl>
    <w:p w14:paraId="1A5400A1"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C500DE" w:rsidRPr="00601B22" w14:paraId="2C0E473F" w14:textId="77777777" w:rsidTr="00C500DE">
        <w:tc>
          <w:tcPr>
            <w:tcW w:w="9016" w:type="dxa"/>
          </w:tcPr>
          <w:p w14:paraId="5B2B6D55" w14:textId="5DEFDAAA" w:rsidR="00C500DE" w:rsidRPr="00601B22" w:rsidRDefault="00C500DE" w:rsidP="00F62D93">
            <w:pPr>
              <w:spacing w:after="256"/>
              <w:ind w:left="-5"/>
              <w:rPr>
                <w:rFonts w:asciiTheme="majorHAnsi" w:hAnsiTheme="majorHAnsi" w:cstheme="majorHAnsi"/>
                <w:szCs w:val="24"/>
              </w:rPr>
            </w:pPr>
            <w:r w:rsidRPr="00601B22">
              <w:rPr>
                <w:rFonts w:asciiTheme="majorHAnsi" w:hAnsiTheme="majorHAnsi" w:cstheme="majorHAnsi"/>
                <w:szCs w:val="24"/>
              </w:rPr>
              <w:lastRenderedPageBreak/>
              <w:t xml:space="preserve">1.3 </w:t>
            </w:r>
            <w:r w:rsidR="00F62D93" w:rsidRPr="00601B22">
              <w:rPr>
                <w:rFonts w:asciiTheme="majorHAnsi" w:hAnsiTheme="majorHAnsi" w:cstheme="majorHAnsi"/>
                <w:szCs w:val="24"/>
              </w:rPr>
              <w:t>Describe</w:t>
            </w:r>
            <w:r w:rsidRPr="00601B22">
              <w:rPr>
                <w:rFonts w:asciiTheme="majorHAnsi" w:hAnsiTheme="majorHAnsi" w:cstheme="majorHAnsi"/>
                <w:szCs w:val="24"/>
              </w:rPr>
              <w:t xml:space="preserve"> a minimum of five determinants of health and provide examples of the impact of these determinants</w:t>
            </w:r>
            <w:r w:rsidR="006E53F1">
              <w:rPr>
                <w:rFonts w:asciiTheme="majorHAnsi" w:hAnsiTheme="majorHAnsi" w:cstheme="majorHAnsi"/>
                <w:szCs w:val="24"/>
              </w:rPr>
              <w:t xml:space="preserve"> upon a person’s health and wellbeing</w:t>
            </w:r>
            <w:r w:rsidR="00F62D93" w:rsidRPr="00601B22">
              <w:rPr>
                <w:rFonts w:asciiTheme="majorHAnsi" w:hAnsiTheme="majorHAnsi" w:cstheme="majorHAnsi"/>
                <w:szCs w:val="24"/>
              </w:rPr>
              <w:t>:</w:t>
            </w:r>
          </w:p>
        </w:tc>
      </w:tr>
      <w:tr w:rsidR="00C500DE" w:rsidRPr="00601B22" w14:paraId="5AD8BE02" w14:textId="77777777" w:rsidTr="00C500DE">
        <w:tc>
          <w:tcPr>
            <w:tcW w:w="9016" w:type="dxa"/>
          </w:tcPr>
          <w:p w14:paraId="4810C7C4" w14:textId="32762DFD" w:rsidR="007E1560" w:rsidRPr="007E1560" w:rsidRDefault="007E1560" w:rsidP="007E1560">
            <w:pPr>
              <w:spacing w:after="160" w:line="278" w:lineRule="auto"/>
              <w:ind w:left="0" w:firstLine="0"/>
              <w:jc w:val="both"/>
              <w:rPr>
                <w:rFonts w:ascii="Aptos" w:hAnsi="Aptos"/>
                <w:color w:val="auto"/>
                <w:szCs w:val="24"/>
              </w:rPr>
            </w:pPr>
            <w:r w:rsidRPr="007E1560">
              <w:rPr>
                <w:rFonts w:ascii="Aptos" w:hAnsi="Aptos"/>
                <w:color w:val="auto"/>
                <w:szCs w:val="24"/>
              </w:rPr>
              <w:t>The Determinants of Health are a range of non-medical multi factorial societal conditions that affect health outcomes.  They are defined by the World Health Organisation (2025) as those “in which people are born, grow, live, work and age”.  The World Health Organisation claim that the determinants of health impact health inequalities locally and globally,</w:t>
            </w:r>
            <w:r w:rsidR="00D03551">
              <w:rPr>
                <w:rFonts w:ascii="Aptos" w:hAnsi="Aptos"/>
                <w:color w:val="auto"/>
                <w:szCs w:val="24"/>
              </w:rPr>
              <w:t xml:space="preserve"> with NHS England (2025) describing them as</w:t>
            </w:r>
            <w:r w:rsidRPr="007E1560">
              <w:rPr>
                <w:rFonts w:ascii="Aptos" w:hAnsi="Aptos"/>
                <w:color w:val="auto"/>
                <w:szCs w:val="24"/>
              </w:rPr>
              <w:t xml:space="preserve"> the “unfair and avoidable differences in health </w:t>
            </w:r>
            <w:r w:rsidR="00D03551">
              <w:rPr>
                <w:rFonts w:ascii="Aptos" w:hAnsi="Aptos"/>
                <w:color w:val="auto"/>
                <w:szCs w:val="24"/>
              </w:rPr>
              <w:t>across the population</w:t>
            </w:r>
            <w:r w:rsidRPr="007E1560">
              <w:rPr>
                <w:rFonts w:ascii="Aptos" w:hAnsi="Aptos"/>
                <w:color w:val="auto"/>
                <w:szCs w:val="24"/>
              </w:rPr>
              <w:t>.”   The</w:t>
            </w:r>
            <w:r w:rsidR="00D03551">
              <w:rPr>
                <w:rFonts w:ascii="Aptos" w:hAnsi="Aptos"/>
                <w:color w:val="auto"/>
                <w:szCs w:val="24"/>
              </w:rPr>
              <w:t xml:space="preserve"> World Health Organisation</w:t>
            </w:r>
            <w:r w:rsidRPr="007E1560">
              <w:rPr>
                <w:rFonts w:ascii="Aptos" w:hAnsi="Aptos"/>
                <w:color w:val="auto"/>
                <w:szCs w:val="24"/>
              </w:rPr>
              <w:t xml:space="preserve"> identify several social determinants of health that affect societies across the world, including England and Wales, and are focused on social, economic and environmental factors. </w:t>
            </w:r>
          </w:p>
          <w:p w14:paraId="46CC9666" w14:textId="322D3F5A" w:rsidR="007E1560" w:rsidRPr="007E1560" w:rsidRDefault="000E2B4E" w:rsidP="007E1560">
            <w:pPr>
              <w:spacing w:after="160" w:line="278" w:lineRule="auto"/>
              <w:ind w:left="0" w:firstLine="0"/>
              <w:rPr>
                <w:rFonts w:ascii="Aptos" w:hAnsi="Aptos"/>
                <w:color w:val="auto"/>
                <w:szCs w:val="24"/>
              </w:rPr>
            </w:pPr>
            <w:r>
              <w:rPr>
                <w:rFonts w:ascii="Aptos" w:hAnsi="Aptos"/>
                <w:color w:val="auto"/>
                <w:szCs w:val="24"/>
              </w:rPr>
              <w:t xml:space="preserve">In 1991, </w:t>
            </w:r>
            <w:proofErr w:type="spellStart"/>
            <w:r w:rsidR="007E1560" w:rsidRPr="007E1560">
              <w:rPr>
                <w:rFonts w:ascii="Aptos" w:hAnsi="Aptos"/>
                <w:color w:val="auto"/>
                <w:szCs w:val="24"/>
              </w:rPr>
              <w:t>Dhalgren</w:t>
            </w:r>
            <w:proofErr w:type="spellEnd"/>
            <w:r w:rsidR="007E1560" w:rsidRPr="007E1560">
              <w:rPr>
                <w:rFonts w:ascii="Aptos" w:hAnsi="Aptos"/>
                <w:color w:val="auto"/>
                <w:szCs w:val="24"/>
              </w:rPr>
              <w:t xml:space="preserve"> and Whitehead </w:t>
            </w:r>
            <w:r>
              <w:rPr>
                <w:rFonts w:ascii="Aptos" w:hAnsi="Aptos"/>
                <w:color w:val="auto"/>
                <w:szCs w:val="24"/>
              </w:rPr>
              <w:t>created the ‘</w:t>
            </w:r>
            <w:r w:rsidR="007E1560" w:rsidRPr="007E1560">
              <w:rPr>
                <w:rFonts w:ascii="Aptos" w:hAnsi="Aptos"/>
                <w:color w:val="auto"/>
                <w:szCs w:val="24"/>
              </w:rPr>
              <w:t xml:space="preserve">rainbow model’ </w:t>
            </w:r>
            <w:r>
              <w:rPr>
                <w:rFonts w:ascii="Aptos" w:hAnsi="Aptos"/>
                <w:color w:val="auto"/>
                <w:szCs w:val="24"/>
              </w:rPr>
              <w:t xml:space="preserve">which </w:t>
            </w:r>
            <w:r w:rsidR="007E1560" w:rsidRPr="007E1560">
              <w:rPr>
                <w:rFonts w:ascii="Aptos" w:hAnsi="Aptos"/>
                <w:color w:val="auto"/>
                <w:szCs w:val="24"/>
              </w:rPr>
              <w:t>outlines the social determinants of health</w:t>
            </w:r>
            <w:r>
              <w:rPr>
                <w:rFonts w:ascii="Aptos" w:hAnsi="Aptos"/>
                <w:color w:val="auto"/>
                <w:szCs w:val="24"/>
              </w:rPr>
              <w:t>.  It reflects</w:t>
            </w:r>
            <w:r w:rsidR="007E1560" w:rsidRPr="007E1560">
              <w:rPr>
                <w:rFonts w:ascii="Aptos" w:hAnsi="Aptos"/>
                <w:color w:val="auto"/>
                <w:szCs w:val="24"/>
              </w:rPr>
              <w:t xml:space="preserve"> a relationship between the determinants of health and health inequalities, all of which affect health outcomes</w:t>
            </w:r>
            <w:r>
              <w:rPr>
                <w:rFonts w:ascii="Aptos" w:hAnsi="Aptos"/>
                <w:color w:val="auto"/>
                <w:szCs w:val="24"/>
              </w:rPr>
              <w:t xml:space="preserve"> (</w:t>
            </w:r>
            <w:proofErr w:type="spellStart"/>
            <w:r>
              <w:rPr>
                <w:rFonts w:ascii="Aptos" w:hAnsi="Aptos"/>
                <w:color w:val="auto"/>
                <w:szCs w:val="24"/>
              </w:rPr>
              <w:t>Dhalgren</w:t>
            </w:r>
            <w:proofErr w:type="spellEnd"/>
            <w:r>
              <w:rPr>
                <w:rFonts w:ascii="Aptos" w:hAnsi="Aptos"/>
                <w:color w:val="auto"/>
                <w:szCs w:val="24"/>
              </w:rPr>
              <w:t xml:space="preserve"> and Whitehead, 2021). </w:t>
            </w:r>
          </w:p>
          <w:p w14:paraId="31B2ABFC" w14:textId="77777777"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The World Health Organisation identify social status and income as determinants of health where those with better lifestyles, better jobs and better living standards have a longer life expectancy and less likely to develop illness than those from poorer backgrounds. </w:t>
            </w:r>
          </w:p>
          <w:p w14:paraId="2E7CAFB9" w14:textId="77777777"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They also recognise that individuals should have access to healthy environments such as clean water and air, sanitation, safe housing and healthy workplaces. Hiam et al (2024) found in their research that life expectancy in the United Kingdom has decreased with 9.6 million households living on incomes below the minimum standard with some living in non-insulated, cold and damp homes thereby putting adults and children’s health at risk. </w:t>
            </w:r>
          </w:p>
          <w:p w14:paraId="006E297F" w14:textId="77777777"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Social deprivation is also a determinant of health. Poverty in childhood can lead to poor behaviour in school increasing the risk of unemployment as adults.  The World Health Organisation recognises good education as associated with improved health outcomes.  In 2022 in the United Kingdom, 3.8 million people including 1 million children lacked essential items such as housing, heat, light, food, clothing and toiletries.  (Hiam et al 2024). </w:t>
            </w:r>
          </w:p>
          <w:p w14:paraId="59CF86C7" w14:textId="13B54389" w:rsid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Nutrition is also important as poor diets are associated with poorer health outcomes. Those living in deprivation are more likely to eat cheap processed foods rather than fresh foods which could be related to cost or lack of cooking skills.  The cost of living crisis in the United Kingdom has seen the cost of foods rise in the supermarket therefore exacerbating poorer health outcomes and health inequality. The number of children </w:t>
            </w:r>
            <w:r w:rsidR="002E2280">
              <w:rPr>
                <w:rFonts w:ascii="Aptos" w:hAnsi="Aptos"/>
                <w:color w:val="auto"/>
                <w:szCs w:val="24"/>
              </w:rPr>
              <w:t xml:space="preserve">living </w:t>
            </w:r>
            <w:r w:rsidRPr="007E1560">
              <w:rPr>
                <w:rFonts w:ascii="Aptos" w:hAnsi="Aptos"/>
                <w:color w:val="auto"/>
                <w:szCs w:val="24"/>
              </w:rPr>
              <w:t xml:space="preserve">in food poverty </w:t>
            </w:r>
            <w:r w:rsidR="002E2280">
              <w:rPr>
                <w:rFonts w:ascii="Aptos" w:hAnsi="Aptos"/>
                <w:color w:val="auto"/>
                <w:szCs w:val="24"/>
              </w:rPr>
              <w:t xml:space="preserve">equated to </w:t>
            </w:r>
            <w:r w:rsidRPr="007E1560">
              <w:rPr>
                <w:rFonts w:ascii="Aptos" w:hAnsi="Aptos"/>
                <w:color w:val="auto"/>
                <w:szCs w:val="24"/>
              </w:rPr>
              <w:t>4 million between 2022 and 2023 (Hiam et al 2024).</w:t>
            </w:r>
          </w:p>
          <w:p w14:paraId="01D485A9" w14:textId="77777777" w:rsidR="00D03551" w:rsidRDefault="00D03551" w:rsidP="007E1560">
            <w:pPr>
              <w:spacing w:after="160" w:line="278" w:lineRule="auto"/>
              <w:ind w:left="0" w:firstLine="0"/>
              <w:rPr>
                <w:rFonts w:ascii="Aptos" w:hAnsi="Aptos"/>
                <w:color w:val="auto"/>
                <w:szCs w:val="24"/>
              </w:rPr>
            </w:pPr>
          </w:p>
          <w:p w14:paraId="6E024F44" w14:textId="158A9DCD"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lastRenderedPageBreak/>
              <w:t xml:space="preserve">Stress is also identified as a social determinant of health as individuals are more likely to experience anxiety and illness through low self-esteem if living in long term stressful conditions.  Unemployment and poor job prospects resulting in debt and financial instability can increase risk of ill health through stress. </w:t>
            </w:r>
          </w:p>
          <w:p w14:paraId="65B021A7" w14:textId="77777777"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The World Health Organisation recognises the importance of individuals feeling supported through good social networks which will improve health and wellbeing in the community, at home and in work.  They have also added a digital determinant of health where people should have access to the internet and digital literacy. </w:t>
            </w:r>
          </w:p>
          <w:p w14:paraId="3107F1F7" w14:textId="15221E9B"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In 2010, six Marmot Principles based on the World Health Organisation inequalities were set up as part of the Fair Society, Healthy Lives campaign to tackle health inequalities in the UK.  In 2020, this was reviewed and another two </w:t>
            </w:r>
            <w:proofErr w:type="spellStart"/>
            <w:r w:rsidRPr="007E1560">
              <w:rPr>
                <w:rFonts w:ascii="Aptos" w:hAnsi="Aptos"/>
                <w:color w:val="auto"/>
                <w:szCs w:val="24"/>
              </w:rPr>
              <w:t>principles</w:t>
            </w:r>
            <w:proofErr w:type="spellEnd"/>
            <w:r w:rsidRPr="007E1560">
              <w:rPr>
                <w:rFonts w:ascii="Aptos" w:hAnsi="Aptos"/>
                <w:color w:val="auto"/>
                <w:szCs w:val="24"/>
              </w:rPr>
              <w:t xml:space="preserve"> were added.  These principles focus on ensuring that every child has the best start in life, everybody being able to maximise their capabilities and having control over their lives with access to fair employment, good working conditions and healthy living standards. Healthy and sustainable places and communities should be set up, ill health prevention strengthened, racism and discrimination addressed, and environmental sustainability pursued</w:t>
            </w:r>
            <w:r w:rsidR="000E2B4E">
              <w:rPr>
                <w:rFonts w:ascii="Aptos" w:hAnsi="Aptos"/>
                <w:color w:val="auto"/>
                <w:szCs w:val="24"/>
              </w:rPr>
              <w:t xml:space="preserve"> (Local Government Association, 2025). </w:t>
            </w:r>
          </w:p>
          <w:p w14:paraId="18DA5298" w14:textId="77777777"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Hiam et al (2024) found a correlation between a deterioration in health in the UK and cuts in public spending.  They argue that the government does not provide enough money for people to live healthily.  Conversely, health inequalities remain high on the government agenda with public health agencies trying to implement policies and strategies that fit with the Marmot principles to help reduce the impact of health inequalities in the country.  Hiam et al (2024) argue that asking individuals to make choices that their circumstances do not allow causes a persistence in health inequality.</w:t>
            </w:r>
          </w:p>
          <w:p w14:paraId="0A9F5E19" w14:textId="0C68B2B8"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The </w:t>
            </w:r>
            <w:r w:rsidR="000E2B4E">
              <w:rPr>
                <w:rFonts w:ascii="Aptos" w:hAnsi="Aptos"/>
                <w:color w:val="auto"/>
                <w:szCs w:val="24"/>
              </w:rPr>
              <w:t>Local Government Association (2025)</w:t>
            </w:r>
            <w:r w:rsidRPr="007E1560">
              <w:rPr>
                <w:rFonts w:ascii="Aptos" w:hAnsi="Aptos"/>
                <w:color w:val="auto"/>
                <w:szCs w:val="24"/>
              </w:rPr>
              <w:t xml:space="preserve"> recognises the importance of co-designing services and encourages places to become ‘a Marmot Place’ to reduce health inequalities. </w:t>
            </w:r>
          </w:p>
          <w:p w14:paraId="040F6F7C" w14:textId="5118631C" w:rsid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In Wales, the Well-being of Future Generations Act (2015) provides a framework for addressing the determinants of health with Public Health Wales setting up the Our Long Term Strategy 2023-2035 to address and reduce the determinants of health in Wales.  The key determinants in Wales </w:t>
            </w:r>
            <w:r w:rsidR="0022446C">
              <w:rPr>
                <w:rFonts w:ascii="Aptos" w:hAnsi="Aptos"/>
                <w:color w:val="auto"/>
                <w:szCs w:val="24"/>
              </w:rPr>
              <w:t>covered</w:t>
            </w:r>
            <w:r w:rsidRPr="007E1560">
              <w:rPr>
                <w:rFonts w:ascii="Aptos" w:hAnsi="Aptos"/>
                <w:color w:val="auto"/>
                <w:szCs w:val="24"/>
              </w:rPr>
              <w:t xml:space="preserve"> </w:t>
            </w:r>
            <w:r w:rsidR="000E2B4E">
              <w:rPr>
                <w:rFonts w:ascii="Aptos" w:hAnsi="Aptos"/>
                <w:color w:val="auto"/>
                <w:szCs w:val="24"/>
              </w:rPr>
              <w:t xml:space="preserve">in the strategy </w:t>
            </w:r>
            <w:r w:rsidRPr="007E1560">
              <w:rPr>
                <w:rFonts w:ascii="Aptos" w:hAnsi="Aptos"/>
                <w:color w:val="auto"/>
                <w:szCs w:val="24"/>
              </w:rPr>
              <w:t xml:space="preserve">are </w:t>
            </w:r>
            <w:r w:rsidR="000E2B4E">
              <w:rPr>
                <w:rFonts w:ascii="Aptos" w:hAnsi="Aptos"/>
                <w:color w:val="auto"/>
                <w:szCs w:val="24"/>
              </w:rPr>
              <w:t xml:space="preserve">good </w:t>
            </w:r>
            <w:r w:rsidRPr="007E1560">
              <w:rPr>
                <w:rFonts w:ascii="Aptos" w:hAnsi="Aptos"/>
                <w:color w:val="auto"/>
                <w:szCs w:val="24"/>
              </w:rPr>
              <w:t>education</w:t>
            </w:r>
            <w:r w:rsidR="000E2B4E">
              <w:rPr>
                <w:rFonts w:ascii="Aptos" w:hAnsi="Aptos"/>
                <w:color w:val="auto"/>
                <w:szCs w:val="24"/>
              </w:rPr>
              <w:t xml:space="preserve"> skills</w:t>
            </w:r>
            <w:r w:rsidRPr="007E1560">
              <w:rPr>
                <w:rFonts w:ascii="Aptos" w:hAnsi="Aptos"/>
                <w:color w:val="auto"/>
                <w:szCs w:val="24"/>
              </w:rPr>
              <w:t xml:space="preserve">, fair work, </w:t>
            </w:r>
            <w:r w:rsidR="000E2B4E">
              <w:rPr>
                <w:rFonts w:ascii="Aptos" w:hAnsi="Aptos"/>
                <w:color w:val="auto"/>
                <w:szCs w:val="24"/>
              </w:rPr>
              <w:t xml:space="preserve">sufficient </w:t>
            </w:r>
            <w:r w:rsidRPr="007E1560">
              <w:rPr>
                <w:rFonts w:ascii="Aptos" w:hAnsi="Aptos"/>
                <w:color w:val="auto"/>
                <w:szCs w:val="24"/>
              </w:rPr>
              <w:t xml:space="preserve">money and resources, </w:t>
            </w:r>
            <w:r w:rsidR="000E2B4E">
              <w:rPr>
                <w:rFonts w:ascii="Aptos" w:hAnsi="Aptos"/>
                <w:color w:val="auto"/>
                <w:szCs w:val="24"/>
              </w:rPr>
              <w:t xml:space="preserve">quality accessible </w:t>
            </w:r>
            <w:r w:rsidRPr="007E1560">
              <w:rPr>
                <w:rFonts w:ascii="Aptos" w:hAnsi="Aptos"/>
                <w:color w:val="auto"/>
                <w:szCs w:val="24"/>
              </w:rPr>
              <w:t xml:space="preserve">housing, </w:t>
            </w:r>
            <w:r w:rsidR="000E2B4E">
              <w:rPr>
                <w:rFonts w:ascii="Aptos" w:hAnsi="Aptos"/>
                <w:color w:val="auto"/>
                <w:szCs w:val="24"/>
              </w:rPr>
              <w:t xml:space="preserve">well-designed </w:t>
            </w:r>
            <w:r w:rsidRPr="007E1560">
              <w:rPr>
                <w:rFonts w:ascii="Aptos" w:hAnsi="Aptos"/>
                <w:color w:val="auto"/>
                <w:szCs w:val="24"/>
              </w:rPr>
              <w:t>transport and the built and natural environment</w:t>
            </w:r>
            <w:r w:rsidR="000E2B4E">
              <w:rPr>
                <w:rFonts w:ascii="Aptos" w:hAnsi="Aptos"/>
                <w:color w:val="auto"/>
                <w:szCs w:val="24"/>
              </w:rPr>
              <w:t xml:space="preserve"> that supports health and wellbeing</w:t>
            </w:r>
            <w:r w:rsidRPr="007E1560">
              <w:rPr>
                <w:rFonts w:ascii="Aptos" w:hAnsi="Aptos"/>
                <w:color w:val="auto"/>
                <w:szCs w:val="24"/>
              </w:rPr>
              <w:t xml:space="preserve">. Public Health Wales </w:t>
            </w:r>
            <w:r w:rsidR="00F01856">
              <w:rPr>
                <w:rFonts w:ascii="Aptos" w:hAnsi="Aptos"/>
                <w:color w:val="auto"/>
                <w:szCs w:val="24"/>
              </w:rPr>
              <w:t>(2023) recognise</w:t>
            </w:r>
            <w:r w:rsidRPr="007E1560">
              <w:rPr>
                <w:rFonts w:ascii="Aptos" w:hAnsi="Aptos"/>
                <w:color w:val="auto"/>
                <w:szCs w:val="24"/>
              </w:rPr>
              <w:t xml:space="preserve"> that everybody should be entitled to good health such as </w:t>
            </w:r>
            <w:r w:rsidR="000E2B4E">
              <w:rPr>
                <w:rFonts w:ascii="Aptos" w:hAnsi="Aptos"/>
                <w:color w:val="auto"/>
                <w:szCs w:val="24"/>
              </w:rPr>
              <w:t xml:space="preserve">a </w:t>
            </w:r>
            <w:r w:rsidRPr="007E1560">
              <w:rPr>
                <w:rFonts w:ascii="Aptos" w:hAnsi="Aptos"/>
                <w:color w:val="auto"/>
                <w:szCs w:val="24"/>
              </w:rPr>
              <w:t>good education, a safe and warm home, fair work, income, affordable transport and healthy physical environments.</w:t>
            </w:r>
          </w:p>
          <w:p w14:paraId="2F9F044A" w14:textId="77777777" w:rsidR="00D03551" w:rsidRDefault="00D03551" w:rsidP="007E1560">
            <w:pPr>
              <w:spacing w:after="160" w:line="278" w:lineRule="auto"/>
              <w:ind w:left="0" w:firstLine="0"/>
              <w:rPr>
                <w:rFonts w:ascii="Aptos" w:hAnsi="Aptos"/>
                <w:color w:val="auto"/>
                <w:szCs w:val="24"/>
              </w:rPr>
            </w:pPr>
          </w:p>
          <w:p w14:paraId="04A51F92" w14:textId="571B932E"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In 2023, Swansea Bay University Health Board set up the Swansea Bay Population Health Strategy using the Marmot principles and World Health Organisation policies to improve overall health and wellbeing by reducing inequalities </w:t>
            </w:r>
            <w:r w:rsidR="00457BC6">
              <w:rPr>
                <w:rFonts w:ascii="Aptos" w:hAnsi="Aptos"/>
                <w:color w:val="auto"/>
                <w:szCs w:val="24"/>
              </w:rPr>
              <w:t>in</w:t>
            </w:r>
            <w:r w:rsidRPr="007E1560">
              <w:rPr>
                <w:rFonts w:ascii="Aptos" w:hAnsi="Aptos"/>
                <w:color w:val="auto"/>
                <w:szCs w:val="24"/>
              </w:rPr>
              <w:t xml:space="preserve"> the local population. The focus of the strategy is poor air quality in the area with the health board working in collaboration with others to co-design services to find a nature-based solution.</w:t>
            </w:r>
          </w:p>
          <w:p w14:paraId="4DB8D7D0" w14:textId="0BB638B3" w:rsidR="007E1560" w:rsidRPr="007E1560" w:rsidRDefault="007E1560" w:rsidP="007E1560">
            <w:pPr>
              <w:spacing w:after="160" w:line="278" w:lineRule="auto"/>
              <w:ind w:left="0" w:firstLine="0"/>
              <w:rPr>
                <w:rFonts w:ascii="Aptos" w:hAnsi="Aptos"/>
                <w:color w:val="auto"/>
                <w:szCs w:val="24"/>
              </w:rPr>
            </w:pPr>
            <w:r w:rsidRPr="007E1560">
              <w:rPr>
                <w:rFonts w:ascii="Aptos" w:hAnsi="Aptos"/>
                <w:color w:val="auto"/>
                <w:szCs w:val="24"/>
              </w:rPr>
              <w:t xml:space="preserve">In conclusion, the social determinants of health and health inequalities are </w:t>
            </w:r>
            <w:r w:rsidR="00771BB2">
              <w:rPr>
                <w:rFonts w:ascii="Aptos" w:hAnsi="Aptos"/>
                <w:color w:val="auto"/>
                <w:szCs w:val="24"/>
              </w:rPr>
              <w:t xml:space="preserve">a global issue with </w:t>
            </w:r>
            <w:r w:rsidRPr="007E1560">
              <w:rPr>
                <w:rFonts w:ascii="Aptos" w:hAnsi="Aptos"/>
                <w:color w:val="auto"/>
                <w:szCs w:val="24"/>
              </w:rPr>
              <w:t>England and Wales addressing their own determinants through the Marmot Principles</w:t>
            </w:r>
            <w:r w:rsidR="00771BB2">
              <w:rPr>
                <w:rFonts w:ascii="Aptos" w:hAnsi="Aptos"/>
                <w:color w:val="auto"/>
                <w:szCs w:val="24"/>
              </w:rPr>
              <w:t xml:space="preserve">.  </w:t>
            </w:r>
            <w:r w:rsidRPr="007E1560">
              <w:rPr>
                <w:rFonts w:ascii="Aptos" w:hAnsi="Aptos"/>
                <w:color w:val="auto"/>
                <w:szCs w:val="24"/>
              </w:rPr>
              <w:t xml:space="preserve"> </w:t>
            </w:r>
            <w:r w:rsidR="00771BB2">
              <w:rPr>
                <w:rFonts w:ascii="Aptos" w:hAnsi="Aptos"/>
                <w:color w:val="auto"/>
                <w:szCs w:val="24"/>
              </w:rPr>
              <w:t>W</w:t>
            </w:r>
            <w:r w:rsidRPr="007E1560">
              <w:rPr>
                <w:rFonts w:ascii="Aptos" w:hAnsi="Aptos"/>
                <w:color w:val="auto"/>
                <w:szCs w:val="24"/>
              </w:rPr>
              <w:t>ith governments and local agencies helping to improve health inequalities in their areas</w:t>
            </w:r>
            <w:r w:rsidR="00771BB2">
              <w:rPr>
                <w:rFonts w:ascii="Aptos" w:hAnsi="Aptos"/>
                <w:color w:val="auto"/>
                <w:szCs w:val="24"/>
              </w:rPr>
              <w:t xml:space="preserve">, they aim </w:t>
            </w:r>
            <w:r w:rsidR="00411D6D">
              <w:rPr>
                <w:rFonts w:ascii="Aptos" w:hAnsi="Aptos"/>
                <w:color w:val="auto"/>
                <w:szCs w:val="24"/>
              </w:rPr>
              <w:t>to ensure</w:t>
            </w:r>
            <w:r w:rsidR="001D10DD">
              <w:rPr>
                <w:rFonts w:ascii="Aptos" w:hAnsi="Aptos"/>
                <w:color w:val="auto"/>
                <w:szCs w:val="24"/>
              </w:rPr>
              <w:t xml:space="preserve"> that</w:t>
            </w:r>
            <w:r w:rsidR="00411D6D">
              <w:rPr>
                <w:rFonts w:ascii="Aptos" w:hAnsi="Aptos"/>
                <w:color w:val="auto"/>
                <w:szCs w:val="24"/>
              </w:rPr>
              <w:t xml:space="preserve"> health and wellbeing are improved for all. </w:t>
            </w:r>
          </w:p>
          <w:p w14:paraId="273F8DF6" w14:textId="77777777" w:rsidR="00C500DE" w:rsidRPr="00601B22" w:rsidRDefault="00C500DE">
            <w:pPr>
              <w:ind w:left="0" w:firstLine="0"/>
              <w:rPr>
                <w:rFonts w:asciiTheme="majorHAnsi" w:hAnsiTheme="majorHAnsi" w:cstheme="majorHAnsi"/>
                <w:szCs w:val="24"/>
              </w:rPr>
            </w:pPr>
          </w:p>
          <w:p w14:paraId="4AF29282" w14:textId="77777777" w:rsidR="00F62D93" w:rsidRPr="00601B22" w:rsidRDefault="00F62D93">
            <w:pPr>
              <w:ind w:left="0" w:firstLine="0"/>
              <w:rPr>
                <w:rFonts w:asciiTheme="majorHAnsi" w:hAnsiTheme="majorHAnsi" w:cstheme="majorHAnsi"/>
                <w:szCs w:val="24"/>
              </w:rPr>
            </w:pPr>
          </w:p>
          <w:p w14:paraId="2B9D80CF" w14:textId="77777777" w:rsidR="00F62D93" w:rsidRPr="00601B22" w:rsidRDefault="00F62D93">
            <w:pPr>
              <w:ind w:left="0" w:firstLine="0"/>
              <w:rPr>
                <w:rFonts w:asciiTheme="majorHAnsi" w:hAnsiTheme="majorHAnsi" w:cstheme="majorHAnsi"/>
                <w:szCs w:val="24"/>
              </w:rPr>
            </w:pPr>
          </w:p>
          <w:p w14:paraId="7FB85D0A" w14:textId="77777777" w:rsidR="00F62D93" w:rsidRPr="00601B22" w:rsidRDefault="00F62D93">
            <w:pPr>
              <w:ind w:left="0" w:firstLine="0"/>
              <w:rPr>
                <w:rFonts w:asciiTheme="majorHAnsi" w:hAnsiTheme="majorHAnsi" w:cstheme="majorHAnsi"/>
                <w:szCs w:val="24"/>
              </w:rPr>
            </w:pPr>
          </w:p>
          <w:p w14:paraId="5CB53713" w14:textId="77777777" w:rsidR="00F62D93" w:rsidRPr="00601B22" w:rsidRDefault="00F62D93">
            <w:pPr>
              <w:ind w:left="0" w:firstLine="0"/>
              <w:rPr>
                <w:rFonts w:asciiTheme="majorHAnsi" w:hAnsiTheme="majorHAnsi" w:cstheme="majorHAnsi"/>
                <w:szCs w:val="24"/>
              </w:rPr>
            </w:pPr>
          </w:p>
          <w:p w14:paraId="60AAC983" w14:textId="77777777" w:rsidR="00F62D93" w:rsidRPr="00601B22" w:rsidRDefault="00F62D93">
            <w:pPr>
              <w:ind w:left="0" w:firstLine="0"/>
              <w:rPr>
                <w:rFonts w:asciiTheme="majorHAnsi" w:hAnsiTheme="majorHAnsi" w:cstheme="majorHAnsi"/>
                <w:szCs w:val="24"/>
              </w:rPr>
            </w:pPr>
          </w:p>
          <w:p w14:paraId="4062F730" w14:textId="77777777" w:rsidR="00F62D93" w:rsidRPr="00601B22" w:rsidRDefault="00F62D93">
            <w:pPr>
              <w:ind w:left="0" w:firstLine="0"/>
              <w:rPr>
                <w:rFonts w:asciiTheme="majorHAnsi" w:hAnsiTheme="majorHAnsi" w:cstheme="majorHAnsi"/>
                <w:szCs w:val="24"/>
              </w:rPr>
            </w:pPr>
          </w:p>
          <w:p w14:paraId="50B4931D" w14:textId="77777777" w:rsidR="00F62D93" w:rsidRPr="00601B22" w:rsidRDefault="00F62D93">
            <w:pPr>
              <w:ind w:left="0" w:firstLine="0"/>
              <w:rPr>
                <w:rFonts w:asciiTheme="majorHAnsi" w:hAnsiTheme="majorHAnsi" w:cstheme="majorHAnsi"/>
                <w:szCs w:val="24"/>
              </w:rPr>
            </w:pPr>
          </w:p>
          <w:p w14:paraId="5900AA73" w14:textId="77777777" w:rsidR="00F62D93" w:rsidRPr="00601B22" w:rsidRDefault="00F62D93">
            <w:pPr>
              <w:ind w:left="0" w:firstLine="0"/>
              <w:rPr>
                <w:rFonts w:asciiTheme="majorHAnsi" w:hAnsiTheme="majorHAnsi" w:cstheme="majorHAnsi"/>
                <w:szCs w:val="24"/>
              </w:rPr>
            </w:pPr>
          </w:p>
          <w:p w14:paraId="2579090F" w14:textId="77777777" w:rsidR="00F62D93" w:rsidRPr="00601B22" w:rsidRDefault="00F62D93">
            <w:pPr>
              <w:ind w:left="0" w:firstLine="0"/>
              <w:rPr>
                <w:rFonts w:asciiTheme="majorHAnsi" w:hAnsiTheme="majorHAnsi" w:cstheme="majorHAnsi"/>
                <w:szCs w:val="24"/>
              </w:rPr>
            </w:pPr>
          </w:p>
          <w:p w14:paraId="3AD00EE8" w14:textId="77777777" w:rsidR="00F62D93" w:rsidRPr="00601B22" w:rsidRDefault="00F62D93">
            <w:pPr>
              <w:ind w:left="0" w:firstLine="0"/>
              <w:rPr>
                <w:rFonts w:asciiTheme="majorHAnsi" w:hAnsiTheme="majorHAnsi" w:cstheme="majorHAnsi"/>
                <w:szCs w:val="24"/>
              </w:rPr>
            </w:pPr>
          </w:p>
        </w:tc>
      </w:tr>
    </w:tbl>
    <w:p w14:paraId="62D1B797" w14:textId="77777777" w:rsidR="00C500DE" w:rsidRPr="00062104" w:rsidRDefault="00C500DE">
      <w:pPr>
        <w:rPr>
          <w:rFonts w:asciiTheme="majorHAnsi" w:hAnsiTheme="majorHAnsi" w:cstheme="majorHAnsi"/>
          <w:b/>
          <w:bCs/>
          <w:szCs w:val="24"/>
        </w:rPr>
      </w:pPr>
    </w:p>
    <w:p w14:paraId="2620583C" w14:textId="77777777" w:rsidR="00E1298E" w:rsidRDefault="00E1298E" w:rsidP="00E1298E">
      <w:pPr>
        <w:rPr>
          <w:rFonts w:asciiTheme="majorHAnsi" w:hAnsiTheme="majorHAnsi" w:cstheme="majorHAnsi"/>
          <w:b/>
          <w:bCs/>
          <w:szCs w:val="24"/>
        </w:rPr>
      </w:pPr>
    </w:p>
    <w:p w14:paraId="0F7945A2" w14:textId="77777777" w:rsidR="007E1560" w:rsidRDefault="007E1560">
      <w:pPr>
        <w:spacing w:after="160" w:line="259" w:lineRule="auto"/>
        <w:ind w:left="0" w:firstLine="0"/>
        <w:rPr>
          <w:rFonts w:asciiTheme="majorHAnsi" w:hAnsiTheme="majorHAnsi" w:cstheme="majorHAnsi"/>
          <w:b/>
          <w:bCs/>
          <w:szCs w:val="24"/>
        </w:rPr>
      </w:pPr>
      <w:r>
        <w:rPr>
          <w:rFonts w:asciiTheme="majorHAnsi" w:hAnsiTheme="majorHAnsi" w:cstheme="majorHAnsi"/>
          <w:b/>
          <w:bCs/>
          <w:szCs w:val="24"/>
        </w:rPr>
        <w:br w:type="page"/>
      </w:r>
    </w:p>
    <w:p w14:paraId="6A45B867" w14:textId="77777777" w:rsidR="007E1560" w:rsidRDefault="007E1560" w:rsidP="007E1560">
      <w:pPr>
        <w:rPr>
          <w:rFonts w:asciiTheme="majorHAnsi" w:hAnsiTheme="majorHAnsi" w:cstheme="majorHAnsi"/>
          <w:b/>
          <w:bCs/>
          <w:szCs w:val="24"/>
        </w:rPr>
      </w:pPr>
    </w:p>
    <w:p w14:paraId="6432B606" w14:textId="61252D3F" w:rsidR="00F62D93" w:rsidRPr="00062104" w:rsidRDefault="00F62D93" w:rsidP="007E1560">
      <w:pPr>
        <w:rPr>
          <w:rFonts w:asciiTheme="majorHAnsi" w:hAnsiTheme="majorHAnsi" w:cstheme="majorHAnsi"/>
          <w:b/>
          <w:bCs/>
          <w:szCs w:val="24"/>
        </w:rPr>
      </w:pPr>
      <w:r w:rsidRPr="00062104">
        <w:rPr>
          <w:rFonts w:asciiTheme="majorHAnsi" w:hAnsiTheme="majorHAnsi" w:cstheme="majorHAnsi"/>
          <w:b/>
          <w:bCs/>
          <w:szCs w:val="24"/>
        </w:rPr>
        <w:t>Task Two</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Understand the benefits of self-management for people and approaches that empower them to improve their health and wellbeing.</w:t>
      </w:r>
    </w:p>
    <w:tbl>
      <w:tblPr>
        <w:tblStyle w:val="TableGrid0"/>
        <w:tblW w:w="0" w:type="auto"/>
        <w:tblInd w:w="-5" w:type="dxa"/>
        <w:tblLook w:val="04A0" w:firstRow="1" w:lastRow="0" w:firstColumn="1" w:lastColumn="0" w:noHBand="0" w:noVBand="1"/>
      </w:tblPr>
      <w:tblGrid>
        <w:gridCol w:w="9021"/>
      </w:tblGrid>
      <w:tr w:rsidR="00F62D93" w:rsidRPr="00601B22" w14:paraId="42D02BD8" w14:textId="77777777" w:rsidTr="006E53F1">
        <w:tc>
          <w:tcPr>
            <w:tcW w:w="9021" w:type="dxa"/>
          </w:tcPr>
          <w:p w14:paraId="5FEF32A7" w14:textId="2003FF15" w:rsidR="00F62D93"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4B3551" w:rsidRPr="00601B22">
              <w:rPr>
                <w:rFonts w:asciiTheme="majorHAnsi" w:hAnsiTheme="majorHAnsi" w:cstheme="majorHAnsi"/>
                <w:szCs w:val="24"/>
              </w:rPr>
              <w:t>Describe the concept of empowerment and the benefits</w:t>
            </w:r>
            <w:r w:rsidR="004D0980">
              <w:rPr>
                <w:rFonts w:asciiTheme="majorHAnsi" w:hAnsiTheme="majorHAnsi" w:cstheme="majorHAnsi"/>
                <w:szCs w:val="24"/>
              </w:rPr>
              <w:t xml:space="preserve"> to individuals when </w:t>
            </w:r>
            <w:r w:rsidR="002F3EF4">
              <w:rPr>
                <w:rFonts w:asciiTheme="majorHAnsi" w:hAnsiTheme="majorHAnsi" w:cstheme="majorHAnsi"/>
                <w:szCs w:val="24"/>
              </w:rPr>
              <w:t xml:space="preserve">empowered to </w:t>
            </w:r>
            <w:r w:rsidR="004D0980">
              <w:rPr>
                <w:rFonts w:asciiTheme="majorHAnsi" w:hAnsiTheme="majorHAnsi" w:cstheme="majorHAnsi"/>
                <w:szCs w:val="24"/>
              </w:rPr>
              <w:t>manag</w:t>
            </w:r>
            <w:r w:rsidR="002F3EF4">
              <w:rPr>
                <w:rFonts w:asciiTheme="majorHAnsi" w:hAnsiTheme="majorHAnsi" w:cstheme="majorHAnsi"/>
                <w:szCs w:val="24"/>
              </w:rPr>
              <w:t>e</w:t>
            </w:r>
            <w:r w:rsidR="004D0980">
              <w:rPr>
                <w:rFonts w:asciiTheme="majorHAnsi" w:hAnsiTheme="majorHAnsi" w:cstheme="majorHAnsi"/>
                <w:szCs w:val="24"/>
              </w:rPr>
              <w:t xml:space="preserve"> their own health</w:t>
            </w:r>
            <w:r w:rsidR="004B3551" w:rsidRPr="00601B22">
              <w:rPr>
                <w:rFonts w:asciiTheme="majorHAnsi" w:hAnsiTheme="majorHAnsi" w:cstheme="majorHAnsi"/>
                <w:szCs w:val="24"/>
              </w:rPr>
              <w:t>:</w:t>
            </w:r>
          </w:p>
          <w:p w14:paraId="1E29C0A5" w14:textId="77777777" w:rsidR="00F62D93" w:rsidRPr="00601B22" w:rsidRDefault="00F62D93" w:rsidP="00F62D93">
            <w:pPr>
              <w:spacing w:after="83" w:line="239" w:lineRule="auto"/>
              <w:ind w:left="0" w:firstLine="0"/>
              <w:rPr>
                <w:rFonts w:asciiTheme="majorHAnsi" w:hAnsiTheme="majorHAnsi" w:cstheme="majorHAnsi"/>
                <w:szCs w:val="24"/>
              </w:rPr>
            </w:pPr>
          </w:p>
        </w:tc>
      </w:tr>
      <w:tr w:rsidR="00F62D93" w:rsidRPr="00601B22" w14:paraId="6ADE852E" w14:textId="77777777" w:rsidTr="006E53F1">
        <w:tc>
          <w:tcPr>
            <w:tcW w:w="9021" w:type="dxa"/>
          </w:tcPr>
          <w:p w14:paraId="7CA00D8E"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Empowerment is a concept that encourages individuals to take control over their own health by making decisions themselves about their own healthcare with less reliance on others to make the decisions for them (Jiang et al, 2022).  This gives individuals responsibility to make informed decisions about their health and wellbeing. </w:t>
            </w:r>
          </w:p>
          <w:p w14:paraId="2335012A" w14:textId="4CBA06C8"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Evans, </w:t>
            </w:r>
            <w:proofErr w:type="spellStart"/>
            <w:r w:rsidRPr="000751B6">
              <w:rPr>
                <w:rFonts w:ascii="Calibri" w:eastAsia="Calibri" w:hAnsi="Calibri"/>
                <w:color w:val="auto"/>
                <w:kern w:val="0"/>
                <w:szCs w:val="24"/>
                <w:lang w:eastAsia="en-US"/>
                <w14:ligatures w14:val="none"/>
              </w:rPr>
              <w:t>Coutsaftiki</w:t>
            </w:r>
            <w:proofErr w:type="spellEnd"/>
            <w:r w:rsidRPr="000751B6">
              <w:rPr>
                <w:rFonts w:ascii="Calibri" w:eastAsia="Calibri" w:hAnsi="Calibri"/>
                <w:color w:val="auto"/>
                <w:kern w:val="0"/>
                <w:szCs w:val="24"/>
                <w:lang w:eastAsia="en-US"/>
                <w14:ligatures w14:val="none"/>
              </w:rPr>
              <w:t xml:space="preserve"> and Fathers (2017) claim that the concept of empowerment has been one of the most significant innovations in health promotion over the past 20 years in the management of long-term health conditions. In </w:t>
            </w:r>
            <w:r w:rsidR="00695818">
              <w:rPr>
                <w:rFonts w:ascii="Calibri" w:eastAsia="Calibri" w:hAnsi="Calibri"/>
                <w:color w:val="auto"/>
                <w:kern w:val="0"/>
                <w:szCs w:val="24"/>
                <w:lang w:eastAsia="en-US"/>
                <w14:ligatures w14:val="none"/>
              </w:rPr>
              <w:t xml:space="preserve">Nutrition &amp; </w:t>
            </w:r>
            <w:r w:rsidRPr="000751B6">
              <w:rPr>
                <w:rFonts w:ascii="Calibri" w:eastAsia="Calibri" w:hAnsi="Calibri"/>
                <w:color w:val="auto"/>
                <w:kern w:val="0"/>
                <w:szCs w:val="24"/>
                <w:lang w:eastAsia="en-US"/>
                <w14:ligatures w14:val="none"/>
              </w:rPr>
              <w:t xml:space="preserve">Dietetics, for example, through empowerment individuals </w:t>
            </w:r>
            <w:r w:rsidR="00042761">
              <w:rPr>
                <w:rFonts w:ascii="Calibri" w:eastAsia="Calibri" w:hAnsi="Calibri"/>
                <w:color w:val="auto"/>
                <w:kern w:val="0"/>
                <w:szCs w:val="24"/>
                <w:lang w:eastAsia="en-US"/>
                <w14:ligatures w14:val="none"/>
              </w:rPr>
              <w:t>can</w:t>
            </w:r>
            <w:r w:rsidRPr="000751B6">
              <w:rPr>
                <w:rFonts w:ascii="Calibri" w:eastAsia="Calibri" w:hAnsi="Calibri"/>
                <w:color w:val="auto"/>
                <w:kern w:val="0"/>
                <w:szCs w:val="24"/>
                <w:lang w:eastAsia="en-US"/>
                <w14:ligatures w14:val="none"/>
              </w:rPr>
              <w:t xml:space="preserve"> undertake self-management programmes more effectively, such as the </w:t>
            </w:r>
            <w:r w:rsidR="00042761">
              <w:rPr>
                <w:rFonts w:ascii="Calibri" w:eastAsia="Calibri" w:hAnsi="Calibri"/>
                <w:color w:val="auto"/>
                <w:kern w:val="0"/>
                <w:szCs w:val="24"/>
                <w:lang w:eastAsia="en-US"/>
                <w14:ligatures w14:val="none"/>
              </w:rPr>
              <w:t xml:space="preserve">DAFNE Type 1 and </w:t>
            </w:r>
            <w:r w:rsidRPr="000751B6">
              <w:rPr>
                <w:rFonts w:ascii="Calibri" w:eastAsia="Calibri" w:hAnsi="Calibri"/>
                <w:color w:val="auto"/>
                <w:kern w:val="0"/>
                <w:szCs w:val="24"/>
                <w:lang w:eastAsia="en-US"/>
                <w14:ligatures w14:val="none"/>
              </w:rPr>
              <w:t>XPERT Type 2 Diabetes Programme</w:t>
            </w:r>
            <w:r w:rsidR="00042761">
              <w:rPr>
                <w:rFonts w:ascii="Calibri" w:eastAsia="Calibri" w:hAnsi="Calibri"/>
                <w:color w:val="auto"/>
                <w:kern w:val="0"/>
                <w:szCs w:val="24"/>
                <w:lang w:eastAsia="en-US"/>
                <w14:ligatures w14:val="none"/>
              </w:rPr>
              <w:t>s.</w:t>
            </w:r>
            <w:r w:rsidRPr="000751B6">
              <w:rPr>
                <w:rFonts w:ascii="Calibri" w:eastAsia="Calibri" w:hAnsi="Calibri"/>
                <w:color w:val="auto"/>
                <w:kern w:val="0"/>
                <w:szCs w:val="24"/>
                <w:lang w:eastAsia="en-US"/>
                <w14:ligatures w14:val="none"/>
              </w:rPr>
              <w:t xml:space="preserve"> The XPERT Type 2 Diabetes Programme is a six week group programme where individuals are given the resources and information to make their own informed choices on how to manage their diabetes. The group environment is supportive and encourages individuals to learn from each other.   Individuals living with Type 1 Diabetes are taught how to self-administer insulin whilst working in collaboration with the diabetic specialist nurses and dietitians in ensuring that they are able to self-manage their regime </w:t>
            </w:r>
            <w:r w:rsidR="00865602">
              <w:rPr>
                <w:rFonts w:ascii="Calibri" w:eastAsia="Calibri" w:hAnsi="Calibri"/>
                <w:color w:val="auto"/>
                <w:kern w:val="0"/>
                <w:szCs w:val="24"/>
                <w:lang w:eastAsia="en-US"/>
                <w14:ligatures w14:val="none"/>
              </w:rPr>
              <w:t xml:space="preserve">and </w:t>
            </w:r>
            <w:r w:rsidRPr="000751B6">
              <w:rPr>
                <w:rFonts w:ascii="Calibri" w:eastAsia="Calibri" w:hAnsi="Calibri"/>
                <w:color w:val="auto"/>
                <w:kern w:val="0"/>
                <w:szCs w:val="24"/>
                <w:lang w:eastAsia="en-US"/>
                <w14:ligatures w14:val="none"/>
              </w:rPr>
              <w:t>can count carbohydrates effectively.</w:t>
            </w:r>
          </w:p>
          <w:p w14:paraId="437A7668" w14:textId="61F269D8"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Naidoo and Wills (201</w:t>
            </w:r>
            <w:r w:rsidR="00865602">
              <w:rPr>
                <w:rFonts w:ascii="Calibri" w:eastAsia="Calibri" w:hAnsi="Calibri"/>
                <w:color w:val="auto"/>
                <w:kern w:val="0"/>
                <w:szCs w:val="24"/>
                <w:lang w:eastAsia="en-US"/>
                <w14:ligatures w14:val="none"/>
              </w:rPr>
              <w:t>6</w:t>
            </w:r>
            <w:r w:rsidRPr="000751B6">
              <w:rPr>
                <w:rFonts w:ascii="Calibri" w:eastAsia="Calibri" w:hAnsi="Calibri"/>
                <w:color w:val="auto"/>
                <w:kern w:val="0"/>
                <w:szCs w:val="24"/>
                <w:lang w:eastAsia="en-US"/>
                <w14:ligatures w14:val="none"/>
              </w:rPr>
              <w:t xml:space="preserve">) state that in order for individuals to feel empowered they need to be able to recognise and understand their powerlessness, feel strongly enough to want to change and feel capable of changing by having the information, support and skills. By providing the necessary skills, individuals will be able to identify their own concerns and gain the knowledge, skills and confidence to act upon them. </w:t>
            </w:r>
          </w:p>
          <w:p w14:paraId="4C1D5EEE"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Skills for empowerment include cognitive skills (</w:t>
            </w:r>
            <w:proofErr w:type="spellStart"/>
            <w:r w:rsidRPr="000751B6">
              <w:rPr>
                <w:rFonts w:ascii="Calibri" w:eastAsia="Calibri" w:hAnsi="Calibri"/>
                <w:color w:val="auto"/>
                <w:kern w:val="0"/>
                <w:szCs w:val="24"/>
                <w:lang w:eastAsia="en-US"/>
                <w14:ligatures w14:val="none"/>
              </w:rPr>
              <w:t>ie</w:t>
            </w:r>
            <w:proofErr w:type="spellEnd"/>
            <w:r w:rsidRPr="000751B6">
              <w:rPr>
                <w:rFonts w:ascii="Calibri" w:eastAsia="Calibri" w:hAnsi="Calibri"/>
                <w:color w:val="auto"/>
                <w:kern w:val="0"/>
                <w:szCs w:val="24"/>
                <w:lang w:eastAsia="en-US"/>
                <w14:ligatures w14:val="none"/>
              </w:rPr>
              <w:t>, literacy and decision making skills); psychometer skills (</w:t>
            </w:r>
            <w:proofErr w:type="spellStart"/>
            <w:proofErr w:type="gramStart"/>
            <w:r w:rsidRPr="000751B6">
              <w:rPr>
                <w:rFonts w:ascii="Calibri" w:eastAsia="Calibri" w:hAnsi="Calibri"/>
                <w:color w:val="auto"/>
                <w:kern w:val="0"/>
                <w:szCs w:val="24"/>
                <w:lang w:eastAsia="en-US"/>
                <w14:ligatures w14:val="none"/>
              </w:rPr>
              <w:t>ie</w:t>
            </w:r>
            <w:proofErr w:type="spellEnd"/>
            <w:proofErr w:type="gramEnd"/>
            <w:r w:rsidRPr="000751B6">
              <w:rPr>
                <w:rFonts w:ascii="Calibri" w:eastAsia="Calibri" w:hAnsi="Calibri"/>
                <w:color w:val="auto"/>
                <w:kern w:val="0"/>
                <w:szCs w:val="24"/>
                <w:lang w:eastAsia="en-US"/>
                <w14:ligatures w14:val="none"/>
              </w:rPr>
              <w:t xml:space="preserve"> hand-eye coordination); social interaction skills (</w:t>
            </w:r>
            <w:proofErr w:type="spellStart"/>
            <w:r w:rsidRPr="000751B6">
              <w:rPr>
                <w:rFonts w:ascii="Calibri" w:eastAsia="Calibri" w:hAnsi="Calibri"/>
                <w:color w:val="auto"/>
                <w:kern w:val="0"/>
                <w:szCs w:val="24"/>
                <w:lang w:eastAsia="en-US"/>
                <w14:ligatures w14:val="none"/>
              </w:rPr>
              <w:t>ie</w:t>
            </w:r>
            <w:proofErr w:type="spellEnd"/>
            <w:r w:rsidRPr="000751B6">
              <w:rPr>
                <w:rFonts w:ascii="Calibri" w:eastAsia="Calibri" w:hAnsi="Calibri"/>
                <w:color w:val="auto"/>
                <w:kern w:val="0"/>
                <w:szCs w:val="24"/>
                <w:lang w:eastAsia="en-US"/>
                <w14:ligatures w14:val="none"/>
              </w:rPr>
              <w:t xml:space="preserve"> being able to respond to a range of social situations) and assertiveness (Cross and Woodall, 2024).  By increasing skills and knowledge, individuals are able to better understand their condition to make the right informed choices to suit themselves. This allows for effective collaborative working with healthcare professionals in care planning and decision making so that the best outcomes are achieved. </w:t>
            </w:r>
          </w:p>
          <w:p w14:paraId="1DCFA090" w14:textId="37CB7454" w:rsid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Thompson (2023) argues that in order for empowerment skills to be effective, individuals need to have health literacy as they need to be able to understand information leaflets, follow self-care instructions, communicate effectively with healthcare professionals and navigate healthcare systems.   </w:t>
            </w:r>
          </w:p>
          <w:p w14:paraId="133A8765" w14:textId="77777777" w:rsid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p>
          <w:p w14:paraId="0A2EE146" w14:textId="77777777" w:rsidR="00FA285C" w:rsidRPr="000751B6" w:rsidRDefault="00FA285C" w:rsidP="000751B6">
            <w:pPr>
              <w:spacing w:after="160" w:line="259" w:lineRule="auto"/>
              <w:ind w:left="0" w:firstLine="0"/>
              <w:jc w:val="both"/>
              <w:rPr>
                <w:rFonts w:ascii="Calibri" w:eastAsia="Calibri" w:hAnsi="Calibri"/>
                <w:color w:val="auto"/>
                <w:kern w:val="0"/>
                <w:szCs w:val="24"/>
                <w:lang w:eastAsia="en-US"/>
                <w14:ligatures w14:val="none"/>
              </w:rPr>
            </w:pPr>
          </w:p>
          <w:p w14:paraId="414F6E75" w14:textId="566A512D"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lastRenderedPageBreak/>
              <w:t>Naidoo</w:t>
            </w:r>
            <w:r w:rsidR="00CB4E18">
              <w:rPr>
                <w:rFonts w:ascii="Calibri" w:eastAsia="Calibri" w:hAnsi="Calibri"/>
                <w:color w:val="auto"/>
                <w:kern w:val="0"/>
                <w:szCs w:val="24"/>
                <w:lang w:eastAsia="en-US"/>
                <w14:ligatures w14:val="none"/>
              </w:rPr>
              <w:t xml:space="preserve"> and Wills</w:t>
            </w:r>
            <w:r w:rsidRPr="000751B6">
              <w:rPr>
                <w:rFonts w:ascii="Calibri" w:eastAsia="Calibri" w:hAnsi="Calibri"/>
                <w:color w:val="auto"/>
                <w:kern w:val="0"/>
                <w:szCs w:val="24"/>
                <w:lang w:eastAsia="en-US"/>
                <w14:ligatures w14:val="none"/>
              </w:rPr>
              <w:t xml:space="preserve"> (201</w:t>
            </w:r>
            <w:r w:rsidR="00CB4E18">
              <w:rPr>
                <w:rFonts w:ascii="Calibri" w:eastAsia="Calibri" w:hAnsi="Calibri"/>
                <w:color w:val="auto"/>
                <w:kern w:val="0"/>
                <w:szCs w:val="24"/>
                <w:lang w:eastAsia="en-US"/>
                <w14:ligatures w14:val="none"/>
              </w:rPr>
              <w:t>6</w:t>
            </w:r>
            <w:r w:rsidRPr="000751B6">
              <w:rPr>
                <w:rFonts w:ascii="Calibri" w:eastAsia="Calibri" w:hAnsi="Calibri"/>
                <w:color w:val="auto"/>
                <w:kern w:val="0"/>
                <w:szCs w:val="24"/>
                <w:lang w:eastAsia="en-US"/>
                <w14:ligatures w14:val="none"/>
              </w:rPr>
              <w:t xml:space="preserve">) argues that empowerment only benefits those at the higher levels of the social spectrum as those from more disadvantaged backgrounds are less inclined to seek empowerment which could be related to poor education.  Thompson (2023) agreed with Naidoo </w:t>
            </w:r>
            <w:r w:rsidR="00934618">
              <w:rPr>
                <w:rFonts w:ascii="Calibri" w:eastAsia="Calibri" w:hAnsi="Calibri"/>
                <w:color w:val="auto"/>
                <w:kern w:val="0"/>
                <w:szCs w:val="24"/>
                <w:lang w:eastAsia="en-US"/>
                <w14:ligatures w14:val="none"/>
              </w:rPr>
              <w:t xml:space="preserve">and Wills </w:t>
            </w:r>
            <w:r w:rsidRPr="000751B6">
              <w:rPr>
                <w:rFonts w:ascii="Calibri" w:eastAsia="Calibri" w:hAnsi="Calibri"/>
                <w:color w:val="auto"/>
                <w:kern w:val="0"/>
                <w:szCs w:val="24"/>
                <w:lang w:eastAsia="en-US"/>
                <w14:ligatures w14:val="none"/>
              </w:rPr>
              <w:t>(201</w:t>
            </w:r>
            <w:r w:rsidR="00934618">
              <w:rPr>
                <w:rFonts w:ascii="Calibri" w:eastAsia="Calibri" w:hAnsi="Calibri"/>
                <w:color w:val="auto"/>
                <w:kern w:val="0"/>
                <w:szCs w:val="24"/>
                <w:lang w:eastAsia="en-US"/>
                <w14:ligatures w14:val="none"/>
              </w:rPr>
              <w:t>6</w:t>
            </w:r>
            <w:r w:rsidRPr="000751B6">
              <w:rPr>
                <w:rFonts w:ascii="Calibri" w:eastAsia="Calibri" w:hAnsi="Calibri"/>
                <w:color w:val="auto"/>
                <w:kern w:val="0"/>
                <w:szCs w:val="24"/>
                <w:lang w:eastAsia="en-US"/>
                <w14:ligatures w14:val="none"/>
              </w:rPr>
              <w:t>) also claiming that there is a link between those with poor health status and low health literacy.</w:t>
            </w:r>
          </w:p>
          <w:p w14:paraId="1F4D568C" w14:textId="428C00EA"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Skills therefore need to be tailored to the individual.  In order to empower individuals to self-manage, illustrations and video clips can be used</w:t>
            </w:r>
            <w:r w:rsidR="00D03551">
              <w:rPr>
                <w:rFonts w:ascii="Calibri" w:eastAsia="Calibri" w:hAnsi="Calibri"/>
                <w:color w:val="auto"/>
                <w:kern w:val="0"/>
                <w:szCs w:val="24"/>
                <w:lang w:eastAsia="en-US"/>
                <w14:ligatures w14:val="none"/>
              </w:rPr>
              <w:t xml:space="preserve"> for ease of understanding</w:t>
            </w:r>
            <w:r w:rsidRPr="000751B6">
              <w:rPr>
                <w:rFonts w:ascii="Calibri" w:eastAsia="Calibri" w:hAnsi="Calibri"/>
                <w:color w:val="auto"/>
                <w:kern w:val="0"/>
                <w:szCs w:val="24"/>
                <w:lang w:eastAsia="en-US"/>
                <w14:ligatures w14:val="none"/>
              </w:rPr>
              <w:t xml:space="preserve">.   Swansea Bay University Health Board offer children and young people free access to the </w:t>
            </w:r>
            <w:proofErr w:type="spellStart"/>
            <w:r w:rsidRPr="000751B6">
              <w:rPr>
                <w:rFonts w:ascii="Calibri" w:eastAsia="Calibri" w:hAnsi="Calibri"/>
                <w:color w:val="auto"/>
                <w:kern w:val="0"/>
                <w:szCs w:val="24"/>
                <w:lang w:eastAsia="en-US"/>
                <w14:ligatures w14:val="none"/>
              </w:rPr>
              <w:t>DigiBete</w:t>
            </w:r>
            <w:proofErr w:type="spellEnd"/>
            <w:r w:rsidRPr="000751B6">
              <w:rPr>
                <w:rFonts w:ascii="Calibri" w:eastAsia="Calibri" w:hAnsi="Calibri"/>
                <w:color w:val="auto"/>
                <w:kern w:val="0"/>
                <w:szCs w:val="24"/>
                <w:lang w:eastAsia="en-US"/>
                <w14:ligatures w14:val="none"/>
              </w:rPr>
              <w:t xml:space="preserve"> app which provides educational videos and resources to help patients and their parents manage their Type 1 diabetes.  Diabetes UK also have video clips for their patients explaining Type 2 diabetes and the symptoms.   They also provide free exercise videos and podcasts for patients. </w:t>
            </w:r>
          </w:p>
          <w:p w14:paraId="4ED5F497" w14:textId="56BDD746"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Empowerment can also influence confidence and empower individuals to suggest changes to guidelines and protocols. Since March 2025, The British Dietetic Association are working in collaboration with the XPERT Patient Programme and National Institute of </w:t>
            </w:r>
            <w:r w:rsidR="00486AF7">
              <w:rPr>
                <w:rFonts w:ascii="Calibri" w:eastAsia="Calibri" w:hAnsi="Calibri"/>
                <w:color w:val="auto"/>
                <w:kern w:val="0"/>
                <w:szCs w:val="24"/>
                <w:lang w:eastAsia="en-US"/>
                <w14:ligatures w14:val="none"/>
              </w:rPr>
              <w:t>Health and Care</w:t>
            </w:r>
            <w:r w:rsidRPr="000751B6">
              <w:rPr>
                <w:rFonts w:ascii="Calibri" w:eastAsia="Calibri" w:hAnsi="Calibri"/>
                <w:color w:val="auto"/>
                <w:kern w:val="0"/>
                <w:szCs w:val="24"/>
                <w:lang w:eastAsia="en-US"/>
                <w14:ligatures w14:val="none"/>
              </w:rPr>
              <w:t xml:space="preserve"> Excellence to update the guidance on the management of type 2 diabetes in adults to include remission as a suitable target as without it they argue that patient choice is unsupported.  The British Dietetic Association feel that with this change, it will support shared decision making by empowering patients to make informed choices towards their health goals, whilst providing them with hope. </w:t>
            </w:r>
          </w:p>
          <w:p w14:paraId="01153088" w14:textId="7E6BE3AA"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In 2022, Swansea Bay University Health Board became a finalist in the NHS Wales Awards for the </w:t>
            </w:r>
            <w:r w:rsidR="00D03551">
              <w:rPr>
                <w:rFonts w:ascii="Calibri" w:eastAsia="Calibri" w:hAnsi="Calibri"/>
                <w:color w:val="auto"/>
                <w:kern w:val="0"/>
                <w:szCs w:val="24"/>
                <w:lang w:eastAsia="en-US"/>
                <w14:ligatures w14:val="none"/>
              </w:rPr>
              <w:t>E</w:t>
            </w:r>
            <w:r w:rsidRPr="000751B6">
              <w:rPr>
                <w:rFonts w:ascii="Calibri" w:eastAsia="Calibri" w:hAnsi="Calibri"/>
                <w:color w:val="auto"/>
                <w:kern w:val="0"/>
                <w:szCs w:val="24"/>
                <w:lang w:eastAsia="en-US"/>
                <w14:ligatures w14:val="none"/>
              </w:rPr>
              <w:t xml:space="preserve">mpowering </w:t>
            </w:r>
            <w:r w:rsidR="00D03551">
              <w:rPr>
                <w:rFonts w:ascii="Calibri" w:eastAsia="Calibri" w:hAnsi="Calibri"/>
                <w:color w:val="auto"/>
                <w:kern w:val="0"/>
                <w:szCs w:val="24"/>
                <w:lang w:eastAsia="en-US"/>
                <w14:ligatures w14:val="none"/>
              </w:rPr>
              <w:t>P</w:t>
            </w:r>
            <w:r w:rsidRPr="000751B6">
              <w:rPr>
                <w:rFonts w:ascii="Calibri" w:eastAsia="Calibri" w:hAnsi="Calibri"/>
                <w:color w:val="auto"/>
                <w:kern w:val="0"/>
                <w:szCs w:val="24"/>
                <w:lang w:eastAsia="en-US"/>
                <w14:ligatures w14:val="none"/>
              </w:rPr>
              <w:t xml:space="preserve">eople to </w:t>
            </w:r>
            <w:r w:rsidR="00D03551">
              <w:rPr>
                <w:rFonts w:ascii="Calibri" w:eastAsia="Calibri" w:hAnsi="Calibri"/>
                <w:color w:val="auto"/>
                <w:kern w:val="0"/>
                <w:szCs w:val="24"/>
                <w:lang w:eastAsia="en-US"/>
                <w14:ligatures w14:val="none"/>
              </w:rPr>
              <w:t>C</w:t>
            </w:r>
            <w:r w:rsidRPr="000751B6">
              <w:rPr>
                <w:rFonts w:ascii="Calibri" w:eastAsia="Calibri" w:hAnsi="Calibri"/>
                <w:color w:val="auto"/>
                <w:kern w:val="0"/>
                <w:szCs w:val="24"/>
                <w:lang w:eastAsia="en-US"/>
                <w14:ligatures w14:val="none"/>
              </w:rPr>
              <w:t>o-</w:t>
            </w:r>
            <w:r w:rsidR="00D03551">
              <w:rPr>
                <w:rFonts w:ascii="Calibri" w:eastAsia="Calibri" w:hAnsi="Calibri"/>
                <w:color w:val="auto"/>
                <w:kern w:val="0"/>
                <w:szCs w:val="24"/>
                <w:lang w:eastAsia="en-US"/>
                <w14:ligatures w14:val="none"/>
              </w:rPr>
              <w:t>P</w:t>
            </w:r>
            <w:r w:rsidRPr="000751B6">
              <w:rPr>
                <w:rFonts w:ascii="Calibri" w:eastAsia="Calibri" w:hAnsi="Calibri"/>
                <w:color w:val="auto"/>
                <w:kern w:val="0"/>
                <w:szCs w:val="24"/>
                <w:lang w:eastAsia="en-US"/>
                <w14:ligatures w14:val="none"/>
              </w:rPr>
              <w:t xml:space="preserve">roduce </w:t>
            </w:r>
            <w:r w:rsidR="00D03551">
              <w:rPr>
                <w:rFonts w:ascii="Calibri" w:eastAsia="Calibri" w:hAnsi="Calibri"/>
                <w:color w:val="auto"/>
                <w:kern w:val="0"/>
                <w:szCs w:val="24"/>
                <w:lang w:eastAsia="en-US"/>
                <w14:ligatures w14:val="none"/>
              </w:rPr>
              <w:t>T</w:t>
            </w:r>
            <w:r w:rsidRPr="000751B6">
              <w:rPr>
                <w:rFonts w:ascii="Calibri" w:eastAsia="Calibri" w:hAnsi="Calibri"/>
                <w:color w:val="auto"/>
                <w:kern w:val="0"/>
                <w:szCs w:val="24"/>
                <w:lang w:eastAsia="en-US"/>
                <w14:ligatures w14:val="none"/>
              </w:rPr>
              <w:t>heir</w:t>
            </w:r>
            <w:r w:rsidR="00D03551">
              <w:rPr>
                <w:rFonts w:ascii="Calibri" w:eastAsia="Calibri" w:hAnsi="Calibri"/>
                <w:color w:val="auto"/>
                <w:kern w:val="0"/>
                <w:szCs w:val="24"/>
                <w:lang w:eastAsia="en-US"/>
                <w14:ligatures w14:val="none"/>
              </w:rPr>
              <w:t xml:space="preserve"> C</w:t>
            </w:r>
            <w:r w:rsidRPr="000751B6">
              <w:rPr>
                <w:rFonts w:ascii="Calibri" w:eastAsia="Calibri" w:hAnsi="Calibri"/>
                <w:color w:val="auto"/>
                <w:kern w:val="0"/>
                <w:szCs w:val="24"/>
                <w:lang w:eastAsia="en-US"/>
                <w14:ligatures w14:val="none"/>
              </w:rPr>
              <w:t xml:space="preserve">are </w:t>
            </w:r>
            <w:r w:rsidR="00D03551">
              <w:rPr>
                <w:rFonts w:ascii="Calibri" w:eastAsia="Calibri" w:hAnsi="Calibri"/>
                <w:color w:val="auto"/>
                <w:kern w:val="0"/>
                <w:szCs w:val="24"/>
                <w:lang w:eastAsia="en-US"/>
                <w14:ligatures w14:val="none"/>
              </w:rPr>
              <w:t>A</w:t>
            </w:r>
            <w:r w:rsidRPr="000751B6">
              <w:rPr>
                <w:rFonts w:ascii="Calibri" w:eastAsia="Calibri" w:hAnsi="Calibri"/>
                <w:color w:val="auto"/>
                <w:kern w:val="0"/>
                <w:szCs w:val="24"/>
                <w:lang w:eastAsia="en-US"/>
                <w14:ligatures w14:val="none"/>
              </w:rPr>
              <w:t xml:space="preserve">ward by developing a new range of bilingual education resources for individuals with kidney disease.  </w:t>
            </w:r>
          </w:p>
          <w:p w14:paraId="24F3858F" w14:textId="36644C3E" w:rsidR="000751B6" w:rsidRPr="000751B6" w:rsidRDefault="00D03551" w:rsidP="000751B6">
            <w:pPr>
              <w:spacing w:after="160" w:line="259" w:lineRule="auto"/>
              <w:ind w:left="0" w:firstLine="0"/>
              <w:jc w:val="both"/>
              <w:rPr>
                <w:rFonts w:ascii="Calibri" w:eastAsia="Calibri" w:hAnsi="Calibri"/>
                <w:color w:val="auto"/>
                <w:kern w:val="0"/>
                <w:szCs w:val="24"/>
                <w:lang w:eastAsia="en-US"/>
                <w14:ligatures w14:val="none"/>
              </w:rPr>
            </w:pPr>
            <w:r>
              <w:rPr>
                <w:rFonts w:ascii="Calibri" w:eastAsia="Calibri" w:hAnsi="Calibri"/>
                <w:color w:val="auto"/>
                <w:kern w:val="0"/>
                <w:szCs w:val="24"/>
                <w:lang w:eastAsia="en-US"/>
                <w14:ligatures w14:val="none"/>
              </w:rPr>
              <w:t xml:space="preserve">Section 5 of the </w:t>
            </w:r>
            <w:r w:rsidR="000751B6" w:rsidRPr="000751B6">
              <w:rPr>
                <w:rFonts w:ascii="Calibri" w:eastAsia="Calibri" w:hAnsi="Calibri"/>
                <w:color w:val="auto"/>
                <w:kern w:val="0"/>
                <w:szCs w:val="24"/>
                <w:lang w:eastAsia="en-US"/>
                <w14:ligatures w14:val="none"/>
              </w:rPr>
              <w:t>NHS Long Term Plan in 2019 recognise</w:t>
            </w:r>
            <w:r w:rsidR="0076525F">
              <w:rPr>
                <w:rFonts w:ascii="Calibri" w:eastAsia="Calibri" w:hAnsi="Calibri"/>
                <w:color w:val="auto"/>
                <w:kern w:val="0"/>
                <w:szCs w:val="24"/>
                <w:lang w:eastAsia="en-US"/>
                <w14:ligatures w14:val="none"/>
              </w:rPr>
              <w:t xml:space="preserve">s the importance of </w:t>
            </w:r>
            <w:r w:rsidR="000751B6" w:rsidRPr="000751B6">
              <w:rPr>
                <w:rFonts w:ascii="Calibri" w:eastAsia="Calibri" w:hAnsi="Calibri"/>
                <w:color w:val="auto"/>
                <w:kern w:val="0"/>
                <w:szCs w:val="24"/>
                <w:lang w:eastAsia="en-US"/>
                <w14:ligatures w14:val="none"/>
              </w:rPr>
              <w:t xml:space="preserve">empowerment </w:t>
            </w:r>
            <w:r w:rsidR="00B32EB5">
              <w:rPr>
                <w:rFonts w:ascii="Calibri" w:eastAsia="Calibri" w:hAnsi="Calibri"/>
                <w:color w:val="auto"/>
                <w:kern w:val="0"/>
                <w:szCs w:val="24"/>
                <w:lang w:eastAsia="en-US"/>
                <w14:ligatures w14:val="none"/>
              </w:rPr>
              <w:t>by empowering</w:t>
            </w:r>
            <w:r w:rsidR="000751B6" w:rsidRPr="000751B6">
              <w:rPr>
                <w:rFonts w:ascii="Calibri" w:eastAsia="Calibri" w:hAnsi="Calibri"/>
                <w:color w:val="auto"/>
                <w:kern w:val="0"/>
                <w:szCs w:val="24"/>
                <w:lang w:eastAsia="en-US"/>
                <w14:ligatures w14:val="none"/>
              </w:rPr>
              <w:t xml:space="preserve"> people through having access to digital tools, information and services with the launch of the NHS App.</w:t>
            </w:r>
          </w:p>
          <w:p w14:paraId="2D57829D" w14:textId="0E130EF8"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Aside from self-empowerment, community empowerment is also important.  In 2019, Public Health Wales set out 8 principles in the Principles of Community Engagement for Empowerment stating community empowerment is </w:t>
            </w:r>
            <w:r w:rsidR="00D03551">
              <w:rPr>
                <w:rFonts w:ascii="Calibri" w:eastAsia="Calibri" w:hAnsi="Calibri"/>
                <w:color w:val="auto"/>
                <w:kern w:val="0"/>
                <w:szCs w:val="24"/>
                <w:lang w:eastAsia="en-US"/>
                <w14:ligatures w14:val="none"/>
              </w:rPr>
              <w:t>“</w:t>
            </w:r>
            <w:r w:rsidRPr="000751B6">
              <w:rPr>
                <w:rFonts w:ascii="Calibri" w:eastAsia="Calibri" w:hAnsi="Calibri"/>
                <w:color w:val="auto"/>
                <w:kern w:val="0"/>
                <w:szCs w:val="24"/>
                <w:lang w:eastAsia="en-US"/>
                <w14:ligatures w14:val="none"/>
              </w:rPr>
              <w:t xml:space="preserve">health promoting in its own right”. </w:t>
            </w:r>
            <w:r w:rsidR="00D03551">
              <w:rPr>
                <w:rFonts w:ascii="Calibri" w:eastAsia="Calibri" w:hAnsi="Calibri"/>
                <w:color w:val="auto"/>
                <w:kern w:val="0"/>
                <w:szCs w:val="24"/>
                <w:lang w:eastAsia="en-US"/>
                <w14:ligatures w14:val="none"/>
              </w:rPr>
              <w:t>In</w:t>
            </w:r>
            <w:r w:rsidRPr="000751B6">
              <w:rPr>
                <w:rFonts w:ascii="Calibri" w:eastAsia="Calibri" w:hAnsi="Calibri"/>
                <w:color w:val="auto"/>
                <w:kern w:val="0"/>
                <w:szCs w:val="24"/>
                <w:lang w:eastAsia="en-US"/>
                <w14:ligatures w14:val="none"/>
              </w:rPr>
              <w:t xml:space="preserve"> October 2024, </w:t>
            </w:r>
            <w:r w:rsidR="00D03551">
              <w:rPr>
                <w:rFonts w:ascii="Calibri" w:eastAsia="Calibri" w:hAnsi="Calibri"/>
                <w:color w:val="auto"/>
                <w:kern w:val="0"/>
                <w:szCs w:val="24"/>
                <w:lang w:eastAsia="en-US"/>
                <w14:ligatures w14:val="none"/>
              </w:rPr>
              <w:t xml:space="preserve">community empowerment was used by the </w:t>
            </w:r>
            <w:r w:rsidRPr="000751B6">
              <w:rPr>
                <w:rFonts w:ascii="Calibri" w:eastAsia="Calibri" w:hAnsi="Calibri"/>
                <w:color w:val="auto"/>
                <w:kern w:val="0"/>
                <w:szCs w:val="24"/>
                <w:lang w:eastAsia="en-US"/>
                <w14:ligatures w14:val="none"/>
              </w:rPr>
              <w:t xml:space="preserve">Department of Health </w:t>
            </w:r>
            <w:r w:rsidR="00D03551">
              <w:rPr>
                <w:rFonts w:ascii="Calibri" w:eastAsia="Calibri" w:hAnsi="Calibri"/>
                <w:color w:val="auto"/>
                <w:kern w:val="0"/>
                <w:szCs w:val="24"/>
                <w:lang w:eastAsia="en-US"/>
                <w14:ligatures w14:val="none"/>
              </w:rPr>
              <w:t xml:space="preserve">who </w:t>
            </w:r>
            <w:r w:rsidRPr="000751B6">
              <w:rPr>
                <w:rFonts w:ascii="Calibri" w:eastAsia="Calibri" w:hAnsi="Calibri"/>
                <w:color w:val="auto"/>
                <w:kern w:val="0"/>
                <w:szCs w:val="24"/>
                <w:lang w:eastAsia="en-US"/>
                <w14:ligatures w14:val="none"/>
              </w:rPr>
              <w:t>launched Change NHS and received over 2</w:t>
            </w:r>
            <w:r w:rsidR="00D03551">
              <w:rPr>
                <w:rFonts w:ascii="Calibri" w:eastAsia="Calibri" w:hAnsi="Calibri"/>
                <w:color w:val="auto"/>
                <w:kern w:val="0"/>
                <w:szCs w:val="24"/>
                <w:lang w:eastAsia="en-US"/>
                <w14:ligatures w14:val="none"/>
              </w:rPr>
              <w:t>7</w:t>
            </w:r>
            <w:r w:rsidRPr="000751B6">
              <w:rPr>
                <w:rFonts w:ascii="Calibri" w:eastAsia="Calibri" w:hAnsi="Calibri"/>
                <w:color w:val="auto"/>
                <w:kern w:val="0"/>
                <w:szCs w:val="24"/>
                <w:lang w:eastAsia="en-US"/>
                <w14:ligatures w14:val="none"/>
              </w:rPr>
              <w:t>0,000 contributions from the public and healthcare staff to help develop the 10 Year Health Plan for the NHS.</w:t>
            </w:r>
          </w:p>
          <w:p w14:paraId="21DE8B42" w14:textId="3C9EA3AC" w:rsidR="004B3551" w:rsidRPr="00601B22" w:rsidRDefault="000751B6" w:rsidP="000751B6">
            <w:pPr>
              <w:spacing w:after="160" w:line="259" w:lineRule="auto"/>
              <w:ind w:left="0" w:firstLine="0"/>
              <w:jc w:val="both"/>
              <w:rPr>
                <w:rFonts w:asciiTheme="majorHAnsi" w:hAnsiTheme="majorHAnsi" w:cstheme="majorHAnsi"/>
                <w:szCs w:val="24"/>
              </w:rPr>
            </w:pPr>
            <w:r w:rsidRPr="000751B6">
              <w:rPr>
                <w:rFonts w:ascii="Calibri" w:eastAsia="Calibri" w:hAnsi="Calibri"/>
                <w:color w:val="auto"/>
                <w:kern w:val="0"/>
                <w:szCs w:val="24"/>
                <w:lang w:eastAsia="en-US"/>
                <w14:ligatures w14:val="none"/>
              </w:rPr>
              <w:t xml:space="preserve">In conclusion, empowerment is a powerful concept acknowledging </w:t>
            </w:r>
            <w:r w:rsidR="00D03551" w:rsidRPr="000751B6">
              <w:rPr>
                <w:rFonts w:ascii="Calibri" w:eastAsia="Calibri" w:hAnsi="Calibri"/>
                <w:color w:val="auto"/>
                <w:kern w:val="0"/>
                <w:szCs w:val="24"/>
                <w:lang w:eastAsia="en-US"/>
                <w14:ligatures w14:val="none"/>
              </w:rPr>
              <w:t>patients’ rights</w:t>
            </w:r>
            <w:r w:rsidRPr="000751B6">
              <w:rPr>
                <w:rFonts w:ascii="Calibri" w:eastAsia="Calibri" w:hAnsi="Calibri"/>
                <w:color w:val="auto"/>
                <w:kern w:val="0"/>
                <w:szCs w:val="24"/>
                <w:lang w:eastAsia="en-US"/>
                <w14:ligatures w14:val="none"/>
              </w:rPr>
              <w:t xml:space="preserve"> to make their own decisions about their health and wellbeing.  Empowerment has a range of benefits for individuals and despite some criticism, these challenges can be addressed.  By acknowledging empowerment in their Long Term Care plan, the NHS is at the forefront of promoting and encouraging patients to self-manage their conditions with support to achieve the best outcomes.</w:t>
            </w:r>
          </w:p>
          <w:p w14:paraId="472ED642" w14:textId="77777777" w:rsidR="004B3551" w:rsidRPr="00601B22" w:rsidRDefault="004B3551" w:rsidP="00F62D93">
            <w:pPr>
              <w:spacing w:after="83" w:line="239" w:lineRule="auto"/>
              <w:ind w:left="0" w:firstLine="0"/>
              <w:rPr>
                <w:rFonts w:asciiTheme="majorHAnsi" w:hAnsiTheme="majorHAnsi" w:cstheme="majorHAnsi"/>
                <w:szCs w:val="24"/>
              </w:rPr>
            </w:pPr>
          </w:p>
        </w:tc>
      </w:tr>
    </w:tbl>
    <w:p w14:paraId="18656DED" w14:textId="231878D8" w:rsidR="00F62D93" w:rsidRPr="00601B22" w:rsidRDefault="00F62D93"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4B3551" w:rsidRPr="00601B22" w14:paraId="7408644F" w14:textId="77777777" w:rsidTr="006E53F1">
        <w:tc>
          <w:tcPr>
            <w:tcW w:w="9021" w:type="dxa"/>
          </w:tcPr>
          <w:p w14:paraId="73F408F4" w14:textId="7A068E30" w:rsidR="004B3551"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4B3551" w:rsidRPr="00601B22">
              <w:rPr>
                <w:rFonts w:asciiTheme="majorHAnsi" w:hAnsiTheme="majorHAnsi" w:cstheme="majorHAnsi"/>
                <w:szCs w:val="24"/>
              </w:rPr>
              <w:t xml:space="preserve">Explain two </w:t>
            </w:r>
            <w:r w:rsidR="00F02C49">
              <w:rPr>
                <w:rFonts w:asciiTheme="majorHAnsi" w:hAnsiTheme="majorHAnsi" w:cstheme="majorHAnsi"/>
                <w:szCs w:val="24"/>
              </w:rPr>
              <w:t>theories</w:t>
            </w:r>
            <w:r w:rsidR="004B3551" w:rsidRPr="00601B22">
              <w:rPr>
                <w:rFonts w:asciiTheme="majorHAnsi" w:hAnsiTheme="majorHAnsi" w:cstheme="majorHAnsi"/>
                <w:szCs w:val="24"/>
              </w:rPr>
              <w:t xml:space="preserve"> of behaviour change, </w:t>
            </w:r>
            <w:r w:rsidR="00F43248">
              <w:rPr>
                <w:rFonts w:asciiTheme="majorHAnsi" w:hAnsiTheme="majorHAnsi" w:cstheme="majorHAnsi"/>
                <w:szCs w:val="24"/>
              </w:rPr>
              <w:t xml:space="preserve">and </w:t>
            </w:r>
            <w:r w:rsidR="004B3551" w:rsidRPr="00601B22">
              <w:rPr>
                <w:rFonts w:asciiTheme="majorHAnsi" w:hAnsiTheme="majorHAnsi" w:cstheme="majorHAnsi"/>
                <w:szCs w:val="24"/>
              </w:rPr>
              <w:t>includ</w:t>
            </w:r>
            <w:r w:rsidR="00F43248">
              <w:rPr>
                <w:rFonts w:asciiTheme="majorHAnsi" w:hAnsiTheme="majorHAnsi" w:cstheme="majorHAnsi"/>
                <w:szCs w:val="24"/>
              </w:rPr>
              <w:t>e</w:t>
            </w:r>
            <w:r w:rsidR="004B3551" w:rsidRPr="00601B22">
              <w:rPr>
                <w:rFonts w:asciiTheme="majorHAnsi" w:hAnsiTheme="majorHAnsi" w:cstheme="majorHAnsi"/>
                <w:szCs w:val="24"/>
              </w:rPr>
              <w:t xml:space="preserve"> the skills required to promote </w:t>
            </w:r>
            <w:r w:rsidR="00D7002C" w:rsidRPr="00601B22">
              <w:rPr>
                <w:rFonts w:asciiTheme="majorHAnsi" w:hAnsiTheme="majorHAnsi" w:cstheme="majorHAnsi"/>
                <w:szCs w:val="24"/>
              </w:rPr>
              <w:t xml:space="preserve">behavioural change in others: </w:t>
            </w:r>
          </w:p>
        </w:tc>
      </w:tr>
      <w:tr w:rsidR="004B3551" w:rsidRPr="00601B22" w14:paraId="0B807060" w14:textId="77777777" w:rsidTr="006E53F1">
        <w:tc>
          <w:tcPr>
            <w:tcW w:w="9021" w:type="dxa"/>
          </w:tcPr>
          <w:p w14:paraId="14A0FD52"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There are many theories of behaviour change that are used in communities and in healthcare to help understand individuals’ behaviours.  By looking at a variety of factors to help promote behaviour change, these theories can be used to help improve wellbeing and lifestyle. </w:t>
            </w:r>
          </w:p>
          <w:p w14:paraId="7F22E3CA" w14:textId="6BF55F2E"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One theory is the Social Cognitive Theory developed by Bandura (1977).  This theory demonstrates that individuals learn through observing the behaviours of others</w:t>
            </w:r>
            <w:r w:rsidR="003E5E15">
              <w:rPr>
                <w:rFonts w:ascii="Calibri" w:eastAsia="Calibri" w:hAnsi="Calibri"/>
                <w:color w:val="auto"/>
                <w:kern w:val="0"/>
                <w:szCs w:val="24"/>
                <w:lang w:eastAsia="en-US"/>
                <w14:ligatures w14:val="none"/>
              </w:rPr>
              <w:t xml:space="preserve">. </w:t>
            </w:r>
            <w:r w:rsidRPr="000751B6">
              <w:rPr>
                <w:rFonts w:ascii="Calibri" w:eastAsia="Calibri" w:hAnsi="Calibri"/>
                <w:color w:val="auto"/>
                <w:kern w:val="0"/>
                <w:szCs w:val="24"/>
                <w:lang w:eastAsia="en-US"/>
                <w14:ligatures w14:val="none"/>
              </w:rPr>
              <w:t xml:space="preserve">The theory suggests that behaviour is influenced by </w:t>
            </w:r>
            <w:r w:rsidR="006262F5">
              <w:rPr>
                <w:rFonts w:ascii="Calibri" w:eastAsia="Calibri" w:hAnsi="Calibri"/>
                <w:color w:val="auto"/>
                <w:kern w:val="0"/>
                <w:szCs w:val="24"/>
                <w:lang w:eastAsia="en-US"/>
                <w14:ligatures w14:val="none"/>
              </w:rPr>
              <w:t>three</w:t>
            </w:r>
            <w:r w:rsidRPr="000751B6">
              <w:rPr>
                <w:rFonts w:ascii="Calibri" w:eastAsia="Calibri" w:hAnsi="Calibri"/>
                <w:color w:val="auto"/>
                <w:kern w:val="0"/>
                <w:szCs w:val="24"/>
                <w:lang w:eastAsia="en-US"/>
                <w14:ligatures w14:val="none"/>
              </w:rPr>
              <w:t xml:space="preserve"> factors – personal factors (</w:t>
            </w:r>
            <w:proofErr w:type="gramStart"/>
            <w:r w:rsidRPr="000751B6">
              <w:rPr>
                <w:rFonts w:ascii="Calibri" w:eastAsia="Calibri" w:hAnsi="Calibri"/>
                <w:color w:val="auto"/>
                <w:kern w:val="0"/>
                <w:szCs w:val="24"/>
                <w:lang w:eastAsia="en-US"/>
                <w14:ligatures w14:val="none"/>
              </w:rPr>
              <w:t>eg</w:t>
            </w:r>
            <w:proofErr w:type="gramEnd"/>
            <w:r w:rsidRPr="000751B6">
              <w:rPr>
                <w:rFonts w:ascii="Calibri" w:eastAsia="Calibri" w:hAnsi="Calibri"/>
                <w:color w:val="auto"/>
                <w:kern w:val="0"/>
                <w:szCs w:val="24"/>
                <w:lang w:eastAsia="en-US"/>
                <w14:ligatures w14:val="none"/>
              </w:rPr>
              <w:t xml:space="preserve"> thoughts, beliefs and self-efficacy), the environment and the behaviour where each factor influences each other in a process called reciprocal determinism</w:t>
            </w:r>
            <w:r w:rsidR="006262F5">
              <w:rPr>
                <w:rFonts w:ascii="Calibri" w:eastAsia="Calibri" w:hAnsi="Calibri"/>
                <w:color w:val="auto"/>
                <w:kern w:val="0"/>
                <w:szCs w:val="24"/>
                <w:lang w:eastAsia="en-US"/>
                <w14:ligatures w14:val="none"/>
              </w:rPr>
              <w:t xml:space="preserve"> (Schiavo et al, 2019).</w:t>
            </w:r>
          </w:p>
          <w:p w14:paraId="7889B4A4" w14:textId="0EB545B3"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The Social Cognitive Theory has been used widely in developing nutrition education programmes (Hall</w:t>
            </w:r>
            <w:r w:rsidR="006262F5">
              <w:rPr>
                <w:rFonts w:ascii="Calibri" w:eastAsia="Calibri" w:hAnsi="Calibri"/>
                <w:color w:val="auto"/>
                <w:kern w:val="0"/>
                <w:szCs w:val="24"/>
                <w:lang w:eastAsia="en-US"/>
                <w14:ligatures w14:val="none"/>
              </w:rPr>
              <w:t xml:space="preserve"> et al</w:t>
            </w:r>
            <w:r w:rsidRPr="000751B6">
              <w:rPr>
                <w:rFonts w:ascii="Calibri" w:eastAsia="Calibri" w:hAnsi="Calibri"/>
                <w:color w:val="auto"/>
                <w:kern w:val="0"/>
                <w:szCs w:val="24"/>
                <w:lang w:eastAsia="en-US"/>
                <w14:ligatures w14:val="none"/>
              </w:rPr>
              <w:t>, 201</w:t>
            </w:r>
            <w:r w:rsidR="006262F5">
              <w:rPr>
                <w:rFonts w:ascii="Calibri" w:eastAsia="Calibri" w:hAnsi="Calibri"/>
                <w:color w:val="auto"/>
                <w:kern w:val="0"/>
                <w:szCs w:val="24"/>
                <w:lang w:eastAsia="en-US"/>
                <w14:ligatures w14:val="none"/>
              </w:rPr>
              <w:t>5</w:t>
            </w:r>
            <w:r w:rsidRPr="000751B6">
              <w:rPr>
                <w:rFonts w:ascii="Calibri" w:eastAsia="Calibri" w:hAnsi="Calibri"/>
                <w:color w:val="auto"/>
                <w:kern w:val="0"/>
                <w:szCs w:val="24"/>
                <w:lang w:eastAsia="en-US"/>
                <w14:ligatures w14:val="none"/>
              </w:rPr>
              <w:t xml:space="preserve">).  Sebastian et al (2021) found that the theory proved successful in promoting healthy behaviours </w:t>
            </w:r>
            <w:r w:rsidR="006262F5">
              <w:rPr>
                <w:rFonts w:ascii="Calibri" w:eastAsia="Calibri" w:hAnsi="Calibri"/>
                <w:color w:val="auto"/>
                <w:kern w:val="0"/>
                <w:szCs w:val="24"/>
                <w:lang w:eastAsia="en-US"/>
                <w14:ligatures w14:val="none"/>
              </w:rPr>
              <w:t xml:space="preserve">among patients with type 2 diabetes </w:t>
            </w:r>
            <w:r w:rsidRPr="000751B6">
              <w:rPr>
                <w:rFonts w:ascii="Calibri" w:eastAsia="Calibri" w:hAnsi="Calibri"/>
                <w:color w:val="auto"/>
                <w:kern w:val="0"/>
                <w:szCs w:val="24"/>
                <w:lang w:eastAsia="en-US"/>
                <w14:ligatures w14:val="none"/>
              </w:rPr>
              <w:t xml:space="preserve">and that the theory should be used in future studies as a framework to understand physical activity and dietary behaviours.  However, Anton et al (2022) </w:t>
            </w:r>
            <w:r w:rsidR="006262F5">
              <w:rPr>
                <w:rFonts w:ascii="Calibri" w:eastAsia="Calibri" w:hAnsi="Calibri"/>
                <w:color w:val="auto"/>
                <w:kern w:val="0"/>
                <w:szCs w:val="24"/>
                <w:lang w:eastAsia="en-US"/>
                <w14:ligatures w14:val="none"/>
              </w:rPr>
              <w:t xml:space="preserve">found the model ineffective for weight management, criticising the model </w:t>
            </w:r>
            <w:r w:rsidRPr="000751B6">
              <w:rPr>
                <w:rFonts w:ascii="Calibri" w:eastAsia="Calibri" w:hAnsi="Calibri"/>
                <w:color w:val="auto"/>
                <w:kern w:val="0"/>
                <w:szCs w:val="24"/>
                <w:lang w:eastAsia="en-US"/>
                <w14:ligatures w14:val="none"/>
              </w:rPr>
              <w:t>in that it does not take into consideration any biological factors in understanding individuals’ behaviours such as hunger making it difficult to predict behaviour.</w:t>
            </w:r>
          </w:p>
          <w:p w14:paraId="55E3E5F2" w14:textId="03B7A33B"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Despite the criticism by Anton et al (2022), in terms of nutrition, the model </w:t>
            </w:r>
            <w:r w:rsidR="006262F5">
              <w:rPr>
                <w:rFonts w:ascii="Calibri" w:eastAsia="Calibri" w:hAnsi="Calibri"/>
                <w:color w:val="auto"/>
                <w:kern w:val="0"/>
                <w:szCs w:val="24"/>
                <w:lang w:eastAsia="en-US"/>
                <w14:ligatures w14:val="none"/>
              </w:rPr>
              <w:t xml:space="preserve">does </w:t>
            </w:r>
            <w:r w:rsidRPr="000751B6">
              <w:rPr>
                <w:rFonts w:ascii="Calibri" w:eastAsia="Calibri" w:hAnsi="Calibri"/>
                <w:color w:val="auto"/>
                <w:kern w:val="0"/>
                <w:szCs w:val="24"/>
                <w:lang w:eastAsia="en-US"/>
                <w14:ligatures w14:val="none"/>
              </w:rPr>
              <w:t>allow</w:t>
            </w:r>
            <w:r w:rsidR="006262F5">
              <w:rPr>
                <w:rFonts w:ascii="Calibri" w:eastAsia="Calibri" w:hAnsi="Calibri"/>
                <w:color w:val="auto"/>
                <w:kern w:val="0"/>
                <w:szCs w:val="24"/>
                <w:lang w:eastAsia="en-US"/>
                <w14:ligatures w14:val="none"/>
              </w:rPr>
              <w:t xml:space="preserve"> </w:t>
            </w:r>
            <w:r w:rsidRPr="000751B6">
              <w:rPr>
                <w:rFonts w:ascii="Calibri" w:eastAsia="Calibri" w:hAnsi="Calibri"/>
                <w:color w:val="auto"/>
                <w:kern w:val="0"/>
                <w:szCs w:val="24"/>
                <w:lang w:eastAsia="en-US"/>
                <w14:ligatures w14:val="none"/>
              </w:rPr>
              <w:t>researchers to look at personal factors such as knowledge (eg, choosing healthy foods, cooking skills), environmental factors (</w:t>
            </w:r>
            <w:proofErr w:type="gramStart"/>
            <w:r w:rsidRPr="000751B6">
              <w:rPr>
                <w:rFonts w:ascii="Calibri" w:eastAsia="Calibri" w:hAnsi="Calibri"/>
                <w:color w:val="auto"/>
                <w:kern w:val="0"/>
                <w:szCs w:val="24"/>
                <w:lang w:eastAsia="en-US"/>
                <w14:ligatures w14:val="none"/>
              </w:rPr>
              <w:t>eg</w:t>
            </w:r>
            <w:proofErr w:type="gramEnd"/>
            <w:r w:rsidRPr="000751B6">
              <w:rPr>
                <w:rFonts w:ascii="Calibri" w:eastAsia="Calibri" w:hAnsi="Calibri"/>
                <w:color w:val="auto"/>
                <w:kern w:val="0"/>
                <w:szCs w:val="24"/>
                <w:lang w:eastAsia="en-US"/>
                <w14:ligatures w14:val="none"/>
              </w:rPr>
              <w:t xml:space="preserve"> availability of healthy food) and behaviours (eg beliefs that healthy foods are too expensive). </w:t>
            </w:r>
            <w:proofErr w:type="spellStart"/>
            <w:r w:rsidRPr="000751B6">
              <w:rPr>
                <w:rFonts w:ascii="Calibri" w:eastAsia="Calibri" w:hAnsi="Calibri"/>
                <w:color w:val="auto"/>
                <w:kern w:val="0"/>
                <w:szCs w:val="24"/>
                <w:lang w:eastAsia="en-US"/>
                <w14:ligatures w14:val="none"/>
              </w:rPr>
              <w:t>Shuremu</w:t>
            </w:r>
            <w:proofErr w:type="spellEnd"/>
            <w:r w:rsidRPr="000751B6">
              <w:rPr>
                <w:rFonts w:ascii="Calibri" w:eastAsia="Calibri" w:hAnsi="Calibri"/>
                <w:color w:val="auto"/>
                <w:kern w:val="0"/>
                <w:szCs w:val="24"/>
                <w:lang w:eastAsia="en-US"/>
                <w14:ligatures w14:val="none"/>
              </w:rPr>
              <w:t xml:space="preserve">, Abate and </w:t>
            </w:r>
            <w:proofErr w:type="spellStart"/>
            <w:r w:rsidRPr="000751B6">
              <w:rPr>
                <w:rFonts w:ascii="Calibri" w:eastAsia="Calibri" w:hAnsi="Calibri"/>
                <w:color w:val="auto"/>
                <w:kern w:val="0"/>
                <w:szCs w:val="24"/>
                <w:lang w:eastAsia="en-US"/>
                <w14:ligatures w14:val="none"/>
              </w:rPr>
              <w:t>Belachew</w:t>
            </w:r>
            <w:proofErr w:type="spellEnd"/>
            <w:r w:rsidRPr="000751B6">
              <w:rPr>
                <w:rFonts w:ascii="Calibri" w:eastAsia="Calibri" w:hAnsi="Calibri"/>
                <w:color w:val="auto"/>
                <w:kern w:val="0"/>
                <w:szCs w:val="24"/>
                <w:lang w:eastAsia="en-US"/>
                <w14:ligatures w14:val="none"/>
              </w:rPr>
              <w:t xml:space="preserve"> (2023) used the theory successfully to promote healthy eating behaviours and </w:t>
            </w:r>
            <w:proofErr w:type="spellStart"/>
            <w:r w:rsidRPr="000751B6">
              <w:rPr>
                <w:rFonts w:ascii="Calibri" w:eastAsia="Calibri" w:hAnsi="Calibri"/>
                <w:color w:val="auto"/>
                <w:kern w:val="0"/>
                <w:szCs w:val="24"/>
                <w:lang w:eastAsia="en-US"/>
                <w14:ligatures w14:val="none"/>
              </w:rPr>
              <w:t>Gordullo</w:t>
            </w:r>
            <w:proofErr w:type="spellEnd"/>
            <w:r w:rsidRPr="000751B6">
              <w:rPr>
                <w:rFonts w:ascii="Calibri" w:eastAsia="Calibri" w:hAnsi="Calibri"/>
                <w:color w:val="auto"/>
                <w:kern w:val="0"/>
                <w:szCs w:val="24"/>
                <w:lang w:eastAsia="en-US"/>
                <w14:ligatures w14:val="none"/>
              </w:rPr>
              <w:t xml:space="preserve"> and Prescott (2023) to improve confidence in cooking classes. </w:t>
            </w:r>
          </w:p>
          <w:p w14:paraId="22F9642F" w14:textId="063345C3"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Another theory is the Theory of Planned Behaviour, a model that suggests that beliefs, attitudes and intention predict behaviour and which is determined by </w:t>
            </w:r>
            <w:r w:rsidR="00AF3E26">
              <w:rPr>
                <w:rFonts w:ascii="Calibri" w:eastAsia="Calibri" w:hAnsi="Calibri"/>
                <w:color w:val="auto"/>
                <w:kern w:val="0"/>
                <w:szCs w:val="24"/>
                <w:lang w:eastAsia="en-US"/>
                <w14:ligatures w14:val="none"/>
              </w:rPr>
              <w:t>three</w:t>
            </w:r>
            <w:r w:rsidRPr="000751B6">
              <w:rPr>
                <w:rFonts w:ascii="Calibri" w:eastAsia="Calibri" w:hAnsi="Calibri"/>
                <w:color w:val="auto"/>
                <w:kern w:val="0"/>
                <w:szCs w:val="24"/>
                <w:lang w:eastAsia="en-US"/>
                <w14:ligatures w14:val="none"/>
              </w:rPr>
              <w:t xml:space="preserve"> factors – attitude towards the behaviour (beliefs and values about the outcomes of the behaviour); subjective norms (beliefs about others’ opinions through, for example, social pressure or social networks) and perceived behavioural control (an individuals’ perception of their ability to perform the behaviour, eg opportunities and skills).</w:t>
            </w:r>
          </w:p>
          <w:p w14:paraId="54852ECC"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The Theory of Planned Behaviour has been used in health education campaigns such as anti-drug campaigns and anti-smoking campaigns.  It has also been used to look at individual behaviours in nutrition.</w:t>
            </w:r>
          </w:p>
          <w:p w14:paraId="14612C24" w14:textId="0D67DB11"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proofErr w:type="spellStart"/>
            <w:r w:rsidRPr="000751B6">
              <w:rPr>
                <w:rFonts w:ascii="Calibri" w:eastAsia="Calibri" w:hAnsi="Calibri"/>
                <w:color w:val="auto"/>
                <w:kern w:val="0"/>
                <w:szCs w:val="24"/>
                <w:lang w:eastAsia="en-US"/>
                <w14:ligatures w14:val="none"/>
              </w:rPr>
              <w:t>Sogari</w:t>
            </w:r>
            <w:proofErr w:type="spellEnd"/>
            <w:r w:rsidRPr="000751B6">
              <w:rPr>
                <w:rFonts w:ascii="Calibri" w:eastAsia="Calibri" w:hAnsi="Calibri"/>
                <w:color w:val="auto"/>
                <w:kern w:val="0"/>
                <w:szCs w:val="24"/>
                <w:lang w:eastAsia="en-US"/>
                <w14:ligatures w14:val="none"/>
              </w:rPr>
              <w:t xml:space="preserve"> et al (2022) used the theory of planned behaviour </w:t>
            </w:r>
            <w:r w:rsidR="00AF3E26">
              <w:rPr>
                <w:rFonts w:ascii="Calibri" w:eastAsia="Calibri" w:hAnsi="Calibri"/>
                <w:color w:val="auto"/>
                <w:kern w:val="0"/>
                <w:szCs w:val="24"/>
                <w:lang w:eastAsia="en-US"/>
                <w14:ligatures w14:val="none"/>
              </w:rPr>
              <w:t>to</w:t>
            </w:r>
            <w:r w:rsidRPr="000751B6">
              <w:rPr>
                <w:rFonts w:ascii="Calibri" w:eastAsia="Calibri" w:hAnsi="Calibri"/>
                <w:color w:val="auto"/>
                <w:kern w:val="0"/>
                <w:szCs w:val="24"/>
                <w:lang w:eastAsia="en-US"/>
                <w14:ligatures w14:val="none"/>
              </w:rPr>
              <w:t xml:space="preserve"> analys</w:t>
            </w:r>
            <w:r w:rsidR="00AF3E26">
              <w:rPr>
                <w:rFonts w:ascii="Calibri" w:eastAsia="Calibri" w:hAnsi="Calibri"/>
                <w:color w:val="auto"/>
                <w:kern w:val="0"/>
                <w:szCs w:val="24"/>
                <w:lang w:eastAsia="en-US"/>
                <w14:ligatures w14:val="none"/>
              </w:rPr>
              <w:t>e</w:t>
            </w:r>
            <w:r w:rsidRPr="000751B6">
              <w:rPr>
                <w:rFonts w:ascii="Calibri" w:eastAsia="Calibri" w:hAnsi="Calibri"/>
                <w:color w:val="auto"/>
                <w:kern w:val="0"/>
                <w:szCs w:val="24"/>
                <w:lang w:eastAsia="en-US"/>
                <w14:ligatures w14:val="none"/>
              </w:rPr>
              <w:t xml:space="preserve"> attitudes towards traditional food behaviours. They concluded that the use of this theory in designing programmes to help with making healthy dietary changes successful as it considers personal attitudes and social norms.  However, they found that one criticism is that the </w:t>
            </w:r>
            <w:r w:rsidRPr="000751B6">
              <w:rPr>
                <w:rFonts w:ascii="Calibri" w:eastAsia="Calibri" w:hAnsi="Calibri"/>
                <w:color w:val="auto"/>
                <w:kern w:val="0"/>
                <w:szCs w:val="24"/>
                <w:lang w:eastAsia="en-US"/>
                <w14:ligatures w14:val="none"/>
              </w:rPr>
              <w:lastRenderedPageBreak/>
              <w:t>theory does not consider emotions or feelings which are important influences in behaviour change as the model suggests that all behaviour is planned.</w:t>
            </w:r>
          </w:p>
          <w:p w14:paraId="6EE7275C"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Both theories of behaviour change require a set of skills to help ensure that the models used are effective. Researchers need to ensure that they have good communication skills such as being able to actively listen to participants, being non-judgmental and avoiding jargon.  Researchers should have motivational interviewing techniques so they can explore the reasons for change and be able to set goals effectively.</w:t>
            </w:r>
          </w:p>
          <w:p w14:paraId="34DDDCCC"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In some instances, researchers would need to show empathy and compassion and be able to address barriers and challenges to changing behaviours. Interpersonal and intrapersonal skills are essential so that researchers are able to work with others and have the skills to be adaptable and resilient if the need arises.</w:t>
            </w:r>
          </w:p>
          <w:p w14:paraId="3E6C58FF"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In conclusion, the two theories of behaviour change are useful in analysing behaviour to promote behaviour change. Despite their criticisms, the models can be used in different scenarios or used alongside each other to help improve health outcomes.  Researchers, however, would need to ensure that they have the right skill mix so that the theories are used effectively. </w:t>
            </w:r>
          </w:p>
          <w:p w14:paraId="15A02783" w14:textId="28017DA9" w:rsidR="00D7002C" w:rsidRDefault="00D7002C" w:rsidP="00F62D93">
            <w:pPr>
              <w:spacing w:after="83" w:line="239" w:lineRule="auto"/>
              <w:ind w:left="0" w:firstLine="0"/>
              <w:rPr>
                <w:rFonts w:asciiTheme="majorHAnsi" w:hAnsiTheme="majorHAnsi" w:cstheme="majorHAnsi"/>
                <w:szCs w:val="24"/>
              </w:rPr>
            </w:pPr>
          </w:p>
          <w:p w14:paraId="5C3E9123" w14:textId="4BF3BCFC" w:rsidR="000751B6" w:rsidRDefault="000751B6" w:rsidP="00F62D93">
            <w:pPr>
              <w:spacing w:after="83" w:line="239" w:lineRule="auto"/>
              <w:ind w:left="0" w:firstLine="0"/>
              <w:rPr>
                <w:rFonts w:asciiTheme="majorHAnsi" w:hAnsiTheme="majorHAnsi" w:cstheme="majorHAnsi"/>
                <w:szCs w:val="24"/>
              </w:rPr>
            </w:pPr>
          </w:p>
          <w:p w14:paraId="60A5E497" w14:textId="573F54EA" w:rsidR="000751B6" w:rsidRDefault="000751B6" w:rsidP="00F62D93">
            <w:pPr>
              <w:spacing w:after="83" w:line="239" w:lineRule="auto"/>
              <w:ind w:left="0" w:firstLine="0"/>
              <w:rPr>
                <w:rFonts w:asciiTheme="majorHAnsi" w:hAnsiTheme="majorHAnsi" w:cstheme="majorHAnsi"/>
                <w:szCs w:val="24"/>
              </w:rPr>
            </w:pPr>
          </w:p>
          <w:p w14:paraId="33A9699A" w14:textId="05451590" w:rsidR="000751B6" w:rsidRDefault="000751B6" w:rsidP="00F62D93">
            <w:pPr>
              <w:spacing w:after="83" w:line="239" w:lineRule="auto"/>
              <w:ind w:left="0" w:firstLine="0"/>
              <w:rPr>
                <w:rFonts w:asciiTheme="majorHAnsi" w:hAnsiTheme="majorHAnsi" w:cstheme="majorHAnsi"/>
                <w:szCs w:val="24"/>
              </w:rPr>
            </w:pPr>
          </w:p>
          <w:p w14:paraId="4658D5E8" w14:textId="5912FFA5" w:rsidR="000751B6" w:rsidRDefault="000751B6" w:rsidP="00F62D93">
            <w:pPr>
              <w:spacing w:after="83" w:line="239" w:lineRule="auto"/>
              <w:ind w:left="0" w:firstLine="0"/>
              <w:rPr>
                <w:rFonts w:asciiTheme="majorHAnsi" w:hAnsiTheme="majorHAnsi" w:cstheme="majorHAnsi"/>
                <w:szCs w:val="24"/>
              </w:rPr>
            </w:pPr>
          </w:p>
          <w:p w14:paraId="48E63907" w14:textId="4326A473" w:rsidR="000751B6" w:rsidRDefault="000751B6" w:rsidP="00F62D93">
            <w:pPr>
              <w:spacing w:after="83" w:line="239" w:lineRule="auto"/>
              <w:ind w:left="0" w:firstLine="0"/>
              <w:rPr>
                <w:rFonts w:asciiTheme="majorHAnsi" w:hAnsiTheme="majorHAnsi" w:cstheme="majorHAnsi"/>
                <w:szCs w:val="24"/>
              </w:rPr>
            </w:pPr>
          </w:p>
          <w:p w14:paraId="3C7FA0A0" w14:textId="0741F398" w:rsidR="000751B6" w:rsidRDefault="000751B6" w:rsidP="00F62D93">
            <w:pPr>
              <w:spacing w:after="83" w:line="239" w:lineRule="auto"/>
              <w:ind w:left="0" w:firstLine="0"/>
              <w:rPr>
                <w:rFonts w:asciiTheme="majorHAnsi" w:hAnsiTheme="majorHAnsi" w:cstheme="majorHAnsi"/>
                <w:szCs w:val="24"/>
              </w:rPr>
            </w:pPr>
          </w:p>
          <w:p w14:paraId="082ABD0D" w14:textId="6AA3635A" w:rsidR="000751B6" w:rsidRDefault="000751B6" w:rsidP="00F62D93">
            <w:pPr>
              <w:spacing w:after="83" w:line="239" w:lineRule="auto"/>
              <w:ind w:left="0" w:firstLine="0"/>
              <w:rPr>
                <w:rFonts w:asciiTheme="majorHAnsi" w:hAnsiTheme="majorHAnsi" w:cstheme="majorHAnsi"/>
                <w:szCs w:val="24"/>
              </w:rPr>
            </w:pPr>
          </w:p>
          <w:p w14:paraId="1927666A" w14:textId="1790A782" w:rsidR="000751B6" w:rsidRDefault="000751B6" w:rsidP="00F62D93">
            <w:pPr>
              <w:spacing w:after="83" w:line="239" w:lineRule="auto"/>
              <w:ind w:left="0" w:firstLine="0"/>
              <w:rPr>
                <w:rFonts w:asciiTheme="majorHAnsi" w:hAnsiTheme="majorHAnsi" w:cstheme="majorHAnsi"/>
                <w:szCs w:val="24"/>
              </w:rPr>
            </w:pPr>
          </w:p>
          <w:p w14:paraId="2376E624" w14:textId="2367CA99" w:rsidR="000751B6" w:rsidRDefault="000751B6" w:rsidP="00F62D93">
            <w:pPr>
              <w:spacing w:after="83" w:line="239" w:lineRule="auto"/>
              <w:ind w:left="0" w:firstLine="0"/>
              <w:rPr>
                <w:rFonts w:asciiTheme="majorHAnsi" w:hAnsiTheme="majorHAnsi" w:cstheme="majorHAnsi"/>
                <w:szCs w:val="24"/>
              </w:rPr>
            </w:pPr>
          </w:p>
          <w:p w14:paraId="5FD4090D" w14:textId="646C1DC6" w:rsidR="000751B6" w:rsidRDefault="000751B6" w:rsidP="00F62D93">
            <w:pPr>
              <w:spacing w:after="83" w:line="239" w:lineRule="auto"/>
              <w:ind w:left="0" w:firstLine="0"/>
              <w:rPr>
                <w:rFonts w:asciiTheme="majorHAnsi" w:hAnsiTheme="majorHAnsi" w:cstheme="majorHAnsi"/>
                <w:szCs w:val="24"/>
              </w:rPr>
            </w:pPr>
          </w:p>
          <w:p w14:paraId="22BF1DE8" w14:textId="18EB131E" w:rsidR="000751B6" w:rsidRDefault="000751B6" w:rsidP="00F62D93">
            <w:pPr>
              <w:spacing w:after="83" w:line="239" w:lineRule="auto"/>
              <w:ind w:left="0" w:firstLine="0"/>
              <w:rPr>
                <w:rFonts w:asciiTheme="majorHAnsi" w:hAnsiTheme="majorHAnsi" w:cstheme="majorHAnsi"/>
                <w:szCs w:val="24"/>
              </w:rPr>
            </w:pPr>
          </w:p>
          <w:p w14:paraId="0D492478" w14:textId="77777777" w:rsidR="000751B6" w:rsidRPr="00601B22" w:rsidRDefault="000751B6" w:rsidP="00F62D93">
            <w:pPr>
              <w:spacing w:after="83" w:line="239" w:lineRule="auto"/>
              <w:ind w:left="0" w:firstLine="0"/>
              <w:rPr>
                <w:rFonts w:asciiTheme="majorHAnsi" w:hAnsiTheme="majorHAnsi" w:cstheme="majorHAnsi"/>
                <w:szCs w:val="24"/>
              </w:rPr>
            </w:pPr>
          </w:p>
          <w:p w14:paraId="14B9298C" w14:textId="77777777" w:rsidR="00D7002C" w:rsidRPr="00601B22" w:rsidRDefault="00D7002C" w:rsidP="00F62D93">
            <w:pPr>
              <w:spacing w:after="83" w:line="239" w:lineRule="auto"/>
              <w:ind w:left="0" w:firstLine="0"/>
              <w:rPr>
                <w:rFonts w:asciiTheme="majorHAnsi" w:hAnsiTheme="majorHAnsi" w:cstheme="majorHAnsi"/>
                <w:szCs w:val="24"/>
              </w:rPr>
            </w:pPr>
          </w:p>
          <w:p w14:paraId="068533C5" w14:textId="77777777" w:rsidR="00D7002C" w:rsidRPr="00601B22" w:rsidRDefault="00D7002C" w:rsidP="00F62D93">
            <w:pPr>
              <w:spacing w:after="83" w:line="239" w:lineRule="auto"/>
              <w:ind w:left="0" w:firstLine="0"/>
              <w:rPr>
                <w:rFonts w:asciiTheme="majorHAnsi" w:hAnsiTheme="majorHAnsi" w:cstheme="majorHAnsi"/>
                <w:szCs w:val="24"/>
              </w:rPr>
            </w:pPr>
          </w:p>
          <w:p w14:paraId="415C090E" w14:textId="77777777" w:rsidR="00D7002C" w:rsidRPr="00601B22" w:rsidRDefault="00D7002C" w:rsidP="00F62D93">
            <w:pPr>
              <w:spacing w:after="83" w:line="239" w:lineRule="auto"/>
              <w:ind w:left="0" w:firstLine="0"/>
              <w:rPr>
                <w:rFonts w:asciiTheme="majorHAnsi" w:hAnsiTheme="majorHAnsi" w:cstheme="majorHAnsi"/>
                <w:szCs w:val="24"/>
              </w:rPr>
            </w:pPr>
          </w:p>
          <w:p w14:paraId="2194FABB" w14:textId="77777777" w:rsidR="00D7002C" w:rsidRPr="00601B22" w:rsidRDefault="00D7002C" w:rsidP="00F62D93">
            <w:pPr>
              <w:spacing w:after="83" w:line="239" w:lineRule="auto"/>
              <w:ind w:left="0" w:firstLine="0"/>
              <w:rPr>
                <w:rFonts w:asciiTheme="majorHAnsi" w:hAnsiTheme="majorHAnsi" w:cstheme="majorHAnsi"/>
                <w:szCs w:val="24"/>
              </w:rPr>
            </w:pPr>
          </w:p>
          <w:p w14:paraId="6666729E" w14:textId="77777777" w:rsidR="00D7002C" w:rsidRPr="00601B22" w:rsidRDefault="00D7002C" w:rsidP="00F62D93">
            <w:pPr>
              <w:spacing w:after="83" w:line="239" w:lineRule="auto"/>
              <w:ind w:left="0" w:firstLine="0"/>
              <w:rPr>
                <w:rFonts w:asciiTheme="majorHAnsi" w:hAnsiTheme="majorHAnsi" w:cstheme="majorHAnsi"/>
                <w:szCs w:val="24"/>
              </w:rPr>
            </w:pPr>
          </w:p>
          <w:p w14:paraId="00FD2BA8" w14:textId="3591D6AC" w:rsidR="00D7002C" w:rsidRPr="00601B22" w:rsidRDefault="00D7002C" w:rsidP="00F62D93">
            <w:pPr>
              <w:spacing w:after="83" w:line="239" w:lineRule="auto"/>
              <w:ind w:left="0" w:firstLine="0"/>
              <w:rPr>
                <w:rFonts w:asciiTheme="majorHAnsi" w:hAnsiTheme="majorHAnsi" w:cstheme="majorHAnsi"/>
                <w:szCs w:val="24"/>
              </w:rPr>
            </w:pPr>
          </w:p>
        </w:tc>
      </w:tr>
    </w:tbl>
    <w:p w14:paraId="65C3D590" w14:textId="77777777" w:rsidR="004B3551" w:rsidRPr="00601B22" w:rsidRDefault="004B3551"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D7002C" w:rsidRPr="00601B22" w14:paraId="1D1DCDD8" w14:textId="77777777" w:rsidTr="006E53F1">
        <w:tc>
          <w:tcPr>
            <w:tcW w:w="9021" w:type="dxa"/>
          </w:tcPr>
          <w:p w14:paraId="0265F968" w14:textId="076294D6" w:rsidR="00D7002C"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lastRenderedPageBreak/>
              <w:t xml:space="preserve">2.3 </w:t>
            </w:r>
            <w:r w:rsidR="00DE0A62">
              <w:rPr>
                <w:rFonts w:asciiTheme="majorHAnsi" w:hAnsiTheme="majorHAnsi" w:cstheme="majorHAnsi"/>
                <w:szCs w:val="24"/>
              </w:rPr>
              <w:t>Please describe two examples of where your health board, or local authority</w:t>
            </w:r>
            <w:r w:rsidR="0065473C">
              <w:rPr>
                <w:rFonts w:asciiTheme="majorHAnsi" w:hAnsiTheme="majorHAnsi" w:cstheme="majorHAnsi"/>
                <w:szCs w:val="24"/>
              </w:rPr>
              <w:t>,</w:t>
            </w:r>
            <w:r w:rsidR="00DE0A62">
              <w:rPr>
                <w:rFonts w:asciiTheme="majorHAnsi" w:hAnsiTheme="majorHAnsi" w:cstheme="majorHAnsi"/>
                <w:szCs w:val="24"/>
              </w:rPr>
              <w:t xml:space="preserve"> support the </w:t>
            </w:r>
            <w:r w:rsidR="00522DD8">
              <w:rPr>
                <w:rFonts w:asciiTheme="majorHAnsi" w:hAnsiTheme="majorHAnsi" w:cstheme="majorHAnsi"/>
                <w:szCs w:val="24"/>
              </w:rPr>
              <w:t>health and wellbeing of their employees:</w:t>
            </w:r>
          </w:p>
        </w:tc>
      </w:tr>
      <w:tr w:rsidR="00D7002C" w:rsidRPr="00601B22" w14:paraId="7E19C8F4" w14:textId="77777777" w:rsidTr="006E53F1">
        <w:tc>
          <w:tcPr>
            <w:tcW w:w="9021" w:type="dxa"/>
          </w:tcPr>
          <w:p w14:paraId="7E2CB2C0"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The health and wellbeing of employees has been regarded as important over the past few years where Government guidelines have been established to ensure that Health Boards develop strategies to ensure that their employees are supported in their health and wellbeing in the workplace.</w:t>
            </w:r>
          </w:p>
          <w:p w14:paraId="13D27C52" w14:textId="05F0D8AB"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In 2022 the International Public Policy Observatory report on NHS staff wellbeing in England indicated that 47% of the NHS workforce reported work related stress seeing a deterioration in their mental health, raised sickness levels, high staff vacancy and staff turnover rates with half of the workforce considering leaving the NHS.  They estimate that poor staff mental health and wellbeing cost the NHS 78 million days of staff time each year equating to £12.1 billion in costs.  </w:t>
            </w:r>
          </w:p>
          <w:p w14:paraId="0CF8170E" w14:textId="56F515AF"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In Wales</w:t>
            </w:r>
            <w:r w:rsidR="004D4E8F">
              <w:rPr>
                <w:rFonts w:ascii="Calibri" w:eastAsia="Calibri" w:hAnsi="Calibri"/>
                <w:color w:val="auto"/>
                <w:kern w:val="0"/>
                <w:szCs w:val="24"/>
                <w:lang w:eastAsia="en-US"/>
                <w14:ligatures w14:val="none"/>
              </w:rPr>
              <w:t xml:space="preserve">, </w:t>
            </w:r>
            <w:r w:rsidRPr="000751B6">
              <w:rPr>
                <w:rFonts w:ascii="Calibri" w:eastAsia="Calibri" w:hAnsi="Calibri"/>
                <w:color w:val="auto"/>
                <w:kern w:val="0"/>
                <w:szCs w:val="24"/>
                <w:lang w:eastAsia="en-US"/>
                <w14:ligatures w14:val="none"/>
              </w:rPr>
              <w:t xml:space="preserve">the Welsh Government passed the Health and Social Care (Quality and Engagement) (Wales) Act 2020 which saw the introduction of the Duty of Quality which required all health boards in Wales to improve the quality of their services and to promote the wellbeing of their staff.  By ensuring that NHS staff are supported with their health and wellbeing, this would help improve the patient experience by sustaining </w:t>
            </w:r>
            <w:r w:rsidR="004D4E8F">
              <w:rPr>
                <w:rFonts w:ascii="Calibri" w:eastAsia="Calibri" w:hAnsi="Calibri"/>
                <w:color w:val="auto"/>
                <w:kern w:val="0"/>
                <w:szCs w:val="24"/>
                <w:lang w:eastAsia="en-US"/>
                <w14:ligatures w14:val="none"/>
              </w:rPr>
              <w:t xml:space="preserve">a </w:t>
            </w:r>
            <w:r w:rsidRPr="000751B6">
              <w:rPr>
                <w:rFonts w:ascii="Calibri" w:eastAsia="Calibri" w:hAnsi="Calibri"/>
                <w:color w:val="auto"/>
                <w:kern w:val="0"/>
                <w:szCs w:val="24"/>
                <w:lang w:eastAsia="en-US"/>
                <w14:ligatures w14:val="none"/>
              </w:rPr>
              <w:t xml:space="preserve">good quality of care </w:t>
            </w:r>
            <w:r w:rsidR="004D4E8F">
              <w:rPr>
                <w:rFonts w:ascii="Calibri" w:eastAsia="Calibri" w:hAnsi="Calibri"/>
                <w:color w:val="auto"/>
                <w:kern w:val="0"/>
                <w:szCs w:val="24"/>
                <w:lang w:eastAsia="en-US"/>
                <w14:ligatures w14:val="none"/>
              </w:rPr>
              <w:t>for patients and</w:t>
            </w:r>
            <w:r w:rsidRPr="000751B6">
              <w:rPr>
                <w:rFonts w:ascii="Calibri" w:eastAsia="Calibri" w:hAnsi="Calibri"/>
                <w:color w:val="auto"/>
                <w:kern w:val="0"/>
                <w:szCs w:val="24"/>
                <w:lang w:eastAsia="en-US"/>
                <w14:ligatures w14:val="none"/>
              </w:rPr>
              <w:t xml:space="preserve"> a reduction in errors.  This will also increase staff retention and reduce any unnecessary costs to the NHS. </w:t>
            </w:r>
          </w:p>
          <w:p w14:paraId="24992F95" w14:textId="1618781C"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The Healthy Working Wales </w:t>
            </w:r>
            <w:r w:rsidR="004D4E8F">
              <w:rPr>
                <w:rFonts w:ascii="Calibri" w:eastAsia="Calibri" w:hAnsi="Calibri"/>
                <w:color w:val="auto"/>
                <w:kern w:val="0"/>
                <w:szCs w:val="24"/>
                <w:lang w:eastAsia="en-US"/>
                <w14:ligatures w14:val="none"/>
              </w:rPr>
              <w:t>(2023) e</w:t>
            </w:r>
            <w:r w:rsidRPr="000751B6">
              <w:rPr>
                <w:rFonts w:ascii="Calibri" w:eastAsia="Calibri" w:hAnsi="Calibri"/>
                <w:color w:val="auto"/>
                <w:kern w:val="0"/>
                <w:szCs w:val="24"/>
                <w:lang w:eastAsia="en-US"/>
                <w14:ligatures w14:val="none"/>
              </w:rPr>
              <w:t xml:space="preserve">ncourages employers to improve the health and wellbeing of staff through ensuring healthy and safe working environments, improving wellbeing, managing sickness and supporting those with long term health conditions.  </w:t>
            </w:r>
          </w:p>
          <w:p w14:paraId="23C32326" w14:textId="1B72B2C3"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In 2024, Health Education and Improvement Wales developed the Staff Health and Wellbeing – a best practice guide for </w:t>
            </w:r>
            <w:r w:rsidR="004D4E8F">
              <w:rPr>
                <w:rFonts w:ascii="Calibri" w:eastAsia="Calibri" w:hAnsi="Calibri"/>
                <w:color w:val="auto"/>
                <w:kern w:val="0"/>
                <w:szCs w:val="24"/>
                <w:lang w:eastAsia="en-US"/>
                <w14:ligatures w14:val="none"/>
              </w:rPr>
              <w:t xml:space="preserve">the </w:t>
            </w:r>
            <w:r w:rsidRPr="000751B6">
              <w:rPr>
                <w:rFonts w:ascii="Calibri" w:eastAsia="Calibri" w:hAnsi="Calibri"/>
                <w:color w:val="auto"/>
                <w:kern w:val="0"/>
                <w:szCs w:val="24"/>
                <w:lang w:eastAsia="en-US"/>
                <w14:ligatures w14:val="none"/>
              </w:rPr>
              <w:t xml:space="preserve">NHS.  This guidance </w:t>
            </w:r>
            <w:r w:rsidR="004D4E8F">
              <w:rPr>
                <w:rFonts w:ascii="Calibri" w:eastAsia="Calibri" w:hAnsi="Calibri"/>
                <w:color w:val="auto"/>
                <w:kern w:val="0"/>
                <w:szCs w:val="24"/>
                <w:lang w:eastAsia="en-US"/>
                <w14:ligatures w14:val="none"/>
              </w:rPr>
              <w:t xml:space="preserve">is based on good relationships and </w:t>
            </w:r>
            <w:r w:rsidRPr="000751B6">
              <w:rPr>
                <w:rFonts w:ascii="Calibri" w:eastAsia="Calibri" w:hAnsi="Calibri"/>
                <w:color w:val="auto"/>
                <w:kern w:val="0"/>
                <w:szCs w:val="24"/>
                <w:lang w:eastAsia="en-US"/>
                <w14:ligatures w14:val="none"/>
              </w:rPr>
              <w:t>provides advice to ensure teamwork is effective and compassionate leadership delivered.</w:t>
            </w:r>
          </w:p>
          <w:p w14:paraId="10282F3E" w14:textId="06479AB3"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The Welsh Government</w:t>
            </w:r>
            <w:r w:rsidR="004D4E8F">
              <w:rPr>
                <w:rFonts w:ascii="Calibri" w:eastAsia="Calibri" w:hAnsi="Calibri"/>
                <w:color w:val="auto"/>
                <w:kern w:val="0"/>
                <w:szCs w:val="24"/>
                <w:lang w:eastAsia="en-US"/>
                <w14:ligatures w14:val="none"/>
              </w:rPr>
              <w:t xml:space="preserve"> 2024 Plan for Health and Social Care</w:t>
            </w:r>
            <w:r w:rsidRPr="000751B6">
              <w:rPr>
                <w:rFonts w:ascii="Calibri" w:eastAsia="Calibri" w:hAnsi="Calibri"/>
                <w:color w:val="auto"/>
                <w:kern w:val="0"/>
                <w:szCs w:val="24"/>
                <w:lang w:eastAsia="en-US"/>
                <w14:ligatures w14:val="none"/>
              </w:rPr>
              <w:t xml:space="preserve"> is a long term plan to keep the people of Wales independent and healthy.  In order for this to be implemented, the Government recognises that the health and wellbeing of the </w:t>
            </w:r>
            <w:r w:rsidR="005F7527">
              <w:rPr>
                <w:rFonts w:ascii="Calibri" w:eastAsia="Calibri" w:hAnsi="Calibri"/>
                <w:color w:val="auto"/>
                <w:kern w:val="0"/>
                <w:szCs w:val="24"/>
                <w:lang w:eastAsia="en-US"/>
                <w14:ligatures w14:val="none"/>
              </w:rPr>
              <w:t xml:space="preserve">NHS </w:t>
            </w:r>
            <w:r w:rsidRPr="000751B6">
              <w:rPr>
                <w:rFonts w:ascii="Calibri" w:eastAsia="Calibri" w:hAnsi="Calibri"/>
                <w:color w:val="auto"/>
                <w:kern w:val="0"/>
                <w:szCs w:val="24"/>
                <w:lang w:eastAsia="en-US"/>
                <w14:ligatures w14:val="none"/>
              </w:rPr>
              <w:t xml:space="preserve">workforce needs to be paramount. Therefore, as part of this campaign, the Welsh Government set out to make NHS Wales an exemplar employer through supporting the health and wellbeing of </w:t>
            </w:r>
            <w:r w:rsidR="00960F8C">
              <w:rPr>
                <w:rFonts w:ascii="Calibri" w:eastAsia="Calibri" w:hAnsi="Calibri"/>
                <w:color w:val="auto"/>
                <w:kern w:val="0"/>
                <w:szCs w:val="24"/>
                <w:lang w:eastAsia="en-US"/>
                <w14:ligatures w14:val="none"/>
              </w:rPr>
              <w:t xml:space="preserve">their </w:t>
            </w:r>
            <w:r w:rsidRPr="000751B6">
              <w:rPr>
                <w:rFonts w:ascii="Calibri" w:eastAsia="Calibri" w:hAnsi="Calibri"/>
                <w:color w:val="auto"/>
                <w:kern w:val="0"/>
                <w:szCs w:val="24"/>
                <w:lang w:eastAsia="en-US"/>
                <w14:ligatures w14:val="none"/>
              </w:rPr>
              <w:t xml:space="preserve">staff. </w:t>
            </w:r>
          </w:p>
          <w:p w14:paraId="70A9071B" w14:textId="28F785A1"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Swansea Bay University Health Board has an occupational health and staff wellbeing service which include a team of healthcare professionals that support employees through their health and wellbeing.  Staff in the health board have access to voluntary services to help </w:t>
            </w:r>
            <w:r w:rsidR="004D4E8F">
              <w:rPr>
                <w:rFonts w:ascii="Calibri" w:eastAsia="Calibri" w:hAnsi="Calibri"/>
                <w:color w:val="auto"/>
                <w:kern w:val="0"/>
                <w:szCs w:val="24"/>
                <w:lang w:eastAsia="en-US"/>
                <w14:ligatures w14:val="none"/>
              </w:rPr>
              <w:t>improve or maintain</w:t>
            </w:r>
            <w:r w:rsidRPr="000751B6">
              <w:rPr>
                <w:rFonts w:ascii="Calibri" w:eastAsia="Calibri" w:hAnsi="Calibri"/>
                <w:color w:val="auto"/>
                <w:kern w:val="0"/>
                <w:szCs w:val="24"/>
                <w:lang w:eastAsia="en-US"/>
                <w14:ligatures w14:val="none"/>
              </w:rPr>
              <w:t xml:space="preserve"> their health and wellbeing such as access to counselling services, online wellbeing platforms such as Silver Cloud and free access to mindfulness apps such as Head Space.  They also have a health and wellbeing hub with resources for staff and best practice guides for managers.  Each department also has a health and wellbeing champion </w:t>
            </w:r>
            <w:r w:rsidRPr="000751B6">
              <w:rPr>
                <w:rFonts w:ascii="Calibri" w:eastAsia="Calibri" w:hAnsi="Calibri"/>
                <w:color w:val="auto"/>
                <w:kern w:val="0"/>
                <w:szCs w:val="24"/>
                <w:lang w:eastAsia="en-US"/>
                <w14:ligatures w14:val="none"/>
              </w:rPr>
              <w:lastRenderedPageBreak/>
              <w:t>that attend monthly meetings with the wellbeing team to set up and update wellbeing boards in the departments.</w:t>
            </w:r>
          </w:p>
          <w:p w14:paraId="6E6EF593" w14:textId="07EDF64F" w:rsidR="000751B6" w:rsidRPr="000751B6" w:rsidRDefault="004D4E8F" w:rsidP="000751B6">
            <w:pPr>
              <w:spacing w:after="160" w:line="259" w:lineRule="auto"/>
              <w:ind w:left="0" w:firstLine="0"/>
              <w:jc w:val="both"/>
              <w:rPr>
                <w:rFonts w:ascii="Calibri" w:eastAsia="Calibri" w:hAnsi="Calibri"/>
                <w:color w:val="auto"/>
                <w:kern w:val="0"/>
                <w:szCs w:val="24"/>
                <w:lang w:eastAsia="en-US"/>
                <w14:ligatures w14:val="none"/>
              </w:rPr>
            </w:pPr>
            <w:r>
              <w:rPr>
                <w:rFonts w:ascii="Calibri" w:eastAsia="Calibri" w:hAnsi="Calibri"/>
                <w:color w:val="auto"/>
                <w:kern w:val="0"/>
                <w:szCs w:val="24"/>
                <w:lang w:eastAsia="en-US"/>
                <w14:ligatures w14:val="none"/>
              </w:rPr>
              <w:t xml:space="preserve">In 2022, </w:t>
            </w:r>
            <w:r w:rsidR="000751B6" w:rsidRPr="000751B6">
              <w:rPr>
                <w:rFonts w:ascii="Calibri" w:eastAsia="Calibri" w:hAnsi="Calibri"/>
                <w:color w:val="auto"/>
                <w:kern w:val="0"/>
                <w:szCs w:val="24"/>
                <w:lang w:eastAsia="en-US"/>
                <w14:ligatures w14:val="none"/>
              </w:rPr>
              <w:t xml:space="preserve">Swansea Bay </w:t>
            </w:r>
            <w:r w:rsidR="00934810">
              <w:rPr>
                <w:rFonts w:ascii="Calibri" w:eastAsia="Calibri" w:hAnsi="Calibri"/>
                <w:color w:val="auto"/>
                <w:kern w:val="0"/>
                <w:szCs w:val="24"/>
                <w:lang w:eastAsia="en-US"/>
                <w14:ligatures w14:val="none"/>
              </w:rPr>
              <w:t xml:space="preserve">University Health Board </w:t>
            </w:r>
            <w:r w:rsidR="000751B6" w:rsidRPr="000751B6">
              <w:rPr>
                <w:rFonts w:ascii="Calibri" w:eastAsia="Calibri" w:hAnsi="Calibri"/>
                <w:color w:val="auto"/>
                <w:kern w:val="0"/>
                <w:szCs w:val="24"/>
                <w:lang w:eastAsia="en-US"/>
                <w14:ligatures w14:val="none"/>
              </w:rPr>
              <w:t>introduced the award winning sharing HOPE</w:t>
            </w:r>
            <w:r>
              <w:rPr>
                <w:rFonts w:ascii="Calibri" w:eastAsia="Calibri" w:hAnsi="Calibri"/>
                <w:color w:val="auto"/>
                <w:kern w:val="0"/>
                <w:szCs w:val="24"/>
                <w:lang w:eastAsia="en-US"/>
                <w14:ligatures w14:val="none"/>
              </w:rPr>
              <w:t xml:space="preserve"> programme,</w:t>
            </w:r>
            <w:r w:rsidR="000751B6" w:rsidRPr="000751B6">
              <w:rPr>
                <w:rFonts w:ascii="Calibri" w:eastAsia="Calibri" w:hAnsi="Calibri"/>
                <w:color w:val="auto"/>
                <w:kern w:val="0"/>
                <w:szCs w:val="24"/>
                <w:lang w:eastAsia="en-US"/>
                <w14:ligatures w14:val="none"/>
              </w:rPr>
              <w:t xml:space="preserve"> an arts-based therapy to tackle mental health and trauma and improve the wellbeing of staff.  The award won the ‘Best </w:t>
            </w:r>
            <w:r>
              <w:rPr>
                <w:rFonts w:ascii="Calibri" w:eastAsia="Calibri" w:hAnsi="Calibri"/>
                <w:color w:val="auto"/>
                <w:kern w:val="0"/>
                <w:szCs w:val="24"/>
                <w:lang w:eastAsia="en-US"/>
                <w14:ligatures w14:val="none"/>
              </w:rPr>
              <w:t>S</w:t>
            </w:r>
            <w:r w:rsidR="000751B6" w:rsidRPr="000751B6">
              <w:rPr>
                <w:rFonts w:ascii="Calibri" w:eastAsia="Calibri" w:hAnsi="Calibri"/>
                <w:color w:val="auto"/>
                <w:kern w:val="0"/>
                <w:szCs w:val="24"/>
                <w:lang w:eastAsia="en-US"/>
                <w14:ligatures w14:val="none"/>
              </w:rPr>
              <w:t>taff</w:t>
            </w:r>
            <w:r>
              <w:rPr>
                <w:rFonts w:ascii="Calibri" w:eastAsia="Calibri" w:hAnsi="Calibri"/>
                <w:color w:val="auto"/>
                <w:kern w:val="0"/>
                <w:szCs w:val="24"/>
                <w:lang w:eastAsia="en-US"/>
                <w14:ligatures w14:val="none"/>
              </w:rPr>
              <w:t xml:space="preserve"> W</w:t>
            </w:r>
            <w:r w:rsidR="000751B6" w:rsidRPr="000751B6">
              <w:rPr>
                <w:rFonts w:ascii="Calibri" w:eastAsia="Calibri" w:hAnsi="Calibri"/>
                <w:color w:val="auto"/>
                <w:kern w:val="0"/>
                <w:szCs w:val="24"/>
                <w:lang w:eastAsia="en-US"/>
                <w14:ligatures w14:val="none"/>
              </w:rPr>
              <w:t xml:space="preserve">ellbeing </w:t>
            </w:r>
            <w:r>
              <w:rPr>
                <w:rFonts w:ascii="Calibri" w:eastAsia="Calibri" w:hAnsi="Calibri"/>
                <w:color w:val="auto"/>
                <w:kern w:val="0"/>
                <w:szCs w:val="24"/>
                <w:lang w:eastAsia="en-US"/>
                <w14:ligatures w14:val="none"/>
              </w:rPr>
              <w:t>I</w:t>
            </w:r>
            <w:r w:rsidR="000751B6" w:rsidRPr="000751B6">
              <w:rPr>
                <w:rFonts w:ascii="Calibri" w:eastAsia="Calibri" w:hAnsi="Calibri"/>
                <w:color w:val="auto"/>
                <w:kern w:val="0"/>
                <w:szCs w:val="24"/>
                <w:lang w:eastAsia="en-US"/>
                <w14:ligatures w14:val="none"/>
              </w:rPr>
              <w:t>nitiative’ at the Nursing Times Workforce Summit Award and the top prize at the 2024 Royal Society for Public Health ‘Health and Wellbeing Awards’</w:t>
            </w:r>
            <w:r w:rsidR="00643698">
              <w:rPr>
                <w:rFonts w:ascii="Calibri" w:eastAsia="Calibri" w:hAnsi="Calibri"/>
                <w:color w:val="auto"/>
                <w:kern w:val="0"/>
                <w:szCs w:val="24"/>
                <w:lang w:eastAsia="en-US"/>
                <w14:ligatures w14:val="none"/>
              </w:rPr>
              <w:t xml:space="preserve">.  It </w:t>
            </w:r>
            <w:r w:rsidR="000751B6" w:rsidRPr="000751B6">
              <w:rPr>
                <w:rFonts w:ascii="Calibri" w:eastAsia="Calibri" w:hAnsi="Calibri"/>
                <w:color w:val="auto"/>
                <w:kern w:val="0"/>
                <w:szCs w:val="24"/>
                <w:lang w:eastAsia="en-US"/>
                <w14:ligatures w14:val="none"/>
              </w:rPr>
              <w:t xml:space="preserve">aims to improve staff wellbeing by recognising the early detection of anxiety and depression in staff.  As well as supporting staff independently, the project can be delivered to departments and also via a community group to allow staff to invite their family and friends.  Such arts based therapies include beach sculptures and textile groups. </w:t>
            </w:r>
          </w:p>
          <w:p w14:paraId="31CFF6EC" w14:textId="77777777"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 xml:space="preserve">The Health and Wellbeing Team also run a 5 week meaningful and mindfulness course for staff which provides resources to manage stress and worry.   This course helps staff build resilience to stressful environments.  </w:t>
            </w:r>
          </w:p>
          <w:p w14:paraId="12409294" w14:textId="6435072D" w:rsidR="000751B6" w:rsidRPr="000751B6" w:rsidRDefault="000751B6" w:rsidP="000751B6">
            <w:pPr>
              <w:spacing w:after="160" w:line="259" w:lineRule="auto"/>
              <w:ind w:left="0" w:firstLine="0"/>
              <w:jc w:val="both"/>
              <w:rPr>
                <w:rFonts w:ascii="Calibri" w:eastAsia="Calibri" w:hAnsi="Calibri"/>
                <w:color w:val="auto"/>
                <w:kern w:val="0"/>
                <w:szCs w:val="24"/>
                <w:lang w:eastAsia="en-US"/>
                <w14:ligatures w14:val="none"/>
              </w:rPr>
            </w:pPr>
            <w:r w:rsidRPr="000751B6">
              <w:rPr>
                <w:rFonts w:ascii="Calibri" w:eastAsia="Calibri" w:hAnsi="Calibri"/>
                <w:color w:val="auto"/>
                <w:kern w:val="0"/>
                <w:szCs w:val="24"/>
                <w:lang w:eastAsia="en-US"/>
                <w14:ligatures w14:val="none"/>
              </w:rPr>
              <w:t>In conclusion, with staff having the support to maintain their health and wellbeing, this ensures that patients receive the best quality of care as health boards in Wales</w:t>
            </w:r>
            <w:r w:rsidR="00832947">
              <w:rPr>
                <w:rFonts w:ascii="Calibri" w:eastAsia="Calibri" w:hAnsi="Calibri"/>
                <w:color w:val="auto"/>
                <w:kern w:val="0"/>
                <w:szCs w:val="24"/>
                <w:lang w:eastAsia="en-US"/>
                <w14:ligatures w14:val="none"/>
              </w:rPr>
              <w:t>,</w:t>
            </w:r>
            <w:r w:rsidRPr="000751B6">
              <w:rPr>
                <w:rFonts w:ascii="Calibri" w:eastAsia="Calibri" w:hAnsi="Calibri"/>
                <w:color w:val="auto"/>
                <w:kern w:val="0"/>
                <w:szCs w:val="24"/>
                <w:lang w:eastAsia="en-US"/>
                <w14:ligatures w14:val="none"/>
              </w:rPr>
              <w:t xml:space="preserve"> under government law and strategies</w:t>
            </w:r>
            <w:r w:rsidR="00832947">
              <w:rPr>
                <w:rFonts w:ascii="Calibri" w:eastAsia="Calibri" w:hAnsi="Calibri"/>
                <w:color w:val="auto"/>
                <w:kern w:val="0"/>
                <w:szCs w:val="24"/>
                <w:lang w:eastAsia="en-US"/>
                <w14:ligatures w14:val="none"/>
              </w:rPr>
              <w:t>,</w:t>
            </w:r>
            <w:r w:rsidRPr="000751B6">
              <w:rPr>
                <w:rFonts w:ascii="Calibri" w:eastAsia="Calibri" w:hAnsi="Calibri"/>
                <w:color w:val="auto"/>
                <w:kern w:val="0"/>
                <w:szCs w:val="24"/>
                <w:lang w:eastAsia="en-US"/>
                <w14:ligatures w14:val="none"/>
              </w:rPr>
              <w:t xml:space="preserve"> have a duty of care to their employees to ensure that their health and wellbeing is paramount to ensure </w:t>
            </w:r>
            <w:r w:rsidR="005079CA">
              <w:rPr>
                <w:rFonts w:ascii="Calibri" w:eastAsia="Calibri" w:hAnsi="Calibri"/>
                <w:color w:val="auto"/>
                <w:kern w:val="0"/>
                <w:szCs w:val="24"/>
                <w:lang w:eastAsia="en-US"/>
                <w14:ligatures w14:val="none"/>
              </w:rPr>
              <w:t xml:space="preserve">that NHS Wales remains a </w:t>
            </w:r>
            <w:r w:rsidRPr="000751B6">
              <w:rPr>
                <w:rFonts w:ascii="Calibri" w:eastAsia="Calibri" w:hAnsi="Calibri"/>
                <w:color w:val="auto"/>
                <w:kern w:val="0"/>
                <w:szCs w:val="24"/>
                <w:lang w:eastAsia="en-US"/>
                <w14:ligatures w14:val="none"/>
              </w:rPr>
              <w:t xml:space="preserve">sustainable </w:t>
            </w:r>
            <w:r w:rsidR="005079CA">
              <w:rPr>
                <w:rFonts w:ascii="Calibri" w:eastAsia="Calibri" w:hAnsi="Calibri"/>
                <w:color w:val="auto"/>
                <w:kern w:val="0"/>
                <w:szCs w:val="24"/>
                <w:lang w:eastAsia="en-US"/>
                <w14:ligatures w14:val="none"/>
              </w:rPr>
              <w:t xml:space="preserve">enterprise. </w:t>
            </w:r>
          </w:p>
          <w:p w14:paraId="5993ADFF" w14:textId="77777777" w:rsidR="00D7002C" w:rsidRPr="00601B22" w:rsidRDefault="00D7002C" w:rsidP="00F62D93">
            <w:pPr>
              <w:spacing w:after="83" w:line="239" w:lineRule="auto"/>
              <w:ind w:left="0" w:firstLine="0"/>
              <w:rPr>
                <w:rFonts w:asciiTheme="majorHAnsi" w:hAnsiTheme="majorHAnsi" w:cstheme="majorHAnsi"/>
                <w:szCs w:val="24"/>
              </w:rPr>
            </w:pPr>
          </w:p>
          <w:p w14:paraId="045529D8" w14:textId="77777777" w:rsidR="00D7002C" w:rsidRPr="00601B22" w:rsidRDefault="00D7002C" w:rsidP="00F62D93">
            <w:pPr>
              <w:spacing w:after="83" w:line="239" w:lineRule="auto"/>
              <w:ind w:left="0" w:firstLine="0"/>
              <w:rPr>
                <w:rFonts w:asciiTheme="majorHAnsi" w:hAnsiTheme="majorHAnsi" w:cstheme="majorHAnsi"/>
                <w:szCs w:val="24"/>
              </w:rPr>
            </w:pPr>
          </w:p>
          <w:p w14:paraId="0749DE53" w14:textId="77777777" w:rsidR="00D7002C" w:rsidRPr="00601B22" w:rsidRDefault="00D7002C" w:rsidP="00F62D93">
            <w:pPr>
              <w:spacing w:after="83" w:line="239" w:lineRule="auto"/>
              <w:ind w:left="0" w:firstLine="0"/>
              <w:rPr>
                <w:rFonts w:asciiTheme="majorHAnsi" w:hAnsiTheme="majorHAnsi" w:cstheme="majorHAnsi"/>
                <w:szCs w:val="24"/>
              </w:rPr>
            </w:pPr>
          </w:p>
          <w:p w14:paraId="11D11D80" w14:textId="77777777" w:rsidR="00D7002C" w:rsidRPr="00601B22" w:rsidRDefault="00D7002C" w:rsidP="00F62D93">
            <w:pPr>
              <w:spacing w:after="83" w:line="239" w:lineRule="auto"/>
              <w:ind w:left="0" w:firstLine="0"/>
              <w:rPr>
                <w:rFonts w:asciiTheme="majorHAnsi" w:hAnsiTheme="majorHAnsi" w:cstheme="majorHAnsi"/>
                <w:szCs w:val="24"/>
              </w:rPr>
            </w:pPr>
          </w:p>
          <w:p w14:paraId="353899CF" w14:textId="77777777" w:rsidR="00D7002C" w:rsidRPr="00601B22" w:rsidRDefault="00D7002C" w:rsidP="00F62D93">
            <w:pPr>
              <w:spacing w:after="83" w:line="239" w:lineRule="auto"/>
              <w:ind w:left="0" w:firstLine="0"/>
              <w:rPr>
                <w:rFonts w:asciiTheme="majorHAnsi" w:hAnsiTheme="majorHAnsi" w:cstheme="majorHAnsi"/>
                <w:szCs w:val="24"/>
              </w:rPr>
            </w:pPr>
          </w:p>
          <w:p w14:paraId="373E0CA4" w14:textId="77777777" w:rsidR="00D7002C" w:rsidRPr="00601B22" w:rsidRDefault="00D7002C" w:rsidP="00F62D93">
            <w:pPr>
              <w:spacing w:after="83" w:line="239" w:lineRule="auto"/>
              <w:ind w:left="0" w:firstLine="0"/>
              <w:rPr>
                <w:rFonts w:asciiTheme="majorHAnsi" w:hAnsiTheme="majorHAnsi" w:cstheme="majorHAnsi"/>
                <w:szCs w:val="24"/>
              </w:rPr>
            </w:pPr>
          </w:p>
          <w:p w14:paraId="27434D62" w14:textId="77777777" w:rsidR="00D7002C" w:rsidRPr="00601B22" w:rsidRDefault="00D7002C" w:rsidP="00F62D93">
            <w:pPr>
              <w:spacing w:after="83" w:line="239" w:lineRule="auto"/>
              <w:ind w:left="0" w:firstLine="0"/>
              <w:rPr>
                <w:rFonts w:asciiTheme="majorHAnsi" w:hAnsiTheme="majorHAnsi" w:cstheme="majorHAnsi"/>
                <w:szCs w:val="24"/>
              </w:rPr>
            </w:pPr>
          </w:p>
          <w:p w14:paraId="7E2B3CFE" w14:textId="77777777" w:rsidR="00D7002C" w:rsidRPr="00601B22" w:rsidRDefault="00D7002C" w:rsidP="00F62D93">
            <w:pPr>
              <w:spacing w:after="83" w:line="239" w:lineRule="auto"/>
              <w:ind w:left="0" w:firstLine="0"/>
              <w:rPr>
                <w:rFonts w:asciiTheme="majorHAnsi" w:hAnsiTheme="majorHAnsi" w:cstheme="majorHAnsi"/>
                <w:szCs w:val="24"/>
              </w:rPr>
            </w:pPr>
          </w:p>
          <w:p w14:paraId="272CA7A6" w14:textId="77777777" w:rsidR="00D7002C" w:rsidRDefault="00D7002C" w:rsidP="00F62D93">
            <w:pPr>
              <w:spacing w:after="83" w:line="239" w:lineRule="auto"/>
              <w:ind w:left="0" w:firstLine="0"/>
              <w:rPr>
                <w:rFonts w:asciiTheme="majorHAnsi" w:hAnsiTheme="majorHAnsi" w:cstheme="majorHAnsi"/>
                <w:szCs w:val="24"/>
              </w:rPr>
            </w:pPr>
          </w:p>
          <w:p w14:paraId="1B6EA0C1" w14:textId="77777777" w:rsidR="006E53F1" w:rsidRPr="00601B22" w:rsidRDefault="006E53F1" w:rsidP="00F62D93">
            <w:pPr>
              <w:spacing w:after="83" w:line="239" w:lineRule="auto"/>
              <w:ind w:left="0" w:firstLine="0"/>
              <w:rPr>
                <w:rFonts w:asciiTheme="majorHAnsi" w:hAnsiTheme="majorHAnsi" w:cstheme="majorHAnsi"/>
                <w:szCs w:val="24"/>
              </w:rPr>
            </w:pPr>
          </w:p>
        </w:tc>
      </w:tr>
    </w:tbl>
    <w:p w14:paraId="4F13B682" w14:textId="67947198" w:rsidR="00B84479" w:rsidRPr="00601B22" w:rsidRDefault="00A128B8" w:rsidP="00062104">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22C4E335" w14:textId="77777777" w:rsidR="00F43248" w:rsidRDefault="00F43248" w:rsidP="00F43248">
      <w:pPr>
        <w:ind w:left="0" w:firstLine="0"/>
        <w:rPr>
          <w:rFonts w:asciiTheme="majorHAnsi" w:hAnsiTheme="majorHAnsi" w:cstheme="majorHAnsi"/>
          <w:b/>
          <w:bCs/>
          <w:szCs w:val="24"/>
        </w:rPr>
      </w:pPr>
    </w:p>
    <w:p w14:paraId="5649FEAC" w14:textId="77777777" w:rsidR="00F16BD5" w:rsidRDefault="00F16BD5" w:rsidP="00F43248">
      <w:pPr>
        <w:ind w:left="0" w:firstLine="0"/>
        <w:rPr>
          <w:rFonts w:asciiTheme="majorHAnsi" w:hAnsiTheme="majorHAnsi" w:cstheme="majorHAnsi"/>
          <w:b/>
          <w:bCs/>
          <w:szCs w:val="24"/>
        </w:rPr>
      </w:pPr>
    </w:p>
    <w:p w14:paraId="25E14261" w14:textId="6171CA8A" w:rsidR="000751B6" w:rsidRDefault="000751B6">
      <w:pPr>
        <w:spacing w:after="160" w:line="259" w:lineRule="auto"/>
        <w:ind w:left="0" w:firstLine="0"/>
        <w:rPr>
          <w:rFonts w:asciiTheme="majorHAnsi" w:hAnsiTheme="majorHAnsi" w:cstheme="majorHAnsi"/>
          <w:b/>
          <w:bCs/>
          <w:szCs w:val="24"/>
        </w:rPr>
      </w:pPr>
      <w:r>
        <w:rPr>
          <w:rFonts w:asciiTheme="majorHAnsi" w:hAnsiTheme="majorHAnsi" w:cstheme="majorHAnsi"/>
          <w:b/>
          <w:bCs/>
          <w:szCs w:val="24"/>
        </w:rPr>
        <w:br w:type="page"/>
      </w:r>
    </w:p>
    <w:p w14:paraId="6573F5F5" w14:textId="77777777" w:rsidR="00F668E4" w:rsidRDefault="00F668E4" w:rsidP="00F43248">
      <w:pPr>
        <w:ind w:left="0" w:firstLine="0"/>
        <w:rPr>
          <w:rFonts w:asciiTheme="majorHAnsi" w:hAnsiTheme="majorHAnsi" w:cstheme="majorHAnsi"/>
          <w:b/>
          <w:bCs/>
          <w:szCs w:val="24"/>
        </w:rPr>
      </w:pPr>
    </w:p>
    <w:p w14:paraId="169F000D" w14:textId="25937AF8" w:rsidR="00062104" w:rsidRDefault="00B84479" w:rsidP="00F43248">
      <w:pPr>
        <w:ind w:left="0" w:firstLine="0"/>
        <w:rPr>
          <w:rFonts w:asciiTheme="majorHAnsi" w:hAnsiTheme="majorHAnsi" w:cstheme="majorHAnsi"/>
          <w:b/>
          <w:bCs/>
          <w:szCs w:val="24"/>
        </w:rPr>
      </w:pPr>
      <w:r w:rsidRPr="00062104">
        <w:rPr>
          <w:rFonts w:asciiTheme="majorHAnsi" w:hAnsiTheme="majorHAnsi" w:cstheme="majorHAnsi"/>
          <w:b/>
          <w:bCs/>
          <w:szCs w:val="24"/>
        </w:rPr>
        <w:t>Task Three</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Be able to use a person centred approach when promoting population health.</w:t>
      </w:r>
      <w:r w:rsidR="00A128B8" w:rsidRPr="00062104">
        <w:rPr>
          <w:rFonts w:asciiTheme="majorHAnsi" w:hAnsiTheme="majorHAnsi" w:cstheme="majorHAnsi"/>
          <w:b/>
          <w:bCs/>
          <w:szCs w:val="24"/>
        </w:rPr>
        <w:t xml:space="preserve">  </w:t>
      </w:r>
    </w:p>
    <w:p w14:paraId="30EAA9BF" w14:textId="029B3077" w:rsidR="00D7002C" w:rsidRPr="00062104" w:rsidRDefault="00A128B8">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B84479" w:rsidRPr="00601B22" w14:paraId="05418A32" w14:textId="77777777" w:rsidTr="00B84479">
        <w:tc>
          <w:tcPr>
            <w:tcW w:w="9016" w:type="dxa"/>
          </w:tcPr>
          <w:p w14:paraId="66CDEE72" w14:textId="3B096B2E" w:rsidR="00B84479" w:rsidRPr="00601B22" w:rsidRDefault="00062104">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a</w:t>
            </w:r>
            <w:r>
              <w:rPr>
                <w:rFonts w:asciiTheme="majorHAnsi" w:hAnsiTheme="majorHAnsi" w:cstheme="majorHAnsi"/>
                <w:szCs w:val="24"/>
              </w:rPr>
              <w:t xml:space="preserve"> </w:t>
            </w:r>
            <w:r w:rsidR="00762115" w:rsidRPr="00601B22">
              <w:rPr>
                <w:rFonts w:asciiTheme="majorHAnsi" w:hAnsiTheme="majorHAnsi" w:cstheme="majorHAnsi"/>
                <w:szCs w:val="24"/>
              </w:rPr>
              <w:t xml:space="preserve">Reflect on </w:t>
            </w:r>
            <w:r w:rsidR="00E1298E">
              <w:rPr>
                <w:rFonts w:asciiTheme="majorHAnsi" w:hAnsiTheme="majorHAnsi" w:cstheme="majorHAnsi"/>
                <w:szCs w:val="24"/>
              </w:rPr>
              <w:t>an</w:t>
            </w:r>
            <w:r w:rsidR="00762115" w:rsidRPr="00601B22">
              <w:rPr>
                <w:rFonts w:asciiTheme="majorHAnsi" w:hAnsiTheme="majorHAnsi" w:cstheme="majorHAnsi"/>
                <w:szCs w:val="24"/>
              </w:rPr>
              <w:t xml:space="preserve"> example of a person centre</w:t>
            </w:r>
            <w:r w:rsidR="00F43248">
              <w:rPr>
                <w:rFonts w:asciiTheme="majorHAnsi" w:hAnsiTheme="majorHAnsi" w:cstheme="majorHAnsi"/>
                <w:szCs w:val="24"/>
              </w:rPr>
              <w:t>d</w:t>
            </w:r>
            <w:r w:rsidR="00762115" w:rsidRPr="00601B22">
              <w:rPr>
                <w:rFonts w:asciiTheme="majorHAnsi" w:hAnsiTheme="majorHAnsi" w:cstheme="majorHAnsi"/>
                <w:szCs w:val="24"/>
              </w:rPr>
              <w:t xml:space="preserve"> approach you have used within your workplace, to promote health and wellbeing </w:t>
            </w:r>
            <w:r w:rsidR="0037392A">
              <w:rPr>
                <w:rFonts w:asciiTheme="majorHAnsi" w:hAnsiTheme="majorHAnsi" w:cstheme="majorHAnsi"/>
                <w:szCs w:val="24"/>
              </w:rPr>
              <w:t>of</w:t>
            </w:r>
            <w:r w:rsidR="00F43248">
              <w:rPr>
                <w:rFonts w:asciiTheme="majorHAnsi" w:hAnsiTheme="majorHAnsi" w:cstheme="majorHAnsi"/>
                <w:szCs w:val="24"/>
              </w:rPr>
              <w:t xml:space="preserve"> either individuals or groups</w:t>
            </w:r>
            <w:r w:rsidR="00762115" w:rsidRPr="00601B22">
              <w:rPr>
                <w:rFonts w:asciiTheme="majorHAnsi" w:hAnsiTheme="majorHAnsi" w:cstheme="majorHAnsi"/>
                <w:szCs w:val="24"/>
              </w:rPr>
              <w:t xml:space="preserve">. </w:t>
            </w:r>
            <w:r w:rsidR="00762115" w:rsidRPr="004D5927">
              <w:rPr>
                <w:rFonts w:asciiTheme="majorHAnsi" w:hAnsiTheme="majorHAnsi" w:cstheme="majorHAnsi"/>
                <w:b/>
                <w:bCs/>
                <w:szCs w:val="24"/>
              </w:rPr>
              <w:t>Ensure you use a recognised model for reflection</w:t>
            </w:r>
            <w:r w:rsidR="00F43248" w:rsidRPr="004D5927">
              <w:rPr>
                <w:rFonts w:asciiTheme="majorHAnsi" w:hAnsiTheme="majorHAnsi" w:cstheme="majorHAnsi"/>
                <w:b/>
                <w:bCs/>
                <w:szCs w:val="24"/>
              </w:rPr>
              <w:t xml:space="preserve"> and make recommendations for improvement.</w:t>
            </w:r>
          </w:p>
        </w:tc>
      </w:tr>
      <w:tr w:rsidR="00B84479" w:rsidRPr="00601B22" w14:paraId="6C06F601" w14:textId="77777777" w:rsidTr="00B84479">
        <w:tc>
          <w:tcPr>
            <w:tcW w:w="9016" w:type="dxa"/>
          </w:tcPr>
          <w:p w14:paraId="28CBCBD9"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This reflection uses Gibbs’ Reflective Cycle (1988) to look at the promotion of Nutrition &amp; Hydration Week in a care home. The aim was to improve the health and wellbeing of care home residents via nutrition and hydration which included working in collaboration with the care home nutrition champions, managers and kitchen staff. </w:t>
            </w:r>
          </w:p>
          <w:p w14:paraId="2D581BA6"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u w:val="single"/>
              </w:rPr>
              <w:t>Description</w:t>
            </w:r>
          </w:p>
          <w:p w14:paraId="282984A6"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Nutrition &amp; Hydration Week is a national campaign celebrated annually to raise awareness of the importance of good nutrition and hydration in health and social care settings, whilst also improving health and wellbeing.  It involves a range of daily events throughout the week from breakfasts to tea parties.  All events held during the week help educate individuals and families about the risk of malnutrition and the importance of eating and staying hydrated.  </w:t>
            </w:r>
          </w:p>
          <w:p w14:paraId="5BD2A9DF"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Nutrition and Hydration Week campaign was created in 2012 and is celebrated locally and nationally throughout the UK.  It is also promoted in the Nutrition &amp; Dietetics departments across the UK where hospitals and care homes are encouraged to become involved.  In Swansea Bay University Health Board, the care home team invites care homes to take part by promoting the global tea party which takes place on the Wednesday afternoon of that week.</w:t>
            </w:r>
          </w:p>
          <w:p w14:paraId="3BCBBA7C"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The Dietetic Assistant Practitioner (DAP) from the Nutrition &amp; Dietetics Care Home Team contacted the nutrition champions at Poppy Lane Care Home (a pseudo name) who agreed to be involved and promote the global tea party for residents, their families and staff.  The DAP attended and helped promote the event by setting up the tables and speaking to the residents and their families about the background to the campaign.  Staff had made home-made cakes, arranged for a tea party to be set up in the lounge and families and friends attended.</w:t>
            </w:r>
          </w:p>
          <w:p w14:paraId="11BE0529"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DAP took photographs of the event in readiness to publish it on the care home team newsletter. </w:t>
            </w:r>
          </w:p>
          <w:p w14:paraId="30B569E0"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u w:val="single"/>
              </w:rPr>
              <w:t>Feelings</w:t>
            </w:r>
          </w:p>
          <w:p w14:paraId="3AAB7398"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DAP felt excited and happy that they were part of the team to help promote the event. They were able to work collaboratively with the care home staff in setting up the tables and had a sense of achievement when patients and families reported the event as excellent.  The DAP felt elated that the event saw good social interactions by bringing people together </w:t>
            </w:r>
            <w:r w:rsidRPr="007A6101">
              <w:rPr>
                <w:rFonts w:ascii="Aptos" w:hAnsi="Aptos"/>
                <w:color w:val="auto"/>
                <w:szCs w:val="24"/>
              </w:rPr>
              <w:lastRenderedPageBreak/>
              <w:t xml:space="preserve">in a home from home environment. The DAP felt that it was good to see people enjoying themselves and encouraging those new to the home to feel supported through a good sense of wellbeing. </w:t>
            </w:r>
          </w:p>
          <w:p w14:paraId="73C9CDA4" w14:textId="77777777" w:rsidR="007A6101" w:rsidRPr="007A6101" w:rsidRDefault="007A6101" w:rsidP="007A6101">
            <w:pPr>
              <w:spacing w:after="160" w:line="278" w:lineRule="auto"/>
              <w:ind w:left="0" w:firstLine="0"/>
              <w:jc w:val="both"/>
              <w:rPr>
                <w:rFonts w:ascii="Aptos" w:hAnsi="Aptos"/>
                <w:color w:val="auto"/>
                <w:szCs w:val="24"/>
                <w:u w:val="single"/>
              </w:rPr>
            </w:pPr>
            <w:r w:rsidRPr="007A6101">
              <w:rPr>
                <w:rFonts w:ascii="Aptos" w:hAnsi="Aptos"/>
                <w:color w:val="auto"/>
                <w:szCs w:val="24"/>
                <w:u w:val="single"/>
              </w:rPr>
              <w:t>Evaluation</w:t>
            </w:r>
          </w:p>
          <w:p w14:paraId="1FE305AA" w14:textId="6844FD0B"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tea party provided a good sense of wellbeing for the residents who sat chatting amongst themselves whilst enjoying eating the cakes and sandwiches and fluids offered.  It provided a good sense of community combating loneliness by making new residents feel relaxed and supported in helping them meet the other residents and staff.  </w:t>
            </w:r>
          </w:p>
          <w:p w14:paraId="635D129D" w14:textId="2C7D059C"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noProof/>
                <w:color w:val="auto"/>
                <w:szCs w:val="24"/>
              </w:rPr>
              <w:drawing>
                <wp:anchor distT="0" distB="0" distL="114300" distR="114300" simplePos="0" relativeHeight="251662336" behindDoc="1" locked="0" layoutInCell="1" allowOverlap="1" wp14:anchorId="2F709F9B" wp14:editId="0404E432">
                  <wp:simplePos x="0" y="0"/>
                  <wp:positionH relativeFrom="column">
                    <wp:posOffset>3421380</wp:posOffset>
                  </wp:positionH>
                  <wp:positionV relativeFrom="paragraph">
                    <wp:posOffset>59055</wp:posOffset>
                  </wp:positionV>
                  <wp:extent cx="1226820" cy="1731645"/>
                  <wp:effectExtent l="0" t="0" r="0" b="1905"/>
                  <wp:wrapTight wrapText="bothSides">
                    <wp:wrapPolygon edited="0">
                      <wp:start x="0" y="0"/>
                      <wp:lineTo x="0" y="21386"/>
                      <wp:lineTo x="21130" y="21386"/>
                      <wp:lineTo x="211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226820" cy="1731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6101">
              <w:rPr>
                <w:rFonts w:ascii="Aptos" w:hAnsi="Aptos"/>
                <w:noProof/>
                <w:color w:val="auto"/>
                <w:szCs w:val="24"/>
              </w:rPr>
              <w:drawing>
                <wp:anchor distT="0" distB="0" distL="114300" distR="114300" simplePos="0" relativeHeight="251661312" behindDoc="1" locked="0" layoutInCell="1" allowOverlap="1" wp14:anchorId="5803FDD4" wp14:editId="44F4889E">
                  <wp:simplePos x="0" y="0"/>
                  <wp:positionH relativeFrom="column">
                    <wp:posOffset>1779270</wp:posOffset>
                  </wp:positionH>
                  <wp:positionV relativeFrom="paragraph">
                    <wp:posOffset>76200</wp:posOffset>
                  </wp:positionV>
                  <wp:extent cx="1257300" cy="1644015"/>
                  <wp:effectExtent l="0" t="0" r="0" b="0"/>
                  <wp:wrapTight wrapText="bothSides">
                    <wp:wrapPolygon edited="0">
                      <wp:start x="0" y="0"/>
                      <wp:lineTo x="0" y="21275"/>
                      <wp:lineTo x="21273" y="21275"/>
                      <wp:lineTo x="212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257300" cy="1644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A6101">
              <w:rPr>
                <w:rFonts w:ascii="Aptos" w:hAnsi="Aptos"/>
                <w:noProof/>
                <w:color w:val="auto"/>
                <w:szCs w:val="24"/>
              </w:rPr>
              <w:drawing>
                <wp:anchor distT="0" distB="0" distL="114300" distR="114300" simplePos="0" relativeHeight="251660288" behindDoc="1" locked="0" layoutInCell="1" allowOverlap="1" wp14:anchorId="6C59B05B" wp14:editId="68C70B73">
                  <wp:simplePos x="0" y="0"/>
                  <wp:positionH relativeFrom="column">
                    <wp:posOffset>160020</wp:posOffset>
                  </wp:positionH>
                  <wp:positionV relativeFrom="paragraph">
                    <wp:posOffset>59055</wp:posOffset>
                  </wp:positionV>
                  <wp:extent cx="1245870" cy="1661160"/>
                  <wp:effectExtent l="0" t="0" r="0" b="0"/>
                  <wp:wrapTight wrapText="bothSides">
                    <wp:wrapPolygon edited="0">
                      <wp:start x="0" y="0"/>
                      <wp:lineTo x="0" y="21303"/>
                      <wp:lineTo x="21138" y="21303"/>
                      <wp:lineTo x="211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245870" cy="1661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9FF24C" w14:textId="3E465D7B" w:rsidR="007A6101" w:rsidRPr="007A6101" w:rsidRDefault="007A6101" w:rsidP="007A6101">
            <w:pPr>
              <w:spacing w:after="160" w:line="278" w:lineRule="auto"/>
              <w:ind w:left="0" w:firstLine="0"/>
              <w:jc w:val="both"/>
              <w:rPr>
                <w:rFonts w:ascii="Aptos" w:hAnsi="Aptos"/>
                <w:color w:val="auto"/>
                <w:szCs w:val="24"/>
              </w:rPr>
            </w:pPr>
          </w:p>
          <w:p w14:paraId="071EF83F" w14:textId="77777777" w:rsidR="007A6101" w:rsidRPr="007A6101" w:rsidRDefault="007A6101" w:rsidP="007A6101">
            <w:pPr>
              <w:spacing w:after="160" w:line="278" w:lineRule="auto"/>
              <w:ind w:left="0" w:firstLine="0"/>
              <w:jc w:val="both"/>
              <w:rPr>
                <w:rFonts w:ascii="Aptos" w:hAnsi="Aptos"/>
                <w:color w:val="auto"/>
                <w:szCs w:val="24"/>
              </w:rPr>
            </w:pPr>
          </w:p>
          <w:p w14:paraId="4F1D6B12" w14:textId="77777777" w:rsidR="007A6101" w:rsidRDefault="007A6101" w:rsidP="007A6101">
            <w:pPr>
              <w:spacing w:after="160" w:line="278" w:lineRule="auto"/>
              <w:ind w:left="0" w:firstLine="0"/>
              <w:jc w:val="both"/>
              <w:rPr>
                <w:rFonts w:ascii="Aptos" w:hAnsi="Aptos"/>
                <w:color w:val="auto"/>
                <w:szCs w:val="24"/>
              </w:rPr>
            </w:pPr>
          </w:p>
          <w:p w14:paraId="6B420728" w14:textId="77777777" w:rsidR="007A6101" w:rsidRDefault="007A6101" w:rsidP="007A6101">
            <w:pPr>
              <w:spacing w:after="160" w:line="278" w:lineRule="auto"/>
              <w:ind w:left="0" w:firstLine="0"/>
              <w:jc w:val="both"/>
              <w:rPr>
                <w:rFonts w:ascii="Aptos" w:hAnsi="Aptos"/>
                <w:color w:val="auto"/>
                <w:szCs w:val="24"/>
              </w:rPr>
            </w:pPr>
          </w:p>
          <w:p w14:paraId="6E648A0B" w14:textId="77777777" w:rsidR="007A6101" w:rsidRDefault="007A6101" w:rsidP="007A6101">
            <w:pPr>
              <w:spacing w:after="160" w:line="278" w:lineRule="auto"/>
              <w:ind w:left="0" w:firstLine="0"/>
              <w:jc w:val="both"/>
              <w:rPr>
                <w:rFonts w:ascii="Aptos" w:hAnsi="Aptos"/>
                <w:color w:val="auto"/>
                <w:szCs w:val="24"/>
              </w:rPr>
            </w:pPr>
          </w:p>
          <w:p w14:paraId="4A2649ED" w14:textId="5F19732E"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Good nutrition is vital for care home residents as poor nutrition and dehydration can lead to the risk of malnutrition and health problems.  One disadvantage was that not all residents could attend the lounge as some were unwell or some were bed bound so sandwiches and cakes were taken to their rooms.  </w:t>
            </w:r>
          </w:p>
          <w:p w14:paraId="39EED60D"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Some residents also needed assistance with their eating and drinking and unfortunately there was a lack of staff that attended that day due to sickness. </w:t>
            </w:r>
          </w:p>
          <w:p w14:paraId="1A96791B"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There was also limited options for those on texture modified diets especially those who required pureed so it is important in the future for staff to ensure that these dietary recommendations are catered for. </w:t>
            </w:r>
          </w:p>
          <w:p w14:paraId="60574BC9" w14:textId="77777777" w:rsidR="007A6101" w:rsidRPr="007A6101" w:rsidRDefault="007A6101" w:rsidP="007A6101">
            <w:pPr>
              <w:spacing w:after="160" w:line="278" w:lineRule="auto"/>
              <w:ind w:left="0" w:firstLine="0"/>
              <w:jc w:val="both"/>
              <w:rPr>
                <w:rFonts w:ascii="Aptos" w:hAnsi="Aptos"/>
                <w:color w:val="auto"/>
                <w:szCs w:val="24"/>
                <w:u w:val="single"/>
              </w:rPr>
            </w:pPr>
            <w:r w:rsidRPr="007A6101">
              <w:rPr>
                <w:rFonts w:ascii="Aptos" w:hAnsi="Aptos"/>
                <w:color w:val="auto"/>
                <w:szCs w:val="24"/>
                <w:u w:val="single"/>
              </w:rPr>
              <w:t>Analysis</w:t>
            </w:r>
          </w:p>
          <w:p w14:paraId="10034C64" w14:textId="69D5446A" w:rsid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Malnutrition costs the NHS £23.5 billion per year where those at risk of malnutrition have more hospital admissions, a longer length of stay in hospital and greater healthcare needs in the community.  As the elderly are more at risk of developing malnutrition, by helping residents reduce this risk through good nutrition and hydration, this in turn will improve their nutritional status, their health outcomes and reduce health care use and health care costs (The Malnutrition Pathway, 2021).  </w:t>
            </w:r>
          </w:p>
          <w:p w14:paraId="35AE7FDC" w14:textId="026BDD3D" w:rsidR="007F73EA" w:rsidRDefault="007F73EA" w:rsidP="007A6101">
            <w:pPr>
              <w:spacing w:after="160" w:line="278" w:lineRule="auto"/>
              <w:ind w:left="0" w:firstLine="0"/>
              <w:jc w:val="both"/>
              <w:rPr>
                <w:rFonts w:ascii="Aptos" w:hAnsi="Aptos"/>
                <w:color w:val="auto"/>
                <w:szCs w:val="24"/>
              </w:rPr>
            </w:pPr>
          </w:p>
          <w:p w14:paraId="7F13171E" w14:textId="77777777" w:rsidR="007F73EA" w:rsidRPr="007A6101" w:rsidRDefault="007F73EA" w:rsidP="007A6101">
            <w:pPr>
              <w:spacing w:after="160" w:line="278" w:lineRule="auto"/>
              <w:ind w:left="0" w:firstLine="0"/>
              <w:jc w:val="both"/>
              <w:rPr>
                <w:rFonts w:ascii="Aptos" w:hAnsi="Aptos"/>
                <w:color w:val="auto"/>
                <w:szCs w:val="24"/>
              </w:rPr>
            </w:pPr>
          </w:p>
          <w:p w14:paraId="69966128"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lastRenderedPageBreak/>
              <w:t xml:space="preserve">Apart from offering good nutrition and hydration, Nutrition &amp; Hydration Week also encourages well-being and offers an improved environment for the elderly that both fall under the Age Friendly Wales Strategy (2021) which encourages the support of older people in society.   </w:t>
            </w:r>
          </w:p>
          <w:p w14:paraId="491A2AA6"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Social Services and Wellbeing (Wales) Act 2014 aims to improve the wellbeing of those who need care.  It involves collaborative working encouraging a patient centred care approach with a focus on wellbeing.  As part of the Public Health Wales Working Together for a Healthier Wales: Our Long Term Strategy 2023 to 2035, some of the priorities include promoting mental and social wellbeing, promoting healthy behaviours, delivering excellent public health services and supporting a sustainable health and care system. </w:t>
            </w:r>
          </w:p>
          <w:p w14:paraId="0BE30A75"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promotion of Nutrition &amp; Hydration Week in care homes falls under these strategies as it can offer improved meal planning, the promotion of hydration and a social dining experience with family involvement.  Aside from the global tea party, themed meal days are available and also nutrition workshops which care home staff can access on the Nutrition &amp; Hydration website. </w:t>
            </w:r>
          </w:p>
          <w:p w14:paraId="2014F06A"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The DAP took photographs of the event to publish on the care home newsletter which is shared with all other care homes across Swansea, Neath and Port Talbot.  By doing this, the DAP is working under the principles of co-production by sharing ideas of good practice with other care home providers to help them deliver an improved service. </w:t>
            </w:r>
          </w:p>
          <w:p w14:paraId="5E57D80A" w14:textId="77777777" w:rsidR="007A6101" w:rsidRPr="007A6101" w:rsidRDefault="007A6101" w:rsidP="007A6101">
            <w:pPr>
              <w:spacing w:after="160" w:line="278" w:lineRule="auto"/>
              <w:ind w:left="0" w:firstLine="0"/>
              <w:jc w:val="both"/>
              <w:rPr>
                <w:rFonts w:ascii="Aptos" w:hAnsi="Aptos"/>
                <w:color w:val="auto"/>
                <w:szCs w:val="24"/>
                <w:u w:val="single"/>
              </w:rPr>
            </w:pPr>
            <w:r w:rsidRPr="007A6101">
              <w:rPr>
                <w:rFonts w:ascii="Aptos" w:hAnsi="Aptos"/>
                <w:color w:val="auto"/>
                <w:szCs w:val="24"/>
                <w:u w:val="single"/>
              </w:rPr>
              <w:t>Conclusion</w:t>
            </w:r>
          </w:p>
          <w:p w14:paraId="6B07E70D"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The global tea party worked well and care homes should offer regular tea parties at different times of the year and not just for national events.  A patient centred care approach should be adopted by asking residents what they would like to see as part of their day and not just rely on the kitchen staff.  It may be worth exploring if residents can get involved with the preparation and maybe include some games.</w:t>
            </w:r>
          </w:p>
          <w:p w14:paraId="3C1D1F89"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u w:val="single"/>
              </w:rPr>
              <w:t>Action Plan</w:t>
            </w:r>
          </w:p>
          <w:p w14:paraId="444FA37C"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 xml:space="preserve">A more patient centred care approach should be adopted.  Care homes should be informed of the other themed days and not just the tea party so residents can choose what they would like to experience.  Residents and families should be asked to provide feedback to see if there are any areas that could be improved.  </w:t>
            </w:r>
          </w:p>
          <w:p w14:paraId="3E3FA849" w14:textId="77777777" w:rsidR="007A6101" w:rsidRPr="007A6101" w:rsidRDefault="007A6101" w:rsidP="007A6101">
            <w:pPr>
              <w:spacing w:after="160" w:line="278" w:lineRule="auto"/>
              <w:ind w:left="0" w:firstLine="0"/>
              <w:jc w:val="both"/>
              <w:rPr>
                <w:rFonts w:ascii="Aptos" w:hAnsi="Aptos"/>
                <w:color w:val="auto"/>
                <w:szCs w:val="24"/>
              </w:rPr>
            </w:pPr>
            <w:r w:rsidRPr="007A6101">
              <w:rPr>
                <w:rFonts w:ascii="Aptos" w:hAnsi="Aptos"/>
                <w:color w:val="auto"/>
                <w:szCs w:val="24"/>
              </w:rPr>
              <w:t>In the future, more of a variety of cakes and sandwiches should be provided that are suitable for those on texture modified diets and care home staff can explore the possibility of those in their rooms coming out into the lounge and sitting out in suitable chairs.</w:t>
            </w:r>
          </w:p>
          <w:p w14:paraId="3E5F6087" w14:textId="5B4A09F7" w:rsidR="00601B22" w:rsidRPr="00601B22" w:rsidRDefault="007A6101" w:rsidP="007F73EA">
            <w:pPr>
              <w:spacing w:after="160" w:line="278" w:lineRule="auto"/>
              <w:ind w:left="0" w:firstLine="0"/>
              <w:jc w:val="both"/>
              <w:rPr>
                <w:rFonts w:asciiTheme="majorHAnsi" w:hAnsiTheme="majorHAnsi" w:cstheme="majorHAnsi"/>
                <w:szCs w:val="24"/>
              </w:rPr>
            </w:pPr>
            <w:r w:rsidRPr="007A6101">
              <w:rPr>
                <w:rFonts w:ascii="Aptos" w:hAnsi="Aptos"/>
                <w:color w:val="auto"/>
                <w:szCs w:val="24"/>
              </w:rPr>
              <w:t>The DAP should continue to take photographs of nutrition events and share with other care homes to promote co-production in the sharing of good practices.</w:t>
            </w:r>
          </w:p>
        </w:tc>
      </w:tr>
    </w:tbl>
    <w:p w14:paraId="5F7384FD" w14:textId="77777777" w:rsidR="00D7002C" w:rsidRDefault="00D7002C">
      <w:pPr>
        <w:rPr>
          <w:rFonts w:asciiTheme="majorHAnsi" w:hAnsiTheme="majorHAnsi" w:cstheme="majorHAnsi"/>
          <w:szCs w:val="24"/>
        </w:rPr>
      </w:pPr>
    </w:p>
    <w:tbl>
      <w:tblPr>
        <w:tblStyle w:val="TableGrid0"/>
        <w:tblW w:w="9016" w:type="dxa"/>
        <w:tblInd w:w="55" w:type="dxa"/>
        <w:tblLook w:val="04A0" w:firstRow="1" w:lastRow="0" w:firstColumn="1" w:lastColumn="0" w:noHBand="0" w:noVBand="1"/>
      </w:tblPr>
      <w:tblGrid>
        <w:gridCol w:w="9016"/>
      </w:tblGrid>
      <w:tr w:rsidR="00E1298E" w:rsidRPr="00601B22" w14:paraId="7DF24CCD" w14:textId="77777777" w:rsidTr="00E1298E">
        <w:tc>
          <w:tcPr>
            <w:tcW w:w="9016" w:type="dxa"/>
          </w:tcPr>
          <w:p w14:paraId="6C4714B5" w14:textId="4AB98310" w:rsidR="00E1298E" w:rsidRPr="00601B22" w:rsidRDefault="00E1298E" w:rsidP="005E1E83">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b</w:t>
            </w:r>
            <w:r>
              <w:rPr>
                <w:rFonts w:asciiTheme="majorHAnsi" w:hAnsiTheme="majorHAnsi" w:cstheme="majorHAnsi"/>
                <w:szCs w:val="24"/>
              </w:rPr>
              <w:t xml:space="preserve"> </w:t>
            </w:r>
            <w:r w:rsidRPr="00601B22">
              <w:rPr>
                <w:rFonts w:asciiTheme="majorHAnsi" w:hAnsiTheme="majorHAnsi" w:cstheme="majorHAnsi"/>
                <w:szCs w:val="24"/>
              </w:rPr>
              <w:t xml:space="preserve">Reflect on </w:t>
            </w:r>
            <w:r>
              <w:rPr>
                <w:rFonts w:asciiTheme="majorHAnsi" w:hAnsiTheme="majorHAnsi" w:cstheme="majorHAnsi"/>
                <w:szCs w:val="24"/>
              </w:rPr>
              <w:t xml:space="preserve">a second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p>
        </w:tc>
      </w:tr>
      <w:tr w:rsidR="00E1298E" w:rsidRPr="00601B22" w14:paraId="2D61CABC" w14:textId="77777777" w:rsidTr="00E1298E">
        <w:tc>
          <w:tcPr>
            <w:tcW w:w="9016" w:type="dxa"/>
          </w:tcPr>
          <w:p w14:paraId="0B21E505"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This reflection uses Gibbs Reflective Cycle (1988) to look at the trial of nourishing milkshakes in care homes.  The aim was to set up a nourishing milkshake stand in a care home to promote the use of using nourishing milkshakes in care homes and to obtain feedback from residents.</w:t>
            </w:r>
          </w:p>
          <w:p w14:paraId="2E5B9C5A"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u w:val="single"/>
                <w:lang w:eastAsia="en-US"/>
                <w14:ligatures w14:val="none"/>
              </w:rPr>
              <w:t>Description</w:t>
            </w:r>
          </w:p>
          <w:p w14:paraId="0B89F0A1"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Nourishing milkshakes are recognised as part of a food first approach when aiming to reduce the risk of malnutrition, which is prevalent in the elderly and in care homes. The use of nourishing milkshakes would also promote prudent prescribing as it would encourage less reliance on the prescription of nutrition supplements thereby making a cost saving to the NHS.</w:t>
            </w:r>
          </w:p>
          <w:p w14:paraId="45E1125A" w14:textId="462291CC"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noProof/>
                <w:color w:val="auto"/>
                <w:kern w:val="0"/>
                <w:szCs w:val="24"/>
                <w:lang w:eastAsia="en-US"/>
                <w14:ligatures w14:val="none"/>
              </w:rPr>
              <w:drawing>
                <wp:anchor distT="0" distB="0" distL="114300" distR="114300" simplePos="0" relativeHeight="251665408" behindDoc="1" locked="0" layoutInCell="1" allowOverlap="1" wp14:anchorId="3BAA311E" wp14:editId="7ACBC89A">
                  <wp:simplePos x="0" y="0"/>
                  <wp:positionH relativeFrom="column">
                    <wp:posOffset>2628900</wp:posOffset>
                  </wp:positionH>
                  <wp:positionV relativeFrom="paragraph">
                    <wp:posOffset>1239520</wp:posOffset>
                  </wp:positionV>
                  <wp:extent cx="2293620" cy="1682750"/>
                  <wp:effectExtent l="0" t="0" r="0" b="0"/>
                  <wp:wrapTight wrapText="bothSides">
                    <wp:wrapPolygon edited="0">
                      <wp:start x="0" y="0"/>
                      <wp:lineTo x="0" y="21274"/>
                      <wp:lineTo x="21349" y="21274"/>
                      <wp:lineTo x="213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3620" cy="1682750"/>
                          </a:xfrm>
                          <a:prstGeom prst="rect">
                            <a:avLst/>
                          </a:prstGeom>
                        </pic:spPr>
                      </pic:pic>
                    </a:graphicData>
                  </a:graphic>
                  <wp14:sizeRelH relativeFrom="margin">
                    <wp14:pctWidth>0</wp14:pctWidth>
                  </wp14:sizeRelH>
                  <wp14:sizeRelV relativeFrom="margin">
                    <wp14:pctHeight>0</wp14:pctHeight>
                  </wp14:sizeRelV>
                </wp:anchor>
              </w:drawing>
            </w:r>
            <w:r w:rsidRPr="009F3420">
              <w:rPr>
                <w:rFonts w:ascii="Calibri" w:eastAsia="Calibri" w:hAnsi="Calibri"/>
                <w:noProof/>
                <w:color w:val="auto"/>
                <w:kern w:val="0"/>
                <w:szCs w:val="24"/>
                <w:lang w:eastAsia="en-US"/>
                <w14:ligatures w14:val="none"/>
              </w:rPr>
              <w:drawing>
                <wp:anchor distT="0" distB="0" distL="114300" distR="114300" simplePos="0" relativeHeight="251664384" behindDoc="1" locked="0" layoutInCell="1" allowOverlap="1" wp14:anchorId="0EB5D378" wp14:editId="48AB57D4">
                  <wp:simplePos x="0" y="0"/>
                  <wp:positionH relativeFrom="column">
                    <wp:posOffset>186055</wp:posOffset>
                  </wp:positionH>
                  <wp:positionV relativeFrom="paragraph">
                    <wp:posOffset>1291590</wp:posOffset>
                  </wp:positionV>
                  <wp:extent cx="2056130" cy="1630680"/>
                  <wp:effectExtent l="0" t="0" r="1270" b="7620"/>
                  <wp:wrapTight wrapText="bothSides">
                    <wp:wrapPolygon edited="0">
                      <wp:start x="0" y="0"/>
                      <wp:lineTo x="0" y="21449"/>
                      <wp:lineTo x="21413" y="21449"/>
                      <wp:lineTo x="2141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613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F3420">
              <w:rPr>
                <w:rFonts w:ascii="Calibri" w:eastAsia="Calibri" w:hAnsi="Calibri"/>
                <w:color w:val="auto"/>
                <w:kern w:val="0"/>
                <w:szCs w:val="24"/>
                <w:lang w:eastAsia="en-US"/>
                <w14:ligatures w14:val="none"/>
              </w:rPr>
              <w:t xml:space="preserve">Poppy Lane Care Home (a pseudo name) consented to the dietetic assistant practitioner (DAP) setting up a nourishing milkshake stand at the home.  The chef kindly helped the DAP make up the milkshakes and put them out for display.  Nine milkshakes were made up with little plastic pots used to trial the milkshakes. Each milkshake had a corresponding label listing the name of the nourishing milkshake and its ingredients which would cater for any allergies. </w:t>
            </w:r>
          </w:p>
          <w:p w14:paraId="6689D392" w14:textId="1BA28DB1"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30F5D4DB" w14:textId="77777777" w:rsid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p>
          <w:p w14:paraId="5B1E5EED" w14:textId="77777777" w:rsid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p>
          <w:p w14:paraId="4363ADA0" w14:textId="77777777" w:rsid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p>
          <w:p w14:paraId="00F77BE2" w14:textId="77777777" w:rsid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p>
          <w:p w14:paraId="1FE93401" w14:textId="77777777" w:rsid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p>
          <w:p w14:paraId="50866FD0" w14:textId="315834AA"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u w:val="single"/>
                <w:lang w:eastAsia="en-US"/>
                <w14:ligatures w14:val="none"/>
              </w:rPr>
              <w:t>Feelings</w:t>
            </w:r>
          </w:p>
          <w:p w14:paraId="507C6E5B"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The DAP felt that the event was successful in that a number of residents and their families came to the stand to trial the drinks.  The DAP felt happy that the feedback provided was good in that the residents said that they liked them and were happy to have them in their home.  The only issue was that a number of residents missed out as there were some that were bed bound and couldn’t mobilise to attend the stand.</w:t>
            </w:r>
          </w:p>
          <w:p w14:paraId="50A27332"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032A32B7"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04E83907"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5BE06AE8"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u w:val="single"/>
                <w:lang w:eastAsia="en-US"/>
                <w14:ligatures w14:val="none"/>
              </w:rPr>
              <w:lastRenderedPageBreak/>
              <w:t>Evaluation</w:t>
            </w:r>
          </w:p>
          <w:p w14:paraId="4B721AF1"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 xml:space="preserve">The milkshakes didn’t take long to make up in the kitchen.  The recipes were easy to follow and the ingredients were all staple ingredients already stored in the kitchen.  The chef felt that they were easy to make and would be happy to make them for the residents.  </w:t>
            </w:r>
          </w:p>
          <w:p w14:paraId="738063D8"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There was a lot of waste left over.  However, the carers put them on a tea trolley and took them around the care home and offered them to all residents and not just the ones who could attend the stand.</w:t>
            </w:r>
          </w:p>
          <w:p w14:paraId="1F833C93"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 xml:space="preserve">In future, going around the home would be more productive than setting up a stand so that more residents could try them and not just the ones that were mobile.  Some residents didn’t like milky drinks and some were lactose intolerant. </w:t>
            </w:r>
          </w:p>
          <w:p w14:paraId="03623B8D"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u w:val="single"/>
                <w:lang w:eastAsia="en-US"/>
                <w14:ligatures w14:val="none"/>
              </w:rPr>
              <w:t>Analysis</w:t>
            </w:r>
          </w:p>
          <w:p w14:paraId="6A935408"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Malnutrition is caused by an imbalance of nutrients and affects nearly 3 million people in the UK with 1.3 million aged over 65 (British Dietetic Association, 2023).  All care home residents are screened for malnutrition and those at risk have access to high calorie, high protein nutrition care plans, which is in line with the Swansea Bay University Health Board Nutrition Support Pathway (2023).  One of the criteria on the pathway is to offer fortified drinks, which includes nourishing milkshakes.</w:t>
            </w:r>
          </w:p>
          <w:p w14:paraId="310B9F82"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A lot of care home residents across Neath Port Talbot and Swansea are prescribed nutrition supplements to help tackle their risk of worsening malnutrition.  The cost of nutrition supplementation is high in care homes where a twice a day dose of a typical nutrition supplement can cost between £1,000 and £3,000 per year per person.</w:t>
            </w:r>
          </w:p>
          <w:p w14:paraId="25F30795"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If care home staff implement high calorie nourishing milkshakes as part of a first line dietary treatment plan as stated in the Nutrition Support Pathway, this could reduce the risk of care homes requesting nutrition supplements and could potentially result in less referrals for nutrition support being sent to the dietetic care home team.  It would also improve the health and wellbeing of the residents as care homes could offer a daily milkshake where a ‘resident of the day’ gets to choose the one they prefer.</w:t>
            </w:r>
          </w:p>
          <w:p w14:paraId="7776B24C"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 xml:space="preserve">By empowering residents to provide feedback on the milkshakes, the DAP had followed the principles of co-production through shared engagement.  By working in partnership with the care home staff and residents, this would help promote a more effective and improved quality of care to other care home residents at risk of malnutrition across all other care homes in Neath Port Talbot and Swansea. </w:t>
            </w:r>
          </w:p>
          <w:p w14:paraId="1FA2FF47"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u w:val="single"/>
                <w:lang w:eastAsia="en-US"/>
                <w14:ligatures w14:val="none"/>
              </w:rPr>
              <w:t>Conclusion</w:t>
            </w:r>
          </w:p>
          <w:p w14:paraId="4B280F66"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 xml:space="preserve">The trial of the milkshakes was successful as nearly all residents said they liked them.  The care home was happy to make up the recipes but not all nine in one go.  They were happy to do one daily nourishing milkshake for those at a medium or high risk of malnutrition.  </w:t>
            </w:r>
          </w:p>
          <w:p w14:paraId="5AE39644"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lastRenderedPageBreak/>
              <w:t>The DAP would need to consider dairy free nourishing drinks and alternatives to milk-based ones.</w:t>
            </w:r>
          </w:p>
          <w:p w14:paraId="6808A337" w14:textId="6976EA81"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 xml:space="preserve">The DAP should have completed an evaluation questionnaire to find out if the residents were happy to have the milkshakes and </w:t>
            </w:r>
            <w:r>
              <w:rPr>
                <w:rFonts w:ascii="Calibri" w:eastAsia="Calibri" w:hAnsi="Calibri"/>
                <w:color w:val="auto"/>
                <w:kern w:val="0"/>
                <w:szCs w:val="24"/>
                <w:lang w:eastAsia="en-US"/>
                <w14:ligatures w14:val="none"/>
              </w:rPr>
              <w:t xml:space="preserve">the preferred choices </w:t>
            </w:r>
            <w:r w:rsidRPr="009F3420">
              <w:rPr>
                <w:rFonts w:ascii="Calibri" w:eastAsia="Calibri" w:hAnsi="Calibri"/>
                <w:color w:val="auto"/>
                <w:kern w:val="0"/>
                <w:szCs w:val="24"/>
                <w:lang w:eastAsia="en-US"/>
                <w14:ligatures w14:val="none"/>
              </w:rPr>
              <w:t xml:space="preserve">so it could be measured. </w:t>
            </w:r>
          </w:p>
          <w:p w14:paraId="41F6A216" w14:textId="77777777" w:rsidR="009F3420" w:rsidRPr="009F3420" w:rsidRDefault="009F3420" w:rsidP="009F3420">
            <w:pPr>
              <w:spacing w:after="160" w:line="259" w:lineRule="auto"/>
              <w:ind w:left="0" w:firstLine="0"/>
              <w:jc w:val="both"/>
              <w:rPr>
                <w:rFonts w:ascii="Calibri" w:eastAsia="Calibri" w:hAnsi="Calibri"/>
                <w:color w:val="auto"/>
                <w:kern w:val="0"/>
                <w:szCs w:val="24"/>
                <w:u w:val="single"/>
                <w:lang w:eastAsia="en-US"/>
                <w14:ligatures w14:val="none"/>
              </w:rPr>
            </w:pPr>
            <w:r w:rsidRPr="009F3420">
              <w:rPr>
                <w:rFonts w:ascii="Calibri" w:eastAsia="Calibri" w:hAnsi="Calibri"/>
                <w:color w:val="auto"/>
                <w:kern w:val="0"/>
                <w:szCs w:val="24"/>
                <w:u w:val="single"/>
                <w:lang w:eastAsia="en-US"/>
                <w14:ligatures w14:val="none"/>
              </w:rPr>
              <w:t>Action Plan</w:t>
            </w:r>
          </w:p>
          <w:p w14:paraId="2DB50680"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The overall plan is to promote nourishing milkshakes in all care homes across the locality, promoting their importance and cost savings against nutrition supplements.  Milkshakes should be added to dietetic care plans and consent obtained from patients during consultations if they are happy to have them.</w:t>
            </w:r>
          </w:p>
          <w:p w14:paraId="14C7348B"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A meeting needs to be arranged with care home managers to see if they are happy to make up the milkshakes due to cost. The DAP should calculate the cost of the milkshakes and find cheaper options if possible.  The DAP also needs to measure the cost of a nourishing milkshake against the cost of a nutrition supplement. The waste of nutrition supplements should also be monitored against the uptake of a homemade nourishing milkshake.</w:t>
            </w:r>
          </w:p>
          <w:p w14:paraId="39377C62"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Nourishing milkshakes and recipes should be added into the food first training plan and recipes added into the care home nutrition information folder.  DAP should also include dairy free nourishing drinks.</w:t>
            </w:r>
          </w:p>
          <w:p w14:paraId="20AB84CF"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r w:rsidRPr="009F3420">
              <w:rPr>
                <w:rFonts w:ascii="Calibri" w:eastAsia="Calibri" w:hAnsi="Calibri"/>
                <w:color w:val="auto"/>
                <w:kern w:val="0"/>
                <w:szCs w:val="24"/>
                <w:lang w:eastAsia="en-US"/>
                <w14:ligatures w14:val="none"/>
              </w:rPr>
              <w:t>A review of residents’ medication charts should be carried out and those prescribed powder based supplements can be replaced with nourishing milkshakes. DAP to measure patient outcomes as a result of the change and to correlate cost savings, reporting the findings to the nutrition and dietetics department and medicines management dietetic team.</w:t>
            </w:r>
          </w:p>
          <w:p w14:paraId="6F12BE6E"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3D207BDF"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223CE1DF" w14:textId="77777777" w:rsidR="009F3420" w:rsidRPr="009F3420" w:rsidRDefault="009F3420" w:rsidP="009F3420">
            <w:pPr>
              <w:spacing w:after="160" w:line="259" w:lineRule="auto"/>
              <w:ind w:left="720" w:firstLine="0"/>
              <w:contextualSpacing/>
              <w:jc w:val="both"/>
              <w:rPr>
                <w:rFonts w:ascii="Calibri" w:eastAsia="Calibri" w:hAnsi="Calibri"/>
                <w:color w:val="auto"/>
                <w:kern w:val="0"/>
                <w:szCs w:val="24"/>
                <w:u w:val="single"/>
                <w:lang w:eastAsia="en-US"/>
                <w14:ligatures w14:val="none"/>
              </w:rPr>
            </w:pPr>
          </w:p>
          <w:p w14:paraId="14B1E2E9"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075AAF48"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3D031E32" w14:textId="77777777" w:rsidR="009F3420" w:rsidRPr="009F3420" w:rsidRDefault="009F3420" w:rsidP="009F3420">
            <w:pPr>
              <w:spacing w:after="160" w:line="259" w:lineRule="auto"/>
              <w:ind w:left="0" w:firstLine="0"/>
              <w:jc w:val="both"/>
              <w:rPr>
                <w:rFonts w:ascii="Calibri" w:eastAsia="Calibri" w:hAnsi="Calibri"/>
                <w:color w:val="auto"/>
                <w:kern w:val="0"/>
                <w:szCs w:val="24"/>
                <w:lang w:eastAsia="en-US"/>
                <w14:ligatures w14:val="none"/>
              </w:rPr>
            </w:pPr>
          </w:p>
          <w:p w14:paraId="537947C9" w14:textId="77777777" w:rsidR="00E1298E" w:rsidRPr="00601B22" w:rsidRDefault="00E1298E" w:rsidP="005E1E83">
            <w:pPr>
              <w:ind w:left="0" w:firstLine="0"/>
              <w:rPr>
                <w:rFonts w:asciiTheme="majorHAnsi" w:hAnsiTheme="majorHAnsi" w:cstheme="majorHAnsi"/>
                <w:szCs w:val="24"/>
              </w:rPr>
            </w:pPr>
          </w:p>
          <w:p w14:paraId="6EC3D8D6" w14:textId="77777777" w:rsidR="00E1298E" w:rsidRPr="00601B22" w:rsidRDefault="00E1298E" w:rsidP="005E1E83">
            <w:pPr>
              <w:ind w:left="0" w:firstLine="0"/>
              <w:rPr>
                <w:rFonts w:asciiTheme="majorHAnsi" w:hAnsiTheme="majorHAnsi" w:cstheme="majorHAnsi"/>
                <w:szCs w:val="24"/>
              </w:rPr>
            </w:pPr>
          </w:p>
          <w:p w14:paraId="6A627C61" w14:textId="77777777" w:rsidR="00E1298E" w:rsidRPr="00601B22" w:rsidRDefault="00E1298E" w:rsidP="005E1E83">
            <w:pPr>
              <w:ind w:left="0" w:firstLine="0"/>
              <w:rPr>
                <w:rFonts w:asciiTheme="majorHAnsi" w:hAnsiTheme="majorHAnsi" w:cstheme="majorHAnsi"/>
                <w:szCs w:val="24"/>
              </w:rPr>
            </w:pPr>
          </w:p>
          <w:p w14:paraId="5F4A9224" w14:textId="77777777" w:rsidR="00E1298E" w:rsidRPr="00601B22" w:rsidRDefault="00E1298E" w:rsidP="005E1E83">
            <w:pPr>
              <w:ind w:left="0" w:firstLine="0"/>
              <w:rPr>
                <w:rFonts w:asciiTheme="majorHAnsi" w:hAnsiTheme="majorHAnsi" w:cstheme="majorHAnsi"/>
                <w:szCs w:val="24"/>
              </w:rPr>
            </w:pPr>
          </w:p>
          <w:p w14:paraId="4AD5676A" w14:textId="77777777" w:rsidR="00E1298E" w:rsidRPr="00601B22" w:rsidRDefault="00E1298E" w:rsidP="005E1E83">
            <w:pPr>
              <w:ind w:left="0" w:firstLine="0"/>
              <w:rPr>
                <w:rFonts w:asciiTheme="majorHAnsi" w:hAnsiTheme="majorHAnsi" w:cstheme="majorHAnsi"/>
                <w:szCs w:val="24"/>
              </w:rPr>
            </w:pPr>
          </w:p>
          <w:p w14:paraId="77ED1C67" w14:textId="77777777" w:rsidR="00E1298E" w:rsidRPr="00601B22" w:rsidRDefault="00E1298E" w:rsidP="005E1E83">
            <w:pPr>
              <w:ind w:left="0" w:firstLine="0"/>
              <w:rPr>
                <w:rFonts w:asciiTheme="majorHAnsi" w:hAnsiTheme="majorHAnsi" w:cstheme="majorHAnsi"/>
                <w:szCs w:val="24"/>
              </w:rPr>
            </w:pPr>
          </w:p>
          <w:p w14:paraId="5E67A5E2" w14:textId="77777777" w:rsidR="00E1298E" w:rsidRPr="00601B22" w:rsidRDefault="00E1298E" w:rsidP="005E1E83">
            <w:pPr>
              <w:ind w:left="0" w:firstLine="0"/>
              <w:rPr>
                <w:rFonts w:asciiTheme="majorHAnsi" w:hAnsiTheme="majorHAnsi" w:cstheme="majorHAnsi"/>
                <w:szCs w:val="24"/>
              </w:rPr>
            </w:pPr>
          </w:p>
          <w:p w14:paraId="4953C2B7" w14:textId="77777777" w:rsidR="00E1298E" w:rsidRPr="00601B22" w:rsidRDefault="00E1298E" w:rsidP="005E1E83">
            <w:pPr>
              <w:ind w:left="0"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10420"/>
        <w:gridCol w:w="6"/>
      </w:tblGrid>
      <w:tr w:rsidR="00762115" w:rsidRPr="00601B22" w14:paraId="06D12A31" w14:textId="77777777" w:rsidTr="00E1298E">
        <w:trPr>
          <w:trHeight w:val="1561"/>
        </w:trPr>
        <w:tc>
          <w:tcPr>
            <w:tcW w:w="9129" w:type="dxa"/>
            <w:tcBorders>
              <w:top w:val="nil"/>
              <w:left w:val="nil"/>
              <w:bottom w:val="nil"/>
              <w:right w:val="nil"/>
            </w:tcBorders>
            <w:vAlign w:val="center"/>
          </w:tcPr>
          <w:p w14:paraId="0ECDE574" w14:textId="77777777" w:rsidR="00E1298E" w:rsidRDefault="00E1298E" w:rsidP="002B1217">
            <w:pPr>
              <w:spacing w:after="0" w:line="259" w:lineRule="auto"/>
              <w:ind w:left="240" w:right="115" w:hanging="240"/>
              <w:rPr>
                <w:rFonts w:asciiTheme="majorHAnsi" w:hAnsiTheme="majorHAnsi" w:cstheme="majorHAnsi"/>
                <w:b/>
                <w:bCs/>
                <w:szCs w:val="24"/>
              </w:rPr>
            </w:pPr>
          </w:p>
          <w:tbl>
            <w:tblPr>
              <w:tblStyle w:val="TableGrid0"/>
              <w:tblW w:w="0" w:type="auto"/>
              <w:tblInd w:w="55" w:type="dxa"/>
              <w:tblLook w:val="04A0" w:firstRow="1" w:lastRow="0" w:firstColumn="1" w:lastColumn="0" w:noHBand="0" w:noVBand="1"/>
            </w:tblPr>
            <w:tblGrid>
              <w:gridCol w:w="9016"/>
            </w:tblGrid>
            <w:tr w:rsidR="00E1298E" w:rsidRPr="00601B22" w14:paraId="028A0998" w14:textId="77777777" w:rsidTr="005E1E83">
              <w:tc>
                <w:tcPr>
                  <w:tcW w:w="9016" w:type="dxa"/>
                </w:tcPr>
                <w:p w14:paraId="2BBCBC21" w14:textId="3143D0B0" w:rsidR="00E1298E" w:rsidRPr="00601B22" w:rsidRDefault="00E1298E" w:rsidP="00E1298E">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c</w:t>
                  </w:r>
                  <w:r>
                    <w:rPr>
                      <w:rFonts w:asciiTheme="majorHAnsi" w:hAnsiTheme="majorHAnsi" w:cstheme="majorHAnsi"/>
                      <w:szCs w:val="24"/>
                    </w:rPr>
                    <w:t xml:space="preserve"> </w:t>
                  </w:r>
                  <w:r w:rsidRPr="00601B22">
                    <w:rPr>
                      <w:rFonts w:asciiTheme="majorHAnsi" w:hAnsiTheme="majorHAnsi" w:cstheme="majorHAnsi"/>
                      <w:szCs w:val="24"/>
                    </w:rPr>
                    <w:t>Reflect on</w:t>
                  </w:r>
                  <w:r>
                    <w:rPr>
                      <w:rFonts w:asciiTheme="majorHAnsi" w:hAnsiTheme="majorHAnsi" w:cstheme="majorHAnsi"/>
                      <w:szCs w:val="24"/>
                    </w:rPr>
                    <w:t xml:space="preserve"> a third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r w:rsidRPr="004D5927">
                    <w:rPr>
                      <w:rFonts w:asciiTheme="majorHAnsi" w:hAnsiTheme="majorHAnsi" w:cstheme="majorHAnsi"/>
                      <w:b/>
                      <w:bCs/>
                      <w:szCs w:val="24"/>
                    </w:rPr>
                    <w:t xml:space="preserve"> </w:t>
                  </w:r>
                </w:p>
              </w:tc>
            </w:tr>
            <w:tr w:rsidR="00E1298E" w:rsidRPr="00601B22" w14:paraId="3505932C" w14:textId="77777777" w:rsidTr="005E1E83">
              <w:tc>
                <w:tcPr>
                  <w:tcW w:w="9016" w:type="dxa"/>
                </w:tcPr>
                <w:p w14:paraId="6EC3B3B3"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This reflection uses Gibbs Reflective Cycle (1988) to promote a nutrition event at a care home, working with the activities co-ordinator so that a nutrition event can be added to the events calendar.  The promotion of a nutrition event would provide wellbeing benefits to residents. </w:t>
                  </w:r>
                </w:p>
                <w:p w14:paraId="64D1BAC2"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u w:val="single"/>
                      <w:lang w:eastAsia="en-US"/>
                      <w14:ligatures w14:val="none"/>
                    </w:rPr>
                    <w:t>Description</w:t>
                  </w:r>
                </w:p>
                <w:p w14:paraId="5CF6917F"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Dietetic Assistant Practitioner (DAP) contacted the activities co-ordinator at Poppy Lane Care Home (a pseudo name) to establish whether there were any nutrition activities set up for residents.  The activities co-ordinator advised that there wasn’t but they were happy to trial setting up an event, such as having some residents participate in cake and dessert making.</w:t>
                  </w:r>
                </w:p>
                <w:p w14:paraId="7A3899FD"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If successful, these desserts could be added to the care home menu.  By working in collaboration with the kitchen staff, residents can help co-design menus.</w:t>
                  </w:r>
                </w:p>
                <w:p w14:paraId="68786B7B"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DAP attended the care home and sat with the residents in the lounge and helped them make desserts, which were then shared out amongst the other residents.</w:t>
                  </w:r>
                </w:p>
                <w:p w14:paraId="6EC02F2A"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DAP took photographs in readiness to publish on the newsletter, thereby following the principles of co-production by sharing the idea with other care homes to help promote wellbeing in other homes.</w:t>
                  </w:r>
                </w:p>
                <w:p w14:paraId="5DDE4429"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u w:val="single"/>
                      <w:lang w:eastAsia="en-US"/>
                      <w14:ligatures w14:val="none"/>
                    </w:rPr>
                    <w:t>Feelings</w:t>
                  </w:r>
                </w:p>
                <w:p w14:paraId="32E9B3EF"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DAP felt that there were some aspects that didn’t go so well and caused a lot of stress.  There were too many residents trying to help with the desserts with limited structure to planning.  By moving from making cakes to making one cake and mousses made it easier to control.</w:t>
                  </w:r>
                </w:p>
                <w:p w14:paraId="4AA8A5E6" w14:textId="764CE0C6"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noProof/>
                      <w:color w:val="auto"/>
                      <w:kern w:val="0"/>
                      <w:szCs w:val="24"/>
                      <w:lang w:eastAsia="en-US"/>
                      <w14:ligatures w14:val="none"/>
                    </w:rPr>
                    <w:drawing>
                      <wp:anchor distT="0" distB="0" distL="114300" distR="114300" simplePos="0" relativeHeight="251668480" behindDoc="1" locked="0" layoutInCell="1" allowOverlap="1" wp14:anchorId="12DAF8EA" wp14:editId="7BC762E6">
                        <wp:simplePos x="0" y="0"/>
                        <wp:positionH relativeFrom="column">
                          <wp:posOffset>3749040</wp:posOffset>
                        </wp:positionH>
                        <wp:positionV relativeFrom="paragraph">
                          <wp:posOffset>831850</wp:posOffset>
                        </wp:positionV>
                        <wp:extent cx="1722120" cy="1489710"/>
                        <wp:effectExtent l="0" t="0" r="0" b="0"/>
                        <wp:wrapTight wrapText="bothSides">
                          <wp:wrapPolygon edited="0">
                            <wp:start x="0" y="0"/>
                            <wp:lineTo x="0" y="21269"/>
                            <wp:lineTo x="21265" y="21269"/>
                            <wp:lineTo x="212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0345" r="361" b="21989"/>
                                <a:stretch/>
                              </pic:blipFill>
                              <pic:spPr bwMode="auto">
                                <a:xfrm>
                                  <a:off x="0" y="0"/>
                                  <a:ext cx="1722120" cy="1489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063F">
                    <w:rPr>
                      <w:rFonts w:ascii="Calibri" w:eastAsia="Calibri" w:hAnsi="Calibri"/>
                      <w:noProof/>
                      <w:color w:val="auto"/>
                      <w:kern w:val="0"/>
                      <w:szCs w:val="24"/>
                      <w:lang w:eastAsia="en-US"/>
                      <w14:ligatures w14:val="none"/>
                    </w:rPr>
                    <w:drawing>
                      <wp:anchor distT="0" distB="0" distL="114300" distR="114300" simplePos="0" relativeHeight="251667456" behindDoc="1" locked="0" layoutInCell="1" allowOverlap="1" wp14:anchorId="12DB241C" wp14:editId="07FEB796">
                        <wp:simplePos x="0" y="0"/>
                        <wp:positionH relativeFrom="column">
                          <wp:posOffset>1800860</wp:posOffset>
                        </wp:positionH>
                        <wp:positionV relativeFrom="paragraph">
                          <wp:posOffset>835660</wp:posOffset>
                        </wp:positionV>
                        <wp:extent cx="1851660" cy="1489710"/>
                        <wp:effectExtent l="0" t="0" r="0" b="0"/>
                        <wp:wrapTight wrapText="bothSides">
                          <wp:wrapPolygon edited="0">
                            <wp:start x="0" y="0"/>
                            <wp:lineTo x="0" y="21269"/>
                            <wp:lineTo x="21333" y="21269"/>
                            <wp:lineTo x="213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8744" t="31054" r="13115" b="24023"/>
                                <a:stretch/>
                              </pic:blipFill>
                              <pic:spPr bwMode="auto">
                                <a:xfrm>
                                  <a:off x="0" y="0"/>
                                  <a:ext cx="1851660" cy="1489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063F">
                    <w:rPr>
                      <w:rFonts w:ascii="Calibri" w:eastAsia="Calibri" w:hAnsi="Calibri"/>
                      <w:color w:val="auto"/>
                      <w:kern w:val="0"/>
                      <w:szCs w:val="24"/>
                      <w:lang w:eastAsia="en-US"/>
                      <w14:ligatures w14:val="none"/>
                    </w:rPr>
                    <w:t xml:space="preserve">Overall, the DAP felt that the event was successful and was happy to see the residents enjoying themselves. The activities co-ordinator and care home manager also felt that the event was successful and were happy to add a nutrition event on to the calendar for themed days such as birthdays. </w:t>
                  </w:r>
                </w:p>
                <w:p w14:paraId="42F14CBC" w14:textId="6BC35245"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3E199C84"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77965415"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5D24AB8E"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62D63F39"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25B7776A"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u w:val="single"/>
                      <w:lang w:eastAsia="en-US"/>
                      <w14:ligatures w14:val="none"/>
                    </w:rPr>
                    <w:lastRenderedPageBreak/>
                    <w:t>Evaluation</w:t>
                  </w:r>
                </w:p>
                <w:p w14:paraId="0A6CE06C"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event was enjoyed by the residents and provided a sense of good wellbeing through social interaction.</w:t>
                  </w:r>
                </w:p>
                <w:p w14:paraId="0DEA4A95"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There were a range of activities on the care home activity calendar, however the care home had restricted cooking activities due to safety and hygiene reasons.  However, with appropriate supervision residents are able to work with care home staff to help prepare desserts.  </w:t>
                  </w:r>
                </w:p>
                <w:p w14:paraId="703BE435"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Perhaps more easier recipes would be more suitable such as ice cream decorating or non-cooking options such as rice </w:t>
                  </w:r>
                  <w:proofErr w:type="spellStart"/>
                  <w:r w:rsidRPr="0069063F">
                    <w:rPr>
                      <w:rFonts w:ascii="Calibri" w:eastAsia="Calibri" w:hAnsi="Calibri"/>
                      <w:color w:val="auto"/>
                      <w:kern w:val="0"/>
                      <w:szCs w:val="24"/>
                      <w:lang w:eastAsia="en-US"/>
                      <w14:ligatures w14:val="none"/>
                    </w:rPr>
                    <w:t>krispie</w:t>
                  </w:r>
                  <w:proofErr w:type="spellEnd"/>
                  <w:r w:rsidRPr="0069063F">
                    <w:rPr>
                      <w:rFonts w:ascii="Calibri" w:eastAsia="Calibri" w:hAnsi="Calibri"/>
                      <w:color w:val="auto"/>
                      <w:kern w:val="0"/>
                      <w:szCs w:val="24"/>
                      <w:lang w:eastAsia="en-US"/>
                      <w14:ligatures w14:val="none"/>
                    </w:rPr>
                    <w:t xml:space="preserve"> cakes that do not need to be cooked in the oven.  </w:t>
                  </w:r>
                </w:p>
                <w:p w14:paraId="44AEBA4B"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Another option would have been to allocate residents tasks such as mixing ingredients, decorating or handing out the ingredients.  </w:t>
                  </w:r>
                </w:p>
                <w:p w14:paraId="7E2D9E97"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u w:val="single"/>
                      <w:lang w:eastAsia="en-US"/>
                      <w14:ligatures w14:val="none"/>
                    </w:rPr>
                    <w:t>Analysis</w:t>
                  </w:r>
                </w:p>
                <w:p w14:paraId="372A14C5"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Section 4 of The Welsh Government Food &amp; Nutrition in Care Homes for Older People: Best Practice Guidance (2019) advises care homes to encourage residents to become involved in daily food activities.  </w:t>
                  </w:r>
                </w:p>
                <w:p w14:paraId="646BA49A"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 xml:space="preserve">Cake making activities can help improve wellbeing through social interactions with a range of other benefits such as boosting positive emotions, improving cognitive skills and confidence (Care UK, 2025). </w:t>
                  </w:r>
                </w:p>
                <w:p w14:paraId="10969C63"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Patient centred care is a key factor in co-production.  By empowering residents to work in partnership to make cakes could lead to improved outcomes (Improvement Cymru Academy, 2025).  As a result, residents would be able to work in collaboration with the kitchen staff and manage to help co-design the dessert menus in the care home.  Residents would learn skills and adopt behaviours to achieve better health and wellbeing through co-production (Social Care Institute for Excellence, 2022).</w:t>
                  </w:r>
                </w:p>
                <w:p w14:paraId="7CFA3FC7"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By adding nutrition events on to the activities calendar and subsequently improving health and wellbeing through co-production, this could encourage the residents to have an improved dietary intake and help address the issues of malnutrition that is prominent in the elderly population.</w:t>
                  </w:r>
                </w:p>
                <w:p w14:paraId="276DAFE1"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r w:rsidRPr="0069063F">
                    <w:rPr>
                      <w:rFonts w:ascii="Calibri" w:eastAsia="Calibri" w:hAnsi="Calibri"/>
                      <w:color w:val="auto"/>
                      <w:kern w:val="0"/>
                      <w:szCs w:val="24"/>
                      <w:u w:val="single"/>
                      <w:lang w:eastAsia="en-US"/>
                      <w14:ligatures w14:val="none"/>
                    </w:rPr>
                    <w:t>Conclusion</w:t>
                  </w:r>
                </w:p>
                <w:p w14:paraId="36010482"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Only a few of the residents were involved in the cake-making activity, however, it would be important to engage more residents.   The use of pictorial visual aids would have been useful for the residents so that they could follow simple instructions in making cakes and also to explore dementia friendly cake-making so that more residents could be involved.</w:t>
                  </w:r>
                </w:p>
                <w:p w14:paraId="6016CACA"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656E7FDF" w14:textId="77777777" w:rsidR="0069063F" w:rsidRPr="0069063F" w:rsidRDefault="0069063F" w:rsidP="0069063F">
                  <w:pPr>
                    <w:spacing w:after="160" w:line="259" w:lineRule="auto"/>
                    <w:ind w:left="0" w:firstLine="0"/>
                    <w:jc w:val="both"/>
                    <w:rPr>
                      <w:rFonts w:ascii="Calibri" w:eastAsia="Calibri" w:hAnsi="Calibri"/>
                      <w:color w:val="auto"/>
                      <w:kern w:val="0"/>
                      <w:szCs w:val="24"/>
                      <w:u w:val="single"/>
                      <w:lang w:eastAsia="en-US"/>
                      <w14:ligatures w14:val="none"/>
                    </w:rPr>
                  </w:pPr>
                </w:p>
                <w:p w14:paraId="18E7A611"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u w:val="single"/>
                      <w:lang w:eastAsia="en-US"/>
                      <w14:ligatures w14:val="none"/>
                    </w:rPr>
                    <w:lastRenderedPageBreak/>
                    <w:t>Action Plan</w:t>
                  </w:r>
                </w:p>
                <w:p w14:paraId="09DA9898"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As patient centred care approach is important, residents should be asked what cakes they would like to make.  Residents could reminisce about recipes they used to make whilst at home and make them ‘resident of the day’ to co-produce a cake with the kitchen staff and then share with other residents.</w:t>
                  </w:r>
                </w:p>
                <w:p w14:paraId="221CBE76"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More residents could be involved in cake-making as part of the activities calendar or for themed days such as birthdays or themed events such as Nutrition and Hydration Week. Residents’ abilities and individual needs should be considered so more can become involved, tailoring certain tasks to certain residents.</w:t>
                  </w:r>
                </w:p>
                <w:p w14:paraId="43C37408"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No bake options and cake and biscuit decorations could be easier for some residents to undertake.</w:t>
                  </w:r>
                </w:p>
                <w:p w14:paraId="3C473577" w14:textId="77777777" w:rsidR="0069063F" w:rsidRPr="0069063F" w:rsidRDefault="0069063F" w:rsidP="0069063F">
                  <w:pPr>
                    <w:spacing w:after="160" w:line="259" w:lineRule="auto"/>
                    <w:ind w:left="0" w:firstLine="0"/>
                    <w:jc w:val="both"/>
                    <w:rPr>
                      <w:rFonts w:ascii="Calibri" w:eastAsia="Calibri" w:hAnsi="Calibri"/>
                      <w:color w:val="auto"/>
                      <w:kern w:val="0"/>
                      <w:szCs w:val="24"/>
                      <w:lang w:eastAsia="en-US"/>
                      <w14:ligatures w14:val="none"/>
                    </w:rPr>
                  </w:pPr>
                  <w:r w:rsidRPr="0069063F">
                    <w:rPr>
                      <w:rFonts w:ascii="Calibri" w:eastAsia="Calibri" w:hAnsi="Calibri"/>
                      <w:color w:val="auto"/>
                      <w:kern w:val="0"/>
                      <w:szCs w:val="24"/>
                      <w:lang w:eastAsia="en-US"/>
                      <w14:ligatures w14:val="none"/>
                    </w:rPr>
                    <w:t>The DAP should continue to add nutrition related events to the care home nutrition team newsletter to share ideas of good practice with other care homes.</w:t>
                  </w:r>
                </w:p>
                <w:p w14:paraId="049ECA43" w14:textId="77777777" w:rsidR="00E1298E" w:rsidRPr="00601B22" w:rsidRDefault="00E1298E" w:rsidP="00E1298E">
                  <w:pPr>
                    <w:ind w:left="0" w:firstLine="0"/>
                    <w:rPr>
                      <w:rFonts w:asciiTheme="majorHAnsi" w:hAnsiTheme="majorHAnsi" w:cstheme="majorHAnsi"/>
                      <w:szCs w:val="24"/>
                    </w:rPr>
                  </w:pPr>
                </w:p>
                <w:p w14:paraId="5AC22F1A" w14:textId="77777777" w:rsidR="00E1298E" w:rsidRPr="00601B22" w:rsidRDefault="00E1298E" w:rsidP="00E1298E">
                  <w:pPr>
                    <w:ind w:left="0" w:firstLine="0"/>
                    <w:rPr>
                      <w:rFonts w:asciiTheme="majorHAnsi" w:hAnsiTheme="majorHAnsi" w:cstheme="majorHAnsi"/>
                      <w:szCs w:val="24"/>
                    </w:rPr>
                  </w:pPr>
                </w:p>
                <w:p w14:paraId="6695E335" w14:textId="77777777" w:rsidR="00E1298E" w:rsidRPr="00601B22" w:rsidRDefault="00E1298E" w:rsidP="00E1298E">
                  <w:pPr>
                    <w:ind w:left="0" w:firstLine="0"/>
                    <w:rPr>
                      <w:rFonts w:asciiTheme="majorHAnsi" w:hAnsiTheme="majorHAnsi" w:cstheme="majorHAnsi"/>
                      <w:szCs w:val="24"/>
                    </w:rPr>
                  </w:pPr>
                </w:p>
                <w:p w14:paraId="1F3A52F4" w14:textId="77777777" w:rsidR="00E1298E" w:rsidRPr="00601B22" w:rsidRDefault="00E1298E" w:rsidP="00E1298E">
                  <w:pPr>
                    <w:ind w:left="0" w:firstLine="0"/>
                    <w:rPr>
                      <w:rFonts w:asciiTheme="majorHAnsi" w:hAnsiTheme="majorHAnsi" w:cstheme="majorHAnsi"/>
                      <w:szCs w:val="24"/>
                    </w:rPr>
                  </w:pPr>
                </w:p>
                <w:p w14:paraId="1B8D274B" w14:textId="77777777" w:rsidR="00E1298E" w:rsidRPr="00601B22" w:rsidRDefault="00E1298E" w:rsidP="00E1298E">
                  <w:pPr>
                    <w:ind w:left="0" w:firstLine="0"/>
                    <w:rPr>
                      <w:rFonts w:asciiTheme="majorHAnsi" w:hAnsiTheme="majorHAnsi" w:cstheme="majorHAnsi"/>
                      <w:szCs w:val="24"/>
                    </w:rPr>
                  </w:pPr>
                </w:p>
                <w:p w14:paraId="11293B1F" w14:textId="77777777" w:rsidR="00E1298E" w:rsidRPr="00601B22" w:rsidRDefault="00E1298E" w:rsidP="00E1298E">
                  <w:pPr>
                    <w:ind w:left="0" w:firstLine="0"/>
                    <w:rPr>
                      <w:rFonts w:asciiTheme="majorHAnsi" w:hAnsiTheme="majorHAnsi" w:cstheme="majorHAnsi"/>
                      <w:szCs w:val="24"/>
                    </w:rPr>
                  </w:pPr>
                </w:p>
                <w:p w14:paraId="75CDC3B0" w14:textId="77777777" w:rsidR="00E1298E" w:rsidRPr="00601B22" w:rsidRDefault="00E1298E" w:rsidP="00E1298E">
                  <w:pPr>
                    <w:ind w:left="0" w:firstLine="0"/>
                    <w:rPr>
                      <w:rFonts w:asciiTheme="majorHAnsi" w:hAnsiTheme="majorHAnsi" w:cstheme="majorHAnsi"/>
                      <w:szCs w:val="24"/>
                    </w:rPr>
                  </w:pPr>
                </w:p>
                <w:p w14:paraId="71D93650" w14:textId="77777777" w:rsidR="00E1298E" w:rsidRPr="00601B22" w:rsidRDefault="00E1298E" w:rsidP="00E1298E">
                  <w:pPr>
                    <w:ind w:left="0" w:firstLine="0"/>
                    <w:rPr>
                      <w:rFonts w:asciiTheme="majorHAnsi" w:hAnsiTheme="majorHAnsi" w:cstheme="majorHAnsi"/>
                      <w:szCs w:val="24"/>
                    </w:rPr>
                  </w:pPr>
                </w:p>
              </w:tc>
            </w:tr>
          </w:tbl>
          <w:p w14:paraId="322FA843" w14:textId="77777777" w:rsidR="00F668E4" w:rsidRDefault="00F668E4" w:rsidP="00F668E4">
            <w:pPr>
              <w:spacing w:after="0" w:line="259" w:lineRule="auto"/>
              <w:ind w:left="0" w:right="115" w:firstLine="0"/>
              <w:rPr>
                <w:rFonts w:asciiTheme="majorHAnsi" w:hAnsiTheme="majorHAnsi" w:cstheme="majorHAnsi"/>
                <w:b/>
                <w:bCs/>
                <w:szCs w:val="24"/>
              </w:rPr>
            </w:pPr>
          </w:p>
          <w:p w14:paraId="1C85AB9E" w14:textId="77777777" w:rsidR="0069063F" w:rsidRDefault="0069063F" w:rsidP="00F668E4">
            <w:pPr>
              <w:spacing w:after="0" w:line="259" w:lineRule="auto"/>
              <w:ind w:left="0" w:right="115" w:firstLine="0"/>
              <w:rPr>
                <w:rFonts w:asciiTheme="majorHAnsi" w:hAnsiTheme="majorHAnsi" w:cstheme="majorHAnsi"/>
                <w:b/>
                <w:bCs/>
                <w:szCs w:val="24"/>
              </w:rPr>
            </w:pPr>
          </w:p>
          <w:p w14:paraId="0A443E9B" w14:textId="77777777" w:rsidR="0069063F" w:rsidRDefault="0069063F" w:rsidP="00F668E4">
            <w:pPr>
              <w:spacing w:after="0" w:line="259" w:lineRule="auto"/>
              <w:ind w:left="0" w:right="115" w:firstLine="0"/>
              <w:rPr>
                <w:rFonts w:asciiTheme="majorHAnsi" w:hAnsiTheme="majorHAnsi" w:cstheme="majorHAnsi"/>
                <w:b/>
                <w:bCs/>
                <w:szCs w:val="24"/>
              </w:rPr>
            </w:pPr>
          </w:p>
          <w:p w14:paraId="010B48D3" w14:textId="77777777" w:rsidR="0069063F" w:rsidRDefault="0069063F" w:rsidP="00F668E4">
            <w:pPr>
              <w:spacing w:after="0" w:line="259" w:lineRule="auto"/>
              <w:ind w:left="0" w:right="115" w:firstLine="0"/>
              <w:rPr>
                <w:rFonts w:asciiTheme="majorHAnsi" w:hAnsiTheme="majorHAnsi" w:cstheme="majorHAnsi"/>
                <w:b/>
                <w:bCs/>
                <w:szCs w:val="24"/>
              </w:rPr>
            </w:pPr>
          </w:p>
          <w:p w14:paraId="6A446DB7" w14:textId="77777777" w:rsidR="0069063F" w:rsidRDefault="0069063F" w:rsidP="00F668E4">
            <w:pPr>
              <w:spacing w:after="0" w:line="259" w:lineRule="auto"/>
              <w:ind w:left="0" w:right="115" w:firstLine="0"/>
              <w:rPr>
                <w:rFonts w:asciiTheme="majorHAnsi" w:hAnsiTheme="majorHAnsi" w:cstheme="majorHAnsi"/>
                <w:b/>
                <w:bCs/>
                <w:szCs w:val="24"/>
              </w:rPr>
            </w:pPr>
          </w:p>
          <w:p w14:paraId="3BDC5CB7" w14:textId="77777777" w:rsidR="0069063F" w:rsidRDefault="0069063F" w:rsidP="00F668E4">
            <w:pPr>
              <w:spacing w:after="0" w:line="259" w:lineRule="auto"/>
              <w:ind w:left="0" w:right="115" w:firstLine="0"/>
              <w:rPr>
                <w:rFonts w:asciiTheme="majorHAnsi" w:hAnsiTheme="majorHAnsi" w:cstheme="majorHAnsi"/>
                <w:b/>
                <w:bCs/>
                <w:szCs w:val="24"/>
              </w:rPr>
            </w:pPr>
          </w:p>
          <w:p w14:paraId="48D4F107" w14:textId="77777777" w:rsidR="0069063F" w:rsidRDefault="0069063F" w:rsidP="00F668E4">
            <w:pPr>
              <w:spacing w:after="0" w:line="259" w:lineRule="auto"/>
              <w:ind w:left="0" w:right="115" w:firstLine="0"/>
              <w:rPr>
                <w:rFonts w:asciiTheme="majorHAnsi" w:hAnsiTheme="majorHAnsi" w:cstheme="majorHAnsi"/>
                <w:b/>
                <w:bCs/>
                <w:szCs w:val="24"/>
              </w:rPr>
            </w:pPr>
          </w:p>
          <w:p w14:paraId="3381473D" w14:textId="77777777" w:rsidR="0069063F" w:rsidRDefault="0069063F" w:rsidP="00F668E4">
            <w:pPr>
              <w:spacing w:after="0" w:line="259" w:lineRule="auto"/>
              <w:ind w:left="0" w:right="115" w:firstLine="0"/>
              <w:rPr>
                <w:rFonts w:asciiTheme="majorHAnsi" w:hAnsiTheme="majorHAnsi" w:cstheme="majorHAnsi"/>
                <w:b/>
                <w:bCs/>
                <w:szCs w:val="24"/>
              </w:rPr>
            </w:pPr>
          </w:p>
          <w:p w14:paraId="11678E24" w14:textId="77777777" w:rsidR="0069063F" w:rsidRDefault="0069063F" w:rsidP="00F668E4">
            <w:pPr>
              <w:spacing w:after="0" w:line="259" w:lineRule="auto"/>
              <w:ind w:left="0" w:right="115" w:firstLine="0"/>
              <w:rPr>
                <w:rFonts w:asciiTheme="majorHAnsi" w:hAnsiTheme="majorHAnsi" w:cstheme="majorHAnsi"/>
                <w:b/>
                <w:bCs/>
                <w:szCs w:val="24"/>
              </w:rPr>
            </w:pPr>
          </w:p>
          <w:p w14:paraId="2FD3E17C" w14:textId="77777777" w:rsidR="0069063F" w:rsidRDefault="0069063F" w:rsidP="00F668E4">
            <w:pPr>
              <w:spacing w:after="0" w:line="259" w:lineRule="auto"/>
              <w:ind w:left="0" w:right="115" w:firstLine="0"/>
              <w:rPr>
                <w:rFonts w:asciiTheme="majorHAnsi" w:hAnsiTheme="majorHAnsi" w:cstheme="majorHAnsi"/>
                <w:b/>
                <w:bCs/>
                <w:szCs w:val="24"/>
              </w:rPr>
            </w:pPr>
          </w:p>
          <w:p w14:paraId="7924581C" w14:textId="77777777" w:rsidR="0069063F" w:rsidRDefault="0069063F" w:rsidP="00F668E4">
            <w:pPr>
              <w:spacing w:after="0" w:line="259" w:lineRule="auto"/>
              <w:ind w:left="0" w:right="115" w:firstLine="0"/>
              <w:rPr>
                <w:rFonts w:asciiTheme="majorHAnsi" w:hAnsiTheme="majorHAnsi" w:cstheme="majorHAnsi"/>
                <w:b/>
                <w:bCs/>
                <w:szCs w:val="24"/>
              </w:rPr>
            </w:pPr>
          </w:p>
          <w:p w14:paraId="152E1A52" w14:textId="77777777" w:rsidR="0069063F" w:rsidRDefault="0069063F" w:rsidP="00F668E4">
            <w:pPr>
              <w:spacing w:after="0" w:line="259" w:lineRule="auto"/>
              <w:ind w:left="0" w:right="115" w:firstLine="0"/>
              <w:rPr>
                <w:rFonts w:asciiTheme="majorHAnsi" w:hAnsiTheme="majorHAnsi" w:cstheme="majorHAnsi"/>
                <w:b/>
                <w:bCs/>
                <w:szCs w:val="24"/>
              </w:rPr>
            </w:pPr>
          </w:p>
          <w:p w14:paraId="38121868" w14:textId="77777777" w:rsidR="0069063F" w:rsidRDefault="0069063F" w:rsidP="00F668E4">
            <w:pPr>
              <w:spacing w:after="0" w:line="259" w:lineRule="auto"/>
              <w:ind w:left="0" w:right="115" w:firstLine="0"/>
              <w:rPr>
                <w:rFonts w:asciiTheme="majorHAnsi" w:hAnsiTheme="majorHAnsi" w:cstheme="majorHAnsi"/>
                <w:b/>
                <w:bCs/>
                <w:szCs w:val="24"/>
              </w:rPr>
            </w:pPr>
          </w:p>
          <w:p w14:paraId="75646180" w14:textId="77777777" w:rsidR="0069063F" w:rsidRDefault="0069063F" w:rsidP="00F668E4">
            <w:pPr>
              <w:spacing w:after="0" w:line="259" w:lineRule="auto"/>
              <w:ind w:left="0" w:right="115" w:firstLine="0"/>
              <w:rPr>
                <w:rFonts w:asciiTheme="majorHAnsi" w:hAnsiTheme="majorHAnsi" w:cstheme="majorHAnsi"/>
                <w:b/>
                <w:bCs/>
                <w:szCs w:val="24"/>
              </w:rPr>
            </w:pPr>
          </w:p>
          <w:p w14:paraId="6410DF03" w14:textId="77777777" w:rsidR="0069063F" w:rsidRDefault="0069063F" w:rsidP="00F668E4">
            <w:pPr>
              <w:spacing w:after="0" w:line="259" w:lineRule="auto"/>
              <w:ind w:left="0" w:right="115" w:firstLine="0"/>
              <w:rPr>
                <w:rFonts w:asciiTheme="majorHAnsi" w:hAnsiTheme="majorHAnsi" w:cstheme="majorHAnsi"/>
                <w:b/>
                <w:bCs/>
                <w:szCs w:val="24"/>
              </w:rPr>
            </w:pPr>
          </w:p>
          <w:p w14:paraId="548A5172" w14:textId="77777777" w:rsidR="0069063F" w:rsidRDefault="0069063F" w:rsidP="00F668E4">
            <w:pPr>
              <w:spacing w:after="0" w:line="259" w:lineRule="auto"/>
              <w:ind w:left="0" w:right="115" w:firstLine="0"/>
              <w:rPr>
                <w:rFonts w:asciiTheme="majorHAnsi" w:hAnsiTheme="majorHAnsi" w:cstheme="majorHAnsi"/>
                <w:b/>
                <w:bCs/>
                <w:szCs w:val="24"/>
              </w:rPr>
            </w:pPr>
          </w:p>
          <w:p w14:paraId="52670BD7" w14:textId="77777777" w:rsidR="0069063F" w:rsidRDefault="0069063F" w:rsidP="00F668E4">
            <w:pPr>
              <w:spacing w:after="0" w:line="259" w:lineRule="auto"/>
              <w:ind w:left="0" w:right="115" w:firstLine="0"/>
              <w:rPr>
                <w:rFonts w:asciiTheme="majorHAnsi" w:hAnsiTheme="majorHAnsi" w:cstheme="majorHAnsi"/>
                <w:b/>
                <w:bCs/>
                <w:szCs w:val="24"/>
              </w:rPr>
            </w:pPr>
          </w:p>
          <w:p w14:paraId="483DE30B" w14:textId="596352A9" w:rsidR="00762115" w:rsidRDefault="00F668E4" w:rsidP="00F668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lastRenderedPageBreak/>
              <w:t>T</w:t>
            </w:r>
            <w:r w:rsidR="00601B22" w:rsidRPr="00062104">
              <w:rPr>
                <w:rFonts w:asciiTheme="majorHAnsi" w:hAnsiTheme="majorHAnsi" w:cstheme="majorHAnsi"/>
                <w:b/>
                <w:bCs/>
                <w:szCs w:val="24"/>
              </w:rPr>
              <w:t>ask Four</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Know how to use a co-production approach when promoting health and wellbeing.</w:t>
            </w:r>
          </w:p>
          <w:p w14:paraId="0C2826EE" w14:textId="77777777" w:rsidR="00062104" w:rsidRPr="00062104" w:rsidRDefault="00062104" w:rsidP="002B1217">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062104" w:rsidRPr="00601B22" w14:paraId="48DB8536" w14:textId="1569BF70" w:rsidTr="00E87D00">
              <w:tc>
                <w:tcPr>
                  <w:tcW w:w="9214" w:type="dxa"/>
                </w:tcPr>
                <w:p w14:paraId="7C68503F" w14:textId="117F9662" w:rsidR="00062104" w:rsidRPr="00601B22" w:rsidRDefault="00062104" w:rsidP="002B1217">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00E87D00">
                    <w:rPr>
                      <w:rFonts w:asciiTheme="majorHAnsi" w:hAnsiTheme="majorHAnsi" w:cstheme="majorHAnsi"/>
                      <w:szCs w:val="24"/>
                    </w:rPr>
                    <w:t xml:space="preserve">Outline the principles of co-production </w:t>
                  </w:r>
                  <w:r w:rsidR="00E81D3E">
                    <w:rPr>
                      <w:rFonts w:asciiTheme="majorHAnsi" w:hAnsiTheme="majorHAnsi" w:cstheme="majorHAnsi"/>
                      <w:szCs w:val="24"/>
                    </w:rPr>
                    <w:t>(</w:t>
                  </w:r>
                  <w:r w:rsidR="00E87D00" w:rsidRPr="000F53F1">
                    <w:rPr>
                      <w:rFonts w:asciiTheme="majorHAnsi" w:hAnsiTheme="majorHAnsi" w:cstheme="majorHAnsi"/>
                      <w:b/>
                      <w:bCs/>
                      <w:szCs w:val="24"/>
                    </w:rPr>
                    <w:t>explain a minimum of 2 of these in</w:t>
                  </w:r>
                  <w:r w:rsidR="00CE6A6A" w:rsidRPr="000F53F1">
                    <w:rPr>
                      <w:rFonts w:asciiTheme="majorHAnsi" w:hAnsiTheme="majorHAnsi" w:cstheme="majorHAnsi"/>
                      <w:b/>
                      <w:bCs/>
                      <w:szCs w:val="24"/>
                    </w:rPr>
                    <w:t>-</w:t>
                  </w:r>
                  <w:r w:rsidR="00E87D00" w:rsidRPr="000F53F1">
                    <w:rPr>
                      <w:rFonts w:asciiTheme="majorHAnsi" w:hAnsiTheme="majorHAnsi" w:cstheme="majorHAnsi"/>
                      <w:b/>
                      <w:bCs/>
                      <w:szCs w:val="24"/>
                    </w:rPr>
                    <w:t>depth</w:t>
                  </w:r>
                  <w:r w:rsidR="00CE6A6A">
                    <w:rPr>
                      <w:rFonts w:asciiTheme="majorHAnsi" w:hAnsiTheme="majorHAnsi" w:cstheme="majorHAnsi"/>
                      <w:szCs w:val="24"/>
                    </w:rPr>
                    <w:t>)</w:t>
                  </w:r>
                </w:p>
              </w:tc>
            </w:tr>
            <w:tr w:rsidR="00062104" w:rsidRPr="00601B22" w14:paraId="0CCA62AA" w14:textId="371E8CBC" w:rsidTr="00E87D00">
              <w:tc>
                <w:tcPr>
                  <w:tcW w:w="9214" w:type="dxa"/>
                </w:tcPr>
                <w:p w14:paraId="115E9A9F"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Co-production was first introduced in the UK under The Care Act 2014 and sits as one of the main principles under the Social Services and Wellbeing (Wales) Act 2014. Co-production is defined as “a way of working whereby citizens and decision makers, or people who use services, family, carers and service providers work together to create a decision or service which works for them all” (Social Care Institute </w:t>
                  </w:r>
                  <w:proofErr w:type="gramStart"/>
                  <w:r w:rsidRPr="004B22DE">
                    <w:rPr>
                      <w:rFonts w:ascii="Aptos" w:hAnsi="Aptos"/>
                      <w:color w:val="auto"/>
                      <w:szCs w:val="24"/>
                    </w:rPr>
                    <w:t>For</w:t>
                  </w:r>
                  <w:proofErr w:type="gramEnd"/>
                  <w:r w:rsidRPr="004B22DE">
                    <w:rPr>
                      <w:rFonts w:ascii="Aptos" w:hAnsi="Aptos"/>
                      <w:color w:val="auto"/>
                      <w:szCs w:val="24"/>
                    </w:rPr>
                    <w:t xml:space="preserve"> Excellence, 2022). </w:t>
                  </w:r>
                </w:p>
                <w:p w14:paraId="755E75A3"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Co-production involves healthcare professionals working in equal partnership with individuals and families to help improve services they receive as part of their care.  By a sharing of power and working collaboratively, patients are empowered to make informed decisions about their own health thereby achieving the best outcomes. Co-production also encourages individuals to become involved in the co-design, co-delivery, co-decision making and co-evaluation of services (Social Care Institute for Excellence, 2022).</w:t>
                  </w:r>
                </w:p>
                <w:p w14:paraId="43D3F10A"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In order for co-production to be effective, the Social Institute of Care Excellence (2022) identify four key principles of equality, diversity, accessibility and reciprocity to ensure inclusivity and authenticity for co-production to be successful.</w:t>
                  </w:r>
                </w:p>
                <w:p w14:paraId="34D2EC2B"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Successful co-production requires equality, with an emphasis that everybody is equal.  By ensuring equality, individuals have a range of ideas and opinions that can be shared.  Different people have different sets of skills and a range of knowledge and experience. By ensuring equality, respect and trust is obtained as everybody is included to share their views and opinions for any shared decisions. </w:t>
                  </w:r>
                </w:p>
                <w:p w14:paraId="1ABAF7CD"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It is important to ensure that there are no power dynamics, especially if professionals are involved who may take a domineering approach. In this situation, individuals need to be reminded the importance of equality for co-production to succeed so that the outcomes are fair.  </w:t>
                  </w:r>
                  <w:proofErr w:type="spellStart"/>
                  <w:r w:rsidRPr="004B22DE">
                    <w:rPr>
                      <w:rFonts w:ascii="Aptos" w:hAnsi="Aptos"/>
                      <w:color w:val="auto"/>
                      <w:szCs w:val="24"/>
                    </w:rPr>
                    <w:t>Cornips</w:t>
                  </w:r>
                  <w:proofErr w:type="spellEnd"/>
                  <w:r w:rsidRPr="004B22DE">
                    <w:rPr>
                      <w:rFonts w:ascii="Aptos" w:hAnsi="Aptos"/>
                      <w:color w:val="auto"/>
                      <w:szCs w:val="24"/>
                    </w:rPr>
                    <w:t xml:space="preserve"> et al (2023) found that participants with a higher education tended to dominate the co-production processes and found that participants need to have the resources in order to participate successfully.</w:t>
                  </w:r>
                </w:p>
                <w:p w14:paraId="11C14692" w14:textId="312C9447" w:rsid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Alongside equality, diversity and inclusion is also necessary.  Successful co-production requires individuals from a range of backgrounds, different ages, ethnicity, social classes and different experiences.  The Social Care Institute for Excellence (2022) find that diversity and inclusion is difficult to achieve as there are many societal groups that are under-represented as they are less likely to become involved due to, for example, language barriers, cultural differences or disabilities.  </w:t>
                  </w:r>
                </w:p>
                <w:p w14:paraId="16413B0B" w14:textId="7722ECD2" w:rsidR="007A5046" w:rsidRPr="004B22DE" w:rsidRDefault="007A5046" w:rsidP="004B22DE">
                  <w:pPr>
                    <w:spacing w:after="160" w:line="278" w:lineRule="auto"/>
                    <w:ind w:left="0" w:firstLine="0"/>
                    <w:jc w:val="both"/>
                    <w:rPr>
                      <w:rFonts w:ascii="Aptos" w:hAnsi="Aptos"/>
                      <w:color w:val="auto"/>
                      <w:szCs w:val="24"/>
                    </w:rPr>
                  </w:pPr>
                  <w:r>
                    <w:rPr>
                      <w:rFonts w:ascii="Aptos" w:hAnsi="Aptos"/>
                      <w:color w:val="auto"/>
                      <w:szCs w:val="24"/>
                    </w:rPr>
                    <w:t xml:space="preserve">Swansea Bay University Health Board (2025) has just released a draft of the new We All Belong: Our Strategic Equality Plan 2025-2028 which encompasses the importance of ensuring equality in any shared decision making.  The Plan was developed following feedback </w:t>
                  </w:r>
                  <w:r>
                    <w:rPr>
                      <w:rFonts w:ascii="Aptos" w:hAnsi="Aptos"/>
                      <w:color w:val="auto"/>
                      <w:szCs w:val="24"/>
                    </w:rPr>
                    <w:lastRenderedPageBreak/>
                    <w:t xml:space="preserve">from patients, families and staff who informed the health board about the changes that they would like to see made to services. </w:t>
                  </w:r>
                </w:p>
                <w:p w14:paraId="2A89823B" w14:textId="51351851" w:rsidR="004B22DE" w:rsidRPr="004B22DE" w:rsidRDefault="007A5046" w:rsidP="004B22DE">
                  <w:pPr>
                    <w:spacing w:after="160" w:line="278" w:lineRule="auto"/>
                    <w:ind w:left="0" w:firstLine="0"/>
                    <w:jc w:val="both"/>
                    <w:rPr>
                      <w:rFonts w:ascii="Aptos" w:hAnsi="Aptos"/>
                      <w:color w:val="auto"/>
                      <w:szCs w:val="24"/>
                    </w:rPr>
                  </w:pPr>
                  <w:r>
                    <w:rPr>
                      <w:rFonts w:ascii="Aptos" w:hAnsi="Aptos"/>
                      <w:color w:val="auto"/>
                      <w:szCs w:val="24"/>
                    </w:rPr>
                    <w:t>To ensure equality, c</w:t>
                  </w:r>
                  <w:r w:rsidR="004B22DE" w:rsidRPr="004B22DE">
                    <w:rPr>
                      <w:rFonts w:ascii="Aptos" w:hAnsi="Aptos"/>
                      <w:color w:val="auto"/>
                      <w:szCs w:val="24"/>
                    </w:rPr>
                    <w:t xml:space="preserve">o-production also needs to be accessible.  The Social Care Institute of Excellence (2022) state that accessibility is an important factor as it allows all participants to have the same opportunities so they can take an active part equally.  Resources therefore need to be tailored to meet needs.  For example, information and resources need to be formatted appropriately to ensure understanding as language can be difficult if jargon is used.  </w:t>
                  </w:r>
                </w:p>
                <w:p w14:paraId="7855DAEF"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Participants also need to understand co-production and what is expected from them addressing any issues around confidentiality.  Shared information would allow participants to take part appropriately to ensure successful decision making.  It would also need to be designed correctly so as to not reinforce existing inequalities, for example, not everybody is computer literate. </w:t>
                  </w:r>
                </w:p>
                <w:p w14:paraId="10BD0A4C"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Holland-Hart et al (2018) found that barriers included a lack of awareness of the term co-production with limited communication between clinicians and citizens.  Time constraints were also another barrier as participants were unaware of the time co-production could take to develop.  Successful co-production requires time, good participation and funding to achieve a good outcome.</w:t>
                  </w:r>
                </w:p>
                <w:p w14:paraId="3F40C8AC"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 xml:space="preserve">The Social Institute of Care Excellence (2022) also claim that reciprocity is another principle as it allows people to receive something in return for their efforts thereby ensuring that participants feel valued.   Through empowerment, participants may want to take more of an active role in co-designing services and may feel disengaged without any constructive feedback for their efforts. </w:t>
                  </w:r>
                </w:p>
                <w:p w14:paraId="335F37C4" w14:textId="77777777" w:rsidR="004B22DE" w:rsidRPr="004B22DE" w:rsidRDefault="004B22DE" w:rsidP="004B22DE">
                  <w:pPr>
                    <w:spacing w:after="160" w:line="278" w:lineRule="auto"/>
                    <w:ind w:left="0" w:firstLine="0"/>
                    <w:jc w:val="both"/>
                    <w:rPr>
                      <w:rFonts w:ascii="Aptos" w:hAnsi="Aptos"/>
                      <w:color w:val="auto"/>
                      <w:szCs w:val="24"/>
                    </w:rPr>
                  </w:pPr>
                  <w:r w:rsidRPr="004B22DE">
                    <w:rPr>
                      <w:rFonts w:ascii="Aptos" w:hAnsi="Aptos"/>
                      <w:color w:val="auto"/>
                      <w:szCs w:val="24"/>
                    </w:rPr>
                    <w:t>In conclusion, the principles behind co-production are important to ensure that it runs successfully.  However, there are many difficulties that underline that success through barriers with often not enough participants from various backgrounds involved to ensure a more inclusive approach to help shape and design services.</w:t>
                  </w:r>
                </w:p>
                <w:p w14:paraId="66EB2667" w14:textId="77777777" w:rsidR="004B22DE" w:rsidRPr="004B22DE" w:rsidRDefault="004B22DE" w:rsidP="004B22DE">
                  <w:pPr>
                    <w:spacing w:after="160" w:line="278" w:lineRule="auto"/>
                    <w:ind w:left="0" w:firstLine="0"/>
                    <w:jc w:val="both"/>
                    <w:rPr>
                      <w:rFonts w:ascii="Aptos" w:hAnsi="Aptos"/>
                      <w:color w:val="auto"/>
                      <w:szCs w:val="24"/>
                    </w:rPr>
                  </w:pPr>
                </w:p>
                <w:p w14:paraId="662D3334" w14:textId="77777777" w:rsidR="004B22DE" w:rsidRPr="004B22DE" w:rsidRDefault="004B22DE" w:rsidP="004B22DE">
                  <w:pPr>
                    <w:spacing w:after="160" w:line="278" w:lineRule="auto"/>
                    <w:ind w:left="0" w:firstLine="0"/>
                    <w:jc w:val="both"/>
                    <w:rPr>
                      <w:rFonts w:ascii="Aptos" w:hAnsi="Aptos"/>
                      <w:color w:val="auto"/>
                      <w:szCs w:val="24"/>
                    </w:rPr>
                  </w:pPr>
                </w:p>
                <w:p w14:paraId="2A3DD2EA" w14:textId="77777777" w:rsidR="004B22DE" w:rsidRPr="004B22DE" w:rsidRDefault="004B22DE" w:rsidP="004B22DE">
                  <w:pPr>
                    <w:spacing w:after="160" w:line="278" w:lineRule="auto"/>
                    <w:ind w:left="0" w:firstLine="0"/>
                    <w:jc w:val="both"/>
                    <w:rPr>
                      <w:rFonts w:ascii="Aptos" w:hAnsi="Aptos"/>
                      <w:color w:val="auto"/>
                      <w:szCs w:val="24"/>
                    </w:rPr>
                  </w:pPr>
                </w:p>
                <w:p w14:paraId="6118F7CA" w14:textId="77777777" w:rsidR="00062104" w:rsidRPr="00601B22" w:rsidRDefault="00062104" w:rsidP="002B1217">
                  <w:pPr>
                    <w:spacing w:after="0" w:line="259" w:lineRule="auto"/>
                    <w:ind w:left="0" w:right="115" w:firstLine="0"/>
                    <w:rPr>
                      <w:rFonts w:asciiTheme="majorHAnsi" w:hAnsiTheme="majorHAnsi" w:cstheme="majorHAnsi"/>
                      <w:szCs w:val="24"/>
                    </w:rPr>
                  </w:pPr>
                </w:p>
                <w:p w14:paraId="57176E4E" w14:textId="77777777" w:rsidR="00062104" w:rsidRPr="00601B22" w:rsidRDefault="00062104" w:rsidP="002B1217">
                  <w:pPr>
                    <w:spacing w:after="0" w:line="259" w:lineRule="auto"/>
                    <w:ind w:left="0" w:right="115" w:firstLine="0"/>
                    <w:rPr>
                      <w:rFonts w:asciiTheme="majorHAnsi" w:hAnsiTheme="majorHAnsi" w:cstheme="majorHAnsi"/>
                      <w:szCs w:val="24"/>
                    </w:rPr>
                  </w:pPr>
                </w:p>
                <w:p w14:paraId="5914B900" w14:textId="77777777" w:rsidR="00062104" w:rsidRDefault="00062104" w:rsidP="002B1217">
                  <w:pPr>
                    <w:spacing w:after="0" w:line="259" w:lineRule="auto"/>
                    <w:ind w:left="0" w:right="115" w:firstLine="0"/>
                    <w:rPr>
                      <w:rFonts w:asciiTheme="majorHAnsi" w:hAnsiTheme="majorHAnsi" w:cstheme="majorHAnsi"/>
                      <w:szCs w:val="24"/>
                    </w:rPr>
                  </w:pPr>
                </w:p>
                <w:p w14:paraId="58D33D03" w14:textId="77777777" w:rsidR="000E5CB0" w:rsidRDefault="000E5CB0" w:rsidP="002B1217">
                  <w:pPr>
                    <w:spacing w:after="0" w:line="259" w:lineRule="auto"/>
                    <w:ind w:left="0" w:right="115" w:firstLine="0"/>
                    <w:rPr>
                      <w:rFonts w:asciiTheme="majorHAnsi" w:hAnsiTheme="majorHAnsi" w:cstheme="majorHAnsi"/>
                      <w:szCs w:val="24"/>
                    </w:rPr>
                  </w:pPr>
                </w:p>
                <w:p w14:paraId="7247D0C4" w14:textId="77777777" w:rsidR="000E5CB0" w:rsidRPr="00601B22" w:rsidRDefault="000E5CB0" w:rsidP="002B1217">
                  <w:pPr>
                    <w:spacing w:after="0" w:line="259" w:lineRule="auto"/>
                    <w:ind w:left="0" w:right="115" w:firstLine="0"/>
                    <w:rPr>
                      <w:rFonts w:asciiTheme="majorHAnsi" w:hAnsiTheme="majorHAnsi" w:cstheme="majorHAnsi"/>
                      <w:szCs w:val="24"/>
                    </w:rPr>
                  </w:pPr>
                </w:p>
                <w:p w14:paraId="1B24A893" w14:textId="77777777" w:rsidR="00062104" w:rsidRPr="00601B22" w:rsidRDefault="00062104" w:rsidP="002B1217">
                  <w:pPr>
                    <w:spacing w:after="0" w:line="259" w:lineRule="auto"/>
                    <w:ind w:left="0" w:right="115" w:firstLine="0"/>
                    <w:rPr>
                      <w:rFonts w:asciiTheme="majorHAnsi" w:hAnsiTheme="majorHAnsi" w:cstheme="majorHAnsi"/>
                      <w:szCs w:val="24"/>
                    </w:rPr>
                  </w:pPr>
                </w:p>
                <w:p w14:paraId="28923A11" w14:textId="77777777" w:rsidR="00062104" w:rsidRPr="00601B22" w:rsidRDefault="00062104" w:rsidP="002B1217">
                  <w:pPr>
                    <w:spacing w:after="0" w:line="259" w:lineRule="auto"/>
                    <w:ind w:left="0" w:right="115"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10330"/>
            </w:tblGrid>
            <w:tr w:rsidR="004B22DE" w:rsidRPr="00601B22" w14:paraId="4F2A0E82" w14:textId="77777777" w:rsidTr="00F42984">
              <w:trPr>
                <w:trHeight w:val="1561"/>
              </w:trPr>
              <w:tc>
                <w:tcPr>
                  <w:tcW w:w="10330" w:type="dxa"/>
                  <w:tcBorders>
                    <w:top w:val="nil"/>
                    <w:left w:val="nil"/>
                    <w:bottom w:val="nil"/>
                    <w:right w:val="nil"/>
                  </w:tcBorders>
                  <w:vAlign w:val="center"/>
                </w:tcPr>
                <w:p w14:paraId="33853D40" w14:textId="77777777" w:rsidR="004B22DE" w:rsidRPr="00D800D8" w:rsidRDefault="004B22DE" w:rsidP="004B22DE">
                  <w:pPr>
                    <w:spacing w:after="0" w:line="259" w:lineRule="auto"/>
                    <w:ind w:left="240" w:right="115" w:hanging="240"/>
                    <w:rPr>
                      <w:rFonts w:asciiTheme="majorHAnsi" w:hAnsiTheme="majorHAnsi" w:cstheme="majorHAnsi"/>
                      <w:b/>
                      <w:bCs/>
                      <w:szCs w:val="24"/>
                    </w:rPr>
                  </w:pPr>
                </w:p>
                <w:p w14:paraId="198B9EF6" w14:textId="77777777" w:rsidR="004B22DE" w:rsidRPr="00D800D8" w:rsidRDefault="004B22DE" w:rsidP="004B22DE">
                  <w:pPr>
                    <w:spacing w:after="0" w:line="259" w:lineRule="auto"/>
                    <w:ind w:left="240" w:right="115" w:hanging="240"/>
                    <w:rPr>
                      <w:rFonts w:asciiTheme="majorHAnsi" w:hAnsiTheme="majorHAnsi" w:cstheme="majorHAnsi"/>
                      <w:b/>
                      <w:bCs/>
                      <w:szCs w:val="24"/>
                    </w:rPr>
                  </w:pPr>
                  <w:r w:rsidRPr="00D800D8">
                    <w:rPr>
                      <w:rFonts w:asciiTheme="majorHAnsi" w:hAnsiTheme="majorHAnsi" w:cstheme="majorHAnsi"/>
                      <w:b/>
                      <w:bCs/>
                      <w:szCs w:val="24"/>
                    </w:rPr>
                    <w:t xml:space="preserve">Task Five: Understand the role of public health in promoting health and </w:t>
                  </w:r>
                  <w:proofErr w:type="gramStart"/>
                  <w:r w:rsidRPr="00D800D8">
                    <w:rPr>
                      <w:rFonts w:asciiTheme="majorHAnsi" w:hAnsiTheme="majorHAnsi" w:cstheme="majorHAnsi"/>
                      <w:b/>
                      <w:bCs/>
                      <w:szCs w:val="24"/>
                    </w:rPr>
                    <w:t>wellbeing..</w:t>
                  </w:r>
                  <w:proofErr w:type="gramEnd"/>
                </w:p>
                <w:p w14:paraId="1C5E0DA0" w14:textId="77777777" w:rsidR="004B22DE" w:rsidRPr="00D800D8" w:rsidRDefault="004B22DE" w:rsidP="004B22DE">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4B22DE" w:rsidRPr="00D800D8" w14:paraId="519E933A" w14:textId="77777777" w:rsidTr="00F42984">
                    <w:tc>
                      <w:tcPr>
                        <w:tcW w:w="9214" w:type="dxa"/>
                      </w:tcPr>
                      <w:p w14:paraId="5F3D66D3" w14:textId="77777777" w:rsidR="004B22DE" w:rsidRPr="00D800D8" w:rsidRDefault="004B22DE" w:rsidP="004B22DE">
                        <w:pPr>
                          <w:spacing w:after="0" w:line="259" w:lineRule="auto"/>
                          <w:ind w:left="0" w:right="115" w:firstLine="0"/>
                          <w:rPr>
                            <w:rFonts w:asciiTheme="majorHAnsi" w:hAnsiTheme="majorHAnsi" w:cstheme="majorHAnsi"/>
                            <w:szCs w:val="24"/>
                          </w:rPr>
                        </w:pPr>
                        <w:r w:rsidRPr="00D800D8">
                          <w:rPr>
                            <w:rFonts w:asciiTheme="majorHAnsi" w:hAnsiTheme="majorHAnsi" w:cstheme="majorHAnsi"/>
                            <w:szCs w:val="24"/>
                          </w:rPr>
                          <w:t>5.1 Describe the 3 domains of contemporary public health practice:</w:t>
                        </w:r>
                      </w:p>
                    </w:tc>
                  </w:tr>
                  <w:tr w:rsidR="004B22DE" w:rsidRPr="00D800D8" w14:paraId="3D0D1ED5" w14:textId="77777777" w:rsidTr="00F42984">
                    <w:tc>
                      <w:tcPr>
                        <w:tcW w:w="9214" w:type="dxa"/>
                      </w:tcPr>
                      <w:p w14:paraId="343798BB"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The overall aim of public health is to improve the health of the population by preventing disease and reducing health inequalities.  The Faculty of Public Health (2025) define public health as “the science and art of preventing disease, prolonging life and promoting health through the organised efforts of society”.  They recognise three longstanding domains of public health practice which are health protection, health improvement and health services (Faculty of Public Health, 2025). </w:t>
                        </w:r>
                      </w:p>
                      <w:p w14:paraId="53EB0AE2"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Health protection aims to protect the health of the population from major incidents and the spread of infectious diseases and ensures that measures are in place to deal with major emergencies.</w:t>
                        </w:r>
                      </w:p>
                      <w:p w14:paraId="7B0D6ED8"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It allows public health practitioners to help prevent the spread of disease by investigating outbreaks and putting control measures in place.  Such protection measures were used during COVID-19 where the public were encouraged to be vaccinated and to wear face masks in public to help control the spread of the disease.</w:t>
                        </w:r>
                      </w:p>
                      <w:p w14:paraId="4D624024"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Health protection also covers environmental health where the population is protected from pollution and contaminated food and water supplies.   For example, they ensure that drinking water is safe and sanitation clean to prevent any waterborne illnesses.  Health protection also covers food safety and pest control.</w:t>
                        </w:r>
                      </w:p>
                      <w:p w14:paraId="4D437FAA"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Chemical threats are also covered by health protection such as asbestos in old buildings that can lead to lung disease and exposure to industrial chemicals such as carbon monoxide exposure.</w:t>
                        </w:r>
                      </w:p>
                      <w:p w14:paraId="31858DC0"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Health protection also covers the importance of co-ordinating responses to public health emergencies and disasters.  Swansea Bay University Health Board, under the Civil Contingencies Act (2024) and the NHS England Emergency, Preparedness, Resilience and Response (EPRR) Framework has arrangements in place to respond to major incidents to ensure the safety of the patients. During COVID-19, the nutrition and dietetics contingency plan involved staff being re-deployed to field hospitals to help care for patients diagnosed with COVID-19. </w:t>
                        </w:r>
                      </w:p>
                      <w:p w14:paraId="6B9BD54A"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Health improvement focuses on reducing health inequalities by working with communities to improve their health and wellbeing through interventions such as health promotion campaigns.  Health improvement is key to public health nutrition where it is used to help improve nutrition and physical activity in the community.  Public health dietitians are involved in delivering the </w:t>
                        </w:r>
                        <w:proofErr w:type="spellStart"/>
                        <w:r w:rsidRPr="00D800D8">
                          <w:rPr>
                            <w:rFonts w:ascii="Aptos" w:hAnsi="Aptos"/>
                            <w:color w:val="auto"/>
                            <w:szCs w:val="24"/>
                          </w:rPr>
                          <w:t>Agored</w:t>
                        </w:r>
                        <w:proofErr w:type="spellEnd"/>
                        <w:r w:rsidRPr="00D800D8">
                          <w:rPr>
                            <w:rFonts w:ascii="Aptos" w:hAnsi="Aptos"/>
                            <w:color w:val="auto"/>
                            <w:szCs w:val="24"/>
                          </w:rPr>
                          <w:t xml:space="preserve"> Cymru Community Food and Nutrition Skills for community workers who can cascade the messages to community members.  They also offer training by Dietetic </w:t>
                        </w:r>
                        <w:r w:rsidRPr="00D800D8">
                          <w:rPr>
                            <w:rFonts w:ascii="Aptos" w:hAnsi="Aptos"/>
                            <w:color w:val="auto"/>
                            <w:szCs w:val="24"/>
                          </w:rPr>
                          <w:lastRenderedPageBreak/>
                          <w:t xml:space="preserve">Assistant Practitioners on Foodwise </w:t>
                        </w:r>
                        <w:proofErr w:type="gramStart"/>
                        <w:r w:rsidRPr="00D800D8">
                          <w:rPr>
                            <w:rFonts w:ascii="Aptos" w:hAnsi="Aptos"/>
                            <w:color w:val="auto"/>
                            <w:szCs w:val="24"/>
                          </w:rPr>
                          <w:t>For</w:t>
                        </w:r>
                        <w:proofErr w:type="gramEnd"/>
                        <w:r w:rsidRPr="00D800D8">
                          <w:rPr>
                            <w:rFonts w:ascii="Aptos" w:hAnsi="Aptos"/>
                            <w:color w:val="auto"/>
                            <w:szCs w:val="24"/>
                          </w:rPr>
                          <w:t xml:space="preserve"> Life, a community based initiative that empowers individuals to be able to maintain a healthy weight.</w:t>
                        </w:r>
                      </w:p>
                      <w:p w14:paraId="54527037"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Health improvement also sees national campaigns such as the 5 a day campaign which encourages the population to eat 5 fruit and vegetables a day to promote healthy eating and reduce risk of disease.  It also sees practitioners being involved in policy changes such as banning sugary foods in schools. </w:t>
                        </w:r>
                      </w:p>
                      <w:p w14:paraId="79A7E364"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The third domain is the importance of healthcare which involve improving the effectiveness of healthcare systems.  Health services need to be accessible and evaluated where areas for improvement are identified.  Patients are entitled to good quality care that is evidence-based.  Examples of this domain include safe discharges from hospital and the development of evidence-based guidelines for treatments. In Nutrition and Dietetics, patients are reviewed in their own homes following discharges from hospitals. The British Dietetic Association have specialist sub-groups made up of specialist dietitians who use evidence based practice to write guidance for </w:t>
                        </w:r>
                        <w:proofErr w:type="spellStart"/>
                        <w:r w:rsidRPr="00D800D8">
                          <w:rPr>
                            <w:rFonts w:ascii="Aptos" w:hAnsi="Aptos"/>
                            <w:color w:val="auto"/>
                            <w:szCs w:val="24"/>
                          </w:rPr>
                          <w:t>dietetians</w:t>
                        </w:r>
                        <w:proofErr w:type="spellEnd"/>
                        <w:r w:rsidRPr="00D800D8">
                          <w:rPr>
                            <w:rFonts w:ascii="Aptos" w:hAnsi="Aptos"/>
                            <w:color w:val="auto"/>
                            <w:szCs w:val="24"/>
                          </w:rPr>
                          <w:t xml:space="preserve"> across the UK. </w:t>
                        </w:r>
                      </w:p>
                      <w:p w14:paraId="38CB655F"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 xml:space="preserve">The success of all three domains </w:t>
                        </w:r>
                        <w:proofErr w:type="gramStart"/>
                        <w:r w:rsidRPr="00D800D8">
                          <w:rPr>
                            <w:rFonts w:ascii="Aptos" w:hAnsi="Aptos"/>
                            <w:color w:val="auto"/>
                            <w:szCs w:val="24"/>
                          </w:rPr>
                          <w:t>involve</w:t>
                        </w:r>
                        <w:proofErr w:type="gramEnd"/>
                        <w:r w:rsidRPr="00D800D8">
                          <w:rPr>
                            <w:rFonts w:ascii="Aptos" w:hAnsi="Aptos"/>
                            <w:color w:val="auto"/>
                            <w:szCs w:val="24"/>
                          </w:rPr>
                          <w:t xml:space="preserve"> collaborative working between public health practitioners, health boards and community members.  To ensure the effectiveness of the three domains of public health, practitioners will need to have skills to be able to measure the effectiveness of the interventions. They need to have good leadership skills with good communication to build relationships and be aware of the social determinants of health with health inequalities in order to improve public health in society. </w:t>
                        </w:r>
                      </w:p>
                      <w:p w14:paraId="6DFCB2AB" w14:textId="77777777" w:rsidR="00D709AC" w:rsidRPr="00D800D8" w:rsidRDefault="00D709AC" w:rsidP="00D709AC">
                        <w:pPr>
                          <w:spacing w:after="160" w:line="278" w:lineRule="auto"/>
                          <w:ind w:left="0" w:firstLine="0"/>
                          <w:jc w:val="both"/>
                          <w:rPr>
                            <w:rFonts w:ascii="Aptos" w:hAnsi="Aptos"/>
                            <w:color w:val="auto"/>
                            <w:szCs w:val="24"/>
                          </w:rPr>
                        </w:pPr>
                        <w:r w:rsidRPr="00D800D8">
                          <w:rPr>
                            <w:rFonts w:ascii="Aptos" w:hAnsi="Aptos"/>
                            <w:color w:val="auto"/>
                            <w:szCs w:val="24"/>
                          </w:rPr>
                          <w:t>In conclusion, the three domains of public health are important to keep the population safe with collaborative working an essential aspect to ensure that the systems in place are effective.</w:t>
                        </w:r>
                      </w:p>
                      <w:p w14:paraId="4B830B76" w14:textId="70C8B822" w:rsidR="004B22DE" w:rsidRPr="00D800D8" w:rsidRDefault="004B22DE" w:rsidP="004B22DE">
                        <w:pPr>
                          <w:spacing w:after="0" w:line="259" w:lineRule="auto"/>
                          <w:ind w:left="0" w:right="115" w:firstLine="0"/>
                          <w:rPr>
                            <w:rFonts w:asciiTheme="majorHAnsi" w:hAnsiTheme="majorHAnsi" w:cstheme="majorHAnsi"/>
                            <w:szCs w:val="24"/>
                          </w:rPr>
                        </w:pPr>
                      </w:p>
                      <w:p w14:paraId="5F4CE71C" w14:textId="0A5DCEB8" w:rsidR="00D709AC" w:rsidRPr="00D800D8" w:rsidRDefault="00D709AC" w:rsidP="004B22DE">
                        <w:pPr>
                          <w:spacing w:after="0" w:line="259" w:lineRule="auto"/>
                          <w:ind w:left="0" w:right="115" w:firstLine="0"/>
                          <w:rPr>
                            <w:rFonts w:asciiTheme="majorHAnsi" w:hAnsiTheme="majorHAnsi" w:cstheme="majorHAnsi"/>
                            <w:szCs w:val="24"/>
                          </w:rPr>
                        </w:pPr>
                      </w:p>
                      <w:p w14:paraId="4BD02469" w14:textId="0B11B97F" w:rsidR="00D709AC" w:rsidRPr="00D800D8" w:rsidRDefault="00D709AC" w:rsidP="004B22DE">
                        <w:pPr>
                          <w:spacing w:after="0" w:line="259" w:lineRule="auto"/>
                          <w:ind w:left="0" w:right="115" w:firstLine="0"/>
                          <w:rPr>
                            <w:rFonts w:asciiTheme="majorHAnsi" w:hAnsiTheme="majorHAnsi" w:cstheme="majorHAnsi"/>
                            <w:szCs w:val="24"/>
                          </w:rPr>
                        </w:pPr>
                      </w:p>
                      <w:p w14:paraId="4205FF73" w14:textId="7B25AF19" w:rsidR="00D709AC" w:rsidRPr="00D800D8" w:rsidRDefault="00D709AC" w:rsidP="004B22DE">
                        <w:pPr>
                          <w:spacing w:after="0" w:line="259" w:lineRule="auto"/>
                          <w:ind w:left="0" w:right="115" w:firstLine="0"/>
                          <w:rPr>
                            <w:rFonts w:asciiTheme="majorHAnsi" w:hAnsiTheme="majorHAnsi" w:cstheme="majorHAnsi"/>
                            <w:szCs w:val="24"/>
                          </w:rPr>
                        </w:pPr>
                      </w:p>
                      <w:p w14:paraId="6FBB477E" w14:textId="7EB29EE3" w:rsidR="00D709AC" w:rsidRPr="00D800D8" w:rsidRDefault="00D709AC" w:rsidP="004B22DE">
                        <w:pPr>
                          <w:spacing w:after="0" w:line="259" w:lineRule="auto"/>
                          <w:ind w:left="0" w:right="115" w:firstLine="0"/>
                          <w:rPr>
                            <w:rFonts w:asciiTheme="majorHAnsi" w:hAnsiTheme="majorHAnsi" w:cstheme="majorHAnsi"/>
                            <w:szCs w:val="24"/>
                          </w:rPr>
                        </w:pPr>
                      </w:p>
                      <w:p w14:paraId="25865CE2" w14:textId="77777777" w:rsidR="00D709AC" w:rsidRPr="00D800D8" w:rsidRDefault="00D709AC" w:rsidP="004B22DE">
                        <w:pPr>
                          <w:spacing w:after="0" w:line="259" w:lineRule="auto"/>
                          <w:ind w:left="0" w:right="115" w:firstLine="0"/>
                          <w:rPr>
                            <w:rFonts w:asciiTheme="majorHAnsi" w:hAnsiTheme="majorHAnsi" w:cstheme="majorHAnsi"/>
                            <w:szCs w:val="24"/>
                          </w:rPr>
                        </w:pPr>
                      </w:p>
                      <w:p w14:paraId="7D5B7D36"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39DF8E88"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506BD272"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53752D7D"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515EF897"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43738D13" w14:textId="651734D8" w:rsidR="004B22DE" w:rsidRDefault="004B22DE" w:rsidP="004B22DE">
                        <w:pPr>
                          <w:spacing w:after="0" w:line="259" w:lineRule="auto"/>
                          <w:ind w:left="0" w:right="115" w:firstLine="0"/>
                          <w:rPr>
                            <w:rFonts w:asciiTheme="majorHAnsi" w:hAnsiTheme="majorHAnsi" w:cstheme="majorHAnsi"/>
                            <w:szCs w:val="24"/>
                          </w:rPr>
                        </w:pPr>
                      </w:p>
                      <w:p w14:paraId="465331D0" w14:textId="77777777" w:rsidR="006C003A" w:rsidRPr="00D800D8" w:rsidRDefault="006C003A" w:rsidP="004B22DE">
                        <w:pPr>
                          <w:spacing w:after="0" w:line="259" w:lineRule="auto"/>
                          <w:ind w:left="0" w:right="115" w:firstLine="0"/>
                          <w:rPr>
                            <w:rFonts w:asciiTheme="majorHAnsi" w:hAnsiTheme="majorHAnsi" w:cstheme="majorHAnsi"/>
                            <w:szCs w:val="24"/>
                          </w:rPr>
                        </w:pPr>
                      </w:p>
                      <w:p w14:paraId="42F7F209" w14:textId="77777777" w:rsidR="004B22DE" w:rsidRPr="00D800D8" w:rsidRDefault="004B22DE" w:rsidP="004B22DE">
                        <w:pPr>
                          <w:spacing w:after="0" w:line="259" w:lineRule="auto"/>
                          <w:ind w:left="0" w:right="115" w:firstLine="0"/>
                          <w:rPr>
                            <w:rFonts w:asciiTheme="majorHAnsi" w:hAnsiTheme="majorHAnsi" w:cstheme="majorHAnsi"/>
                            <w:szCs w:val="24"/>
                          </w:rPr>
                        </w:pPr>
                      </w:p>
                    </w:tc>
                  </w:tr>
                </w:tbl>
                <w:p w14:paraId="3B64A9DF" w14:textId="77777777" w:rsidR="004B22DE" w:rsidRPr="00D800D8" w:rsidRDefault="004B22DE" w:rsidP="004B22DE">
                  <w:pPr>
                    <w:spacing w:after="0" w:line="259" w:lineRule="auto"/>
                    <w:ind w:left="240" w:right="115" w:hanging="240"/>
                    <w:rPr>
                      <w:rFonts w:asciiTheme="majorHAnsi" w:hAnsiTheme="majorHAnsi" w:cstheme="majorHAnsi"/>
                      <w:szCs w:val="24"/>
                    </w:rPr>
                  </w:pPr>
                </w:p>
                <w:tbl>
                  <w:tblPr>
                    <w:tblStyle w:val="TableGrid0"/>
                    <w:tblW w:w="9214" w:type="dxa"/>
                    <w:tblLook w:val="04A0" w:firstRow="1" w:lastRow="0" w:firstColumn="1" w:lastColumn="0" w:noHBand="0" w:noVBand="1"/>
                  </w:tblPr>
                  <w:tblGrid>
                    <w:gridCol w:w="9214"/>
                  </w:tblGrid>
                  <w:tr w:rsidR="004B22DE" w:rsidRPr="00D800D8" w14:paraId="601BE1CF" w14:textId="77777777" w:rsidTr="00F42984">
                    <w:tc>
                      <w:tcPr>
                        <w:tcW w:w="9214" w:type="dxa"/>
                      </w:tcPr>
                      <w:p w14:paraId="1FD59759" w14:textId="77777777" w:rsidR="004B22DE" w:rsidRPr="00D800D8" w:rsidRDefault="004B22DE" w:rsidP="004B22DE">
                        <w:pPr>
                          <w:spacing w:after="0" w:line="259" w:lineRule="auto"/>
                          <w:ind w:left="0" w:right="115" w:firstLine="0"/>
                          <w:rPr>
                            <w:rFonts w:asciiTheme="majorHAnsi" w:hAnsiTheme="majorHAnsi" w:cstheme="majorHAnsi"/>
                            <w:szCs w:val="24"/>
                          </w:rPr>
                        </w:pPr>
                        <w:r w:rsidRPr="00D800D8">
                          <w:rPr>
                            <w:rFonts w:asciiTheme="majorHAnsi" w:hAnsiTheme="majorHAnsi" w:cstheme="majorHAnsi"/>
                            <w:szCs w:val="24"/>
                          </w:rPr>
                          <w:lastRenderedPageBreak/>
                          <w:t>5.2 Select one piece of current legislation and explain how it helps to improve public health:</w:t>
                        </w:r>
                      </w:p>
                    </w:tc>
                  </w:tr>
                  <w:tr w:rsidR="004B22DE" w:rsidRPr="00D800D8" w14:paraId="7626B87D" w14:textId="77777777" w:rsidTr="00F42984">
                    <w:tc>
                      <w:tcPr>
                        <w:tcW w:w="9214" w:type="dxa"/>
                      </w:tcPr>
                      <w:p w14:paraId="3747F8F4"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 xml:space="preserve">The Public Health (Wales) Act 2017 was created by the National Assembly for Wales to address public health concerns in Wales and to promote good health and wellbeing.  </w:t>
                        </w:r>
                      </w:p>
                      <w:p w14:paraId="5F2666E8"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 xml:space="preserve">One concern is the level of obesity in Wales.  Obesity is a risk factor for other health diseases such as type 2 diabetes, heart disease and cancers.  The National Survey for Wales show that 62% of adults over the age of 16 are overweight or obese (Welsh Parliament, 2024).   The Act therefore requires the Welsh Government to create strategies to prevent and reduce obesity levels.  </w:t>
                        </w:r>
                      </w:p>
                      <w:p w14:paraId="5F46A9F2"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In 2022 as a result of the passing of this Act, the Welsh Government created the Healthy Weight: Healthy Wales 2022-2024 strategy to prevent and reduce obesity in Wales.    It consists of four themes to be rolled out across Wales – Healthy Environments, Healthy Settings, Healthy People and Leadership and Enabling Change.  By tackling obesity, this would improve health and wellbeing and reduce the cost of obesity-related diseases on the NHS.</w:t>
                        </w:r>
                      </w:p>
                      <w:p w14:paraId="34F296AF"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 xml:space="preserve">The second area the Act targets is tobacco and nicotine.  Public Health Wales claim that tobacco is the leading cause of premature death in Wales and contributes to health inequalities.  They found that in 2022 there were 3,845 deaths in Wales due to smoking every year, which equates to more than 1:10 of all deaths over the age of 35 (Public Health Wales, 2024). </w:t>
                        </w:r>
                      </w:p>
                      <w:p w14:paraId="598B9562"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 xml:space="preserve">The Act makes it an offence to sell cigarettes to anyone under the age of 18 with enforcements in place for premises that fail to comply.  As a result of this recommendation, Welsh Government have created A Smoke-free Wales: Our Long Term tobacco control strategy which aims to make Wales smoke-free by 2030. </w:t>
                        </w:r>
                      </w:p>
                      <w:p w14:paraId="5AEEBA53"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The Act also makes it mandatory for practitioners carrying out acupuncture, body piercing, electrolysis and tattooing to have a licence.    This ensures that the procedures are non-harmful with safe hygiene standards maintained.</w:t>
                        </w:r>
                      </w:p>
                      <w:p w14:paraId="136EE74F"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The Act also prohibits intimate piercings of anyone under the age of 18.  The aim is to protect children and young people from health harms and to ensure that they are safe from vulnerable situations.</w:t>
                        </w:r>
                      </w:p>
                      <w:p w14:paraId="20AC7D6B"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 xml:space="preserve">The Act also focuses on pharmacy provisions by aiming to improve the planning and delivery of pharmaceutical services and strengthening the role of community pharmacies in public health. </w:t>
                        </w:r>
                      </w:p>
                      <w:p w14:paraId="145442CC" w14:textId="17B28285" w:rsid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t>Each local authority in Wales must outline strategies to assess the need for toilets in the community including baby changing facilities and changing rooms for disabled people. In August 2018, the Welsh Government created The Provision of Toilets in Wales: Local Toilets Strategies which provides guidance for local authorities to help them prepare a local toilet strategy for their area.</w:t>
                        </w:r>
                      </w:p>
                      <w:p w14:paraId="3645F964"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p>
                      <w:p w14:paraId="7F93462D" w14:textId="77777777" w:rsidR="00D800D8" w:rsidRPr="00D800D8" w:rsidRDefault="00D800D8" w:rsidP="00D800D8">
                        <w:pPr>
                          <w:spacing w:after="160" w:line="259" w:lineRule="auto"/>
                          <w:ind w:left="0" w:firstLine="0"/>
                          <w:jc w:val="both"/>
                          <w:rPr>
                            <w:rFonts w:ascii="Calibri" w:eastAsia="Calibri" w:hAnsi="Calibri"/>
                            <w:color w:val="auto"/>
                            <w:kern w:val="0"/>
                            <w:szCs w:val="24"/>
                            <w:lang w:eastAsia="en-US"/>
                            <w14:ligatures w14:val="none"/>
                          </w:rPr>
                        </w:pPr>
                        <w:r w:rsidRPr="00D800D8">
                          <w:rPr>
                            <w:rFonts w:ascii="Calibri" w:eastAsia="Calibri" w:hAnsi="Calibri"/>
                            <w:color w:val="auto"/>
                            <w:kern w:val="0"/>
                            <w:szCs w:val="24"/>
                            <w:lang w:eastAsia="en-US"/>
                            <w14:ligatures w14:val="none"/>
                          </w:rPr>
                          <w:lastRenderedPageBreak/>
                          <w:t xml:space="preserve">In conclusion, the Public Health (Wales) Act 2017 has identified areas of public health concerns in Wales that need addressing to reduce the risk of ill health across the Country.  Public Health Wales and the Welsh Government have put strategies in place in line with legislation to help communities develop initiatives to tackle these inequalities and to make Wales a safer and healthier place. </w:t>
                        </w:r>
                      </w:p>
                      <w:p w14:paraId="16EE5863"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50C18A48"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2BE2CE77"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37176AB2" w14:textId="77777777" w:rsidR="004B22DE" w:rsidRPr="00D800D8" w:rsidRDefault="004B22DE" w:rsidP="004B22DE">
                        <w:pPr>
                          <w:spacing w:after="0" w:line="259" w:lineRule="auto"/>
                          <w:ind w:left="0" w:right="115" w:firstLine="0"/>
                          <w:rPr>
                            <w:rFonts w:asciiTheme="majorHAnsi" w:hAnsiTheme="majorHAnsi" w:cstheme="majorHAnsi"/>
                            <w:szCs w:val="24"/>
                          </w:rPr>
                        </w:pPr>
                      </w:p>
                      <w:p w14:paraId="200D6113" w14:textId="77777777" w:rsidR="004B22DE" w:rsidRDefault="004B22DE" w:rsidP="004B22DE">
                        <w:pPr>
                          <w:spacing w:after="0" w:line="259" w:lineRule="auto"/>
                          <w:ind w:left="0" w:right="115" w:firstLine="0"/>
                          <w:rPr>
                            <w:rFonts w:asciiTheme="majorHAnsi" w:hAnsiTheme="majorHAnsi" w:cstheme="majorHAnsi"/>
                            <w:szCs w:val="24"/>
                          </w:rPr>
                        </w:pPr>
                      </w:p>
                      <w:p w14:paraId="2BD7BB2F" w14:textId="77777777" w:rsidR="00D800D8" w:rsidRDefault="00D800D8" w:rsidP="004B22DE">
                        <w:pPr>
                          <w:spacing w:after="0" w:line="259" w:lineRule="auto"/>
                          <w:ind w:left="0" w:right="115" w:firstLine="0"/>
                          <w:rPr>
                            <w:rFonts w:asciiTheme="majorHAnsi" w:hAnsiTheme="majorHAnsi" w:cstheme="majorHAnsi"/>
                            <w:szCs w:val="24"/>
                          </w:rPr>
                        </w:pPr>
                      </w:p>
                      <w:p w14:paraId="18B5EC15" w14:textId="77777777" w:rsidR="00D800D8" w:rsidRDefault="00D800D8" w:rsidP="004B22DE">
                        <w:pPr>
                          <w:spacing w:after="0" w:line="259" w:lineRule="auto"/>
                          <w:ind w:left="0" w:right="115" w:firstLine="0"/>
                          <w:rPr>
                            <w:rFonts w:asciiTheme="majorHAnsi" w:hAnsiTheme="majorHAnsi" w:cstheme="majorHAnsi"/>
                            <w:szCs w:val="24"/>
                          </w:rPr>
                        </w:pPr>
                      </w:p>
                      <w:p w14:paraId="1756D93D" w14:textId="77777777" w:rsidR="00D800D8" w:rsidRDefault="00D800D8" w:rsidP="004B22DE">
                        <w:pPr>
                          <w:spacing w:after="0" w:line="259" w:lineRule="auto"/>
                          <w:ind w:left="0" w:right="115" w:firstLine="0"/>
                          <w:rPr>
                            <w:rFonts w:asciiTheme="majorHAnsi" w:hAnsiTheme="majorHAnsi" w:cstheme="majorHAnsi"/>
                            <w:szCs w:val="24"/>
                          </w:rPr>
                        </w:pPr>
                      </w:p>
                      <w:p w14:paraId="08AE7787" w14:textId="77777777" w:rsidR="00D800D8" w:rsidRDefault="00D800D8" w:rsidP="004B22DE">
                        <w:pPr>
                          <w:spacing w:after="0" w:line="259" w:lineRule="auto"/>
                          <w:ind w:left="0" w:right="115" w:firstLine="0"/>
                          <w:rPr>
                            <w:rFonts w:asciiTheme="majorHAnsi" w:hAnsiTheme="majorHAnsi" w:cstheme="majorHAnsi"/>
                            <w:szCs w:val="24"/>
                          </w:rPr>
                        </w:pPr>
                      </w:p>
                      <w:p w14:paraId="4261180E" w14:textId="77777777" w:rsidR="00D800D8" w:rsidRDefault="00D800D8" w:rsidP="004B22DE">
                        <w:pPr>
                          <w:spacing w:after="0" w:line="259" w:lineRule="auto"/>
                          <w:ind w:left="0" w:right="115" w:firstLine="0"/>
                          <w:rPr>
                            <w:rFonts w:asciiTheme="majorHAnsi" w:hAnsiTheme="majorHAnsi" w:cstheme="majorHAnsi"/>
                            <w:szCs w:val="24"/>
                          </w:rPr>
                        </w:pPr>
                      </w:p>
                      <w:p w14:paraId="5DE84779" w14:textId="77777777" w:rsidR="00D800D8" w:rsidRDefault="00D800D8" w:rsidP="004B22DE">
                        <w:pPr>
                          <w:spacing w:after="0" w:line="259" w:lineRule="auto"/>
                          <w:ind w:left="0" w:right="115" w:firstLine="0"/>
                          <w:rPr>
                            <w:rFonts w:asciiTheme="majorHAnsi" w:hAnsiTheme="majorHAnsi" w:cstheme="majorHAnsi"/>
                            <w:szCs w:val="24"/>
                          </w:rPr>
                        </w:pPr>
                      </w:p>
                      <w:p w14:paraId="421433C7" w14:textId="77777777" w:rsidR="00D800D8" w:rsidRDefault="00D800D8" w:rsidP="004B22DE">
                        <w:pPr>
                          <w:spacing w:after="0" w:line="259" w:lineRule="auto"/>
                          <w:ind w:left="0" w:right="115" w:firstLine="0"/>
                          <w:rPr>
                            <w:rFonts w:asciiTheme="majorHAnsi" w:hAnsiTheme="majorHAnsi" w:cstheme="majorHAnsi"/>
                            <w:szCs w:val="24"/>
                          </w:rPr>
                        </w:pPr>
                      </w:p>
                      <w:p w14:paraId="27FF2CA1" w14:textId="77777777" w:rsidR="00D800D8" w:rsidRDefault="00D800D8" w:rsidP="004B22DE">
                        <w:pPr>
                          <w:spacing w:after="0" w:line="259" w:lineRule="auto"/>
                          <w:ind w:left="0" w:right="115" w:firstLine="0"/>
                          <w:rPr>
                            <w:rFonts w:asciiTheme="majorHAnsi" w:hAnsiTheme="majorHAnsi" w:cstheme="majorHAnsi"/>
                            <w:szCs w:val="24"/>
                          </w:rPr>
                        </w:pPr>
                      </w:p>
                      <w:p w14:paraId="0FA87229" w14:textId="77777777" w:rsidR="00D800D8" w:rsidRDefault="00D800D8" w:rsidP="004B22DE">
                        <w:pPr>
                          <w:spacing w:after="0" w:line="259" w:lineRule="auto"/>
                          <w:ind w:left="0" w:right="115" w:firstLine="0"/>
                          <w:rPr>
                            <w:rFonts w:asciiTheme="majorHAnsi" w:hAnsiTheme="majorHAnsi" w:cstheme="majorHAnsi"/>
                            <w:szCs w:val="24"/>
                          </w:rPr>
                        </w:pPr>
                      </w:p>
                      <w:p w14:paraId="7560264C" w14:textId="77777777" w:rsidR="00D800D8" w:rsidRDefault="00D800D8" w:rsidP="004B22DE">
                        <w:pPr>
                          <w:spacing w:after="0" w:line="259" w:lineRule="auto"/>
                          <w:ind w:left="0" w:right="115" w:firstLine="0"/>
                          <w:rPr>
                            <w:rFonts w:asciiTheme="majorHAnsi" w:hAnsiTheme="majorHAnsi" w:cstheme="majorHAnsi"/>
                            <w:szCs w:val="24"/>
                          </w:rPr>
                        </w:pPr>
                      </w:p>
                      <w:p w14:paraId="0F5FD4A9" w14:textId="77777777" w:rsidR="00D800D8" w:rsidRDefault="00D800D8" w:rsidP="004B22DE">
                        <w:pPr>
                          <w:spacing w:after="0" w:line="259" w:lineRule="auto"/>
                          <w:ind w:left="0" w:right="115" w:firstLine="0"/>
                          <w:rPr>
                            <w:rFonts w:asciiTheme="majorHAnsi" w:hAnsiTheme="majorHAnsi" w:cstheme="majorHAnsi"/>
                            <w:szCs w:val="24"/>
                          </w:rPr>
                        </w:pPr>
                      </w:p>
                      <w:p w14:paraId="19480E56" w14:textId="77777777" w:rsidR="00D800D8" w:rsidRDefault="00D800D8" w:rsidP="004B22DE">
                        <w:pPr>
                          <w:spacing w:after="0" w:line="259" w:lineRule="auto"/>
                          <w:ind w:left="0" w:right="115" w:firstLine="0"/>
                          <w:rPr>
                            <w:rFonts w:asciiTheme="majorHAnsi" w:hAnsiTheme="majorHAnsi" w:cstheme="majorHAnsi"/>
                            <w:szCs w:val="24"/>
                          </w:rPr>
                        </w:pPr>
                      </w:p>
                      <w:p w14:paraId="3D8CC16C" w14:textId="77777777" w:rsidR="00D800D8" w:rsidRDefault="00D800D8" w:rsidP="004B22DE">
                        <w:pPr>
                          <w:spacing w:after="0" w:line="259" w:lineRule="auto"/>
                          <w:ind w:left="0" w:right="115" w:firstLine="0"/>
                          <w:rPr>
                            <w:rFonts w:asciiTheme="majorHAnsi" w:hAnsiTheme="majorHAnsi" w:cstheme="majorHAnsi"/>
                            <w:szCs w:val="24"/>
                          </w:rPr>
                        </w:pPr>
                      </w:p>
                      <w:p w14:paraId="7F7709A4" w14:textId="77777777" w:rsidR="00D800D8" w:rsidRDefault="00D800D8" w:rsidP="004B22DE">
                        <w:pPr>
                          <w:spacing w:after="0" w:line="259" w:lineRule="auto"/>
                          <w:ind w:left="0" w:right="115" w:firstLine="0"/>
                          <w:rPr>
                            <w:rFonts w:asciiTheme="majorHAnsi" w:hAnsiTheme="majorHAnsi" w:cstheme="majorHAnsi"/>
                            <w:szCs w:val="24"/>
                          </w:rPr>
                        </w:pPr>
                      </w:p>
                      <w:p w14:paraId="39B57748" w14:textId="77777777" w:rsidR="00D800D8" w:rsidRDefault="00D800D8" w:rsidP="004B22DE">
                        <w:pPr>
                          <w:spacing w:after="0" w:line="259" w:lineRule="auto"/>
                          <w:ind w:left="0" w:right="115" w:firstLine="0"/>
                          <w:rPr>
                            <w:rFonts w:asciiTheme="majorHAnsi" w:hAnsiTheme="majorHAnsi" w:cstheme="majorHAnsi"/>
                            <w:szCs w:val="24"/>
                          </w:rPr>
                        </w:pPr>
                      </w:p>
                      <w:p w14:paraId="05EC12D7" w14:textId="77777777" w:rsidR="00D800D8" w:rsidRDefault="00D800D8" w:rsidP="004B22DE">
                        <w:pPr>
                          <w:spacing w:after="0" w:line="259" w:lineRule="auto"/>
                          <w:ind w:left="0" w:right="115" w:firstLine="0"/>
                          <w:rPr>
                            <w:rFonts w:asciiTheme="majorHAnsi" w:hAnsiTheme="majorHAnsi" w:cstheme="majorHAnsi"/>
                            <w:szCs w:val="24"/>
                          </w:rPr>
                        </w:pPr>
                      </w:p>
                      <w:p w14:paraId="0187EE7B" w14:textId="77777777" w:rsidR="00D800D8" w:rsidRDefault="00D800D8" w:rsidP="004B22DE">
                        <w:pPr>
                          <w:spacing w:after="0" w:line="259" w:lineRule="auto"/>
                          <w:ind w:left="0" w:right="115" w:firstLine="0"/>
                          <w:rPr>
                            <w:rFonts w:asciiTheme="majorHAnsi" w:hAnsiTheme="majorHAnsi" w:cstheme="majorHAnsi"/>
                            <w:szCs w:val="24"/>
                          </w:rPr>
                        </w:pPr>
                      </w:p>
                      <w:p w14:paraId="3614A09A" w14:textId="77777777" w:rsidR="00D800D8" w:rsidRDefault="00D800D8" w:rsidP="004B22DE">
                        <w:pPr>
                          <w:spacing w:after="0" w:line="259" w:lineRule="auto"/>
                          <w:ind w:left="0" w:right="115" w:firstLine="0"/>
                          <w:rPr>
                            <w:rFonts w:asciiTheme="majorHAnsi" w:hAnsiTheme="majorHAnsi" w:cstheme="majorHAnsi"/>
                            <w:szCs w:val="24"/>
                          </w:rPr>
                        </w:pPr>
                      </w:p>
                      <w:p w14:paraId="5AE8DE83" w14:textId="77777777" w:rsidR="00D800D8" w:rsidRDefault="00D800D8" w:rsidP="004B22DE">
                        <w:pPr>
                          <w:spacing w:after="0" w:line="259" w:lineRule="auto"/>
                          <w:ind w:left="0" w:right="115" w:firstLine="0"/>
                          <w:rPr>
                            <w:rFonts w:asciiTheme="majorHAnsi" w:hAnsiTheme="majorHAnsi" w:cstheme="majorHAnsi"/>
                            <w:szCs w:val="24"/>
                          </w:rPr>
                        </w:pPr>
                      </w:p>
                      <w:p w14:paraId="388917E2" w14:textId="77777777" w:rsidR="00D800D8" w:rsidRDefault="00D800D8" w:rsidP="004B22DE">
                        <w:pPr>
                          <w:spacing w:after="0" w:line="259" w:lineRule="auto"/>
                          <w:ind w:left="0" w:right="115" w:firstLine="0"/>
                          <w:rPr>
                            <w:rFonts w:asciiTheme="majorHAnsi" w:hAnsiTheme="majorHAnsi" w:cstheme="majorHAnsi"/>
                            <w:szCs w:val="24"/>
                          </w:rPr>
                        </w:pPr>
                      </w:p>
                      <w:p w14:paraId="29904027" w14:textId="77777777" w:rsidR="00D800D8" w:rsidRDefault="00D800D8" w:rsidP="004B22DE">
                        <w:pPr>
                          <w:spacing w:after="0" w:line="259" w:lineRule="auto"/>
                          <w:ind w:left="0" w:right="115" w:firstLine="0"/>
                          <w:rPr>
                            <w:rFonts w:asciiTheme="majorHAnsi" w:hAnsiTheme="majorHAnsi" w:cstheme="majorHAnsi"/>
                            <w:szCs w:val="24"/>
                          </w:rPr>
                        </w:pPr>
                      </w:p>
                      <w:p w14:paraId="14E37526" w14:textId="77777777" w:rsidR="00D800D8" w:rsidRDefault="00D800D8" w:rsidP="004B22DE">
                        <w:pPr>
                          <w:spacing w:after="0" w:line="259" w:lineRule="auto"/>
                          <w:ind w:left="0" w:right="115" w:firstLine="0"/>
                          <w:rPr>
                            <w:rFonts w:asciiTheme="majorHAnsi" w:hAnsiTheme="majorHAnsi" w:cstheme="majorHAnsi"/>
                            <w:szCs w:val="24"/>
                          </w:rPr>
                        </w:pPr>
                      </w:p>
                      <w:p w14:paraId="4BA21F7B" w14:textId="77777777" w:rsidR="00D800D8" w:rsidRDefault="00D800D8" w:rsidP="004B22DE">
                        <w:pPr>
                          <w:spacing w:after="0" w:line="259" w:lineRule="auto"/>
                          <w:ind w:left="0" w:right="115" w:firstLine="0"/>
                          <w:rPr>
                            <w:rFonts w:asciiTheme="majorHAnsi" w:hAnsiTheme="majorHAnsi" w:cstheme="majorHAnsi"/>
                            <w:szCs w:val="24"/>
                          </w:rPr>
                        </w:pPr>
                      </w:p>
                      <w:p w14:paraId="50A5CAF8" w14:textId="77777777" w:rsidR="00D800D8" w:rsidRDefault="00D800D8" w:rsidP="004B22DE">
                        <w:pPr>
                          <w:spacing w:after="0" w:line="259" w:lineRule="auto"/>
                          <w:ind w:left="0" w:right="115" w:firstLine="0"/>
                          <w:rPr>
                            <w:rFonts w:asciiTheme="majorHAnsi" w:hAnsiTheme="majorHAnsi" w:cstheme="majorHAnsi"/>
                            <w:szCs w:val="24"/>
                          </w:rPr>
                        </w:pPr>
                      </w:p>
                      <w:p w14:paraId="57888E95" w14:textId="77777777" w:rsidR="00D800D8" w:rsidRDefault="00D800D8" w:rsidP="004B22DE">
                        <w:pPr>
                          <w:spacing w:after="0" w:line="259" w:lineRule="auto"/>
                          <w:ind w:left="0" w:right="115" w:firstLine="0"/>
                          <w:rPr>
                            <w:rFonts w:asciiTheme="majorHAnsi" w:hAnsiTheme="majorHAnsi" w:cstheme="majorHAnsi"/>
                            <w:szCs w:val="24"/>
                          </w:rPr>
                        </w:pPr>
                      </w:p>
                      <w:p w14:paraId="2C2AD8FA" w14:textId="77777777" w:rsidR="00D800D8" w:rsidRDefault="00D800D8" w:rsidP="004B22DE">
                        <w:pPr>
                          <w:spacing w:after="0" w:line="259" w:lineRule="auto"/>
                          <w:ind w:left="0" w:right="115" w:firstLine="0"/>
                          <w:rPr>
                            <w:rFonts w:asciiTheme="majorHAnsi" w:hAnsiTheme="majorHAnsi" w:cstheme="majorHAnsi"/>
                            <w:szCs w:val="24"/>
                          </w:rPr>
                        </w:pPr>
                      </w:p>
                      <w:p w14:paraId="667DC5B6" w14:textId="77777777" w:rsidR="00D800D8" w:rsidRDefault="00D800D8" w:rsidP="004B22DE">
                        <w:pPr>
                          <w:spacing w:after="0" w:line="259" w:lineRule="auto"/>
                          <w:ind w:left="0" w:right="115" w:firstLine="0"/>
                          <w:rPr>
                            <w:rFonts w:asciiTheme="majorHAnsi" w:hAnsiTheme="majorHAnsi" w:cstheme="majorHAnsi"/>
                            <w:szCs w:val="24"/>
                          </w:rPr>
                        </w:pPr>
                      </w:p>
                      <w:p w14:paraId="3BC90D18" w14:textId="77777777" w:rsidR="00D800D8" w:rsidRDefault="00D800D8" w:rsidP="004B22DE">
                        <w:pPr>
                          <w:spacing w:after="0" w:line="259" w:lineRule="auto"/>
                          <w:ind w:left="0" w:right="115" w:firstLine="0"/>
                          <w:rPr>
                            <w:rFonts w:asciiTheme="majorHAnsi" w:hAnsiTheme="majorHAnsi" w:cstheme="majorHAnsi"/>
                            <w:szCs w:val="24"/>
                          </w:rPr>
                        </w:pPr>
                      </w:p>
                      <w:p w14:paraId="71346FE0" w14:textId="77777777" w:rsidR="00D800D8" w:rsidRDefault="00D800D8" w:rsidP="004B22DE">
                        <w:pPr>
                          <w:spacing w:after="0" w:line="259" w:lineRule="auto"/>
                          <w:ind w:left="0" w:right="115" w:firstLine="0"/>
                          <w:rPr>
                            <w:rFonts w:asciiTheme="majorHAnsi" w:hAnsiTheme="majorHAnsi" w:cstheme="majorHAnsi"/>
                            <w:szCs w:val="24"/>
                          </w:rPr>
                        </w:pPr>
                      </w:p>
                      <w:p w14:paraId="186502BD" w14:textId="2B081C5A" w:rsidR="00D800D8" w:rsidRPr="00D800D8" w:rsidRDefault="00D800D8" w:rsidP="004B22DE">
                        <w:pPr>
                          <w:spacing w:after="0" w:line="259" w:lineRule="auto"/>
                          <w:ind w:left="0" w:right="115" w:firstLine="0"/>
                          <w:rPr>
                            <w:rFonts w:asciiTheme="majorHAnsi" w:hAnsiTheme="majorHAnsi" w:cstheme="majorHAnsi"/>
                            <w:szCs w:val="24"/>
                          </w:rPr>
                        </w:pPr>
                      </w:p>
                    </w:tc>
                  </w:tr>
                </w:tbl>
                <w:p w14:paraId="46809D94" w14:textId="77777777" w:rsidR="004B22DE" w:rsidRPr="00D800D8" w:rsidRDefault="004B22DE" w:rsidP="004B22DE">
                  <w:pPr>
                    <w:spacing w:after="0" w:line="259" w:lineRule="auto"/>
                    <w:ind w:left="240" w:right="115" w:hanging="240"/>
                    <w:rPr>
                      <w:rFonts w:asciiTheme="majorHAnsi" w:hAnsiTheme="majorHAnsi" w:cstheme="majorHAnsi"/>
                      <w:szCs w:val="24"/>
                    </w:rPr>
                  </w:pPr>
                </w:p>
              </w:tc>
            </w:tr>
          </w:tbl>
          <w:p w14:paraId="1B7B5F9B" w14:textId="77777777" w:rsidR="004B22DE" w:rsidRDefault="004B22DE" w:rsidP="004B22DE">
            <w:pPr>
              <w:spacing w:after="160" w:line="259" w:lineRule="auto"/>
              <w:ind w:left="0" w:firstLine="0"/>
            </w:pPr>
          </w:p>
          <w:tbl>
            <w:tblPr>
              <w:tblStyle w:val="TableGrid0"/>
              <w:tblW w:w="9214" w:type="dxa"/>
              <w:tblLook w:val="04A0" w:firstRow="1" w:lastRow="0" w:firstColumn="1" w:lastColumn="0" w:noHBand="0" w:noVBand="1"/>
            </w:tblPr>
            <w:tblGrid>
              <w:gridCol w:w="9729"/>
            </w:tblGrid>
            <w:tr w:rsidR="004B22DE" w:rsidRPr="00601B22" w14:paraId="5660E0F3" w14:textId="77777777" w:rsidTr="006C003A">
              <w:tc>
                <w:tcPr>
                  <w:tcW w:w="9214" w:type="dxa"/>
                </w:tcPr>
                <w:p w14:paraId="670F70A2" w14:textId="77777777" w:rsidR="004B22DE" w:rsidRPr="00601B22" w:rsidRDefault="004B22DE" w:rsidP="004B22DE">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5.3 Outline how public health policies and strategies can help you as a practitioner to promote health and wellbeing in your workplace.</w:t>
                  </w:r>
                </w:p>
              </w:tc>
            </w:tr>
            <w:tr w:rsidR="004B22DE" w:rsidRPr="00601B22" w14:paraId="5B0F58C4" w14:textId="77777777" w:rsidTr="006C003A">
              <w:tc>
                <w:tcPr>
                  <w:tcW w:w="9214" w:type="dxa"/>
                </w:tcPr>
                <w:p w14:paraId="3D7528F7" w14:textId="5345F6A4"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 xml:space="preserve">There are many public health policies with resulting health board incentives in place that can encourage practitioners to promote health and wellbeing in their workplaces.   By creating safe and healthy environments and promoting healthy lifestyles, this would ensure that all NHS staff feel supported so they can </w:t>
                  </w:r>
                  <w:r w:rsidR="001A5D87">
                    <w:rPr>
                      <w:rFonts w:ascii="Calibri" w:eastAsia="Calibri" w:hAnsi="Calibri"/>
                      <w:color w:val="auto"/>
                      <w:kern w:val="0"/>
                      <w:szCs w:val="24"/>
                      <w:lang w:eastAsia="en-US"/>
                      <w14:ligatures w14:val="none"/>
                    </w:rPr>
                    <w:t>work</w:t>
                  </w:r>
                  <w:r w:rsidRPr="006C003A">
                    <w:rPr>
                      <w:rFonts w:ascii="Calibri" w:eastAsia="Calibri" w:hAnsi="Calibri"/>
                      <w:color w:val="auto"/>
                      <w:kern w:val="0"/>
                      <w:szCs w:val="24"/>
                      <w:lang w:eastAsia="en-US"/>
                      <w14:ligatures w14:val="none"/>
                    </w:rPr>
                    <w:t xml:space="preserve"> safe</w:t>
                  </w:r>
                  <w:r w:rsidR="001A5D87">
                    <w:rPr>
                      <w:rFonts w:ascii="Calibri" w:eastAsia="Calibri" w:hAnsi="Calibri"/>
                      <w:color w:val="auto"/>
                      <w:kern w:val="0"/>
                      <w:szCs w:val="24"/>
                      <w:lang w:eastAsia="en-US"/>
                      <w14:ligatures w14:val="none"/>
                    </w:rPr>
                    <w:t>ly providing good</w:t>
                  </w:r>
                  <w:r w:rsidRPr="006C003A">
                    <w:rPr>
                      <w:rFonts w:ascii="Calibri" w:eastAsia="Calibri" w:hAnsi="Calibri"/>
                      <w:color w:val="auto"/>
                      <w:kern w:val="0"/>
                      <w:szCs w:val="24"/>
                      <w:lang w:eastAsia="en-US"/>
                      <w14:ligatures w14:val="none"/>
                    </w:rPr>
                    <w:t xml:space="preserve"> quality care for their patients.</w:t>
                  </w:r>
                </w:p>
                <w:p w14:paraId="52B14DAB" w14:textId="77777777"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The Healthy Working Wales Campaign runs weekly and monthly health and wellbeing events throughout the year.  In April 2025, awareness events were promoted on bowel cancer, testicular cancer and stress.  May 2025 sees the promotion of skin cancer awareness, it encourages a national walking month, a world hand hygiene day, mental health awareness, dementia action and learning to work week.  The campaign provides resources for managers and staff to encourage staff to improve their health and wellbeing.</w:t>
                  </w:r>
                </w:p>
                <w:p w14:paraId="76FD6CF6" w14:textId="2953B2BC"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Public Health Wales also promotes a</w:t>
                  </w:r>
                  <w:r w:rsidR="009A0E24">
                    <w:rPr>
                      <w:rFonts w:ascii="Calibri" w:eastAsia="Calibri" w:hAnsi="Calibri"/>
                      <w:color w:val="auto"/>
                      <w:kern w:val="0"/>
                      <w:szCs w:val="24"/>
                      <w:lang w:eastAsia="en-US"/>
                      <w14:ligatures w14:val="none"/>
                    </w:rPr>
                    <w:t>n All Wales</w:t>
                  </w:r>
                  <w:r w:rsidRPr="006C003A">
                    <w:rPr>
                      <w:rFonts w:ascii="Calibri" w:eastAsia="Calibri" w:hAnsi="Calibri"/>
                      <w:color w:val="auto"/>
                      <w:kern w:val="0"/>
                      <w:szCs w:val="24"/>
                      <w:lang w:eastAsia="en-US"/>
                      <w14:ligatures w14:val="none"/>
                    </w:rPr>
                    <w:t xml:space="preserve"> Flexible Working Policy </w:t>
                  </w:r>
                  <w:r w:rsidR="009A0E24">
                    <w:rPr>
                      <w:rFonts w:ascii="Calibri" w:eastAsia="Calibri" w:hAnsi="Calibri"/>
                      <w:color w:val="auto"/>
                      <w:kern w:val="0"/>
                      <w:szCs w:val="24"/>
                      <w:lang w:eastAsia="en-US"/>
                      <w14:ligatures w14:val="none"/>
                    </w:rPr>
                    <w:t xml:space="preserve">(2024) </w:t>
                  </w:r>
                  <w:r w:rsidRPr="006C003A">
                    <w:rPr>
                      <w:rFonts w:ascii="Calibri" w:eastAsia="Calibri" w:hAnsi="Calibri"/>
                      <w:color w:val="auto"/>
                      <w:kern w:val="0"/>
                      <w:szCs w:val="24"/>
                      <w:lang w:eastAsia="en-US"/>
                      <w14:ligatures w14:val="none"/>
                    </w:rPr>
                    <w:t xml:space="preserve">which has been encompassed in Swansea Bay University Health Board.  This allows staff to have a good work-life balance by offering flexible working.  Swansea Bay has policies on allowing staff to have access to 9 </w:t>
                  </w:r>
                  <w:proofErr w:type="gramStart"/>
                  <w:r w:rsidRPr="006C003A">
                    <w:rPr>
                      <w:rFonts w:ascii="Calibri" w:eastAsia="Calibri" w:hAnsi="Calibri"/>
                      <w:color w:val="auto"/>
                      <w:kern w:val="0"/>
                      <w:szCs w:val="24"/>
                      <w:lang w:eastAsia="en-US"/>
                      <w14:ligatures w14:val="none"/>
                    </w:rPr>
                    <w:t>day</w:t>
                  </w:r>
                  <w:proofErr w:type="gramEnd"/>
                  <w:r w:rsidRPr="006C003A">
                    <w:rPr>
                      <w:rFonts w:ascii="Calibri" w:eastAsia="Calibri" w:hAnsi="Calibri"/>
                      <w:color w:val="auto"/>
                      <w:kern w:val="0"/>
                      <w:szCs w:val="24"/>
                      <w:lang w:eastAsia="en-US"/>
                      <w14:ligatures w14:val="none"/>
                    </w:rPr>
                    <w:t xml:space="preserve"> working and access to parental leave, which can help maintain good mental health. </w:t>
                  </w:r>
                </w:p>
                <w:p w14:paraId="734A2362" w14:textId="3659A561"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 xml:space="preserve">Public Health Wales also </w:t>
                  </w:r>
                  <w:r w:rsidR="009A0E24">
                    <w:rPr>
                      <w:rFonts w:ascii="Calibri" w:eastAsia="Calibri" w:hAnsi="Calibri"/>
                      <w:color w:val="auto"/>
                      <w:kern w:val="0"/>
                      <w:szCs w:val="24"/>
                      <w:lang w:eastAsia="en-US"/>
                      <w14:ligatures w14:val="none"/>
                    </w:rPr>
                    <w:t>puts measures in place for health whilst using computers</w:t>
                  </w:r>
                  <w:r w:rsidRPr="006C003A">
                    <w:rPr>
                      <w:rFonts w:ascii="Calibri" w:eastAsia="Calibri" w:hAnsi="Calibri"/>
                      <w:color w:val="auto"/>
                      <w:kern w:val="0"/>
                      <w:szCs w:val="24"/>
                      <w:lang w:eastAsia="en-US"/>
                      <w14:ligatures w14:val="none"/>
                    </w:rPr>
                    <w:t xml:space="preserve"> under The Display Screen Equipment P</w:t>
                  </w:r>
                  <w:r w:rsidR="009A0E24">
                    <w:rPr>
                      <w:rFonts w:ascii="Calibri" w:eastAsia="Calibri" w:hAnsi="Calibri"/>
                      <w:color w:val="auto"/>
                      <w:kern w:val="0"/>
                      <w:szCs w:val="24"/>
                      <w:lang w:eastAsia="en-US"/>
                      <w14:ligatures w14:val="none"/>
                    </w:rPr>
                    <w:t>rocedure (2025)</w:t>
                  </w:r>
                  <w:r w:rsidRPr="006C003A">
                    <w:rPr>
                      <w:rFonts w:ascii="Calibri" w:eastAsia="Calibri" w:hAnsi="Calibri"/>
                      <w:color w:val="auto"/>
                      <w:kern w:val="0"/>
                      <w:szCs w:val="24"/>
                      <w:lang w:eastAsia="en-US"/>
                      <w14:ligatures w14:val="none"/>
                    </w:rPr>
                    <w:t>. Spending too long sitting in front of screens can cause tiredness and eye strain</w:t>
                  </w:r>
                  <w:r w:rsidR="009A0E24">
                    <w:rPr>
                      <w:rFonts w:ascii="Calibri" w:eastAsia="Calibri" w:hAnsi="Calibri"/>
                      <w:color w:val="auto"/>
                      <w:kern w:val="0"/>
                      <w:szCs w:val="24"/>
                      <w:lang w:eastAsia="en-US"/>
                      <w14:ligatures w14:val="none"/>
                    </w:rPr>
                    <w:t xml:space="preserve"> and risk of repetitive strain injury</w:t>
                  </w:r>
                  <w:r w:rsidRPr="006C003A">
                    <w:rPr>
                      <w:rFonts w:ascii="Calibri" w:eastAsia="Calibri" w:hAnsi="Calibri"/>
                      <w:color w:val="auto"/>
                      <w:kern w:val="0"/>
                      <w:szCs w:val="24"/>
                      <w:lang w:eastAsia="en-US"/>
                      <w14:ligatures w14:val="none"/>
                    </w:rPr>
                    <w:t xml:space="preserve">.  Regular breaks and walks can help improve eye health and improve overall wellbeing.  </w:t>
                  </w:r>
                </w:p>
                <w:p w14:paraId="6BDF59FF" w14:textId="2A40CA2D"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As</w:t>
                  </w:r>
                  <w:r w:rsidR="001A5D87">
                    <w:rPr>
                      <w:rFonts w:ascii="Calibri" w:eastAsia="Calibri" w:hAnsi="Calibri"/>
                      <w:color w:val="auto"/>
                      <w:kern w:val="0"/>
                      <w:szCs w:val="24"/>
                      <w:lang w:eastAsia="en-US"/>
                      <w14:ligatures w14:val="none"/>
                    </w:rPr>
                    <w:t xml:space="preserve"> well as </w:t>
                  </w:r>
                  <w:r w:rsidRPr="006C003A">
                    <w:rPr>
                      <w:rFonts w:ascii="Calibri" w:eastAsia="Calibri" w:hAnsi="Calibri"/>
                      <w:color w:val="auto"/>
                      <w:kern w:val="0"/>
                      <w:szCs w:val="24"/>
                      <w:lang w:eastAsia="en-US"/>
                      <w14:ligatures w14:val="none"/>
                    </w:rPr>
                    <w:t xml:space="preserve">healthy working environments, there are public health policies and strategies that practitioners can follow when reviewing patients.  Under the public health domain of health protection, Public Health Wales has the Personal Protective Equipment </w:t>
                  </w:r>
                  <w:r w:rsidR="009A0E24">
                    <w:rPr>
                      <w:rFonts w:ascii="Calibri" w:eastAsia="Calibri" w:hAnsi="Calibri"/>
                      <w:color w:val="auto"/>
                      <w:kern w:val="0"/>
                      <w:szCs w:val="24"/>
                      <w:lang w:eastAsia="en-US"/>
                      <w14:ligatures w14:val="none"/>
                    </w:rPr>
                    <w:t xml:space="preserve">Procedure (2023) </w:t>
                  </w:r>
                  <w:r w:rsidRPr="006C003A">
                    <w:rPr>
                      <w:rFonts w:ascii="Calibri" w:eastAsia="Calibri" w:hAnsi="Calibri"/>
                      <w:color w:val="auto"/>
                      <w:kern w:val="0"/>
                      <w:szCs w:val="24"/>
                      <w:lang w:eastAsia="en-US"/>
                      <w14:ligatures w14:val="none"/>
                    </w:rPr>
                    <w:t xml:space="preserve">which under the Personal Protective Equipment at Work Regulations 1992 places a duty on employers to ensure that protective equipment is in place to protect staff from health risks.  In Swansea Bay University Health Board, </w:t>
                  </w:r>
                  <w:r w:rsidR="009A0E24">
                    <w:rPr>
                      <w:rFonts w:ascii="Calibri" w:eastAsia="Calibri" w:hAnsi="Calibri"/>
                      <w:color w:val="auto"/>
                      <w:kern w:val="0"/>
                      <w:szCs w:val="24"/>
                      <w:lang w:eastAsia="en-US"/>
                      <w14:ligatures w14:val="none"/>
                    </w:rPr>
                    <w:t xml:space="preserve">there are policies in place requiring </w:t>
                  </w:r>
                  <w:r w:rsidRPr="006C003A">
                    <w:rPr>
                      <w:rFonts w:ascii="Calibri" w:eastAsia="Calibri" w:hAnsi="Calibri"/>
                      <w:color w:val="auto"/>
                      <w:kern w:val="0"/>
                      <w:szCs w:val="24"/>
                      <w:lang w:eastAsia="en-US"/>
                      <w14:ligatures w14:val="none"/>
                    </w:rPr>
                    <w:t xml:space="preserve">departments </w:t>
                  </w:r>
                  <w:r w:rsidR="009A0E24">
                    <w:rPr>
                      <w:rFonts w:ascii="Calibri" w:eastAsia="Calibri" w:hAnsi="Calibri"/>
                      <w:color w:val="auto"/>
                      <w:kern w:val="0"/>
                      <w:szCs w:val="24"/>
                      <w:lang w:eastAsia="en-US"/>
                      <w14:ligatures w14:val="none"/>
                    </w:rPr>
                    <w:t xml:space="preserve">to </w:t>
                  </w:r>
                  <w:r w:rsidRPr="006C003A">
                    <w:rPr>
                      <w:rFonts w:ascii="Calibri" w:eastAsia="Calibri" w:hAnsi="Calibri"/>
                      <w:color w:val="auto"/>
                      <w:kern w:val="0"/>
                      <w:szCs w:val="24"/>
                      <w:lang w:eastAsia="en-US"/>
                      <w14:ligatures w14:val="none"/>
                    </w:rPr>
                    <w:t xml:space="preserve">have access to necessary </w:t>
                  </w:r>
                  <w:r w:rsidR="009A0E24">
                    <w:rPr>
                      <w:rFonts w:ascii="Calibri" w:eastAsia="Calibri" w:hAnsi="Calibri"/>
                      <w:color w:val="auto"/>
                      <w:kern w:val="0"/>
                      <w:szCs w:val="24"/>
                      <w:lang w:eastAsia="en-US"/>
                      <w14:ligatures w14:val="none"/>
                    </w:rPr>
                    <w:t xml:space="preserve">personal protective </w:t>
                  </w:r>
                  <w:r w:rsidRPr="006C003A">
                    <w:rPr>
                      <w:rFonts w:ascii="Calibri" w:eastAsia="Calibri" w:hAnsi="Calibri"/>
                      <w:color w:val="auto"/>
                      <w:kern w:val="0"/>
                      <w:szCs w:val="24"/>
                      <w:lang w:eastAsia="en-US"/>
                      <w14:ligatures w14:val="none"/>
                    </w:rPr>
                    <w:t xml:space="preserve">equipment such as </w:t>
                  </w:r>
                  <w:r w:rsidR="001A5D87">
                    <w:rPr>
                      <w:rFonts w:ascii="Calibri" w:eastAsia="Calibri" w:hAnsi="Calibri"/>
                      <w:color w:val="auto"/>
                      <w:kern w:val="0"/>
                      <w:szCs w:val="24"/>
                      <w:lang w:eastAsia="en-US"/>
                      <w14:ligatures w14:val="none"/>
                    </w:rPr>
                    <w:t xml:space="preserve">face </w:t>
                  </w:r>
                  <w:r w:rsidRPr="006C003A">
                    <w:rPr>
                      <w:rFonts w:ascii="Calibri" w:eastAsia="Calibri" w:hAnsi="Calibri"/>
                      <w:color w:val="auto"/>
                      <w:kern w:val="0"/>
                      <w:szCs w:val="24"/>
                      <w:lang w:eastAsia="en-US"/>
                      <w14:ligatures w14:val="none"/>
                    </w:rPr>
                    <w:t>masks, disinfecting wipes and alcohol gel to help protect against risk of infection. Each department has a Fit Mask Trainer to train staff in the department on using the correct masks in case of any severe respiratory diseases.</w:t>
                  </w:r>
                </w:p>
                <w:p w14:paraId="728C89BD" w14:textId="77777777" w:rsidR="006C003A" w:rsidRPr="006C003A" w:rsidRDefault="006C003A" w:rsidP="006C003A">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 xml:space="preserve">As a dietetic assistant practitioner working in the nutrition and dietetics department in the care home team, it is often necessary to protect the health of the residents in the care homes by wearing a face mask if there is an outbreak in the home of flu or norovirus. </w:t>
                  </w:r>
                </w:p>
                <w:p w14:paraId="797BE822" w14:textId="77777777" w:rsidR="001A5D87" w:rsidRDefault="006C003A" w:rsidP="001A5D87">
                  <w:pPr>
                    <w:spacing w:after="160" w:line="259" w:lineRule="auto"/>
                    <w:ind w:left="0" w:firstLine="0"/>
                    <w:jc w:val="both"/>
                    <w:rPr>
                      <w:rFonts w:ascii="Calibri" w:eastAsia="Calibri" w:hAnsi="Calibri"/>
                      <w:color w:val="auto"/>
                      <w:kern w:val="0"/>
                      <w:szCs w:val="24"/>
                      <w:lang w:eastAsia="en-US"/>
                      <w14:ligatures w14:val="none"/>
                    </w:rPr>
                  </w:pPr>
                  <w:r w:rsidRPr="006C003A">
                    <w:rPr>
                      <w:rFonts w:ascii="Calibri" w:eastAsia="Calibri" w:hAnsi="Calibri"/>
                      <w:color w:val="auto"/>
                      <w:kern w:val="0"/>
                      <w:szCs w:val="24"/>
                      <w:lang w:eastAsia="en-US"/>
                      <w14:ligatures w14:val="none"/>
                    </w:rPr>
                    <w:t xml:space="preserve">In conclusion, there are many public health policies in place to help practitioners promote health and wellbeing in their workplaces whether it is with colleagues or with patients.  Both are equally important to ensure the health and wellbeing </w:t>
                  </w:r>
                  <w:r w:rsidR="00385BF8">
                    <w:rPr>
                      <w:rFonts w:ascii="Calibri" w:eastAsia="Calibri" w:hAnsi="Calibri"/>
                      <w:color w:val="auto"/>
                      <w:kern w:val="0"/>
                      <w:szCs w:val="24"/>
                      <w:lang w:eastAsia="en-US"/>
                      <w14:ligatures w14:val="none"/>
                    </w:rPr>
                    <w:t>in</w:t>
                  </w:r>
                  <w:r w:rsidRPr="006C003A">
                    <w:rPr>
                      <w:rFonts w:ascii="Calibri" w:eastAsia="Calibri" w:hAnsi="Calibri"/>
                      <w:color w:val="auto"/>
                      <w:kern w:val="0"/>
                      <w:szCs w:val="24"/>
                      <w:lang w:eastAsia="en-US"/>
                      <w14:ligatures w14:val="none"/>
                    </w:rPr>
                    <w:t xml:space="preserve"> our community. </w:t>
                  </w:r>
                </w:p>
                <w:p w14:paraId="0E9DF953" w14:textId="77777777" w:rsidR="00385BF8" w:rsidRDefault="00385BF8" w:rsidP="001A5D87">
                  <w:pPr>
                    <w:spacing w:after="160" w:line="259" w:lineRule="auto"/>
                    <w:ind w:left="0" w:firstLine="0"/>
                    <w:jc w:val="both"/>
                    <w:rPr>
                      <w:rFonts w:asciiTheme="majorHAnsi" w:hAnsiTheme="majorHAnsi" w:cstheme="majorHAnsi"/>
                      <w:szCs w:val="24"/>
                    </w:rPr>
                  </w:pPr>
                </w:p>
                <w:p w14:paraId="21F8A645" w14:textId="638A2609" w:rsidR="00863764" w:rsidRPr="00601B22" w:rsidRDefault="00863764" w:rsidP="001A5D87">
                  <w:pPr>
                    <w:spacing w:after="160" w:line="259" w:lineRule="auto"/>
                    <w:ind w:left="0" w:firstLine="0"/>
                    <w:jc w:val="both"/>
                    <w:rPr>
                      <w:rFonts w:asciiTheme="majorHAnsi" w:hAnsiTheme="majorHAnsi" w:cstheme="majorHAnsi"/>
                      <w:szCs w:val="24"/>
                    </w:rPr>
                  </w:pPr>
                </w:p>
              </w:tc>
            </w:tr>
            <w:tr w:rsidR="004B22DE" w:rsidRPr="00601B22" w14:paraId="78345C93" w14:textId="77777777" w:rsidTr="001A5D87">
              <w:tc>
                <w:tcPr>
                  <w:tcW w:w="9072" w:type="dxa"/>
                </w:tcPr>
                <w:p w14:paraId="3875E939" w14:textId="77777777" w:rsidR="00863764" w:rsidRDefault="00863764" w:rsidP="004B22DE">
                  <w:pPr>
                    <w:spacing w:after="0" w:line="259" w:lineRule="auto"/>
                    <w:ind w:left="0" w:right="115" w:firstLine="0"/>
                    <w:rPr>
                      <w:rFonts w:asciiTheme="majorHAnsi" w:hAnsiTheme="majorHAnsi" w:cstheme="majorHAnsi"/>
                      <w:szCs w:val="24"/>
                    </w:rPr>
                  </w:pPr>
                </w:p>
                <w:p w14:paraId="7A3DF7FB" w14:textId="1FF9426C" w:rsidR="004B22DE" w:rsidRDefault="004B22DE" w:rsidP="004B22DE">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Reference List:</w:t>
                  </w:r>
                </w:p>
                <w:p w14:paraId="3DB8DE49" w14:textId="4C1C7193" w:rsidR="001A5D87" w:rsidRPr="00601B22" w:rsidRDefault="001A5D87" w:rsidP="004B22DE">
                  <w:pPr>
                    <w:spacing w:after="0" w:line="259" w:lineRule="auto"/>
                    <w:ind w:left="0" w:right="115" w:firstLine="0"/>
                    <w:rPr>
                      <w:rFonts w:asciiTheme="majorHAnsi" w:hAnsiTheme="majorHAnsi" w:cstheme="majorHAnsi"/>
                      <w:szCs w:val="24"/>
                    </w:rPr>
                  </w:pPr>
                </w:p>
              </w:tc>
            </w:tr>
            <w:tr w:rsidR="004B22DE" w:rsidRPr="00601B22" w14:paraId="778BFB10" w14:textId="77777777" w:rsidTr="001A5D87">
              <w:tc>
                <w:tcPr>
                  <w:tcW w:w="9072" w:type="dxa"/>
                </w:tcPr>
                <w:p w14:paraId="44BA655E"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lastRenderedPageBreak/>
                    <w:t>Alyafei</w:t>
                  </w:r>
                  <w:proofErr w:type="spellEnd"/>
                  <w:r w:rsidRPr="00385BF8">
                    <w:rPr>
                      <w:rFonts w:ascii="Calibri" w:eastAsia="Calibri" w:hAnsi="Calibri"/>
                      <w:color w:val="000000" w:themeColor="text1"/>
                      <w:kern w:val="0"/>
                      <w:sz w:val="22"/>
                      <w:lang w:eastAsia="en-US"/>
                      <w14:ligatures w14:val="none"/>
                    </w:rPr>
                    <w:t>, A. and Easton-</w:t>
                  </w:r>
                  <w:proofErr w:type="spellStart"/>
                  <w:r w:rsidRPr="00385BF8">
                    <w:rPr>
                      <w:rFonts w:ascii="Calibri" w:eastAsia="Calibri" w:hAnsi="Calibri"/>
                      <w:color w:val="000000" w:themeColor="text1"/>
                      <w:kern w:val="0"/>
                      <w:sz w:val="22"/>
                      <w:lang w:eastAsia="en-US"/>
                      <w14:ligatures w14:val="none"/>
                    </w:rPr>
                    <w:t>Carr</w:t>
                  </w:r>
                  <w:proofErr w:type="spellEnd"/>
                  <w:r w:rsidRPr="00385BF8">
                    <w:rPr>
                      <w:rFonts w:ascii="Calibri" w:eastAsia="Calibri" w:hAnsi="Calibri"/>
                      <w:color w:val="000000" w:themeColor="text1"/>
                      <w:kern w:val="0"/>
                      <w:sz w:val="22"/>
                      <w:lang w:eastAsia="en-US"/>
                      <w14:ligatures w14:val="none"/>
                    </w:rPr>
                    <w:t xml:space="preserve">, R. (2024) ‘The Health Belief Model of Behaviour Change’, </w:t>
                  </w:r>
                  <w:proofErr w:type="spellStart"/>
                  <w:r w:rsidRPr="00385BF8">
                    <w:rPr>
                      <w:rFonts w:ascii="Calibri" w:eastAsia="Calibri" w:hAnsi="Calibri"/>
                      <w:i/>
                      <w:iCs/>
                      <w:color w:val="000000" w:themeColor="text1"/>
                      <w:kern w:val="0"/>
                      <w:sz w:val="22"/>
                      <w:lang w:eastAsia="en-US"/>
                      <w14:ligatures w14:val="none"/>
                    </w:rPr>
                    <w:t>StatPearls</w:t>
                  </w:r>
                  <w:proofErr w:type="spellEnd"/>
                  <w:r w:rsidRPr="00385BF8">
                    <w:rPr>
                      <w:rFonts w:ascii="Calibri" w:eastAsia="Calibri" w:hAnsi="Calibri"/>
                      <w:i/>
                      <w:iCs/>
                      <w:color w:val="000000" w:themeColor="text1"/>
                      <w:kern w:val="0"/>
                      <w:sz w:val="22"/>
                      <w:lang w:eastAsia="en-US"/>
                      <w14:ligatures w14:val="none"/>
                    </w:rPr>
                    <w:t xml:space="preserve">, </w:t>
                  </w:r>
                  <w:r w:rsidRPr="00385BF8">
                    <w:rPr>
                      <w:rFonts w:ascii="Calibri" w:eastAsia="Calibri" w:hAnsi="Calibri"/>
                      <w:color w:val="000000" w:themeColor="text1"/>
                      <w:kern w:val="0"/>
                      <w:sz w:val="22"/>
                      <w:lang w:eastAsia="en-US"/>
                      <w14:ligatures w14:val="none"/>
                    </w:rPr>
                    <w:t xml:space="preserve">Available at: </w:t>
                  </w:r>
                  <w:hyperlink r:id="rId19" w:history="1">
                    <w:r w:rsidRPr="00385BF8">
                      <w:rPr>
                        <w:rFonts w:ascii="Calibri" w:eastAsia="Calibri" w:hAnsi="Calibri"/>
                        <w:color w:val="000000" w:themeColor="text1"/>
                        <w:kern w:val="0"/>
                        <w:sz w:val="22"/>
                        <w:u w:val="single"/>
                        <w:lang w:eastAsia="en-US"/>
                        <w14:ligatures w14:val="none"/>
                      </w:rPr>
                      <w:t>https://pubmed.ncbi.nlm.nih.gov/39163427/</w:t>
                    </w:r>
                  </w:hyperlink>
                  <w:r w:rsidRPr="00385BF8">
                    <w:rPr>
                      <w:rFonts w:ascii="Calibri" w:eastAsia="Calibri" w:hAnsi="Calibri"/>
                      <w:color w:val="000000" w:themeColor="text1"/>
                      <w:kern w:val="0"/>
                      <w:sz w:val="22"/>
                      <w:lang w:eastAsia="en-US"/>
                      <w14:ligatures w14:val="none"/>
                    </w:rPr>
                    <w:t xml:space="preserve">. </w:t>
                  </w:r>
                </w:p>
                <w:p w14:paraId="3DCFAA94"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Anton, S., Das, S. K., McLaren, C. and Roberts, S.B. (2021) ‘Application of social cognitive theory in weight management: Time for a biological component, </w:t>
                  </w:r>
                  <w:r w:rsidRPr="00385BF8">
                    <w:rPr>
                      <w:rFonts w:ascii="Calibri" w:eastAsia="Calibri" w:hAnsi="Calibri"/>
                      <w:i/>
                      <w:iCs/>
                      <w:color w:val="000000" w:themeColor="text1"/>
                      <w:kern w:val="0"/>
                      <w:sz w:val="22"/>
                      <w:lang w:eastAsia="en-US"/>
                      <w14:ligatures w14:val="none"/>
                    </w:rPr>
                    <w:t xml:space="preserve">Obesity (Silver Spring), </w:t>
                  </w:r>
                  <w:r w:rsidRPr="00385BF8">
                    <w:rPr>
                      <w:rFonts w:ascii="Calibri" w:eastAsia="Calibri" w:hAnsi="Calibri"/>
                      <w:color w:val="000000" w:themeColor="text1"/>
                      <w:kern w:val="0"/>
                      <w:sz w:val="22"/>
                      <w:lang w:eastAsia="en-US"/>
                      <w14:ligatures w14:val="none"/>
                    </w:rPr>
                    <w:t xml:space="preserve">29(12), pp 1982-1986. Available at: </w:t>
                  </w:r>
                  <w:hyperlink r:id="rId20" w:history="1">
                    <w:r w:rsidRPr="00385BF8">
                      <w:rPr>
                        <w:rFonts w:ascii="Calibri" w:eastAsia="Calibri" w:hAnsi="Calibri"/>
                        <w:color w:val="000000" w:themeColor="text1"/>
                        <w:kern w:val="0"/>
                        <w:sz w:val="22"/>
                        <w:u w:val="single"/>
                        <w:lang w:eastAsia="en-US"/>
                        <w14:ligatures w14:val="none"/>
                      </w:rPr>
                      <w:t>https://pubmed.ncbi.nlm.nih.gov/34705335/</w:t>
                    </w:r>
                  </w:hyperlink>
                  <w:r w:rsidRPr="00385BF8">
                    <w:rPr>
                      <w:rFonts w:ascii="Calibri" w:eastAsia="Calibri" w:hAnsi="Calibri"/>
                      <w:color w:val="000000" w:themeColor="text1"/>
                      <w:kern w:val="0"/>
                      <w:sz w:val="22"/>
                      <w:lang w:eastAsia="en-US"/>
                      <w14:ligatures w14:val="none"/>
                    </w:rPr>
                    <w:t xml:space="preserve">. </w:t>
                  </w:r>
                </w:p>
                <w:p w14:paraId="62CFCB07"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Boskey</w:t>
                  </w:r>
                  <w:proofErr w:type="spellEnd"/>
                  <w:r w:rsidRPr="00385BF8">
                    <w:rPr>
                      <w:rFonts w:ascii="Calibri" w:eastAsia="Calibri" w:hAnsi="Calibri"/>
                      <w:color w:val="000000" w:themeColor="text1"/>
                      <w:kern w:val="0"/>
                      <w:sz w:val="22"/>
                      <w:lang w:eastAsia="en-US"/>
                      <w14:ligatures w14:val="none"/>
                    </w:rPr>
                    <w:t xml:space="preserve">, E. (2024) </w:t>
                  </w:r>
                  <w:r w:rsidRPr="00385BF8">
                    <w:rPr>
                      <w:rFonts w:ascii="Calibri" w:eastAsia="Calibri" w:hAnsi="Calibri"/>
                      <w:i/>
                      <w:iCs/>
                      <w:color w:val="000000" w:themeColor="text1"/>
                      <w:kern w:val="0"/>
                      <w:sz w:val="22"/>
                      <w:lang w:eastAsia="en-US"/>
                      <w14:ligatures w14:val="none"/>
                    </w:rPr>
                    <w:t>How the Health Belief Model Influences your Behaviours</w:t>
                  </w:r>
                  <w:r w:rsidRPr="00385BF8">
                    <w:rPr>
                      <w:rFonts w:ascii="Calibri" w:eastAsia="Calibri" w:hAnsi="Calibri"/>
                      <w:color w:val="000000" w:themeColor="text1"/>
                      <w:kern w:val="0"/>
                      <w:sz w:val="22"/>
                      <w:lang w:eastAsia="en-US"/>
                      <w14:ligatures w14:val="none"/>
                    </w:rPr>
                    <w:t xml:space="preserve">. Available at: </w:t>
                  </w:r>
                  <w:hyperlink r:id="rId21" w:history="1">
                    <w:r w:rsidRPr="00385BF8">
                      <w:rPr>
                        <w:rFonts w:ascii="Calibri" w:eastAsia="Calibri" w:hAnsi="Calibri"/>
                        <w:color w:val="000000" w:themeColor="text1"/>
                        <w:kern w:val="0"/>
                        <w:sz w:val="22"/>
                        <w:u w:val="single"/>
                        <w:lang w:eastAsia="en-US"/>
                        <w14:ligatures w14:val="none"/>
                      </w:rPr>
                      <w:t>https://www.verywellmind.com/health-belief-model-3132721</w:t>
                    </w:r>
                  </w:hyperlink>
                  <w:r w:rsidRPr="00385BF8">
                    <w:rPr>
                      <w:rFonts w:ascii="Calibri" w:eastAsia="Calibri" w:hAnsi="Calibri"/>
                      <w:color w:val="000000" w:themeColor="text1"/>
                      <w:kern w:val="0"/>
                      <w:sz w:val="22"/>
                      <w:lang w:eastAsia="en-US"/>
                      <w14:ligatures w14:val="none"/>
                    </w:rPr>
                    <w:t xml:space="preserve"> (Accessed on 10 April 2025) </w:t>
                  </w:r>
                </w:p>
                <w:p w14:paraId="58ACAE86"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British Dietetic Association (2023) </w:t>
                  </w:r>
                  <w:r w:rsidRPr="00385BF8">
                    <w:rPr>
                      <w:rFonts w:ascii="Calibri" w:eastAsia="Calibri" w:hAnsi="Calibri"/>
                      <w:i/>
                      <w:iCs/>
                      <w:color w:val="000000" w:themeColor="text1"/>
                      <w:kern w:val="0"/>
                      <w:sz w:val="22"/>
                      <w:lang w:eastAsia="en-US"/>
                      <w14:ligatures w14:val="none"/>
                    </w:rPr>
                    <w:t>The Nutrition and Hydration Digest: Improving outcomes through food and beverage services,</w:t>
                  </w:r>
                  <w:r w:rsidRPr="00385BF8">
                    <w:rPr>
                      <w:rFonts w:ascii="Calibri" w:eastAsia="Calibri" w:hAnsi="Calibri"/>
                      <w:color w:val="000000" w:themeColor="text1"/>
                      <w:kern w:val="0"/>
                      <w:sz w:val="22"/>
                      <w:lang w:eastAsia="en-US"/>
                      <w14:ligatures w14:val="none"/>
                    </w:rPr>
                    <w:t xml:space="preserve"> Available at: </w:t>
                  </w:r>
                  <w:hyperlink r:id="rId22" w:history="1">
                    <w:r w:rsidRPr="00385BF8">
                      <w:rPr>
                        <w:rFonts w:ascii="Calibri" w:eastAsia="Calibri" w:hAnsi="Calibri"/>
                        <w:color w:val="000000" w:themeColor="text1"/>
                        <w:kern w:val="0"/>
                        <w:sz w:val="22"/>
                        <w:u w:val="single"/>
                        <w:lang w:eastAsia="en-US"/>
                        <w14:ligatures w14:val="none"/>
                      </w:rPr>
                      <w:t>https://www.bda.uk.com/static/176907a2-f2d8-45bb-8213c581d3ccd7ba/06c5eecf-fa85-4472-948806c5165ed5d9/Nutrition-and-Hydration-Digest-3rd-edition.pdf</w:t>
                    </w:r>
                  </w:hyperlink>
                  <w:r w:rsidRPr="00385BF8">
                    <w:rPr>
                      <w:rFonts w:ascii="Calibri" w:eastAsia="Calibri" w:hAnsi="Calibri"/>
                      <w:color w:val="000000" w:themeColor="text1"/>
                      <w:kern w:val="0"/>
                      <w:sz w:val="22"/>
                      <w:lang w:eastAsia="en-US"/>
                      <w14:ligatures w14:val="none"/>
                    </w:rPr>
                    <w:t xml:space="preserve"> (Accessed on 17 April 2025).</w:t>
                  </w:r>
                </w:p>
                <w:p w14:paraId="73B0227E"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Care UK (2025) </w:t>
                  </w:r>
                  <w:r w:rsidRPr="00385BF8">
                    <w:rPr>
                      <w:rFonts w:ascii="Calibri" w:eastAsia="Calibri" w:hAnsi="Calibri"/>
                      <w:i/>
                      <w:iCs/>
                      <w:color w:val="000000" w:themeColor="text1"/>
                      <w:kern w:val="0"/>
                      <w:sz w:val="22"/>
                      <w:lang w:eastAsia="en-US"/>
                      <w14:ligatures w14:val="none"/>
                    </w:rPr>
                    <w:t>Bake it Better: Residents share their baking secrets</w:t>
                  </w:r>
                  <w:r w:rsidRPr="00385BF8">
                    <w:rPr>
                      <w:rFonts w:ascii="Calibri" w:eastAsia="Calibri" w:hAnsi="Calibri"/>
                      <w:color w:val="000000" w:themeColor="text1"/>
                      <w:kern w:val="0"/>
                      <w:sz w:val="22"/>
                      <w:lang w:eastAsia="en-US"/>
                      <w14:ligatures w14:val="none"/>
                    </w:rPr>
                    <w:t xml:space="preserve">. Available at: </w:t>
                  </w:r>
                  <w:hyperlink r:id="rId23" w:history="1">
                    <w:r w:rsidRPr="00385BF8">
                      <w:rPr>
                        <w:rFonts w:ascii="Calibri" w:eastAsia="Calibri" w:hAnsi="Calibri"/>
                        <w:color w:val="000000" w:themeColor="text1"/>
                        <w:kern w:val="0"/>
                        <w:sz w:val="22"/>
                        <w:u w:val="single"/>
                        <w:lang w:eastAsia="en-US"/>
                        <w14:ligatures w14:val="none"/>
                      </w:rPr>
                      <w:t>https://www.careuk.com/company/care-uk-campaigns/food-for-thought/residents-baking-secrets</w:t>
                    </w:r>
                  </w:hyperlink>
                  <w:r w:rsidRPr="00385BF8">
                    <w:rPr>
                      <w:rFonts w:ascii="Calibri" w:eastAsia="Calibri" w:hAnsi="Calibri"/>
                      <w:color w:val="000000" w:themeColor="text1"/>
                      <w:kern w:val="0"/>
                      <w:sz w:val="22"/>
                      <w:lang w:eastAsia="en-US"/>
                      <w14:ligatures w14:val="none"/>
                    </w:rPr>
                    <w:t xml:space="preserve"> (Accessed on 20 April 2025).</w:t>
                  </w:r>
                </w:p>
                <w:p w14:paraId="4728377B"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Cornips</w:t>
                  </w:r>
                  <w:proofErr w:type="spellEnd"/>
                  <w:r w:rsidRPr="00385BF8">
                    <w:rPr>
                      <w:rFonts w:ascii="Calibri" w:eastAsia="Calibri" w:hAnsi="Calibri"/>
                      <w:color w:val="000000" w:themeColor="text1"/>
                      <w:kern w:val="0"/>
                      <w:sz w:val="22"/>
                      <w:lang w:eastAsia="en-US"/>
                      <w14:ligatures w14:val="none"/>
                    </w:rPr>
                    <w:t xml:space="preserve">, L., </w:t>
                  </w:r>
                  <w:proofErr w:type="spellStart"/>
                  <w:r w:rsidRPr="00385BF8">
                    <w:rPr>
                      <w:rFonts w:ascii="Calibri" w:eastAsia="Calibri" w:hAnsi="Calibri"/>
                      <w:color w:val="000000" w:themeColor="text1"/>
                      <w:kern w:val="0"/>
                      <w:sz w:val="22"/>
                      <w:lang w:eastAsia="en-US"/>
                      <w14:ligatures w14:val="none"/>
                    </w:rPr>
                    <w:t>Voorberg</w:t>
                  </w:r>
                  <w:proofErr w:type="spellEnd"/>
                  <w:proofErr w:type="gramStart"/>
                  <w:r w:rsidRPr="00385BF8">
                    <w:rPr>
                      <w:rFonts w:ascii="Calibri" w:eastAsia="Calibri" w:hAnsi="Calibri"/>
                      <w:color w:val="000000" w:themeColor="text1"/>
                      <w:kern w:val="0"/>
                      <w:sz w:val="22"/>
                      <w:lang w:eastAsia="en-US"/>
                      <w14:ligatures w14:val="none"/>
                    </w:rPr>
                    <w:t>, ,</w:t>
                  </w:r>
                  <w:proofErr w:type="gramEnd"/>
                  <w:r w:rsidRPr="00385BF8">
                    <w:rPr>
                      <w:rFonts w:ascii="Calibri" w:eastAsia="Calibri" w:hAnsi="Calibri"/>
                      <w:color w:val="000000" w:themeColor="text1"/>
                      <w:kern w:val="0"/>
                      <w:sz w:val="22"/>
                      <w:lang w:eastAsia="en-US"/>
                      <w14:ligatures w14:val="none"/>
                    </w:rPr>
                    <w:t xml:space="preserve"> W., </w:t>
                  </w:r>
                  <w:proofErr w:type="spellStart"/>
                  <w:r w:rsidRPr="00385BF8">
                    <w:rPr>
                      <w:rFonts w:ascii="Calibri" w:eastAsia="Calibri" w:hAnsi="Calibri"/>
                      <w:color w:val="000000" w:themeColor="text1"/>
                      <w:kern w:val="0"/>
                      <w:sz w:val="22"/>
                      <w:lang w:eastAsia="en-US"/>
                      <w14:ligatures w14:val="none"/>
                    </w:rPr>
                    <w:t>Meererk</w:t>
                  </w:r>
                  <w:proofErr w:type="spellEnd"/>
                  <w:r w:rsidRPr="00385BF8">
                    <w:rPr>
                      <w:rFonts w:ascii="Calibri" w:eastAsia="Calibri" w:hAnsi="Calibri"/>
                      <w:color w:val="000000" w:themeColor="text1"/>
                      <w:kern w:val="0"/>
                      <w:sz w:val="22"/>
                      <w:lang w:eastAsia="en-US"/>
                      <w14:ligatures w14:val="none"/>
                    </w:rPr>
                    <w:t xml:space="preserve">, I.V. and Kramer, R. (2023) ‘Co-production as a strategy for enhanced equal representation in public service delivery:  The case of Rotterdam’, </w:t>
                  </w:r>
                  <w:r w:rsidRPr="00385BF8">
                    <w:rPr>
                      <w:rFonts w:ascii="Calibri" w:eastAsia="Calibri" w:hAnsi="Calibri"/>
                      <w:i/>
                      <w:iCs/>
                      <w:color w:val="000000" w:themeColor="text1"/>
                      <w:kern w:val="0"/>
                      <w:sz w:val="22"/>
                      <w:lang w:eastAsia="en-US"/>
                      <w14:ligatures w14:val="none"/>
                    </w:rPr>
                    <w:t>Cities</w:t>
                  </w:r>
                  <w:r w:rsidRPr="00385BF8">
                    <w:rPr>
                      <w:rFonts w:ascii="Calibri" w:eastAsia="Calibri" w:hAnsi="Calibri"/>
                      <w:color w:val="000000" w:themeColor="text1"/>
                      <w:kern w:val="0"/>
                      <w:sz w:val="22"/>
                      <w:lang w:eastAsia="en-US"/>
                      <w14:ligatures w14:val="none"/>
                    </w:rPr>
                    <w:t xml:space="preserve">, 141, 104480. Available at: </w:t>
                  </w:r>
                  <w:hyperlink r:id="rId24" w:history="1">
                    <w:r w:rsidRPr="00385BF8">
                      <w:rPr>
                        <w:rFonts w:ascii="Calibri" w:eastAsia="Calibri" w:hAnsi="Calibri"/>
                        <w:color w:val="000000" w:themeColor="text1"/>
                        <w:kern w:val="0"/>
                        <w:sz w:val="22"/>
                        <w:u w:val="single"/>
                        <w:lang w:eastAsia="en-US"/>
                        <w14:ligatures w14:val="none"/>
                      </w:rPr>
                      <w:t>https://www.sciencedirect.com/science/article/pii/S0264275123002925</w:t>
                    </w:r>
                  </w:hyperlink>
                  <w:r w:rsidRPr="00385BF8">
                    <w:rPr>
                      <w:rFonts w:ascii="Calibri" w:eastAsia="Calibri" w:hAnsi="Calibri"/>
                      <w:color w:val="000000" w:themeColor="text1"/>
                      <w:kern w:val="0"/>
                      <w:sz w:val="22"/>
                      <w:lang w:eastAsia="en-US"/>
                      <w14:ligatures w14:val="none"/>
                    </w:rPr>
                    <w:t xml:space="preserve"> </w:t>
                  </w:r>
                </w:p>
                <w:p w14:paraId="6CE53F53" w14:textId="77777777" w:rsidR="00385BF8" w:rsidRPr="00385BF8"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Cross, R. (2020) ‘Understanding the importance of concepts of health’, </w:t>
                  </w:r>
                  <w:r w:rsidRPr="00385BF8">
                    <w:rPr>
                      <w:rFonts w:ascii="Calibri" w:eastAsia="Calibri" w:hAnsi="Calibri"/>
                      <w:i/>
                      <w:iCs/>
                      <w:color w:val="000000" w:themeColor="text1"/>
                      <w:kern w:val="0"/>
                      <w:sz w:val="22"/>
                      <w:lang w:eastAsia="en-US"/>
                      <w14:ligatures w14:val="none"/>
                    </w:rPr>
                    <w:t>Nursing Standard</w:t>
                  </w:r>
                  <w:r w:rsidRPr="00385BF8">
                    <w:rPr>
                      <w:rFonts w:ascii="Calibri" w:eastAsia="Calibri" w:hAnsi="Calibri"/>
                      <w:color w:val="000000" w:themeColor="text1"/>
                      <w:kern w:val="0"/>
                      <w:sz w:val="22"/>
                      <w:lang w:eastAsia="en-US"/>
                      <w14:ligatures w14:val="none"/>
                    </w:rPr>
                    <w:t xml:space="preserve">, 35(12), pp. 61-65. Available at: </w:t>
                  </w:r>
                  <w:hyperlink r:id="rId25" w:history="1">
                    <w:r w:rsidRPr="00385BF8">
                      <w:rPr>
                        <w:rFonts w:ascii="Calibri" w:eastAsia="Calibri" w:hAnsi="Calibri"/>
                        <w:color w:val="000000" w:themeColor="text1"/>
                        <w:kern w:val="0"/>
                        <w:sz w:val="22"/>
                        <w:u w:val="single"/>
                        <w:lang w:eastAsia="en-US"/>
                        <w14:ligatures w14:val="none"/>
                      </w:rPr>
                      <w:t>https://journals.rcni.com/nursing-standard/evidence-and-practice/understanding-the-importance-of-concepts-of-health-ns.2020.e11539/print/full</w:t>
                    </w:r>
                  </w:hyperlink>
                  <w:r w:rsidRPr="00385BF8">
                    <w:rPr>
                      <w:rFonts w:ascii="Calibri" w:eastAsia="Calibri" w:hAnsi="Calibri"/>
                      <w:color w:val="auto"/>
                      <w:kern w:val="0"/>
                      <w:sz w:val="22"/>
                      <w:lang w:eastAsia="en-US"/>
                      <w14:ligatures w14:val="none"/>
                    </w:rPr>
                    <w:t xml:space="preserve">. </w:t>
                  </w:r>
                </w:p>
                <w:p w14:paraId="31BB4498" w14:textId="77777777" w:rsidR="00385BF8" w:rsidRPr="00385BF8"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auto"/>
                      <w:kern w:val="0"/>
                      <w:sz w:val="22"/>
                      <w:lang w:eastAsia="en-US"/>
                      <w14:ligatures w14:val="none"/>
                    </w:rPr>
                    <w:t xml:space="preserve">Cross. R. and Woodall, J. (2024) </w:t>
                  </w:r>
                  <w:r w:rsidRPr="00385BF8">
                    <w:rPr>
                      <w:rFonts w:ascii="Calibri" w:eastAsia="Calibri" w:hAnsi="Calibri"/>
                      <w:i/>
                      <w:iCs/>
                      <w:color w:val="auto"/>
                      <w:kern w:val="0"/>
                      <w:sz w:val="22"/>
                      <w:lang w:eastAsia="en-US"/>
                      <w14:ligatures w14:val="none"/>
                    </w:rPr>
                    <w:t>Green &amp; Tones’ Health Promotion Planning and Strategies</w:t>
                  </w:r>
                  <w:r w:rsidRPr="00385BF8">
                    <w:rPr>
                      <w:rFonts w:ascii="Calibri" w:eastAsia="Calibri" w:hAnsi="Calibri"/>
                      <w:color w:val="auto"/>
                      <w:kern w:val="0"/>
                      <w:sz w:val="22"/>
                      <w:lang w:eastAsia="en-US"/>
                      <w14:ligatures w14:val="none"/>
                    </w:rPr>
                    <w:t>. 5</w:t>
                  </w:r>
                  <w:r w:rsidRPr="00385BF8">
                    <w:rPr>
                      <w:rFonts w:ascii="Calibri" w:eastAsia="Calibri" w:hAnsi="Calibri"/>
                      <w:color w:val="auto"/>
                      <w:kern w:val="0"/>
                      <w:sz w:val="22"/>
                      <w:vertAlign w:val="superscript"/>
                      <w:lang w:eastAsia="en-US"/>
                      <w14:ligatures w14:val="none"/>
                    </w:rPr>
                    <w:t>th</w:t>
                  </w:r>
                  <w:r w:rsidRPr="00385BF8">
                    <w:rPr>
                      <w:rFonts w:ascii="Calibri" w:eastAsia="Calibri" w:hAnsi="Calibri"/>
                      <w:color w:val="auto"/>
                      <w:kern w:val="0"/>
                      <w:sz w:val="22"/>
                      <w:lang w:eastAsia="en-US"/>
                      <w14:ligatures w14:val="none"/>
                    </w:rPr>
                    <w:t xml:space="preserve"> </w:t>
                  </w:r>
                  <w:proofErr w:type="spellStart"/>
                  <w:r w:rsidRPr="00385BF8">
                    <w:rPr>
                      <w:rFonts w:ascii="Calibri" w:eastAsia="Calibri" w:hAnsi="Calibri"/>
                      <w:color w:val="auto"/>
                      <w:kern w:val="0"/>
                      <w:sz w:val="22"/>
                      <w:lang w:eastAsia="en-US"/>
                      <w14:ligatures w14:val="none"/>
                    </w:rPr>
                    <w:t>edn</w:t>
                  </w:r>
                  <w:proofErr w:type="spellEnd"/>
                  <w:r w:rsidRPr="00385BF8">
                    <w:rPr>
                      <w:rFonts w:ascii="Calibri" w:eastAsia="Calibri" w:hAnsi="Calibri"/>
                      <w:color w:val="auto"/>
                      <w:kern w:val="0"/>
                      <w:sz w:val="22"/>
                      <w:lang w:eastAsia="en-US"/>
                      <w14:ligatures w14:val="none"/>
                    </w:rPr>
                    <w:t>. London: Sage.</w:t>
                  </w:r>
                </w:p>
                <w:p w14:paraId="7843555B"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auto"/>
                      <w:kern w:val="0"/>
                      <w:sz w:val="22"/>
                      <w:lang w:eastAsia="en-US"/>
                      <w14:ligatures w14:val="none"/>
                    </w:rPr>
                    <w:t xml:space="preserve">Department of Health (2025) </w:t>
                  </w:r>
                  <w:r w:rsidRPr="00385BF8">
                    <w:rPr>
                      <w:rFonts w:ascii="Calibri" w:eastAsia="Calibri" w:hAnsi="Calibri"/>
                      <w:i/>
                      <w:iCs/>
                      <w:color w:val="auto"/>
                      <w:kern w:val="0"/>
                      <w:sz w:val="22"/>
                      <w:lang w:eastAsia="en-US"/>
                      <w14:ligatures w14:val="none"/>
                    </w:rPr>
                    <w:t>Change NHS</w:t>
                  </w:r>
                  <w:r w:rsidRPr="00385BF8">
                    <w:rPr>
                      <w:rFonts w:ascii="Calibri" w:eastAsia="Calibri" w:hAnsi="Calibri"/>
                      <w:color w:val="auto"/>
                      <w:kern w:val="0"/>
                      <w:sz w:val="22"/>
                      <w:lang w:eastAsia="en-US"/>
                      <w14:ligatures w14:val="none"/>
                    </w:rPr>
                    <w:t>.</w:t>
                  </w:r>
                  <w:r w:rsidRPr="00385BF8">
                    <w:rPr>
                      <w:rFonts w:ascii="Calibri" w:eastAsia="Calibri" w:hAnsi="Calibri"/>
                      <w:i/>
                      <w:iCs/>
                      <w:color w:val="auto"/>
                      <w:kern w:val="0"/>
                      <w:sz w:val="22"/>
                      <w:lang w:eastAsia="en-US"/>
                      <w14:ligatures w14:val="none"/>
                    </w:rPr>
                    <w:t xml:space="preserve"> </w:t>
                  </w:r>
                  <w:r w:rsidRPr="00385BF8">
                    <w:rPr>
                      <w:rFonts w:ascii="Calibri" w:eastAsia="Calibri" w:hAnsi="Calibri"/>
                      <w:color w:val="auto"/>
                      <w:kern w:val="0"/>
                      <w:sz w:val="22"/>
                      <w:lang w:eastAsia="en-US"/>
                      <w14:ligatures w14:val="none"/>
                    </w:rPr>
                    <w:t xml:space="preserve"> </w:t>
                  </w:r>
                  <w:r w:rsidRPr="00385BF8">
                    <w:rPr>
                      <w:rFonts w:ascii="Calibri" w:eastAsia="Calibri" w:hAnsi="Calibri"/>
                      <w:color w:val="000000" w:themeColor="text1"/>
                      <w:kern w:val="0"/>
                      <w:sz w:val="22"/>
                      <w:lang w:eastAsia="en-US"/>
                      <w14:ligatures w14:val="none"/>
                    </w:rPr>
                    <w:t xml:space="preserve">Available at: </w:t>
                  </w:r>
                  <w:hyperlink r:id="rId26" w:history="1">
                    <w:r w:rsidRPr="00385BF8">
                      <w:rPr>
                        <w:rFonts w:ascii="Calibri" w:eastAsia="Calibri" w:hAnsi="Calibri"/>
                        <w:color w:val="000000" w:themeColor="text1"/>
                        <w:kern w:val="0"/>
                        <w:sz w:val="22"/>
                        <w:u w:val="single"/>
                        <w:lang w:eastAsia="en-US"/>
                        <w14:ligatures w14:val="none"/>
                      </w:rPr>
                      <w:t>https://change.nhs.uk/en-GB/</w:t>
                    </w:r>
                  </w:hyperlink>
                  <w:r w:rsidRPr="00385BF8">
                    <w:rPr>
                      <w:rFonts w:ascii="Calibri" w:eastAsia="Calibri" w:hAnsi="Calibri"/>
                      <w:color w:val="000000" w:themeColor="text1"/>
                      <w:kern w:val="0"/>
                      <w:sz w:val="22"/>
                      <w:lang w:eastAsia="en-US"/>
                      <w14:ligatures w14:val="none"/>
                    </w:rPr>
                    <w:t xml:space="preserve"> (Accessed on 24 April 2025).</w:t>
                  </w:r>
                </w:p>
                <w:p w14:paraId="4A2E719A"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Department of Health (2013) </w:t>
                  </w:r>
                  <w:r w:rsidRPr="00385BF8">
                    <w:rPr>
                      <w:rFonts w:ascii="Calibri" w:eastAsia="Calibri" w:hAnsi="Calibri"/>
                      <w:i/>
                      <w:iCs/>
                      <w:color w:val="000000" w:themeColor="text1"/>
                      <w:kern w:val="0"/>
                      <w:sz w:val="22"/>
                      <w:lang w:eastAsia="en-US"/>
                      <w14:ligatures w14:val="none"/>
                    </w:rPr>
                    <w:t>Wellbeing and Health</w:t>
                  </w:r>
                  <w:r w:rsidRPr="00385BF8">
                    <w:rPr>
                      <w:rFonts w:ascii="Calibri" w:eastAsia="Calibri" w:hAnsi="Calibri"/>
                      <w:color w:val="000000" w:themeColor="text1"/>
                      <w:kern w:val="0"/>
                      <w:sz w:val="22"/>
                      <w:lang w:eastAsia="en-US"/>
                      <w14:ligatures w14:val="none"/>
                    </w:rPr>
                    <w:t xml:space="preserve">. Available at: </w:t>
                  </w:r>
                  <w:hyperlink r:id="rId27" w:history="1">
                    <w:r w:rsidRPr="00385BF8">
                      <w:rPr>
                        <w:rFonts w:ascii="Calibri" w:eastAsia="Calibri" w:hAnsi="Calibri"/>
                        <w:color w:val="000000" w:themeColor="text1"/>
                        <w:kern w:val="0"/>
                        <w:sz w:val="22"/>
                        <w:u w:val="single"/>
                        <w:lang w:eastAsia="en-US"/>
                        <w14:ligatures w14:val="none"/>
                      </w:rPr>
                      <w:t>https://assets.publishing.service.gov.uk/media/5a7c551ae5274a2041cf34cc/DH_wellbeing_health.PDF</w:t>
                    </w:r>
                  </w:hyperlink>
                  <w:r w:rsidRPr="00385BF8">
                    <w:rPr>
                      <w:rFonts w:ascii="Calibri" w:eastAsia="Calibri" w:hAnsi="Calibri"/>
                      <w:color w:val="000000" w:themeColor="text1"/>
                      <w:kern w:val="0"/>
                      <w:sz w:val="22"/>
                      <w:lang w:eastAsia="en-US"/>
                      <w14:ligatures w14:val="none"/>
                    </w:rPr>
                    <w:t xml:space="preserve"> (Accessed on 4 April 2025).</w:t>
                  </w:r>
                </w:p>
                <w:p w14:paraId="72C9105C"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Department of Nutrition &amp; Dietetics, Swansea Bay University Health Board (2023) </w:t>
                  </w:r>
                  <w:r w:rsidRPr="00385BF8">
                    <w:rPr>
                      <w:rFonts w:ascii="Calibri" w:eastAsia="Calibri" w:hAnsi="Calibri"/>
                      <w:i/>
                      <w:iCs/>
                      <w:color w:val="000000" w:themeColor="text1"/>
                      <w:kern w:val="0"/>
                      <w:sz w:val="22"/>
                      <w:lang w:eastAsia="en-US"/>
                      <w14:ligatures w14:val="none"/>
                    </w:rPr>
                    <w:t>Nutrition Support Pathway for the Management of Malnutrition in the Community &amp; Care Homes</w:t>
                  </w:r>
                  <w:r w:rsidRPr="00385BF8">
                    <w:rPr>
                      <w:rFonts w:ascii="Calibri" w:eastAsia="Calibri" w:hAnsi="Calibri"/>
                      <w:color w:val="000000" w:themeColor="text1"/>
                      <w:kern w:val="0"/>
                      <w:sz w:val="22"/>
                      <w:lang w:eastAsia="en-US"/>
                      <w14:ligatures w14:val="none"/>
                    </w:rPr>
                    <w:t>. 2nd Edition.</w:t>
                  </w:r>
                </w:p>
                <w:p w14:paraId="26859D73"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Dhalgren</w:t>
                  </w:r>
                  <w:proofErr w:type="spellEnd"/>
                  <w:r w:rsidRPr="00385BF8">
                    <w:rPr>
                      <w:rFonts w:ascii="Calibri" w:eastAsia="Calibri" w:hAnsi="Calibri"/>
                      <w:color w:val="000000" w:themeColor="text1"/>
                      <w:kern w:val="0"/>
                      <w:sz w:val="22"/>
                      <w:lang w:eastAsia="en-US"/>
                      <w14:ligatures w14:val="none"/>
                    </w:rPr>
                    <w:t xml:space="preserve">, G. and Whitehead, M. (2021) ‘The </w:t>
                  </w:r>
                  <w:proofErr w:type="spellStart"/>
                  <w:r w:rsidRPr="00385BF8">
                    <w:rPr>
                      <w:rFonts w:ascii="Calibri" w:eastAsia="Calibri" w:hAnsi="Calibri"/>
                      <w:color w:val="000000" w:themeColor="text1"/>
                      <w:kern w:val="0"/>
                      <w:sz w:val="22"/>
                      <w:lang w:eastAsia="en-US"/>
                      <w14:ligatures w14:val="none"/>
                    </w:rPr>
                    <w:t>Dhalgren</w:t>
                  </w:r>
                  <w:proofErr w:type="spellEnd"/>
                  <w:r w:rsidRPr="00385BF8">
                    <w:rPr>
                      <w:rFonts w:ascii="Calibri" w:eastAsia="Calibri" w:hAnsi="Calibri"/>
                      <w:color w:val="000000" w:themeColor="text1"/>
                      <w:kern w:val="0"/>
                      <w:sz w:val="22"/>
                      <w:lang w:eastAsia="en-US"/>
                      <w14:ligatures w14:val="none"/>
                    </w:rPr>
                    <w:t xml:space="preserve">-Whitehead model of health determinants: 30 years on and still chasing rainbows’, </w:t>
                  </w:r>
                  <w:r w:rsidRPr="00385BF8">
                    <w:rPr>
                      <w:rFonts w:ascii="Calibri" w:eastAsia="Calibri" w:hAnsi="Calibri"/>
                      <w:i/>
                      <w:iCs/>
                      <w:color w:val="000000" w:themeColor="text1"/>
                      <w:kern w:val="0"/>
                      <w:sz w:val="22"/>
                      <w:lang w:eastAsia="en-US"/>
                      <w14:ligatures w14:val="none"/>
                    </w:rPr>
                    <w:t xml:space="preserve">Public Health, </w:t>
                  </w:r>
                  <w:r w:rsidRPr="00385BF8">
                    <w:rPr>
                      <w:rFonts w:ascii="Calibri" w:eastAsia="Calibri" w:hAnsi="Calibri"/>
                      <w:color w:val="000000" w:themeColor="text1"/>
                      <w:kern w:val="0"/>
                      <w:sz w:val="22"/>
                      <w:lang w:eastAsia="en-US"/>
                      <w14:ligatures w14:val="none"/>
                    </w:rPr>
                    <w:t xml:space="preserve">199, pp 20-24. Available at: </w:t>
                  </w:r>
                  <w:hyperlink r:id="rId28" w:history="1">
                    <w:r w:rsidRPr="00385BF8">
                      <w:rPr>
                        <w:rFonts w:ascii="Calibri" w:eastAsia="Calibri" w:hAnsi="Calibri"/>
                        <w:color w:val="000000" w:themeColor="text1"/>
                        <w:kern w:val="0"/>
                        <w:sz w:val="22"/>
                        <w:u w:val="single"/>
                        <w:lang w:eastAsia="en-US"/>
                        <w14:ligatures w14:val="none"/>
                      </w:rPr>
                      <w:t>https://elevateni.org/app/uploads/2022/03/Dalgren-Whitehead-model-of-health-determinants-30-years-on-and-still-chasing-rainbows.pdf</w:t>
                    </w:r>
                  </w:hyperlink>
                  <w:r w:rsidRPr="00385BF8">
                    <w:rPr>
                      <w:rFonts w:ascii="Calibri" w:eastAsia="Calibri" w:hAnsi="Calibri"/>
                      <w:color w:val="000000" w:themeColor="text1"/>
                      <w:kern w:val="0"/>
                      <w:sz w:val="22"/>
                      <w:lang w:eastAsia="en-US"/>
                      <w14:ligatures w14:val="none"/>
                    </w:rPr>
                    <w:t xml:space="preserve"> </w:t>
                  </w:r>
                </w:p>
                <w:p w14:paraId="6EF5FA59"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Evans, D., </w:t>
                  </w:r>
                  <w:proofErr w:type="spellStart"/>
                  <w:r w:rsidRPr="00385BF8">
                    <w:rPr>
                      <w:rFonts w:ascii="Calibri" w:eastAsia="Calibri" w:hAnsi="Calibri"/>
                      <w:color w:val="000000" w:themeColor="text1"/>
                      <w:kern w:val="0"/>
                      <w:sz w:val="22"/>
                      <w:lang w:eastAsia="en-US"/>
                      <w14:ligatures w14:val="none"/>
                    </w:rPr>
                    <w:t>Coutsaftiki</w:t>
                  </w:r>
                  <w:proofErr w:type="spellEnd"/>
                  <w:r w:rsidRPr="00385BF8">
                    <w:rPr>
                      <w:rFonts w:ascii="Calibri" w:eastAsia="Calibri" w:hAnsi="Calibri"/>
                      <w:color w:val="000000" w:themeColor="text1"/>
                      <w:kern w:val="0"/>
                      <w:sz w:val="22"/>
                      <w:lang w:eastAsia="en-US"/>
                      <w14:ligatures w14:val="none"/>
                    </w:rPr>
                    <w:t xml:space="preserve">, D. and Fathers, C. P. (2017) </w:t>
                  </w:r>
                  <w:r w:rsidRPr="00385BF8">
                    <w:rPr>
                      <w:rFonts w:ascii="Calibri" w:eastAsia="Calibri" w:hAnsi="Calibri"/>
                      <w:i/>
                      <w:iCs/>
                      <w:color w:val="000000" w:themeColor="text1"/>
                      <w:kern w:val="0"/>
                      <w:sz w:val="22"/>
                      <w:lang w:eastAsia="en-US"/>
                      <w14:ligatures w14:val="none"/>
                    </w:rPr>
                    <w:t>Health Promotion and Public Health for Nursing Students</w:t>
                  </w:r>
                  <w:r w:rsidRPr="00385BF8">
                    <w:rPr>
                      <w:rFonts w:ascii="Calibri" w:eastAsia="Calibri" w:hAnsi="Calibri"/>
                      <w:color w:val="000000" w:themeColor="text1"/>
                      <w:kern w:val="0"/>
                      <w:sz w:val="22"/>
                      <w:lang w:eastAsia="en-US"/>
                      <w14:ligatures w14:val="none"/>
                    </w:rPr>
                    <w:t xml:space="preserve">. 3rd </w:t>
                  </w:r>
                  <w:proofErr w:type="spellStart"/>
                  <w:r w:rsidRPr="00385BF8">
                    <w:rPr>
                      <w:rFonts w:ascii="Calibri" w:eastAsia="Calibri" w:hAnsi="Calibri"/>
                      <w:color w:val="000000" w:themeColor="text1"/>
                      <w:kern w:val="0"/>
                      <w:sz w:val="22"/>
                      <w:lang w:eastAsia="en-US"/>
                      <w14:ligatures w14:val="none"/>
                    </w:rPr>
                    <w:t>edn</w:t>
                  </w:r>
                  <w:proofErr w:type="spellEnd"/>
                  <w:r w:rsidRPr="00385BF8">
                    <w:rPr>
                      <w:rFonts w:ascii="Calibri" w:eastAsia="Calibri" w:hAnsi="Calibri"/>
                      <w:color w:val="000000" w:themeColor="text1"/>
                      <w:kern w:val="0"/>
                      <w:sz w:val="22"/>
                      <w:lang w:eastAsia="en-US"/>
                      <w14:ligatures w14:val="none"/>
                    </w:rPr>
                    <w:t xml:space="preserve">. London: Sage Publications Ltd. </w:t>
                  </w:r>
                </w:p>
                <w:p w14:paraId="6D9223A9" w14:textId="77777777" w:rsidR="00385BF8" w:rsidRPr="00385BF8" w:rsidRDefault="00385BF8" w:rsidP="00385BF8">
                  <w:pPr>
                    <w:spacing w:after="160" w:line="259" w:lineRule="auto"/>
                    <w:ind w:left="0" w:firstLine="0"/>
                    <w:rPr>
                      <w:rFonts w:ascii="Calibri" w:eastAsia="Calibri" w:hAnsi="Calibri"/>
                      <w:color w:val="auto"/>
                      <w:kern w:val="0"/>
                      <w:sz w:val="22"/>
                      <w:lang w:eastAsia="en-US"/>
                      <w14:ligatures w14:val="none"/>
                    </w:rPr>
                  </w:pPr>
                </w:p>
                <w:p w14:paraId="1A6F0A00"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lastRenderedPageBreak/>
                    <w:t xml:space="preserve">Faculty of Public Health (2025) </w:t>
                  </w:r>
                  <w:r w:rsidRPr="00385BF8">
                    <w:rPr>
                      <w:rFonts w:ascii="Calibri" w:eastAsia="Calibri" w:hAnsi="Calibri"/>
                      <w:i/>
                      <w:iCs/>
                      <w:color w:val="000000" w:themeColor="text1"/>
                      <w:kern w:val="0"/>
                      <w:sz w:val="22"/>
                      <w:lang w:eastAsia="en-US"/>
                      <w14:ligatures w14:val="none"/>
                    </w:rPr>
                    <w:t>Key areas of work in public health</w:t>
                  </w:r>
                  <w:r w:rsidRPr="00385BF8">
                    <w:rPr>
                      <w:rFonts w:ascii="Calibri" w:eastAsia="Calibri" w:hAnsi="Calibri"/>
                      <w:color w:val="000000" w:themeColor="text1"/>
                      <w:kern w:val="0"/>
                      <w:sz w:val="22"/>
                      <w:lang w:eastAsia="en-US"/>
                      <w14:ligatures w14:val="none"/>
                    </w:rPr>
                    <w:t xml:space="preserve">. Available at: </w:t>
                  </w:r>
                  <w:hyperlink r:id="rId29" w:history="1">
                    <w:r w:rsidRPr="00385BF8">
                      <w:rPr>
                        <w:rFonts w:ascii="Calibri" w:eastAsia="Calibri" w:hAnsi="Calibri"/>
                        <w:color w:val="000000" w:themeColor="text1"/>
                        <w:kern w:val="0"/>
                        <w:sz w:val="22"/>
                        <w:u w:val="single"/>
                        <w:lang w:eastAsia="en-US"/>
                        <w14:ligatures w14:val="none"/>
                      </w:rPr>
                      <w:t>https://www.fph.org.uk/what-is-public-health/key-areas-of-work-in-public-health/</w:t>
                    </w:r>
                  </w:hyperlink>
                  <w:r w:rsidRPr="00385BF8">
                    <w:rPr>
                      <w:rFonts w:ascii="Calibri" w:eastAsia="Calibri" w:hAnsi="Calibri"/>
                      <w:color w:val="000000" w:themeColor="text1"/>
                      <w:kern w:val="0"/>
                      <w:sz w:val="22"/>
                      <w:lang w:eastAsia="en-US"/>
                      <w14:ligatures w14:val="none"/>
                    </w:rPr>
                    <w:t xml:space="preserve"> (Accessed on 24 April 2025).</w:t>
                  </w:r>
                </w:p>
                <w:p w14:paraId="30DF625D"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Faculty of Public Health (2025</w:t>
                  </w:r>
                  <w:proofErr w:type="gramStart"/>
                  <w:r w:rsidRPr="00385BF8">
                    <w:rPr>
                      <w:rFonts w:ascii="Calibri" w:eastAsia="Calibri" w:hAnsi="Calibri"/>
                      <w:color w:val="000000" w:themeColor="text1"/>
                      <w:kern w:val="0"/>
                      <w:sz w:val="22"/>
                      <w:lang w:eastAsia="en-US"/>
                      <w14:ligatures w14:val="none"/>
                    </w:rPr>
                    <w:t xml:space="preserve">) </w:t>
                  </w:r>
                  <w:r w:rsidRPr="00385BF8">
                    <w:rPr>
                      <w:rFonts w:ascii="Calibri" w:eastAsia="Calibri" w:hAnsi="Calibri"/>
                      <w:i/>
                      <w:iCs/>
                      <w:color w:val="000000" w:themeColor="text1"/>
                      <w:kern w:val="0"/>
                      <w:sz w:val="22"/>
                      <w:lang w:eastAsia="en-US"/>
                      <w14:ligatures w14:val="none"/>
                    </w:rPr>
                    <w:t xml:space="preserve"> What</w:t>
                  </w:r>
                  <w:proofErr w:type="gramEnd"/>
                  <w:r w:rsidRPr="00385BF8">
                    <w:rPr>
                      <w:rFonts w:ascii="Calibri" w:eastAsia="Calibri" w:hAnsi="Calibri"/>
                      <w:i/>
                      <w:iCs/>
                      <w:color w:val="000000" w:themeColor="text1"/>
                      <w:kern w:val="0"/>
                      <w:sz w:val="22"/>
                      <w:lang w:eastAsia="en-US"/>
                      <w14:ligatures w14:val="none"/>
                    </w:rPr>
                    <w:t xml:space="preserve"> is Public Health?</w:t>
                  </w:r>
                  <w:r w:rsidRPr="00385BF8">
                    <w:rPr>
                      <w:rFonts w:ascii="Calibri" w:eastAsia="Calibri" w:hAnsi="Calibri"/>
                      <w:color w:val="000000" w:themeColor="text1"/>
                      <w:kern w:val="0"/>
                      <w:sz w:val="22"/>
                      <w:lang w:eastAsia="en-US"/>
                      <w14:ligatures w14:val="none"/>
                    </w:rPr>
                    <w:t xml:space="preserve"> Available at: </w:t>
                  </w:r>
                  <w:hyperlink r:id="rId30" w:history="1">
                    <w:r w:rsidRPr="00385BF8">
                      <w:rPr>
                        <w:rFonts w:ascii="Calibri" w:eastAsia="Calibri" w:hAnsi="Calibri"/>
                        <w:color w:val="000000" w:themeColor="text1"/>
                        <w:kern w:val="0"/>
                        <w:sz w:val="22"/>
                        <w:u w:val="single"/>
                        <w:lang w:eastAsia="en-US"/>
                        <w14:ligatures w14:val="none"/>
                      </w:rPr>
                      <w:t>https://www.fph.org.uk/what-is-public-health/</w:t>
                    </w:r>
                  </w:hyperlink>
                  <w:r w:rsidRPr="00385BF8">
                    <w:rPr>
                      <w:rFonts w:ascii="Calibri" w:eastAsia="Calibri" w:hAnsi="Calibri"/>
                      <w:color w:val="000000" w:themeColor="text1"/>
                      <w:kern w:val="0"/>
                      <w:sz w:val="22"/>
                      <w:lang w:eastAsia="en-US"/>
                      <w14:ligatures w14:val="none"/>
                    </w:rPr>
                    <w:t xml:space="preserve"> (Accessed on 24 April 2025).</w:t>
                  </w:r>
                </w:p>
                <w:p w14:paraId="04CD64C1"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Glick, A. A., </w:t>
                  </w:r>
                  <w:proofErr w:type="spellStart"/>
                  <w:r w:rsidRPr="00385BF8">
                    <w:rPr>
                      <w:rFonts w:ascii="Calibri" w:eastAsia="Calibri" w:hAnsi="Calibri"/>
                      <w:color w:val="000000" w:themeColor="text1"/>
                      <w:kern w:val="0"/>
                      <w:sz w:val="22"/>
                      <w:lang w:eastAsia="en-US"/>
                      <w14:ligatures w14:val="none"/>
                    </w:rPr>
                    <w:t>Winham</w:t>
                  </w:r>
                  <w:proofErr w:type="spellEnd"/>
                  <w:r w:rsidRPr="00385BF8">
                    <w:rPr>
                      <w:rFonts w:ascii="Calibri" w:eastAsia="Calibri" w:hAnsi="Calibri"/>
                      <w:color w:val="000000" w:themeColor="text1"/>
                      <w:kern w:val="0"/>
                      <w:sz w:val="22"/>
                      <w:lang w:eastAsia="en-US"/>
                      <w14:ligatures w14:val="none"/>
                    </w:rPr>
                    <w:t xml:space="preserve">, D.M., </w:t>
                  </w:r>
                  <w:proofErr w:type="spellStart"/>
                  <w:r w:rsidRPr="00385BF8">
                    <w:rPr>
                      <w:rFonts w:ascii="Calibri" w:eastAsia="Calibri" w:hAnsi="Calibri"/>
                      <w:color w:val="000000" w:themeColor="text1"/>
                      <w:kern w:val="0"/>
                      <w:sz w:val="22"/>
                      <w:lang w:eastAsia="en-US"/>
                      <w14:ligatures w14:val="none"/>
                    </w:rPr>
                    <w:t>Heer</w:t>
                  </w:r>
                  <w:proofErr w:type="spellEnd"/>
                  <w:r w:rsidRPr="00385BF8">
                    <w:rPr>
                      <w:rFonts w:ascii="Calibri" w:eastAsia="Calibri" w:hAnsi="Calibri"/>
                      <w:color w:val="000000" w:themeColor="text1"/>
                      <w:kern w:val="0"/>
                      <w:sz w:val="22"/>
                      <w:lang w:eastAsia="en-US"/>
                      <w14:ligatures w14:val="none"/>
                    </w:rPr>
                    <w:t xml:space="preserve">, M.M., Shelley, M.C. and Hutchins, A.M. (2024) ‘Health Belief Model Predicts Likelihood of Eating Nutrient-Rich Foods among U.S Adults,’ </w:t>
                  </w:r>
                  <w:r w:rsidRPr="00385BF8">
                    <w:rPr>
                      <w:rFonts w:ascii="Calibri" w:eastAsia="Calibri" w:hAnsi="Calibri"/>
                      <w:i/>
                      <w:iCs/>
                      <w:color w:val="000000" w:themeColor="text1"/>
                      <w:kern w:val="0"/>
                      <w:sz w:val="22"/>
                      <w:lang w:eastAsia="en-US"/>
                      <w14:ligatures w14:val="none"/>
                    </w:rPr>
                    <w:t xml:space="preserve">Nutrients, </w:t>
                  </w:r>
                  <w:r w:rsidRPr="00385BF8">
                    <w:rPr>
                      <w:rFonts w:ascii="Calibri" w:eastAsia="Calibri" w:hAnsi="Calibri"/>
                      <w:color w:val="000000" w:themeColor="text1"/>
                      <w:kern w:val="0"/>
                      <w:sz w:val="22"/>
                      <w:lang w:eastAsia="en-US"/>
                      <w14:ligatures w14:val="none"/>
                    </w:rPr>
                    <w:t xml:space="preserve">16(14), 2335.  Available at: </w:t>
                  </w:r>
                  <w:hyperlink r:id="rId31" w:history="1">
                    <w:r w:rsidRPr="00385BF8">
                      <w:rPr>
                        <w:rFonts w:ascii="Calibri" w:eastAsia="Calibri" w:hAnsi="Calibri"/>
                        <w:color w:val="000000" w:themeColor="text1"/>
                        <w:kern w:val="0"/>
                        <w:sz w:val="22"/>
                        <w:u w:val="single"/>
                        <w:lang w:eastAsia="en-US"/>
                        <w14:ligatures w14:val="none"/>
                      </w:rPr>
                      <w:t>https://www.mdpi.com/2072-6643/16/14/2335</w:t>
                    </w:r>
                  </w:hyperlink>
                  <w:r w:rsidRPr="00385BF8">
                    <w:rPr>
                      <w:rFonts w:ascii="Calibri" w:eastAsia="Calibri" w:hAnsi="Calibri"/>
                      <w:color w:val="000000" w:themeColor="text1"/>
                      <w:kern w:val="0"/>
                      <w:sz w:val="22"/>
                      <w:lang w:eastAsia="en-US"/>
                      <w14:ligatures w14:val="none"/>
                    </w:rPr>
                    <w:t xml:space="preserve">. </w:t>
                  </w:r>
                </w:p>
                <w:p w14:paraId="569EE0DB"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Gordillo, P. and Prescott, M.P. (2023) ‘Assessing the Use of Social Cognitive Theory Components in Cooking and Food Skills Interventions, </w:t>
                  </w:r>
                  <w:r w:rsidRPr="00385BF8">
                    <w:rPr>
                      <w:rFonts w:ascii="Calibri" w:eastAsia="Calibri" w:hAnsi="Calibri"/>
                      <w:i/>
                      <w:iCs/>
                      <w:color w:val="000000" w:themeColor="text1"/>
                      <w:kern w:val="0"/>
                      <w:sz w:val="22"/>
                      <w:lang w:eastAsia="en-US"/>
                      <w14:ligatures w14:val="none"/>
                    </w:rPr>
                    <w:t xml:space="preserve">Nutrients, </w:t>
                  </w:r>
                  <w:r w:rsidRPr="00385BF8">
                    <w:rPr>
                      <w:rFonts w:ascii="Calibri" w:eastAsia="Calibri" w:hAnsi="Calibri"/>
                      <w:color w:val="000000" w:themeColor="text1"/>
                      <w:kern w:val="0"/>
                      <w:sz w:val="22"/>
                      <w:lang w:eastAsia="en-US"/>
                      <w14:ligatures w14:val="none"/>
                    </w:rPr>
                    <w:t xml:space="preserve">15(5), pp1287. Available at: </w:t>
                  </w:r>
                  <w:hyperlink r:id="rId32" w:history="1">
                    <w:r w:rsidRPr="00385BF8">
                      <w:rPr>
                        <w:rFonts w:ascii="Calibri" w:eastAsia="Calibri" w:hAnsi="Calibri"/>
                        <w:color w:val="000000" w:themeColor="text1"/>
                        <w:kern w:val="0"/>
                        <w:sz w:val="22"/>
                        <w:u w:val="single"/>
                        <w:lang w:eastAsia="en-US"/>
                        <w14:ligatures w14:val="none"/>
                      </w:rPr>
                      <w:t>https://pubmed.ncbi.nlm.nih.gov/36904285/</w:t>
                    </w:r>
                  </w:hyperlink>
                  <w:r w:rsidRPr="00385BF8">
                    <w:rPr>
                      <w:rFonts w:ascii="Calibri" w:eastAsia="Calibri" w:hAnsi="Calibri"/>
                      <w:color w:val="000000" w:themeColor="text1"/>
                      <w:kern w:val="0"/>
                      <w:sz w:val="22"/>
                      <w:lang w:eastAsia="en-US"/>
                      <w14:ligatures w14:val="none"/>
                    </w:rPr>
                    <w:t xml:space="preserve"> </w:t>
                  </w:r>
                </w:p>
                <w:p w14:paraId="282519DC"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Hall, E., Chai, W., </w:t>
                  </w:r>
                  <w:proofErr w:type="spellStart"/>
                  <w:r w:rsidRPr="00385BF8">
                    <w:rPr>
                      <w:rFonts w:ascii="Calibri" w:eastAsia="Calibri" w:hAnsi="Calibri"/>
                      <w:color w:val="000000" w:themeColor="text1"/>
                      <w:kern w:val="0"/>
                      <w:sz w:val="22"/>
                      <w:lang w:eastAsia="en-US"/>
                      <w14:ligatures w14:val="none"/>
                    </w:rPr>
                    <w:t>Koszewski</w:t>
                  </w:r>
                  <w:proofErr w:type="spellEnd"/>
                  <w:r w:rsidRPr="00385BF8">
                    <w:rPr>
                      <w:rFonts w:ascii="Calibri" w:eastAsia="Calibri" w:hAnsi="Calibri"/>
                      <w:color w:val="000000" w:themeColor="text1"/>
                      <w:kern w:val="0"/>
                      <w:sz w:val="22"/>
                      <w:lang w:eastAsia="en-US"/>
                      <w14:ligatures w14:val="none"/>
                    </w:rPr>
                    <w:t xml:space="preserve">, W. and Albrecht, J. (2015) ‘Development and validation of a social cognitive theory-based survey for elementary nutrition education programme, </w:t>
                  </w:r>
                  <w:r w:rsidRPr="00385BF8">
                    <w:rPr>
                      <w:rFonts w:ascii="Calibri" w:eastAsia="Calibri" w:hAnsi="Calibri"/>
                      <w:i/>
                      <w:iCs/>
                      <w:color w:val="000000" w:themeColor="text1"/>
                      <w:kern w:val="0"/>
                      <w:sz w:val="22"/>
                      <w:lang w:eastAsia="en-US"/>
                      <w14:ligatures w14:val="none"/>
                    </w:rPr>
                    <w:t xml:space="preserve">International Journal of Behavioural Nutrition and Physical Activity, </w:t>
                  </w:r>
                  <w:proofErr w:type="spellStart"/>
                  <w:r w:rsidRPr="00385BF8">
                    <w:rPr>
                      <w:rFonts w:ascii="Calibri" w:eastAsia="Calibri" w:hAnsi="Calibri"/>
                      <w:color w:val="000000" w:themeColor="text1"/>
                      <w:kern w:val="0"/>
                      <w:sz w:val="22"/>
                      <w:lang w:eastAsia="en-US"/>
                      <w14:ligatures w14:val="none"/>
                    </w:rPr>
                    <w:t>doi</w:t>
                  </w:r>
                  <w:proofErr w:type="spellEnd"/>
                  <w:r w:rsidRPr="00385BF8">
                    <w:rPr>
                      <w:rFonts w:ascii="Calibri" w:eastAsia="Calibri" w:hAnsi="Calibri"/>
                      <w:color w:val="000000" w:themeColor="text1"/>
                      <w:kern w:val="0"/>
                      <w:sz w:val="22"/>
                      <w:lang w:eastAsia="en-US"/>
                      <w14:ligatures w14:val="none"/>
                    </w:rPr>
                    <w:t xml:space="preserve">: 10.1186/s12966-015-0206-4. Available at: </w:t>
                  </w:r>
                  <w:hyperlink r:id="rId33" w:history="1">
                    <w:r w:rsidRPr="00385BF8">
                      <w:rPr>
                        <w:rFonts w:ascii="Calibri" w:eastAsia="Calibri" w:hAnsi="Calibri"/>
                        <w:color w:val="000000" w:themeColor="text1"/>
                        <w:kern w:val="0"/>
                        <w:sz w:val="22"/>
                        <w:u w:val="single"/>
                        <w:lang w:eastAsia="en-US"/>
                        <w14:ligatures w14:val="none"/>
                      </w:rPr>
                      <w:t>https://pmc.ncbi.nlm.nih.gov/articles/PMC4403940/</w:t>
                    </w:r>
                  </w:hyperlink>
                  <w:r w:rsidRPr="00385BF8">
                    <w:rPr>
                      <w:rFonts w:ascii="Calibri" w:eastAsia="Calibri" w:hAnsi="Calibri"/>
                      <w:color w:val="000000" w:themeColor="text1"/>
                      <w:kern w:val="0"/>
                      <w:sz w:val="22"/>
                      <w:lang w:eastAsia="en-US"/>
                      <w14:ligatures w14:val="none"/>
                    </w:rPr>
                    <w:t xml:space="preserve">. </w:t>
                  </w:r>
                </w:p>
                <w:p w14:paraId="325DE0C5"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Health Education and Improvement Wales (2024) </w:t>
                  </w:r>
                  <w:r w:rsidRPr="00385BF8">
                    <w:rPr>
                      <w:rFonts w:ascii="Calibri" w:eastAsia="Calibri" w:hAnsi="Calibri"/>
                      <w:i/>
                      <w:iCs/>
                      <w:color w:val="000000" w:themeColor="text1"/>
                      <w:kern w:val="0"/>
                      <w:sz w:val="22"/>
                      <w:lang w:eastAsia="en-US"/>
                      <w14:ligatures w14:val="none"/>
                    </w:rPr>
                    <w:t xml:space="preserve">Staff Health and Wellbeing – A Best Practice Guide for NHS Wales. Relationships. </w:t>
                  </w:r>
                  <w:r w:rsidRPr="00385BF8">
                    <w:rPr>
                      <w:rFonts w:ascii="Calibri" w:eastAsia="Calibri" w:hAnsi="Calibri"/>
                      <w:color w:val="000000" w:themeColor="text1"/>
                      <w:kern w:val="0"/>
                      <w:sz w:val="22"/>
                      <w:lang w:eastAsia="en-US"/>
                      <w14:ligatures w14:val="none"/>
                    </w:rPr>
                    <w:t xml:space="preserve">Available at: </w:t>
                  </w:r>
                  <w:hyperlink r:id="rId34" w:history="1">
                    <w:r w:rsidRPr="00385BF8">
                      <w:rPr>
                        <w:rFonts w:ascii="Calibri" w:eastAsia="Calibri" w:hAnsi="Calibri"/>
                        <w:color w:val="000000" w:themeColor="text1"/>
                        <w:kern w:val="0"/>
                        <w:sz w:val="22"/>
                        <w:u w:val="single"/>
                        <w:lang w:eastAsia="en-US"/>
                        <w14:ligatures w14:val="none"/>
                      </w:rPr>
                      <w:t>https://nhswalesleadershipportal.heiw.wales/api/storage/fceb94d4-8de3-407e-9602-24c86eed8345/HWBBestPracticeGuide%20%28Relationships%29%20v2.pdf</w:t>
                    </w:r>
                  </w:hyperlink>
                  <w:r w:rsidRPr="00385BF8">
                    <w:rPr>
                      <w:rFonts w:ascii="Calibri" w:eastAsia="Calibri" w:hAnsi="Calibri"/>
                      <w:color w:val="000000" w:themeColor="text1"/>
                      <w:kern w:val="0"/>
                      <w:sz w:val="22"/>
                      <w:lang w:eastAsia="en-US"/>
                      <w14:ligatures w14:val="none"/>
                    </w:rPr>
                    <w:t xml:space="preserve"> (Accessed on 20 April 2025).</w:t>
                  </w:r>
                </w:p>
                <w:p w14:paraId="5684A2DB"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Hiam, L., Scholar, C., </w:t>
                  </w:r>
                  <w:proofErr w:type="spellStart"/>
                  <w:r w:rsidRPr="00385BF8">
                    <w:rPr>
                      <w:rFonts w:ascii="Calibri" w:eastAsia="Calibri" w:hAnsi="Calibri"/>
                      <w:color w:val="000000" w:themeColor="text1"/>
                      <w:kern w:val="0"/>
                      <w:sz w:val="22"/>
                      <w:lang w:eastAsia="en-US"/>
                      <w14:ligatures w14:val="none"/>
                    </w:rPr>
                    <w:t>Sowemimo</w:t>
                  </w:r>
                  <w:proofErr w:type="spellEnd"/>
                  <w:r w:rsidRPr="00385BF8">
                    <w:rPr>
                      <w:rFonts w:ascii="Calibri" w:eastAsia="Calibri" w:hAnsi="Calibri"/>
                      <w:color w:val="000000" w:themeColor="text1"/>
                      <w:kern w:val="0"/>
                      <w:sz w:val="22"/>
                      <w:lang w:eastAsia="en-US"/>
                      <w14:ligatures w14:val="none"/>
                    </w:rPr>
                    <w:t xml:space="preserve">, A. and Marmot, M. (2024) ‘NHS and the whole of society must act on social determinants of health for a healthier future’, </w:t>
                  </w:r>
                  <w:r w:rsidRPr="00385BF8">
                    <w:rPr>
                      <w:rFonts w:ascii="Calibri" w:eastAsia="Calibri" w:hAnsi="Calibri"/>
                      <w:i/>
                      <w:iCs/>
                      <w:color w:val="000000" w:themeColor="text1"/>
                      <w:kern w:val="0"/>
                      <w:sz w:val="22"/>
                      <w:lang w:eastAsia="en-US"/>
                      <w14:ligatures w14:val="none"/>
                    </w:rPr>
                    <w:t>BMJ,</w:t>
                  </w:r>
                  <w:r w:rsidRPr="00385BF8">
                    <w:rPr>
                      <w:rFonts w:ascii="Calibri" w:eastAsia="Calibri" w:hAnsi="Calibri"/>
                      <w:color w:val="000000" w:themeColor="text1"/>
                      <w:kern w:val="0"/>
                      <w:sz w:val="22"/>
                      <w:lang w:eastAsia="en-US"/>
                      <w14:ligatures w14:val="none"/>
                    </w:rPr>
                    <w:t xml:space="preserve"> </w:t>
                  </w:r>
                  <w:proofErr w:type="gramStart"/>
                  <w:r w:rsidRPr="00385BF8">
                    <w:rPr>
                      <w:rFonts w:ascii="Calibri" w:eastAsia="Calibri" w:hAnsi="Calibri"/>
                      <w:color w:val="000000" w:themeColor="text1"/>
                      <w:kern w:val="0"/>
                      <w:sz w:val="22"/>
                      <w:lang w:eastAsia="en-US"/>
                      <w14:ligatures w14:val="none"/>
                    </w:rPr>
                    <w:t>385:e</w:t>
                  </w:r>
                  <w:proofErr w:type="gramEnd"/>
                  <w:r w:rsidRPr="00385BF8">
                    <w:rPr>
                      <w:rFonts w:ascii="Calibri" w:eastAsia="Calibri" w:hAnsi="Calibri"/>
                      <w:color w:val="000000" w:themeColor="text1"/>
                      <w:kern w:val="0"/>
                      <w:sz w:val="22"/>
                      <w:lang w:eastAsia="en-US"/>
                      <w14:ligatures w14:val="none"/>
                    </w:rPr>
                    <w:t xml:space="preserve">079389. Available at: </w:t>
                  </w:r>
                  <w:hyperlink r:id="rId35" w:history="1">
                    <w:r w:rsidRPr="00385BF8">
                      <w:rPr>
                        <w:rFonts w:ascii="Calibri" w:eastAsia="Calibri" w:hAnsi="Calibri"/>
                        <w:color w:val="000000" w:themeColor="text1"/>
                        <w:kern w:val="0"/>
                        <w:sz w:val="22"/>
                        <w:u w:val="single"/>
                        <w:lang w:eastAsia="en-US"/>
                        <w14:ligatures w14:val="none"/>
                      </w:rPr>
                      <w:t>https://www.bmj.com/content/385/bmj-2024-079389</w:t>
                    </w:r>
                  </w:hyperlink>
                  <w:r w:rsidRPr="00385BF8">
                    <w:rPr>
                      <w:rFonts w:ascii="Calibri" w:eastAsia="Calibri" w:hAnsi="Calibri"/>
                      <w:color w:val="000000" w:themeColor="text1"/>
                      <w:kern w:val="0"/>
                      <w:sz w:val="22"/>
                      <w:lang w:eastAsia="en-US"/>
                      <w14:ligatures w14:val="none"/>
                    </w:rPr>
                    <w:t>.</w:t>
                  </w:r>
                </w:p>
                <w:p w14:paraId="39689BBA"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Holland-Hart, D.M., Addis, S. M., Edwards, A., </w:t>
                  </w:r>
                  <w:proofErr w:type="spellStart"/>
                  <w:r w:rsidRPr="00385BF8">
                    <w:rPr>
                      <w:rFonts w:ascii="Calibri" w:eastAsia="Calibri" w:hAnsi="Calibri"/>
                      <w:color w:val="000000" w:themeColor="text1"/>
                      <w:kern w:val="0"/>
                      <w:sz w:val="22"/>
                      <w:lang w:eastAsia="en-US"/>
                      <w14:ligatures w14:val="none"/>
                    </w:rPr>
                    <w:t>Kenkre</w:t>
                  </w:r>
                  <w:proofErr w:type="spellEnd"/>
                  <w:r w:rsidRPr="00385BF8">
                    <w:rPr>
                      <w:rFonts w:ascii="Calibri" w:eastAsia="Calibri" w:hAnsi="Calibri"/>
                      <w:color w:val="000000" w:themeColor="text1"/>
                      <w:kern w:val="0"/>
                      <w:sz w:val="22"/>
                      <w:lang w:eastAsia="en-US"/>
                      <w14:ligatures w14:val="none"/>
                    </w:rPr>
                    <w:t xml:space="preserve">, J.E. and Wood, F. (2018) ‘Coproduction and health: Public and clinicians’ </w:t>
                  </w:r>
                  <w:r w:rsidRPr="00385BF8">
                    <w:rPr>
                      <w:rFonts w:ascii="Calibri" w:eastAsia="Calibri" w:hAnsi="Calibri"/>
                      <w:color w:val="auto"/>
                      <w:kern w:val="0"/>
                      <w:sz w:val="22"/>
                      <w:lang w:eastAsia="en-US"/>
                      <w14:ligatures w14:val="none"/>
                    </w:rPr>
                    <w:t xml:space="preserve">perceptions of the barriers and facilitators, </w:t>
                  </w:r>
                  <w:r w:rsidRPr="00385BF8">
                    <w:rPr>
                      <w:rFonts w:ascii="Calibri" w:eastAsia="Calibri" w:hAnsi="Calibri"/>
                      <w:i/>
                      <w:iCs/>
                      <w:color w:val="auto"/>
                      <w:kern w:val="0"/>
                      <w:sz w:val="22"/>
                      <w:lang w:eastAsia="en-US"/>
                      <w14:ligatures w14:val="none"/>
                    </w:rPr>
                    <w:t xml:space="preserve">Health Expectations, </w:t>
                  </w:r>
                  <w:r w:rsidRPr="00385BF8">
                    <w:rPr>
                      <w:rFonts w:ascii="Calibri" w:eastAsia="Calibri" w:hAnsi="Calibri"/>
                      <w:color w:val="auto"/>
                      <w:kern w:val="0"/>
                      <w:sz w:val="22"/>
                      <w:lang w:eastAsia="en-US"/>
                      <w14:ligatures w14:val="none"/>
                    </w:rPr>
                    <w:t xml:space="preserve">22(1), pp 93-101. Available at: </w:t>
                  </w:r>
                  <w:hyperlink r:id="rId36" w:history="1">
                    <w:r w:rsidRPr="00385BF8">
                      <w:rPr>
                        <w:rFonts w:ascii="Calibri" w:eastAsia="Calibri" w:hAnsi="Calibri"/>
                        <w:color w:val="000000" w:themeColor="text1"/>
                        <w:kern w:val="0"/>
                        <w:sz w:val="22"/>
                        <w:u w:val="single"/>
                        <w:lang w:eastAsia="en-US"/>
                        <w14:ligatures w14:val="none"/>
                      </w:rPr>
                      <w:t>https://pubmed.ncbi.nlm.nih.gov/30289592/</w:t>
                    </w:r>
                  </w:hyperlink>
                  <w:r w:rsidRPr="00385BF8">
                    <w:rPr>
                      <w:rFonts w:ascii="Calibri" w:eastAsia="Calibri" w:hAnsi="Calibri"/>
                      <w:color w:val="000000" w:themeColor="text1"/>
                      <w:kern w:val="0"/>
                      <w:sz w:val="22"/>
                      <w:lang w:eastAsia="en-US"/>
                      <w14:ligatures w14:val="none"/>
                    </w:rPr>
                    <w:t xml:space="preserve"> </w:t>
                  </w:r>
                </w:p>
                <w:p w14:paraId="7D2B052F"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Improvement Cymru Academy (2025) </w:t>
                  </w:r>
                  <w:r w:rsidRPr="00385BF8">
                    <w:rPr>
                      <w:rFonts w:ascii="Calibri" w:eastAsia="Calibri" w:hAnsi="Calibri"/>
                      <w:i/>
                      <w:iCs/>
                      <w:color w:val="000000" w:themeColor="text1"/>
                      <w:kern w:val="0"/>
                      <w:sz w:val="22"/>
                      <w:lang w:eastAsia="en-US"/>
                      <w14:ligatures w14:val="none"/>
                    </w:rPr>
                    <w:t>Improvement Cymry Academy Toolkit Guide: Co-Production</w:t>
                  </w:r>
                  <w:r w:rsidRPr="00385BF8">
                    <w:rPr>
                      <w:rFonts w:ascii="Calibri" w:eastAsia="Calibri" w:hAnsi="Calibri"/>
                      <w:color w:val="000000" w:themeColor="text1"/>
                      <w:kern w:val="0"/>
                      <w:sz w:val="22"/>
                      <w:lang w:eastAsia="en-US"/>
                      <w14:ligatures w14:val="none"/>
                    </w:rPr>
                    <w:t xml:space="preserve">. Available at: </w:t>
                  </w:r>
                  <w:hyperlink r:id="rId37" w:history="1">
                    <w:r w:rsidRPr="00385BF8">
                      <w:rPr>
                        <w:rFonts w:ascii="Calibri" w:eastAsia="Calibri" w:hAnsi="Calibri"/>
                        <w:color w:val="000000" w:themeColor="text1"/>
                        <w:kern w:val="0"/>
                        <w:sz w:val="22"/>
                        <w:u w:val="single"/>
                        <w:lang w:eastAsia="en-US"/>
                        <w14:ligatures w14:val="none"/>
                      </w:rPr>
                      <w:t>https://phw.nhs.wales/services-and-teams/improvement-cymru/improvement-cymru-academy1/resource-library/academy-toolkit-guides/co-production-toolkit-guide/</w:t>
                    </w:r>
                  </w:hyperlink>
                  <w:r w:rsidRPr="00385BF8">
                    <w:rPr>
                      <w:rFonts w:ascii="Calibri" w:eastAsia="Calibri" w:hAnsi="Calibri"/>
                      <w:color w:val="000000" w:themeColor="text1"/>
                      <w:kern w:val="0"/>
                      <w:sz w:val="22"/>
                      <w:lang w:eastAsia="en-US"/>
                      <w14:ligatures w14:val="none"/>
                    </w:rPr>
                    <w:t xml:space="preserve"> (Accessed on 19 April 2025).</w:t>
                  </w:r>
                </w:p>
                <w:p w14:paraId="7672DB60"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Jiang, F., Liu, Y., Hu, J. and Chen, X. (2022), ‘Understanding Health Empowerment from the Perspective of Information Processing: Questionnaire Study’, </w:t>
                  </w:r>
                  <w:r w:rsidRPr="00385BF8">
                    <w:rPr>
                      <w:rFonts w:ascii="Calibri" w:eastAsia="Calibri" w:hAnsi="Calibri"/>
                      <w:i/>
                      <w:iCs/>
                      <w:color w:val="000000" w:themeColor="text1"/>
                      <w:kern w:val="0"/>
                      <w:sz w:val="22"/>
                      <w:lang w:eastAsia="en-US"/>
                      <w14:ligatures w14:val="none"/>
                    </w:rPr>
                    <w:t>Journal of Medical Internet Research,</w:t>
                  </w:r>
                  <w:r w:rsidRPr="00385BF8">
                    <w:rPr>
                      <w:rFonts w:ascii="Calibri" w:eastAsia="Calibri" w:hAnsi="Calibri"/>
                      <w:color w:val="000000" w:themeColor="text1"/>
                      <w:kern w:val="0"/>
                      <w:sz w:val="22"/>
                      <w:lang w:eastAsia="en-US"/>
                      <w14:ligatures w14:val="none"/>
                    </w:rPr>
                    <w:t xml:space="preserve"> 24(1), e27178.  Available at: </w:t>
                  </w:r>
                  <w:hyperlink r:id="rId38" w:history="1">
                    <w:r w:rsidRPr="00385BF8">
                      <w:rPr>
                        <w:rFonts w:ascii="Calibri" w:eastAsia="Calibri" w:hAnsi="Calibri"/>
                        <w:color w:val="000000" w:themeColor="text1"/>
                        <w:kern w:val="0"/>
                        <w:sz w:val="22"/>
                        <w:u w:val="single"/>
                        <w:lang w:eastAsia="en-US"/>
                        <w14:ligatures w14:val="none"/>
                      </w:rPr>
                      <w:t>https://pmc.ncbi.nlm.nih.gov/articles/PMC8790685/</w:t>
                    </w:r>
                  </w:hyperlink>
                  <w:r w:rsidRPr="00385BF8">
                    <w:rPr>
                      <w:rFonts w:ascii="Calibri" w:eastAsia="Calibri" w:hAnsi="Calibri"/>
                      <w:color w:val="000000" w:themeColor="text1"/>
                      <w:kern w:val="0"/>
                      <w:sz w:val="22"/>
                      <w:lang w:eastAsia="en-US"/>
                      <w14:ligatures w14:val="none"/>
                    </w:rPr>
                    <w:t xml:space="preserve"> </w:t>
                  </w:r>
                </w:p>
                <w:p w14:paraId="2F56E318"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Krahn</w:t>
                  </w:r>
                  <w:proofErr w:type="spellEnd"/>
                  <w:r w:rsidRPr="00385BF8">
                    <w:rPr>
                      <w:rFonts w:ascii="Calibri" w:eastAsia="Calibri" w:hAnsi="Calibri"/>
                      <w:color w:val="000000" w:themeColor="text1"/>
                      <w:kern w:val="0"/>
                      <w:sz w:val="22"/>
                      <w:lang w:eastAsia="en-US"/>
                      <w14:ligatures w14:val="none"/>
                    </w:rPr>
                    <w:t xml:space="preserve">, G.L., Robinson, A., Murray, A.J. and </w:t>
                  </w:r>
                  <w:proofErr w:type="spellStart"/>
                  <w:r w:rsidRPr="00385BF8">
                    <w:rPr>
                      <w:rFonts w:ascii="Calibri" w:eastAsia="Calibri" w:hAnsi="Calibri"/>
                      <w:color w:val="000000" w:themeColor="text1"/>
                      <w:kern w:val="0"/>
                      <w:sz w:val="22"/>
                      <w:lang w:eastAsia="en-US"/>
                      <w14:ligatures w14:val="none"/>
                    </w:rPr>
                    <w:t>Havercamp</w:t>
                  </w:r>
                  <w:proofErr w:type="spellEnd"/>
                  <w:r w:rsidRPr="00385BF8">
                    <w:rPr>
                      <w:rFonts w:ascii="Calibri" w:eastAsia="Calibri" w:hAnsi="Calibri"/>
                      <w:color w:val="000000" w:themeColor="text1"/>
                      <w:kern w:val="0"/>
                      <w:sz w:val="22"/>
                      <w:lang w:eastAsia="en-US"/>
                      <w14:ligatures w14:val="none"/>
                    </w:rPr>
                    <w:t xml:space="preserve">, S.M. (2021) ‘It’s time to reconsider how we define health: Perspective from disability and chronic condition’, </w:t>
                  </w:r>
                  <w:r w:rsidRPr="00385BF8">
                    <w:rPr>
                      <w:rFonts w:ascii="Calibri" w:eastAsia="Calibri" w:hAnsi="Calibri"/>
                      <w:i/>
                      <w:iCs/>
                      <w:color w:val="000000" w:themeColor="text1"/>
                      <w:kern w:val="0"/>
                      <w:sz w:val="22"/>
                      <w:lang w:eastAsia="en-US"/>
                      <w14:ligatures w14:val="none"/>
                    </w:rPr>
                    <w:t xml:space="preserve">Disability and Health Journal, </w:t>
                  </w:r>
                  <w:r w:rsidRPr="00385BF8">
                    <w:rPr>
                      <w:rFonts w:ascii="Calibri" w:eastAsia="Calibri" w:hAnsi="Calibri"/>
                      <w:color w:val="000000" w:themeColor="text1"/>
                      <w:kern w:val="0"/>
                      <w:sz w:val="22"/>
                      <w:lang w:eastAsia="en-US"/>
                      <w14:ligatures w14:val="none"/>
                    </w:rPr>
                    <w:t xml:space="preserve">14(4), 101129.  Available at: </w:t>
                  </w:r>
                  <w:hyperlink r:id="rId39" w:history="1">
                    <w:r w:rsidRPr="00385BF8">
                      <w:rPr>
                        <w:rFonts w:ascii="Calibri" w:eastAsia="Calibri" w:hAnsi="Calibri"/>
                        <w:color w:val="000000" w:themeColor="text1"/>
                        <w:kern w:val="0"/>
                        <w:sz w:val="22"/>
                        <w:u w:val="single"/>
                        <w:lang w:eastAsia="en-US"/>
                        <w14:ligatures w14:val="none"/>
                      </w:rPr>
                      <w:t>https://www.sciencedirect.com/science/article/pii/S1936657421000753</w:t>
                    </w:r>
                  </w:hyperlink>
                  <w:r w:rsidRPr="00385BF8">
                    <w:rPr>
                      <w:rFonts w:ascii="Calibri" w:eastAsia="Calibri" w:hAnsi="Calibri"/>
                      <w:color w:val="000000" w:themeColor="text1"/>
                      <w:kern w:val="0"/>
                      <w:sz w:val="22"/>
                      <w:lang w:eastAsia="en-US"/>
                      <w14:ligatures w14:val="none"/>
                    </w:rPr>
                    <w:t xml:space="preserve">. </w:t>
                  </w:r>
                </w:p>
                <w:p w14:paraId="3352D4E1" w14:textId="77777777" w:rsidR="00385BF8" w:rsidRPr="00385BF8"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Local Government Association (2025) </w:t>
                  </w:r>
                  <w:r w:rsidRPr="00385BF8">
                    <w:rPr>
                      <w:rFonts w:ascii="Calibri" w:eastAsia="Calibri" w:hAnsi="Calibri"/>
                      <w:i/>
                      <w:iCs/>
                      <w:color w:val="000000" w:themeColor="text1"/>
                      <w:kern w:val="0"/>
                      <w:sz w:val="22"/>
                      <w:lang w:eastAsia="en-US"/>
                      <w14:ligatures w14:val="none"/>
                    </w:rPr>
                    <w:t>Building Fairer towns, cities and regions: Insights from Marmot Places</w:t>
                  </w:r>
                  <w:r w:rsidRPr="00385BF8">
                    <w:rPr>
                      <w:rFonts w:ascii="Calibri" w:eastAsia="Calibri" w:hAnsi="Calibri"/>
                      <w:color w:val="000000" w:themeColor="text1"/>
                      <w:kern w:val="0"/>
                      <w:sz w:val="22"/>
                      <w:lang w:eastAsia="en-US"/>
                      <w14:ligatures w14:val="none"/>
                    </w:rPr>
                    <w:t xml:space="preserve">. Available at: </w:t>
                  </w:r>
                  <w:hyperlink r:id="rId40" w:history="1">
                    <w:r w:rsidRPr="00385BF8">
                      <w:rPr>
                        <w:rFonts w:ascii="Calibri" w:eastAsia="Calibri" w:hAnsi="Calibri"/>
                        <w:color w:val="000000" w:themeColor="text1"/>
                        <w:kern w:val="0"/>
                        <w:sz w:val="22"/>
                        <w:u w:val="single"/>
                        <w:lang w:eastAsia="en-US"/>
                        <w14:ligatures w14:val="none"/>
                      </w:rPr>
                      <w:t>https://www.local.gov.uk/publications/building-fairer-towns-cities-and-regions-insights-marmot-places</w:t>
                    </w:r>
                  </w:hyperlink>
                  <w:r w:rsidRPr="00385BF8">
                    <w:rPr>
                      <w:rFonts w:ascii="Calibri" w:eastAsia="Calibri" w:hAnsi="Calibri"/>
                      <w:color w:val="auto"/>
                      <w:kern w:val="0"/>
                      <w:sz w:val="22"/>
                      <w:lang w:eastAsia="en-US"/>
                      <w14:ligatures w14:val="none"/>
                    </w:rPr>
                    <w:t xml:space="preserve"> (Accessed on 20 April 2025).</w:t>
                  </w:r>
                </w:p>
                <w:p w14:paraId="0BBD8852"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auto"/>
                      <w:kern w:val="0"/>
                      <w:sz w:val="22"/>
                      <w:lang w:eastAsia="en-US"/>
                      <w14:ligatures w14:val="none"/>
                    </w:rPr>
                    <w:lastRenderedPageBreak/>
                    <w:t xml:space="preserve">Malnutrition Pathway (2021) </w:t>
                  </w:r>
                  <w:r w:rsidRPr="00385BF8">
                    <w:rPr>
                      <w:rFonts w:ascii="Calibri" w:eastAsia="Calibri" w:hAnsi="Calibri"/>
                      <w:i/>
                      <w:iCs/>
                      <w:color w:val="auto"/>
                      <w:kern w:val="0"/>
                      <w:sz w:val="22"/>
                      <w:lang w:eastAsia="en-US"/>
                      <w14:ligatures w14:val="none"/>
                    </w:rPr>
                    <w:t xml:space="preserve">Managing Adult Malnutrition in the Community, </w:t>
                  </w:r>
                  <w:r w:rsidRPr="00385BF8">
                    <w:rPr>
                      <w:rFonts w:ascii="Calibri" w:eastAsia="Calibri" w:hAnsi="Calibri"/>
                      <w:color w:val="auto"/>
                      <w:kern w:val="0"/>
                      <w:sz w:val="22"/>
                      <w:lang w:eastAsia="en-US"/>
                      <w14:ligatures w14:val="none"/>
                    </w:rPr>
                    <w:t xml:space="preserve">Available at: </w:t>
                  </w:r>
                  <w:hyperlink r:id="rId41" w:history="1">
                    <w:r w:rsidRPr="00385BF8">
                      <w:rPr>
                        <w:rFonts w:ascii="Calibri" w:eastAsia="Calibri" w:hAnsi="Calibri"/>
                        <w:color w:val="000000" w:themeColor="text1"/>
                        <w:kern w:val="0"/>
                        <w:sz w:val="22"/>
                        <w:u w:val="single"/>
                        <w:lang w:eastAsia="en-US"/>
                        <w14:ligatures w14:val="none"/>
                      </w:rPr>
                      <w:t>https://www.malnutritionpathway.co.uk/library/managing_malnutrition.pdf</w:t>
                    </w:r>
                  </w:hyperlink>
                  <w:r w:rsidRPr="00385BF8">
                    <w:rPr>
                      <w:rFonts w:ascii="Calibri" w:eastAsia="Calibri" w:hAnsi="Calibri"/>
                      <w:color w:val="000000" w:themeColor="text1"/>
                      <w:kern w:val="0"/>
                      <w:sz w:val="22"/>
                      <w:lang w:eastAsia="en-US"/>
                      <w14:ligatures w14:val="none"/>
                    </w:rPr>
                    <w:t xml:space="preserve"> (Accessed on 15 April 2025).</w:t>
                  </w:r>
                </w:p>
                <w:p w14:paraId="01235755" w14:textId="68705542" w:rsid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Naidoo, J. and Wills, J. (2016) </w:t>
                  </w:r>
                  <w:r w:rsidRPr="00385BF8">
                    <w:rPr>
                      <w:rFonts w:ascii="Calibri" w:eastAsia="Calibri" w:hAnsi="Calibri"/>
                      <w:i/>
                      <w:iCs/>
                      <w:color w:val="000000" w:themeColor="text1"/>
                      <w:kern w:val="0"/>
                      <w:sz w:val="22"/>
                      <w:lang w:eastAsia="en-US"/>
                      <w14:ligatures w14:val="none"/>
                    </w:rPr>
                    <w:t>Foundations for Health Promotion</w:t>
                  </w:r>
                  <w:r w:rsidRPr="00385BF8">
                    <w:rPr>
                      <w:rFonts w:ascii="Calibri" w:eastAsia="Calibri" w:hAnsi="Calibri"/>
                      <w:color w:val="000000" w:themeColor="text1"/>
                      <w:kern w:val="0"/>
                      <w:sz w:val="22"/>
                      <w:lang w:eastAsia="en-US"/>
                      <w14:ligatures w14:val="none"/>
                    </w:rPr>
                    <w:t>. 4</w:t>
                  </w:r>
                  <w:r w:rsidRPr="00385BF8">
                    <w:rPr>
                      <w:rFonts w:ascii="Calibri" w:eastAsia="Calibri" w:hAnsi="Calibri"/>
                      <w:color w:val="000000" w:themeColor="text1"/>
                      <w:kern w:val="0"/>
                      <w:sz w:val="22"/>
                      <w:vertAlign w:val="superscript"/>
                      <w:lang w:eastAsia="en-US"/>
                      <w14:ligatures w14:val="none"/>
                    </w:rPr>
                    <w:t>th</w:t>
                  </w:r>
                  <w:r w:rsidRPr="00385BF8">
                    <w:rPr>
                      <w:rFonts w:ascii="Calibri" w:eastAsia="Calibri" w:hAnsi="Calibri"/>
                      <w:color w:val="000000" w:themeColor="text1"/>
                      <w:kern w:val="0"/>
                      <w:sz w:val="22"/>
                      <w:lang w:eastAsia="en-US"/>
                      <w14:ligatures w14:val="none"/>
                    </w:rPr>
                    <w:t xml:space="preserve"> </w:t>
                  </w:r>
                  <w:proofErr w:type="spellStart"/>
                  <w:r w:rsidRPr="00385BF8">
                    <w:rPr>
                      <w:rFonts w:ascii="Calibri" w:eastAsia="Calibri" w:hAnsi="Calibri"/>
                      <w:color w:val="000000" w:themeColor="text1"/>
                      <w:kern w:val="0"/>
                      <w:sz w:val="22"/>
                      <w:lang w:eastAsia="en-US"/>
                      <w14:ligatures w14:val="none"/>
                    </w:rPr>
                    <w:t>edn</w:t>
                  </w:r>
                  <w:proofErr w:type="spellEnd"/>
                  <w:r w:rsidRPr="00385BF8">
                    <w:rPr>
                      <w:rFonts w:ascii="Calibri" w:eastAsia="Calibri" w:hAnsi="Calibri"/>
                      <w:color w:val="000000" w:themeColor="text1"/>
                      <w:kern w:val="0"/>
                      <w:sz w:val="22"/>
                      <w:lang w:eastAsia="en-US"/>
                      <w14:ligatures w14:val="none"/>
                    </w:rPr>
                    <w:t>. Elsevier Ltd.</w:t>
                  </w:r>
                </w:p>
                <w:p w14:paraId="3883BBE3" w14:textId="75E73BBD" w:rsidR="006C7628" w:rsidRPr="006C7628" w:rsidRDefault="006C7628" w:rsidP="00385BF8">
                  <w:pPr>
                    <w:spacing w:after="160" w:line="259" w:lineRule="auto"/>
                    <w:ind w:left="0" w:firstLine="0"/>
                    <w:rPr>
                      <w:rFonts w:ascii="Calibri" w:eastAsia="Calibri" w:hAnsi="Calibri"/>
                      <w:color w:val="000000" w:themeColor="text1"/>
                      <w:kern w:val="0"/>
                      <w:sz w:val="22"/>
                      <w:lang w:eastAsia="en-US"/>
                      <w14:ligatures w14:val="none"/>
                    </w:rPr>
                  </w:pPr>
                  <w:r>
                    <w:rPr>
                      <w:rFonts w:ascii="Calibri" w:eastAsia="Calibri" w:hAnsi="Calibri"/>
                      <w:color w:val="000000" w:themeColor="text1"/>
                      <w:kern w:val="0"/>
                      <w:sz w:val="22"/>
                      <w:lang w:eastAsia="en-US"/>
                      <w14:ligatures w14:val="none"/>
                    </w:rPr>
                    <w:t xml:space="preserve">National Assembly for Wales (2017) </w:t>
                  </w:r>
                  <w:r>
                    <w:rPr>
                      <w:rFonts w:ascii="Calibri" w:eastAsia="Calibri" w:hAnsi="Calibri"/>
                      <w:i/>
                      <w:iCs/>
                      <w:color w:val="000000" w:themeColor="text1"/>
                      <w:kern w:val="0"/>
                      <w:sz w:val="22"/>
                      <w:lang w:eastAsia="en-US"/>
                      <w14:ligatures w14:val="none"/>
                    </w:rPr>
                    <w:t xml:space="preserve">Research Briefing: Public Health (Wales) Act 2017. </w:t>
                  </w:r>
                  <w:r w:rsidRPr="006C7628">
                    <w:rPr>
                      <w:rFonts w:ascii="Calibri" w:eastAsia="Calibri" w:hAnsi="Calibri"/>
                      <w:color w:val="000000" w:themeColor="text1"/>
                      <w:kern w:val="0"/>
                      <w:sz w:val="22"/>
                      <w:lang w:eastAsia="en-US"/>
                      <w14:ligatures w14:val="none"/>
                    </w:rPr>
                    <w:t xml:space="preserve">Available at: </w:t>
                  </w:r>
                  <w:hyperlink r:id="rId42" w:history="1">
                    <w:r w:rsidRPr="006C7628">
                      <w:rPr>
                        <w:rStyle w:val="Hyperlink"/>
                        <w:rFonts w:ascii="Calibri" w:eastAsia="Calibri" w:hAnsi="Calibri"/>
                        <w:color w:val="auto"/>
                        <w:kern w:val="0"/>
                        <w:sz w:val="22"/>
                        <w:lang w:eastAsia="en-US"/>
                        <w14:ligatures w14:val="none"/>
                      </w:rPr>
                      <w:t>https://senedd.wales/media/kzpf2cn0/17-025-web-english.pdf</w:t>
                    </w:r>
                  </w:hyperlink>
                  <w:r w:rsidRPr="006C7628">
                    <w:rPr>
                      <w:rFonts w:ascii="Calibri" w:eastAsia="Calibri" w:hAnsi="Calibri"/>
                      <w:color w:val="auto"/>
                      <w:kern w:val="0"/>
                      <w:sz w:val="22"/>
                      <w:lang w:eastAsia="en-US"/>
                      <w14:ligatures w14:val="none"/>
                    </w:rPr>
                    <w:t xml:space="preserve"> </w:t>
                  </w:r>
                  <w:r>
                    <w:rPr>
                      <w:rFonts w:ascii="Calibri" w:eastAsia="Calibri" w:hAnsi="Calibri"/>
                      <w:color w:val="auto"/>
                      <w:kern w:val="0"/>
                      <w:sz w:val="22"/>
                      <w:lang w:eastAsia="en-US"/>
                      <w14:ligatures w14:val="none"/>
                    </w:rPr>
                    <w:t>(Accessed on 29 April 2025)</w:t>
                  </w:r>
                </w:p>
                <w:p w14:paraId="43DA0B6E"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NHS England (2025) </w:t>
                  </w:r>
                  <w:r w:rsidRPr="00385BF8">
                    <w:rPr>
                      <w:rFonts w:ascii="Calibri" w:eastAsia="Calibri" w:hAnsi="Calibri"/>
                      <w:i/>
                      <w:iCs/>
                      <w:color w:val="000000" w:themeColor="text1"/>
                      <w:kern w:val="0"/>
                      <w:sz w:val="22"/>
                      <w:lang w:eastAsia="en-US"/>
                      <w14:ligatures w14:val="none"/>
                    </w:rPr>
                    <w:t xml:space="preserve">What are health inequalities? </w:t>
                  </w:r>
                  <w:r w:rsidRPr="00385BF8">
                    <w:rPr>
                      <w:rFonts w:ascii="Calibri" w:eastAsia="Calibri" w:hAnsi="Calibri"/>
                      <w:color w:val="000000" w:themeColor="text1"/>
                      <w:kern w:val="0"/>
                      <w:sz w:val="22"/>
                      <w:lang w:eastAsia="en-US"/>
                      <w14:ligatures w14:val="none"/>
                    </w:rPr>
                    <w:t xml:space="preserve">Available at: </w:t>
                  </w:r>
                  <w:hyperlink r:id="rId43" w:history="1">
                    <w:r w:rsidRPr="00385BF8">
                      <w:rPr>
                        <w:rFonts w:ascii="Calibri" w:eastAsia="Calibri" w:hAnsi="Calibri"/>
                        <w:color w:val="000000" w:themeColor="text1"/>
                        <w:kern w:val="0"/>
                        <w:sz w:val="22"/>
                        <w:u w:val="single"/>
                        <w:lang w:eastAsia="en-US"/>
                        <w14:ligatures w14:val="none"/>
                      </w:rPr>
                      <w:t>https://www.england.nhs.uk/about/equality/equality-hub/national-healthcare-inequalities-improvement-programme/what-are-healthcare-inequalities/</w:t>
                    </w:r>
                  </w:hyperlink>
                  <w:r w:rsidRPr="00385BF8">
                    <w:rPr>
                      <w:rFonts w:ascii="Calibri" w:eastAsia="Calibri" w:hAnsi="Calibri"/>
                      <w:color w:val="000000" w:themeColor="text1"/>
                      <w:kern w:val="0"/>
                      <w:sz w:val="22"/>
                      <w:lang w:eastAsia="en-US"/>
                      <w14:ligatures w14:val="none"/>
                    </w:rPr>
                    <w:t xml:space="preserve"> (Accessed on 27 April 2025)</w:t>
                  </w:r>
                </w:p>
                <w:p w14:paraId="1EF5539B"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NHS England and NHS Improvement (2021) </w:t>
                  </w:r>
                  <w:r w:rsidRPr="00385BF8">
                    <w:rPr>
                      <w:rFonts w:ascii="Calibri" w:eastAsia="Calibri" w:hAnsi="Calibri"/>
                      <w:i/>
                      <w:iCs/>
                      <w:color w:val="000000" w:themeColor="text1"/>
                      <w:kern w:val="0"/>
                      <w:sz w:val="22"/>
                      <w:lang w:eastAsia="en-US"/>
                      <w14:ligatures w14:val="none"/>
                    </w:rPr>
                    <w:t xml:space="preserve">Elements of Health and Wellbeing. </w:t>
                  </w:r>
                  <w:r w:rsidRPr="00385BF8">
                    <w:rPr>
                      <w:rFonts w:ascii="Calibri" w:eastAsia="Calibri" w:hAnsi="Calibri"/>
                      <w:color w:val="000000" w:themeColor="text1"/>
                      <w:kern w:val="0"/>
                      <w:sz w:val="22"/>
                      <w:lang w:eastAsia="en-US"/>
                      <w14:ligatures w14:val="none"/>
                    </w:rPr>
                    <w:t xml:space="preserve">Available at: </w:t>
                  </w:r>
                  <w:hyperlink r:id="rId44" w:history="1">
                    <w:r w:rsidRPr="00385BF8">
                      <w:rPr>
                        <w:rFonts w:ascii="Calibri" w:eastAsia="Calibri" w:hAnsi="Calibri"/>
                        <w:color w:val="000000" w:themeColor="text1"/>
                        <w:kern w:val="0"/>
                        <w:sz w:val="22"/>
                        <w:u w:val="single"/>
                        <w:lang w:eastAsia="en-US"/>
                        <w14:ligatures w14:val="none"/>
                      </w:rPr>
                      <w:t>https://view.officeapps.live.com/op/view.aspx?src=https%3A%2F%2Fwww.england.nhs.uk%2Fwp-content%2Fuploads%2F2021%2F11%2FNHS-health-and-wellbeing-framework-elements-of-health-and-wellbeing.docx&amp;wdOrigin=BROWSELINK</w:t>
                    </w:r>
                  </w:hyperlink>
                  <w:r w:rsidRPr="00385BF8">
                    <w:rPr>
                      <w:rFonts w:ascii="Calibri" w:eastAsia="Calibri" w:hAnsi="Calibri"/>
                      <w:color w:val="000000" w:themeColor="text1"/>
                      <w:kern w:val="0"/>
                      <w:sz w:val="22"/>
                      <w:lang w:eastAsia="en-US"/>
                      <w14:ligatures w14:val="none"/>
                    </w:rPr>
                    <w:t xml:space="preserve"> (Accessed on 3 April 2025). </w:t>
                  </w:r>
                </w:p>
                <w:p w14:paraId="44951BAE" w14:textId="0AFCACD8" w:rsidR="00385BF8" w:rsidRPr="009A0E24"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NHS England (2019) </w:t>
                  </w:r>
                  <w:r w:rsidRPr="00385BF8">
                    <w:rPr>
                      <w:rFonts w:ascii="Calibri" w:eastAsia="Calibri" w:hAnsi="Calibri"/>
                      <w:i/>
                      <w:iCs/>
                      <w:color w:val="000000" w:themeColor="text1"/>
                      <w:kern w:val="0"/>
                      <w:sz w:val="22"/>
                      <w:lang w:eastAsia="en-US"/>
                      <w14:ligatures w14:val="none"/>
                    </w:rPr>
                    <w:t>The NHS Long Term Plan.</w:t>
                  </w:r>
                  <w:r w:rsidRPr="00385BF8">
                    <w:rPr>
                      <w:rFonts w:ascii="Calibri" w:eastAsia="Calibri" w:hAnsi="Calibri"/>
                      <w:color w:val="000000" w:themeColor="text1"/>
                      <w:kern w:val="0"/>
                      <w:sz w:val="22"/>
                      <w:lang w:eastAsia="en-US"/>
                      <w14:ligatures w14:val="none"/>
                    </w:rPr>
                    <w:t xml:space="preserve"> Available at: </w:t>
                  </w:r>
                  <w:hyperlink r:id="rId45" w:history="1">
                    <w:r w:rsidRPr="009A0E24">
                      <w:rPr>
                        <w:rFonts w:ascii="Calibri" w:eastAsia="Calibri" w:hAnsi="Calibri"/>
                        <w:color w:val="auto"/>
                        <w:kern w:val="0"/>
                        <w:sz w:val="22"/>
                        <w:u w:val="single"/>
                        <w:lang w:eastAsia="en-US"/>
                        <w14:ligatures w14:val="none"/>
                      </w:rPr>
                      <w:t>https://www.england.nhs.uk/wp-content/uploads/2022/07/nhs-long-term-plan-version-1.2.pdf</w:t>
                    </w:r>
                  </w:hyperlink>
                  <w:r w:rsidRPr="009A0E24">
                    <w:rPr>
                      <w:rFonts w:ascii="Calibri" w:eastAsia="Calibri" w:hAnsi="Calibri"/>
                      <w:color w:val="auto"/>
                      <w:kern w:val="0"/>
                      <w:sz w:val="22"/>
                      <w:lang w:eastAsia="en-US"/>
                      <w14:ligatures w14:val="none"/>
                    </w:rPr>
                    <w:t xml:space="preserve"> (Accessed on 15 April 2025).</w:t>
                  </w:r>
                </w:p>
                <w:p w14:paraId="1A7F8614" w14:textId="282A4D1C" w:rsidR="009A0E24" w:rsidRPr="009A0E24" w:rsidRDefault="009A0E24" w:rsidP="00385BF8">
                  <w:pPr>
                    <w:spacing w:after="160" w:line="259" w:lineRule="auto"/>
                    <w:ind w:left="0" w:firstLine="0"/>
                    <w:rPr>
                      <w:rFonts w:ascii="Calibri" w:eastAsia="Calibri" w:hAnsi="Calibri"/>
                      <w:color w:val="auto"/>
                      <w:kern w:val="0"/>
                      <w:sz w:val="22"/>
                      <w:lang w:eastAsia="en-US"/>
                      <w14:ligatures w14:val="none"/>
                    </w:rPr>
                  </w:pPr>
                  <w:r w:rsidRPr="009A0E24">
                    <w:rPr>
                      <w:rFonts w:ascii="Calibri" w:eastAsia="Calibri" w:hAnsi="Calibri"/>
                      <w:color w:val="auto"/>
                      <w:kern w:val="0"/>
                      <w:sz w:val="22"/>
                      <w:lang w:eastAsia="en-US"/>
                      <w14:ligatures w14:val="none"/>
                    </w:rPr>
                    <w:t xml:space="preserve">Public Health Wales (2024) </w:t>
                  </w:r>
                  <w:r w:rsidRPr="009A0E24">
                    <w:rPr>
                      <w:rFonts w:ascii="Calibri" w:eastAsia="Calibri" w:hAnsi="Calibri"/>
                      <w:i/>
                      <w:iCs/>
                      <w:color w:val="auto"/>
                      <w:kern w:val="0"/>
                      <w:sz w:val="22"/>
                      <w:lang w:eastAsia="en-US"/>
                      <w14:ligatures w14:val="none"/>
                    </w:rPr>
                    <w:t xml:space="preserve">All Wales Flexible Working Policy. </w:t>
                  </w:r>
                  <w:r w:rsidRPr="009A0E24">
                    <w:rPr>
                      <w:rFonts w:ascii="Calibri" w:eastAsia="Calibri" w:hAnsi="Calibri"/>
                      <w:color w:val="auto"/>
                      <w:kern w:val="0"/>
                      <w:sz w:val="22"/>
                      <w:lang w:eastAsia="en-US"/>
                      <w14:ligatures w14:val="none"/>
                    </w:rPr>
                    <w:t xml:space="preserve">Available at: </w:t>
                  </w:r>
                  <w:hyperlink r:id="rId46" w:history="1">
                    <w:r w:rsidRPr="009A0E24">
                      <w:rPr>
                        <w:rStyle w:val="Hyperlink"/>
                        <w:rFonts w:ascii="Calibri" w:eastAsia="Calibri" w:hAnsi="Calibri"/>
                        <w:color w:val="auto"/>
                        <w:kern w:val="0"/>
                        <w:sz w:val="22"/>
                        <w:lang w:eastAsia="en-US"/>
                        <w14:ligatures w14:val="none"/>
                      </w:rPr>
                      <w:t>https://phw.nhs.wales/about-us/policies-and-procedures/policies-and-procedures-documents/human-resources-policies/flexible-working-policy1/</w:t>
                    </w:r>
                  </w:hyperlink>
                  <w:r w:rsidRPr="009A0E24">
                    <w:rPr>
                      <w:rFonts w:ascii="Calibri" w:eastAsia="Calibri" w:hAnsi="Calibri"/>
                      <w:color w:val="auto"/>
                      <w:kern w:val="0"/>
                      <w:sz w:val="22"/>
                      <w:lang w:eastAsia="en-US"/>
                      <w14:ligatures w14:val="none"/>
                    </w:rPr>
                    <w:t xml:space="preserve"> </w:t>
                  </w:r>
                  <w:r>
                    <w:rPr>
                      <w:rFonts w:ascii="Calibri" w:eastAsia="Calibri" w:hAnsi="Calibri"/>
                      <w:color w:val="auto"/>
                      <w:kern w:val="0"/>
                      <w:sz w:val="22"/>
                      <w:lang w:eastAsia="en-US"/>
                      <w14:ligatures w14:val="none"/>
                    </w:rPr>
                    <w:t>(Accessed on 29 April 2025).</w:t>
                  </w:r>
                </w:p>
                <w:p w14:paraId="79DD00F6" w14:textId="75415C20" w:rsidR="009A0E24" w:rsidRPr="009A0E24" w:rsidRDefault="009A0E24" w:rsidP="00385BF8">
                  <w:pPr>
                    <w:spacing w:after="160" w:line="259" w:lineRule="auto"/>
                    <w:ind w:left="0" w:firstLine="0"/>
                    <w:rPr>
                      <w:rFonts w:ascii="Calibri" w:eastAsia="Calibri" w:hAnsi="Calibri"/>
                      <w:color w:val="auto"/>
                      <w:kern w:val="0"/>
                      <w:sz w:val="22"/>
                      <w:lang w:eastAsia="en-US"/>
                      <w14:ligatures w14:val="none"/>
                    </w:rPr>
                  </w:pPr>
                  <w:r w:rsidRPr="009A0E24">
                    <w:rPr>
                      <w:rFonts w:ascii="Calibri" w:eastAsia="Calibri" w:hAnsi="Calibri"/>
                      <w:color w:val="auto"/>
                      <w:kern w:val="0"/>
                      <w:sz w:val="22"/>
                      <w:lang w:eastAsia="en-US"/>
                      <w14:ligatures w14:val="none"/>
                    </w:rPr>
                    <w:t xml:space="preserve">Public Health Wales (2025) </w:t>
                  </w:r>
                  <w:r w:rsidRPr="009A0E24">
                    <w:rPr>
                      <w:rFonts w:ascii="Calibri" w:eastAsia="Calibri" w:hAnsi="Calibri"/>
                      <w:i/>
                      <w:iCs/>
                      <w:color w:val="auto"/>
                      <w:kern w:val="0"/>
                      <w:sz w:val="22"/>
                      <w:lang w:eastAsia="en-US"/>
                      <w14:ligatures w14:val="none"/>
                    </w:rPr>
                    <w:t>Display Screen Equipment Procedure</w:t>
                  </w:r>
                  <w:r w:rsidRPr="009A0E24">
                    <w:rPr>
                      <w:rFonts w:ascii="Calibri" w:eastAsia="Calibri" w:hAnsi="Calibri"/>
                      <w:color w:val="auto"/>
                      <w:kern w:val="0"/>
                      <w:sz w:val="22"/>
                      <w:lang w:eastAsia="en-US"/>
                      <w14:ligatures w14:val="none"/>
                    </w:rPr>
                    <w:t xml:space="preserve">. Available at: </w:t>
                  </w:r>
                  <w:hyperlink r:id="rId47" w:history="1">
                    <w:r w:rsidRPr="009A0E24">
                      <w:rPr>
                        <w:rStyle w:val="Hyperlink"/>
                        <w:rFonts w:ascii="Calibri" w:eastAsia="Calibri" w:hAnsi="Calibri"/>
                        <w:color w:val="auto"/>
                        <w:kern w:val="0"/>
                        <w:sz w:val="22"/>
                        <w:lang w:eastAsia="en-US"/>
                        <w14:ligatures w14:val="none"/>
                      </w:rPr>
                      <w:t>https://phw.nhs.wales/about-us/policies-and-procedures/policies-and-procedures-documents/risk-management-health-and-safety-and-estates-supporting-documents/display-screen-equipment-procedure-phw10tp13/</w:t>
                    </w:r>
                  </w:hyperlink>
                  <w:r w:rsidRPr="009A0E24">
                    <w:rPr>
                      <w:rFonts w:ascii="Calibri" w:eastAsia="Calibri" w:hAnsi="Calibri"/>
                      <w:color w:val="auto"/>
                      <w:kern w:val="0"/>
                      <w:sz w:val="22"/>
                      <w:lang w:eastAsia="en-US"/>
                      <w14:ligatures w14:val="none"/>
                    </w:rPr>
                    <w:t xml:space="preserve"> (Accessed on 29 April 2025).</w:t>
                  </w:r>
                </w:p>
                <w:p w14:paraId="2753A8CC"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Public Health Wales (2023) </w:t>
                  </w:r>
                  <w:r w:rsidRPr="00385BF8">
                    <w:rPr>
                      <w:rFonts w:ascii="Calibri" w:eastAsia="Calibri" w:hAnsi="Calibri"/>
                      <w:i/>
                      <w:iCs/>
                      <w:color w:val="000000" w:themeColor="text1"/>
                      <w:kern w:val="0"/>
                      <w:sz w:val="22"/>
                      <w:lang w:eastAsia="en-US"/>
                      <w14:ligatures w14:val="none"/>
                    </w:rPr>
                    <w:t>Health Working Wales.</w:t>
                  </w:r>
                  <w:r w:rsidRPr="00385BF8">
                    <w:rPr>
                      <w:rFonts w:ascii="Calibri" w:eastAsia="Calibri" w:hAnsi="Calibri"/>
                      <w:color w:val="000000" w:themeColor="text1"/>
                      <w:kern w:val="0"/>
                      <w:sz w:val="22"/>
                      <w:lang w:eastAsia="en-US"/>
                      <w14:ligatures w14:val="none"/>
                    </w:rPr>
                    <w:t xml:space="preserve"> Available at: </w:t>
                  </w:r>
                  <w:hyperlink r:id="rId48" w:history="1">
                    <w:r w:rsidRPr="00385BF8">
                      <w:rPr>
                        <w:rFonts w:ascii="Calibri" w:eastAsia="Calibri" w:hAnsi="Calibri"/>
                        <w:color w:val="000000" w:themeColor="text1"/>
                        <w:kern w:val="0"/>
                        <w:sz w:val="22"/>
                        <w:u w:val="single"/>
                        <w:lang w:eastAsia="en-US"/>
                        <w14:ligatures w14:val="none"/>
                      </w:rPr>
                      <w:t>https://healthyworking.wales/</w:t>
                    </w:r>
                  </w:hyperlink>
                  <w:r w:rsidRPr="00385BF8">
                    <w:rPr>
                      <w:rFonts w:ascii="Calibri" w:eastAsia="Calibri" w:hAnsi="Calibri"/>
                      <w:color w:val="000000" w:themeColor="text1"/>
                      <w:kern w:val="0"/>
                      <w:sz w:val="22"/>
                      <w:lang w:eastAsia="en-US"/>
                      <w14:ligatures w14:val="none"/>
                    </w:rPr>
                    <w:t xml:space="preserve"> (Accessed on 19 April 2025).</w:t>
                  </w:r>
                </w:p>
                <w:p w14:paraId="4F7F51A1"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Public Health Wales (2024) </w:t>
                  </w:r>
                  <w:r w:rsidRPr="00385BF8">
                    <w:rPr>
                      <w:rFonts w:ascii="Calibri" w:eastAsia="Calibri" w:hAnsi="Calibri"/>
                      <w:i/>
                      <w:iCs/>
                      <w:color w:val="000000" w:themeColor="text1"/>
                      <w:kern w:val="0"/>
                      <w:sz w:val="22"/>
                      <w:lang w:eastAsia="en-US"/>
                      <w14:ligatures w14:val="none"/>
                    </w:rPr>
                    <w:t>Over 10 percent of deaths in Wales due to smoking</w:t>
                  </w:r>
                  <w:r w:rsidRPr="00385BF8">
                    <w:rPr>
                      <w:rFonts w:ascii="Calibri" w:eastAsia="Calibri" w:hAnsi="Calibri"/>
                      <w:color w:val="000000" w:themeColor="text1"/>
                      <w:kern w:val="0"/>
                      <w:sz w:val="22"/>
                      <w:lang w:eastAsia="en-US"/>
                      <w14:ligatures w14:val="none"/>
                    </w:rPr>
                    <w:t xml:space="preserve">. Available at: </w:t>
                  </w:r>
                  <w:hyperlink r:id="rId49" w:history="1">
                    <w:r w:rsidRPr="00385BF8">
                      <w:rPr>
                        <w:rFonts w:ascii="Calibri" w:eastAsia="Calibri" w:hAnsi="Calibri"/>
                        <w:color w:val="000000" w:themeColor="text1"/>
                        <w:kern w:val="0"/>
                        <w:sz w:val="22"/>
                        <w:u w:val="single"/>
                        <w:lang w:eastAsia="en-US"/>
                        <w14:ligatures w14:val="none"/>
                      </w:rPr>
                      <w:t>https://phw.nhs.wales/news/over-10-percent-of-deaths-in-wales-due-to-smoking/</w:t>
                    </w:r>
                  </w:hyperlink>
                  <w:r w:rsidRPr="00385BF8">
                    <w:rPr>
                      <w:rFonts w:ascii="Calibri" w:eastAsia="Calibri" w:hAnsi="Calibri"/>
                      <w:color w:val="000000" w:themeColor="text1"/>
                      <w:kern w:val="0"/>
                      <w:sz w:val="22"/>
                      <w:lang w:eastAsia="en-US"/>
                      <w14:ligatures w14:val="none"/>
                    </w:rPr>
                    <w:t xml:space="preserve"> (Accessed on 29 April 2025).</w:t>
                  </w:r>
                </w:p>
                <w:p w14:paraId="626B7E2E" w14:textId="64484BD5" w:rsidR="00385BF8"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Public Health Wales (2019) </w:t>
                  </w:r>
                  <w:r w:rsidRPr="00385BF8">
                    <w:rPr>
                      <w:rFonts w:ascii="Calibri" w:eastAsia="Calibri" w:hAnsi="Calibri"/>
                      <w:i/>
                      <w:iCs/>
                      <w:color w:val="000000" w:themeColor="text1"/>
                      <w:kern w:val="0"/>
                      <w:sz w:val="22"/>
                      <w:lang w:eastAsia="en-US"/>
                      <w14:ligatures w14:val="none"/>
                    </w:rPr>
                    <w:t>Principles of Community Engagement for Empowerment.</w:t>
                  </w:r>
                  <w:r w:rsidRPr="00385BF8">
                    <w:rPr>
                      <w:rFonts w:ascii="Calibri" w:eastAsia="Calibri" w:hAnsi="Calibri"/>
                      <w:color w:val="000000" w:themeColor="text1"/>
                      <w:kern w:val="0"/>
                      <w:sz w:val="22"/>
                      <w:lang w:eastAsia="en-US"/>
                      <w14:ligatures w14:val="none"/>
                    </w:rPr>
                    <w:t xml:space="preserve"> </w:t>
                  </w:r>
                  <w:hyperlink r:id="rId50" w:history="1">
                    <w:r w:rsidRPr="00385BF8">
                      <w:rPr>
                        <w:rFonts w:ascii="Calibri" w:eastAsia="Calibri" w:hAnsi="Calibri"/>
                        <w:color w:val="000000" w:themeColor="text1"/>
                        <w:kern w:val="0"/>
                        <w:sz w:val="22"/>
                        <w:u w:val="single"/>
                        <w:lang w:eastAsia="en-US"/>
                        <w14:ligatures w14:val="none"/>
                      </w:rPr>
                      <w:t>https://phw.nhs.wales/topics/promoting-individual-and-community-wellbeing/principles-of-community-engagement-english/</w:t>
                    </w:r>
                  </w:hyperlink>
                  <w:r w:rsidRPr="00385BF8">
                    <w:rPr>
                      <w:rFonts w:ascii="Calibri" w:eastAsia="Calibri" w:hAnsi="Calibri"/>
                      <w:color w:val="auto"/>
                      <w:kern w:val="0"/>
                      <w:sz w:val="22"/>
                      <w:lang w:eastAsia="en-US"/>
                      <w14:ligatures w14:val="none"/>
                    </w:rPr>
                    <w:t xml:space="preserve"> (Accessed on 24 April 2025).</w:t>
                  </w:r>
                </w:p>
                <w:p w14:paraId="449220B1" w14:textId="49853EA1" w:rsidR="009A0E24" w:rsidRPr="009A0E24" w:rsidRDefault="009A0E24" w:rsidP="00385BF8">
                  <w:pPr>
                    <w:spacing w:after="160" w:line="259" w:lineRule="auto"/>
                    <w:ind w:left="0" w:firstLine="0"/>
                    <w:rPr>
                      <w:rFonts w:ascii="Calibri" w:eastAsia="Calibri" w:hAnsi="Calibri"/>
                      <w:color w:val="auto"/>
                      <w:kern w:val="0"/>
                      <w:sz w:val="22"/>
                      <w:lang w:eastAsia="en-US"/>
                      <w14:ligatures w14:val="none"/>
                    </w:rPr>
                  </w:pPr>
                  <w:r>
                    <w:rPr>
                      <w:rFonts w:ascii="Calibri" w:eastAsia="Calibri" w:hAnsi="Calibri"/>
                      <w:color w:val="auto"/>
                      <w:kern w:val="0"/>
                      <w:sz w:val="22"/>
                      <w:lang w:eastAsia="en-US"/>
                      <w14:ligatures w14:val="none"/>
                    </w:rPr>
                    <w:t xml:space="preserve">Public Health Wales (2023) </w:t>
                  </w:r>
                  <w:r>
                    <w:rPr>
                      <w:rFonts w:ascii="Calibri" w:eastAsia="Calibri" w:hAnsi="Calibri"/>
                      <w:i/>
                      <w:iCs/>
                      <w:color w:val="auto"/>
                      <w:kern w:val="0"/>
                      <w:sz w:val="22"/>
                      <w:lang w:eastAsia="en-US"/>
                      <w14:ligatures w14:val="none"/>
                    </w:rPr>
                    <w:t>Personal Protective Equi</w:t>
                  </w:r>
                  <w:r w:rsidRPr="009A0E24">
                    <w:rPr>
                      <w:rFonts w:ascii="Calibri" w:eastAsia="Calibri" w:hAnsi="Calibri"/>
                      <w:i/>
                      <w:iCs/>
                      <w:color w:val="auto"/>
                      <w:kern w:val="0"/>
                      <w:sz w:val="22"/>
                      <w:lang w:eastAsia="en-US"/>
                      <w14:ligatures w14:val="none"/>
                    </w:rPr>
                    <w:t xml:space="preserve">pment Procedure. </w:t>
                  </w:r>
                  <w:r w:rsidRPr="009A0E24">
                    <w:rPr>
                      <w:rFonts w:ascii="Calibri" w:eastAsia="Calibri" w:hAnsi="Calibri"/>
                      <w:color w:val="auto"/>
                      <w:kern w:val="0"/>
                      <w:sz w:val="22"/>
                      <w:lang w:eastAsia="en-US"/>
                      <w14:ligatures w14:val="none"/>
                    </w:rPr>
                    <w:t xml:space="preserve">Available at: </w:t>
                  </w:r>
                  <w:hyperlink r:id="rId51" w:history="1">
                    <w:r w:rsidRPr="009A0E24">
                      <w:rPr>
                        <w:rStyle w:val="Hyperlink"/>
                        <w:rFonts w:ascii="Calibri" w:eastAsia="Calibri" w:hAnsi="Calibri"/>
                        <w:color w:val="auto"/>
                        <w:kern w:val="0"/>
                        <w:sz w:val="22"/>
                        <w:lang w:eastAsia="en-US"/>
                        <w14:ligatures w14:val="none"/>
                      </w:rPr>
                      <w:t>https://phw.nhs.wales/about-us/policies-and-procedures/policies-and-procedures-documents/risk-management-health-and-safety-and-estates-supporting-documents/phw10-tp09-personal-protective-equipment-procedure/</w:t>
                    </w:r>
                  </w:hyperlink>
                  <w:r w:rsidRPr="009A0E24">
                    <w:rPr>
                      <w:rFonts w:ascii="Calibri" w:eastAsia="Calibri" w:hAnsi="Calibri"/>
                      <w:color w:val="auto"/>
                      <w:kern w:val="0"/>
                      <w:sz w:val="22"/>
                      <w:lang w:eastAsia="en-US"/>
                      <w14:ligatures w14:val="none"/>
                    </w:rPr>
                    <w:t xml:space="preserve"> (Accessed on 29 April 2025).</w:t>
                  </w:r>
                </w:p>
                <w:p w14:paraId="50D48BBE"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Public Health Wales (2023) </w:t>
                  </w:r>
                  <w:r w:rsidRPr="00385BF8">
                    <w:rPr>
                      <w:rFonts w:ascii="Calibri" w:eastAsia="Calibri" w:hAnsi="Calibri"/>
                      <w:i/>
                      <w:iCs/>
                      <w:color w:val="000000" w:themeColor="text1"/>
                      <w:kern w:val="0"/>
                      <w:sz w:val="22"/>
                      <w:lang w:eastAsia="en-US"/>
                      <w14:ligatures w14:val="none"/>
                    </w:rPr>
                    <w:t>Working together for a healthier Wales. Our Long Term Strategy 2023-2035</w:t>
                  </w:r>
                  <w:r w:rsidRPr="00385BF8">
                    <w:rPr>
                      <w:rFonts w:ascii="Calibri" w:eastAsia="Calibri" w:hAnsi="Calibri"/>
                      <w:color w:val="000000" w:themeColor="text1"/>
                      <w:kern w:val="0"/>
                      <w:sz w:val="22"/>
                      <w:lang w:eastAsia="en-US"/>
                      <w14:ligatures w14:val="none"/>
                    </w:rPr>
                    <w:t xml:space="preserve">. Available at: </w:t>
                  </w:r>
                  <w:hyperlink r:id="rId52" w:history="1">
                    <w:r w:rsidRPr="00385BF8">
                      <w:rPr>
                        <w:rFonts w:ascii="Calibri" w:eastAsia="Calibri" w:hAnsi="Calibri"/>
                        <w:color w:val="000000" w:themeColor="text1"/>
                        <w:kern w:val="0"/>
                        <w:sz w:val="22"/>
                        <w:u w:val="single"/>
                        <w:lang w:eastAsia="en-US"/>
                        <w14:ligatures w14:val="none"/>
                      </w:rPr>
                      <w:t>https://phw.nhs.wales/news/public-health-wales-vision-for-a-healthier-future-for-wales/working-together-for-a-healthier-wales/</w:t>
                    </w:r>
                  </w:hyperlink>
                  <w:r w:rsidRPr="00385BF8">
                    <w:rPr>
                      <w:rFonts w:ascii="Calibri" w:eastAsia="Calibri" w:hAnsi="Calibri"/>
                      <w:color w:val="000000" w:themeColor="text1"/>
                      <w:kern w:val="0"/>
                      <w:sz w:val="22"/>
                      <w:lang w:eastAsia="en-US"/>
                      <w14:ligatures w14:val="none"/>
                    </w:rPr>
                    <w:t xml:space="preserve"> (Accessed on 21 April 2025).</w:t>
                  </w:r>
                </w:p>
                <w:p w14:paraId="0501DA7C"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Schiavo, M.L., </w:t>
                  </w:r>
                  <w:proofErr w:type="spellStart"/>
                  <w:r w:rsidRPr="00385BF8">
                    <w:rPr>
                      <w:rFonts w:ascii="Calibri" w:eastAsia="Calibri" w:hAnsi="Calibri"/>
                      <w:color w:val="000000" w:themeColor="text1"/>
                      <w:kern w:val="0"/>
                      <w:sz w:val="22"/>
                      <w:lang w:eastAsia="en-US"/>
                      <w14:ligatures w14:val="none"/>
                    </w:rPr>
                    <w:t>Prinari</w:t>
                  </w:r>
                  <w:proofErr w:type="spellEnd"/>
                  <w:r w:rsidRPr="00385BF8">
                    <w:rPr>
                      <w:rFonts w:ascii="Calibri" w:eastAsia="Calibri" w:hAnsi="Calibri"/>
                      <w:color w:val="000000" w:themeColor="text1"/>
                      <w:kern w:val="0"/>
                      <w:sz w:val="22"/>
                      <w:lang w:eastAsia="en-US"/>
                      <w14:ligatures w14:val="none"/>
                    </w:rPr>
                    <w:t xml:space="preserve">, B., Saito, I., Shoji, K. and Benight, C.C. (2019) ‘A dynamical systems approach to triadic reciprocal determinism of social cognitive theory, </w:t>
                  </w:r>
                  <w:r w:rsidRPr="00385BF8">
                    <w:rPr>
                      <w:rFonts w:ascii="Calibri" w:eastAsia="Calibri" w:hAnsi="Calibri"/>
                      <w:i/>
                      <w:iCs/>
                      <w:color w:val="000000" w:themeColor="text1"/>
                      <w:kern w:val="0"/>
                      <w:sz w:val="22"/>
                      <w:lang w:eastAsia="en-US"/>
                      <w14:ligatures w14:val="none"/>
                    </w:rPr>
                    <w:t>Mathematics and Computers in Simulation</w:t>
                  </w:r>
                  <w:r w:rsidRPr="00385BF8">
                    <w:rPr>
                      <w:rFonts w:ascii="Calibri" w:eastAsia="Calibri" w:hAnsi="Calibri"/>
                      <w:color w:val="000000" w:themeColor="text1"/>
                      <w:kern w:val="0"/>
                      <w:sz w:val="22"/>
                      <w:lang w:eastAsia="en-US"/>
                      <w14:ligatures w14:val="none"/>
                    </w:rPr>
                    <w:t xml:space="preserve">, 159, pp 18-38. Available at: </w:t>
                  </w:r>
                  <w:hyperlink r:id="rId53" w:history="1">
                    <w:r w:rsidRPr="00385BF8">
                      <w:rPr>
                        <w:rFonts w:ascii="Calibri" w:eastAsia="Calibri" w:hAnsi="Calibri"/>
                        <w:color w:val="000000" w:themeColor="text1"/>
                        <w:kern w:val="0"/>
                        <w:sz w:val="22"/>
                        <w:u w:val="single"/>
                        <w:lang w:eastAsia="en-US"/>
                        <w14:ligatures w14:val="none"/>
                      </w:rPr>
                      <w:t>https://www.sciencedirect.com/science/article/abs/pii/S0378475418302763</w:t>
                    </w:r>
                  </w:hyperlink>
                  <w:r w:rsidRPr="00385BF8">
                    <w:rPr>
                      <w:rFonts w:ascii="Calibri" w:eastAsia="Calibri" w:hAnsi="Calibri"/>
                      <w:color w:val="000000" w:themeColor="text1"/>
                      <w:kern w:val="0"/>
                      <w:sz w:val="22"/>
                      <w:lang w:eastAsia="en-US"/>
                      <w14:ligatures w14:val="none"/>
                    </w:rPr>
                    <w:t xml:space="preserve">.  </w:t>
                  </w:r>
                </w:p>
                <w:p w14:paraId="33276E16"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lastRenderedPageBreak/>
                    <w:t>Schramme</w:t>
                  </w:r>
                  <w:proofErr w:type="spellEnd"/>
                  <w:r w:rsidRPr="00385BF8">
                    <w:rPr>
                      <w:rFonts w:ascii="Calibri" w:eastAsia="Calibri" w:hAnsi="Calibri"/>
                      <w:color w:val="000000" w:themeColor="text1"/>
                      <w:kern w:val="0"/>
                      <w:sz w:val="22"/>
                      <w:lang w:eastAsia="en-US"/>
                      <w14:ligatures w14:val="none"/>
                    </w:rPr>
                    <w:t xml:space="preserve">, T. (2023) ‘Health as Complete Well-Being: The WHO Definition and Beyond’, </w:t>
                  </w:r>
                  <w:r w:rsidRPr="00385BF8">
                    <w:rPr>
                      <w:rFonts w:ascii="Calibri" w:eastAsia="Calibri" w:hAnsi="Calibri"/>
                      <w:i/>
                      <w:iCs/>
                      <w:color w:val="000000" w:themeColor="text1"/>
                      <w:kern w:val="0"/>
                      <w:sz w:val="22"/>
                      <w:lang w:eastAsia="en-US"/>
                      <w14:ligatures w14:val="none"/>
                    </w:rPr>
                    <w:t>Public Health Ethics,</w:t>
                  </w:r>
                  <w:r w:rsidRPr="00385BF8">
                    <w:rPr>
                      <w:rFonts w:ascii="Calibri" w:eastAsia="Calibri" w:hAnsi="Calibri"/>
                      <w:color w:val="000000" w:themeColor="text1"/>
                      <w:kern w:val="0"/>
                      <w:sz w:val="22"/>
                      <w:lang w:eastAsia="en-US"/>
                      <w14:ligatures w14:val="none"/>
                    </w:rPr>
                    <w:t xml:space="preserve"> 16(3), pp 210-218. Available at: </w:t>
                  </w:r>
                  <w:hyperlink r:id="rId54" w:history="1">
                    <w:r w:rsidRPr="00385BF8">
                      <w:rPr>
                        <w:rFonts w:ascii="Calibri" w:eastAsia="Calibri" w:hAnsi="Calibri"/>
                        <w:color w:val="000000" w:themeColor="text1"/>
                        <w:kern w:val="0"/>
                        <w:sz w:val="22"/>
                        <w:u w:val="single"/>
                        <w:lang w:eastAsia="en-US"/>
                        <w14:ligatures w14:val="none"/>
                      </w:rPr>
                      <w:t>https://academic.oup.com/phe/article/16/3/210/7232444</w:t>
                    </w:r>
                  </w:hyperlink>
                  <w:r w:rsidRPr="00385BF8">
                    <w:rPr>
                      <w:rFonts w:ascii="Calibri" w:eastAsia="Calibri" w:hAnsi="Calibri"/>
                      <w:color w:val="000000" w:themeColor="text1"/>
                      <w:kern w:val="0"/>
                      <w:sz w:val="22"/>
                      <w:lang w:eastAsia="en-US"/>
                      <w14:ligatures w14:val="none"/>
                    </w:rPr>
                    <w:t xml:space="preserve">. </w:t>
                  </w:r>
                </w:p>
                <w:p w14:paraId="0AB70DD3"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Sebastian, A.T., Rajkumar, E., </w:t>
                  </w:r>
                  <w:proofErr w:type="spellStart"/>
                  <w:r w:rsidRPr="00385BF8">
                    <w:rPr>
                      <w:rFonts w:ascii="Calibri" w:eastAsia="Calibri" w:hAnsi="Calibri"/>
                      <w:color w:val="000000" w:themeColor="text1"/>
                      <w:kern w:val="0"/>
                      <w:sz w:val="22"/>
                      <w:lang w:eastAsia="en-US"/>
                      <w14:ligatures w14:val="none"/>
                    </w:rPr>
                    <w:t>Tejaswini</w:t>
                  </w:r>
                  <w:proofErr w:type="spellEnd"/>
                  <w:r w:rsidRPr="00385BF8">
                    <w:rPr>
                      <w:rFonts w:ascii="Calibri" w:eastAsia="Calibri" w:hAnsi="Calibri"/>
                      <w:color w:val="000000" w:themeColor="text1"/>
                      <w:kern w:val="0"/>
                      <w:sz w:val="22"/>
                      <w:lang w:eastAsia="en-US"/>
                      <w14:ligatures w14:val="none"/>
                    </w:rPr>
                    <w:t xml:space="preserve">, P., Lakshmi, R. and </w:t>
                  </w:r>
                  <w:proofErr w:type="spellStart"/>
                  <w:r w:rsidRPr="00385BF8">
                    <w:rPr>
                      <w:rFonts w:ascii="Calibri" w:eastAsia="Calibri" w:hAnsi="Calibri"/>
                      <w:color w:val="000000" w:themeColor="text1"/>
                      <w:kern w:val="0"/>
                      <w:sz w:val="22"/>
                      <w:lang w:eastAsia="en-US"/>
                      <w14:ligatures w14:val="none"/>
                    </w:rPr>
                    <w:t>Romate</w:t>
                  </w:r>
                  <w:proofErr w:type="spellEnd"/>
                  <w:r w:rsidRPr="00385BF8">
                    <w:rPr>
                      <w:rFonts w:ascii="Calibri" w:eastAsia="Calibri" w:hAnsi="Calibri"/>
                      <w:color w:val="000000" w:themeColor="text1"/>
                      <w:kern w:val="0"/>
                      <w:sz w:val="22"/>
                      <w:lang w:eastAsia="en-US"/>
                      <w14:ligatures w14:val="none"/>
                    </w:rPr>
                    <w:t xml:space="preserve">, J. (2021) ‘Applying social cognitive theory to predict physical activity and dietary behaviour among patients with type-2 diabetes, </w:t>
                  </w:r>
                  <w:r w:rsidRPr="00385BF8">
                    <w:rPr>
                      <w:rFonts w:ascii="Calibri" w:eastAsia="Calibri" w:hAnsi="Calibri"/>
                      <w:i/>
                      <w:iCs/>
                      <w:color w:val="000000" w:themeColor="text1"/>
                      <w:kern w:val="0"/>
                      <w:sz w:val="22"/>
                      <w:lang w:eastAsia="en-US"/>
                      <w14:ligatures w14:val="none"/>
                    </w:rPr>
                    <w:t xml:space="preserve">Health Psychology Research, </w:t>
                  </w:r>
                  <w:r w:rsidRPr="00385BF8">
                    <w:rPr>
                      <w:rFonts w:ascii="Calibri" w:eastAsia="Calibri" w:hAnsi="Calibri"/>
                      <w:color w:val="000000" w:themeColor="text1"/>
                      <w:kern w:val="0"/>
                      <w:sz w:val="22"/>
                      <w:lang w:eastAsia="en-US"/>
                      <w14:ligatures w14:val="none"/>
                    </w:rPr>
                    <w:t xml:space="preserve">9(1), </w:t>
                  </w:r>
                  <w:proofErr w:type="spellStart"/>
                  <w:r w:rsidRPr="00385BF8">
                    <w:rPr>
                      <w:rFonts w:ascii="Calibri" w:eastAsia="Calibri" w:hAnsi="Calibri"/>
                      <w:color w:val="000000" w:themeColor="text1"/>
                      <w:kern w:val="0"/>
                      <w:sz w:val="22"/>
                      <w:lang w:eastAsia="en-US"/>
                      <w14:ligatures w14:val="none"/>
                    </w:rPr>
                    <w:t>doi</w:t>
                  </w:r>
                  <w:proofErr w:type="spellEnd"/>
                  <w:r w:rsidRPr="00385BF8">
                    <w:rPr>
                      <w:rFonts w:ascii="Calibri" w:eastAsia="Calibri" w:hAnsi="Calibri"/>
                      <w:color w:val="000000" w:themeColor="text1"/>
                      <w:kern w:val="0"/>
                      <w:sz w:val="22"/>
                      <w:lang w:eastAsia="en-US"/>
                      <w14:ligatures w14:val="none"/>
                    </w:rPr>
                    <w:t xml:space="preserve">: 10.52965/001c.24510. Available at: </w:t>
                  </w:r>
                  <w:hyperlink r:id="rId55" w:history="1">
                    <w:r w:rsidRPr="00385BF8">
                      <w:rPr>
                        <w:rFonts w:ascii="Calibri" w:eastAsia="Calibri" w:hAnsi="Calibri"/>
                        <w:color w:val="000000" w:themeColor="text1"/>
                        <w:kern w:val="0"/>
                        <w:sz w:val="22"/>
                        <w:u w:val="single"/>
                        <w:lang w:eastAsia="en-US"/>
                        <w14:ligatures w14:val="none"/>
                      </w:rPr>
                      <w:t>https://pmc.ncbi.nlm.nih.gov/articles/PMC8801595/pdf/healthpsychologyresearch_2021_9_1_24510.pdf</w:t>
                    </w:r>
                  </w:hyperlink>
                  <w:r w:rsidRPr="00385BF8">
                    <w:rPr>
                      <w:rFonts w:ascii="Calibri" w:eastAsia="Calibri" w:hAnsi="Calibri"/>
                      <w:color w:val="000000" w:themeColor="text1"/>
                      <w:kern w:val="0"/>
                      <w:sz w:val="22"/>
                      <w:lang w:eastAsia="en-US"/>
                      <w14:ligatures w14:val="none"/>
                    </w:rPr>
                    <w:t xml:space="preserve">. </w:t>
                  </w:r>
                </w:p>
                <w:p w14:paraId="2B9A043C"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Shuremu</w:t>
                  </w:r>
                  <w:proofErr w:type="spellEnd"/>
                  <w:r w:rsidRPr="00385BF8">
                    <w:rPr>
                      <w:rFonts w:ascii="Calibri" w:eastAsia="Calibri" w:hAnsi="Calibri"/>
                      <w:color w:val="000000" w:themeColor="text1"/>
                      <w:kern w:val="0"/>
                      <w:sz w:val="22"/>
                      <w:lang w:eastAsia="en-US"/>
                      <w14:ligatures w14:val="none"/>
                    </w:rPr>
                    <w:t xml:space="preserve">, M., Abate, K.H. and </w:t>
                  </w:r>
                  <w:proofErr w:type="spellStart"/>
                  <w:r w:rsidRPr="00385BF8">
                    <w:rPr>
                      <w:rFonts w:ascii="Calibri" w:eastAsia="Calibri" w:hAnsi="Calibri"/>
                      <w:color w:val="000000" w:themeColor="text1"/>
                      <w:kern w:val="0"/>
                      <w:sz w:val="22"/>
                      <w:lang w:eastAsia="en-US"/>
                      <w14:ligatures w14:val="none"/>
                    </w:rPr>
                    <w:t>Belachew</w:t>
                  </w:r>
                  <w:proofErr w:type="spellEnd"/>
                  <w:r w:rsidRPr="00385BF8">
                    <w:rPr>
                      <w:rFonts w:ascii="Calibri" w:eastAsia="Calibri" w:hAnsi="Calibri"/>
                      <w:color w:val="000000" w:themeColor="text1"/>
                      <w:kern w:val="0"/>
                      <w:sz w:val="22"/>
                      <w:lang w:eastAsia="en-US"/>
                      <w14:ligatures w14:val="none"/>
                    </w:rPr>
                    <w:t xml:space="preserve">, T. (2023) ‘Effect of nutrition education intervention to improve dietary diversity practice and nutritional status of the older people: A cluster randomized controlled trial, </w:t>
                  </w:r>
                  <w:r w:rsidRPr="00385BF8">
                    <w:rPr>
                      <w:rFonts w:ascii="Calibri" w:eastAsia="Calibri" w:hAnsi="Calibri"/>
                      <w:i/>
                      <w:iCs/>
                      <w:color w:val="000000" w:themeColor="text1"/>
                      <w:kern w:val="0"/>
                      <w:sz w:val="22"/>
                      <w:lang w:eastAsia="en-US"/>
                      <w14:ligatures w14:val="none"/>
                    </w:rPr>
                    <w:t xml:space="preserve">Food Science Nutrition, </w:t>
                  </w:r>
                  <w:r w:rsidRPr="00385BF8">
                    <w:rPr>
                      <w:rFonts w:ascii="Calibri" w:eastAsia="Calibri" w:hAnsi="Calibri"/>
                      <w:color w:val="000000" w:themeColor="text1"/>
                      <w:kern w:val="0"/>
                      <w:sz w:val="22"/>
                      <w:lang w:eastAsia="en-US"/>
                      <w14:ligatures w14:val="none"/>
                    </w:rPr>
                    <w:t xml:space="preserve">11(11), pp 7383-7395. Available at: </w:t>
                  </w:r>
                  <w:hyperlink r:id="rId56" w:history="1">
                    <w:r w:rsidRPr="00385BF8">
                      <w:rPr>
                        <w:rFonts w:ascii="Calibri" w:eastAsia="Calibri" w:hAnsi="Calibri"/>
                        <w:color w:val="000000" w:themeColor="text1"/>
                        <w:kern w:val="0"/>
                        <w:sz w:val="22"/>
                        <w:u w:val="single"/>
                        <w:lang w:eastAsia="en-US"/>
                        <w14:ligatures w14:val="none"/>
                      </w:rPr>
                      <w:t>https://pubmed.ncbi.nlm.nih.gov/37970381/</w:t>
                    </w:r>
                  </w:hyperlink>
                  <w:r w:rsidRPr="00385BF8">
                    <w:rPr>
                      <w:rFonts w:ascii="Calibri" w:eastAsia="Calibri" w:hAnsi="Calibri"/>
                      <w:color w:val="000000" w:themeColor="text1"/>
                      <w:kern w:val="0"/>
                      <w:sz w:val="22"/>
                      <w:lang w:eastAsia="en-US"/>
                      <w14:ligatures w14:val="none"/>
                    </w:rPr>
                    <w:t xml:space="preserve">. </w:t>
                  </w:r>
                </w:p>
                <w:p w14:paraId="1D4F98D8"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Social Care Institute for Excellence (2022) </w:t>
                  </w:r>
                  <w:r w:rsidRPr="00385BF8">
                    <w:rPr>
                      <w:rFonts w:ascii="Calibri" w:eastAsia="Calibri" w:hAnsi="Calibri"/>
                      <w:i/>
                      <w:iCs/>
                      <w:color w:val="000000" w:themeColor="text1"/>
                      <w:kern w:val="0"/>
                      <w:sz w:val="22"/>
                      <w:lang w:eastAsia="en-US"/>
                      <w14:ligatures w14:val="none"/>
                    </w:rPr>
                    <w:t>Co-production: what it is and how to do it</w:t>
                  </w:r>
                  <w:r w:rsidRPr="00385BF8">
                    <w:rPr>
                      <w:rFonts w:ascii="Calibri" w:eastAsia="Calibri" w:hAnsi="Calibri"/>
                      <w:color w:val="000000" w:themeColor="text1"/>
                      <w:kern w:val="0"/>
                      <w:sz w:val="22"/>
                      <w:lang w:eastAsia="en-US"/>
                      <w14:ligatures w14:val="none"/>
                    </w:rPr>
                    <w:t xml:space="preserve">. Available at: </w:t>
                  </w:r>
                  <w:hyperlink r:id="rId57" w:history="1">
                    <w:r w:rsidRPr="00385BF8">
                      <w:rPr>
                        <w:rFonts w:ascii="Calibri" w:eastAsia="Calibri" w:hAnsi="Calibri"/>
                        <w:color w:val="000000" w:themeColor="text1"/>
                        <w:kern w:val="0"/>
                        <w:sz w:val="22"/>
                        <w:u w:val="single"/>
                        <w:lang w:eastAsia="en-US"/>
                        <w14:ligatures w14:val="none"/>
                      </w:rPr>
                      <w:t>https://www.scie.org.uk/co-production/what-how/</w:t>
                    </w:r>
                  </w:hyperlink>
                  <w:r w:rsidRPr="00385BF8">
                    <w:rPr>
                      <w:rFonts w:ascii="Calibri" w:eastAsia="Calibri" w:hAnsi="Calibri"/>
                      <w:color w:val="000000" w:themeColor="text1"/>
                      <w:kern w:val="0"/>
                      <w:sz w:val="22"/>
                      <w:lang w:eastAsia="en-US"/>
                      <w14:ligatures w14:val="none"/>
                    </w:rPr>
                    <w:t xml:space="preserve"> (Accessed on 18 April 2025). </w:t>
                  </w:r>
                </w:p>
                <w:p w14:paraId="11A76898"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auto"/>
                      <w:kern w:val="0"/>
                      <w:sz w:val="22"/>
                      <w:lang w:eastAsia="en-US"/>
                      <w14:ligatures w14:val="none"/>
                    </w:rPr>
                    <w:t>Sogari</w:t>
                  </w:r>
                  <w:proofErr w:type="spellEnd"/>
                  <w:r w:rsidRPr="00385BF8">
                    <w:rPr>
                      <w:rFonts w:ascii="Calibri" w:eastAsia="Calibri" w:hAnsi="Calibri"/>
                      <w:color w:val="auto"/>
                      <w:kern w:val="0"/>
                      <w:sz w:val="22"/>
                      <w:lang w:eastAsia="en-US"/>
                      <w14:ligatures w14:val="none"/>
                    </w:rPr>
                    <w:t xml:space="preserve">, G., </w:t>
                  </w:r>
                  <w:proofErr w:type="spellStart"/>
                  <w:proofErr w:type="gramStart"/>
                  <w:r w:rsidRPr="00385BF8">
                    <w:rPr>
                      <w:rFonts w:ascii="Calibri" w:eastAsia="Calibri" w:hAnsi="Calibri"/>
                      <w:color w:val="auto"/>
                      <w:kern w:val="0"/>
                      <w:sz w:val="22"/>
                      <w:lang w:eastAsia="en-US"/>
                      <w14:ligatures w14:val="none"/>
                    </w:rPr>
                    <w:t>Pucci,T</w:t>
                  </w:r>
                  <w:proofErr w:type="spellEnd"/>
                  <w:r w:rsidRPr="00385BF8">
                    <w:rPr>
                      <w:rFonts w:ascii="Calibri" w:eastAsia="Calibri" w:hAnsi="Calibri"/>
                      <w:color w:val="auto"/>
                      <w:kern w:val="0"/>
                      <w:sz w:val="22"/>
                      <w:lang w:eastAsia="en-US"/>
                      <w14:ligatures w14:val="none"/>
                    </w:rPr>
                    <w:t>.</w:t>
                  </w:r>
                  <w:proofErr w:type="gramEnd"/>
                  <w:r w:rsidRPr="00385BF8">
                    <w:rPr>
                      <w:rFonts w:ascii="Calibri" w:eastAsia="Calibri" w:hAnsi="Calibri"/>
                      <w:color w:val="auto"/>
                      <w:kern w:val="0"/>
                      <w:sz w:val="22"/>
                      <w:lang w:eastAsia="en-US"/>
                      <w14:ligatures w14:val="none"/>
                    </w:rPr>
                    <w:t xml:space="preserve">, Caputo, V. and Van Loo, E.J. (2023) ‘The theory of planned behaviour and healthy diet: </w:t>
                  </w:r>
                  <w:r w:rsidRPr="00385BF8">
                    <w:rPr>
                      <w:rFonts w:ascii="Calibri" w:eastAsia="Calibri" w:hAnsi="Calibri"/>
                      <w:color w:val="000000" w:themeColor="text1"/>
                      <w:kern w:val="0"/>
                      <w:sz w:val="22"/>
                      <w:lang w:eastAsia="en-US"/>
                      <w14:ligatures w14:val="none"/>
                    </w:rPr>
                    <w:t xml:space="preserve">Examining the mediating effect of traditional food, </w:t>
                  </w:r>
                  <w:r w:rsidRPr="00385BF8">
                    <w:rPr>
                      <w:rFonts w:ascii="Calibri" w:eastAsia="Calibri" w:hAnsi="Calibri"/>
                      <w:i/>
                      <w:iCs/>
                      <w:color w:val="000000" w:themeColor="text1"/>
                      <w:kern w:val="0"/>
                      <w:sz w:val="22"/>
                      <w:lang w:eastAsia="en-US"/>
                      <w14:ligatures w14:val="none"/>
                    </w:rPr>
                    <w:t xml:space="preserve">Food Quality and Preference, </w:t>
                  </w:r>
                  <w:r w:rsidRPr="00385BF8">
                    <w:rPr>
                      <w:rFonts w:ascii="Calibri" w:eastAsia="Calibri" w:hAnsi="Calibri"/>
                      <w:color w:val="000000" w:themeColor="text1"/>
                      <w:kern w:val="0"/>
                      <w:sz w:val="22"/>
                      <w:lang w:eastAsia="en-US"/>
                      <w14:ligatures w14:val="none"/>
                    </w:rPr>
                    <w:t xml:space="preserve">104, 104709. Available at: </w:t>
                  </w:r>
                  <w:hyperlink r:id="rId58" w:history="1">
                    <w:r w:rsidRPr="00385BF8">
                      <w:rPr>
                        <w:rFonts w:ascii="Calibri" w:eastAsia="Calibri" w:hAnsi="Calibri"/>
                        <w:color w:val="000000" w:themeColor="text1"/>
                        <w:kern w:val="0"/>
                        <w:sz w:val="22"/>
                        <w:u w:val="single"/>
                        <w:lang w:eastAsia="en-US"/>
                        <w14:ligatures w14:val="none"/>
                      </w:rPr>
                      <w:t>https://www.sciencedirect.com/science/article/abs/pii/S0950329322001847</w:t>
                    </w:r>
                  </w:hyperlink>
                  <w:r w:rsidRPr="00385BF8">
                    <w:rPr>
                      <w:rFonts w:ascii="Calibri" w:eastAsia="Calibri" w:hAnsi="Calibri"/>
                      <w:color w:val="000000" w:themeColor="text1"/>
                      <w:kern w:val="0"/>
                      <w:sz w:val="22"/>
                      <w:lang w:eastAsia="en-US"/>
                      <w14:ligatures w14:val="none"/>
                    </w:rPr>
                    <w:t xml:space="preserve"> </w:t>
                  </w:r>
                </w:p>
                <w:p w14:paraId="5E6445B1"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proofErr w:type="spellStart"/>
                  <w:r w:rsidRPr="00385BF8">
                    <w:rPr>
                      <w:rFonts w:ascii="Calibri" w:eastAsia="Calibri" w:hAnsi="Calibri"/>
                      <w:color w:val="000000" w:themeColor="text1"/>
                      <w:kern w:val="0"/>
                      <w:sz w:val="22"/>
                      <w:lang w:eastAsia="en-US"/>
                      <w14:ligatures w14:val="none"/>
                    </w:rPr>
                    <w:t>Stoewen</w:t>
                  </w:r>
                  <w:proofErr w:type="spellEnd"/>
                  <w:r w:rsidRPr="00385BF8">
                    <w:rPr>
                      <w:rFonts w:ascii="Calibri" w:eastAsia="Calibri" w:hAnsi="Calibri"/>
                      <w:color w:val="000000" w:themeColor="text1"/>
                      <w:kern w:val="0"/>
                      <w:sz w:val="22"/>
                      <w:lang w:eastAsia="en-US"/>
                      <w14:ligatures w14:val="none"/>
                    </w:rPr>
                    <w:t xml:space="preserve">, D.L. (2017) ‘Dimensions of wellness:  Change your habits, change your life,’ </w:t>
                  </w:r>
                  <w:r w:rsidRPr="00385BF8">
                    <w:rPr>
                      <w:rFonts w:ascii="Calibri" w:eastAsia="Calibri" w:hAnsi="Calibri"/>
                      <w:i/>
                      <w:iCs/>
                      <w:color w:val="000000" w:themeColor="text1"/>
                      <w:kern w:val="0"/>
                      <w:sz w:val="22"/>
                      <w:lang w:eastAsia="en-US"/>
                      <w14:ligatures w14:val="none"/>
                    </w:rPr>
                    <w:t xml:space="preserve">The Canadian Veterinary Journal, </w:t>
                  </w:r>
                  <w:r w:rsidRPr="00385BF8">
                    <w:rPr>
                      <w:rFonts w:ascii="Calibri" w:eastAsia="Calibri" w:hAnsi="Calibri"/>
                      <w:color w:val="000000" w:themeColor="text1"/>
                      <w:kern w:val="0"/>
                      <w:sz w:val="22"/>
                      <w:lang w:eastAsia="en-US"/>
                      <w14:ligatures w14:val="none"/>
                    </w:rPr>
                    <w:t xml:space="preserve">58(8), pp. 861-862. Available at: </w:t>
                  </w:r>
                  <w:hyperlink r:id="rId59" w:history="1">
                    <w:r w:rsidRPr="00385BF8">
                      <w:rPr>
                        <w:rFonts w:ascii="Calibri" w:eastAsia="Calibri" w:hAnsi="Calibri"/>
                        <w:color w:val="000000" w:themeColor="text1"/>
                        <w:kern w:val="0"/>
                        <w:sz w:val="22"/>
                        <w:u w:val="single"/>
                        <w:lang w:eastAsia="en-US"/>
                        <w14:ligatures w14:val="none"/>
                      </w:rPr>
                      <w:t>https://pmc.ncbi.nlm.nih.gov/articles/PMC5508938/</w:t>
                    </w:r>
                  </w:hyperlink>
                  <w:r w:rsidRPr="00385BF8">
                    <w:rPr>
                      <w:rFonts w:ascii="Calibri" w:eastAsia="Calibri" w:hAnsi="Calibri"/>
                      <w:color w:val="000000" w:themeColor="text1"/>
                      <w:kern w:val="0"/>
                      <w:sz w:val="22"/>
                      <w:lang w:eastAsia="en-US"/>
                      <w14:ligatures w14:val="none"/>
                    </w:rPr>
                    <w:t xml:space="preserve">. </w:t>
                  </w:r>
                </w:p>
                <w:p w14:paraId="47D2732A"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The International Public Policy Observatory (2022) </w:t>
                  </w:r>
                  <w:r w:rsidRPr="00385BF8">
                    <w:rPr>
                      <w:rFonts w:ascii="Calibri" w:eastAsia="Calibri" w:hAnsi="Calibri"/>
                      <w:i/>
                      <w:iCs/>
                      <w:color w:val="000000" w:themeColor="text1"/>
                      <w:kern w:val="0"/>
                      <w:sz w:val="22"/>
                      <w:lang w:eastAsia="en-US"/>
                      <w14:ligatures w14:val="none"/>
                    </w:rPr>
                    <w:t xml:space="preserve">NHS staff wellbeing: Why investing in organisational and management practices makes business sense.  A rapid evidence </w:t>
                  </w:r>
                  <w:proofErr w:type="gramStart"/>
                  <w:r w:rsidRPr="00385BF8">
                    <w:rPr>
                      <w:rFonts w:ascii="Calibri" w:eastAsia="Calibri" w:hAnsi="Calibri"/>
                      <w:i/>
                      <w:iCs/>
                      <w:color w:val="000000" w:themeColor="text1"/>
                      <w:kern w:val="0"/>
                      <w:sz w:val="22"/>
                      <w:lang w:eastAsia="en-US"/>
                      <w14:ligatures w14:val="none"/>
                    </w:rPr>
                    <w:t>review</w:t>
                  </w:r>
                  <w:proofErr w:type="gramEnd"/>
                  <w:r w:rsidRPr="00385BF8">
                    <w:rPr>
                      <w:rFonts w:ascii="Calibri" w:eastAsia="Calibri" w:hAnsi="Calibri"/>
                      <w:i/>
                      <w:iCs/>
                      <w:color w:val="000000" w:themeColor="text1"/>
                      <w:kern w:val="0"/>
                      <w:sz w:val="22"/>
                      <w:lang w:eastAsia="en-US"/>
                      <w14:ligatures w14:val="none"/>
                    </w:rPr>
                    <w:t xml:space="preserve"> and economic analysis – short report. </w:t>
                  </w:r>
                  <w:r w:rsidRPr="00385BF8">
                    <w:rPr>
                      <w:rFonts w:ascii="Calibri" w:eastAsia="Calibri" w:hAnsi="Calibri"/>
                      <w:color w:val="000000" w:themeColor="text1"/>
                      <w:kern w:val="0"/>
                      <w:sz w:val="22"/>
                      <w:lang w:eastAsia="en-US"/>
                      <w14:ligatures w14:val="none"/>
                    </w:rPr>
                    <w:t xml:space="preserve">Available at: </w:t>
                  </w:r>
                  <w:hyperlink r:id="rId60" w:history="1">
                    <w:r w:rsidRPr="00385BF8">
                      <w:rPr>
                        <w:rFonts w:ascii="Calibri" w:eastAsia="Calibri" w:hAnsi="Calibri"/>
                        <w:color w:val="000000" w:themeColor="text1"/>
                        <w:kern w:val="0"/>
                        <w:sz w:val="22"/>
                        <w:u w:val="single"/>
                        <w:lang w:eastAsia="en-US"/>
                        <w14:ligatures w14:val="none"/>
                      </w:rPr>
                      <w:t>https://eppi.ioe.ac.uk/CMS/Portals/0/NHS%20Staff%20Short%20Report-4.pdf</w:t>
                    </w:r>
                  </w:hyperlink>
                  <w:r w:rsidRPr="00385BF8">
                    <w:rPr>
                      <w:rFonts w:ascii="Calibri" w:eastAsia="Calibri" w:hAnsi="Calibri"/>
                      <w:color w:val="000000" w:themeColor="text1"/>
                      <w:kern w:val="0"/>
                      <w:sz w:val="22"/>
                      <w:lang w:eastAsia="en-US"/>
                      <w14:ligatures w14:val="none"/>
                    </w:rPr>
                    <w:t xml:space="preserve"> (Accessed on 13 April 2025). </w:t>
                  </w:r>
                </w:p>
                <w:p w14:paraId="6F98E041"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Thompson, S. (2023) </w:t>
                  </w:r>
                  <w:r w:rsidRPr="00385BF8">
                    <w:rPr>
                      <w:rFonts w:ascii="Calibri" w:eastAsia="Calibri" w:hAnsi="Calibri"/>
                      <w:i/>
                      <w:iCs/>
                      <w:color w:val="000000" w:themeColor="text1"/>
                      <w:kern w:val="0"/>
                      <w:sz w:val="22"/>
                      <w:lang w:eastAsia="en-US"/>
                      <w14:ligatures w14:val="none"/>
                    </w:rPr>
                    <w:t xml:space="preserve">The Essential Guide to Public Health and Health Promotion. </w:t>
                  </w:r>
                  <w:r w:rsidRPr="00385BF8">
                    <w:rPr>
                      <w:rFonts w:ascii="Calibri" w:eastAsia="Calibri" w:hAnsi="Calibri"/>
                      <w:color w:val="000000" w:themeColor="text1"/>
                      <w:kern w:val="0"/>
                      <w:sz w:val="22"/>
                      <w:lang w:eastAsia="en-US"/>
                      <w14:ligatures w14:val="none"/>
                    </w:rPr>
                    <w:t xml:space="preserve">2nd </w:t>
                  </w:r>
                  <w:proofErr w:type="spellStart"/>
                  <w:r w:rsidRPr="00385BF8">
                    <w:rPr>
                      <w:rFonts w:ascii="Calibri" w:eastAsia="Calibri" w:hAnsi="Calibri"/>
                      <w:color w:val="000000" w:themeColor="text1"/>
                      <w:kern w:val="0"/>
                      <w:sz w:val="22"/>
                      <w:lang w:eastAsia="en-US"/>
                      <w14:ligatures w14:val="none"/>
                    </w:rPr>
                    <w:t>edn</w:t>
                  </w:r>
                  <w:proofErr w:type="spellEnd"/>
                  <w:r w:rsidRPr="00385BF8">
                    <w:rPr>
                      <w:rFonts w:ascii="Calibri" w:eastAsia="Calibri" w:hAnsi="Calibri"/>
                      <w:color w:val="000000" w:themeColor="text1"/>
                      <w:kern w:val="0"/>
                      <w:sz w:val="22"/>
                      <w:lang w:eastAsia="en-US"/>
                      <w14:ligatures w14:val="none"/>
                    </w:rPr>
                    <w:t>. Abingdon: Routledge.</w:t>
                  </w:r>
                </w:p>
                <w:p w14:paraId="56E02130"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Welsh Government (2024) </w:t>
                  </w:r>
                  <w:r w:rsidRPr="00385BF8">
                    <w:rPr>
                      <w:rFonts w:ascii="Calibri" w:eastAsia="Calibri" w:hAnsi="Calibri"/>
                      <w:i/>
                      <w:iCs/>
                      <w:color w:val="000000" w:themeColor="text1"/>
                      <w:kern w:val="0"/>
                      <w:sz w:val="22"/>
                      <w:lang w:eastAsia="en-US"/>
                      <w14:ligatures w14:val="none"/>
                    </w:rPr>
                    <w:t xml:space="preserve">2024 plan for health and social care.  </w:t>
                  </w:r>
                  <w:r w:rsidRPr="00385BF8">
                    <w:rPr>
                      <w:rFonts w:ascii="Calibri" w:eastAsia="Calibri" w:hAnsi="Calibri"/>
                      <w:color w:val="000000" w:themeColor="text1"/>
                      <w:kern w:val="0"/>
                      <w:sz w:val="22"/>
                      <w:lang w:eastAsia="en-US"/>
                      <w14:ligatures w14:val="none"/>
                    </w:rPr>
                    <w:t xml:space="preserve">Available at: </w:t>
                  </w:r>
                  <w:hyperlink r:id="rId61" w:history="1">
                    <w:r w:rsidRPr="00385BF8">
                      <w:rPr>
                        <w:rFonts w:ascii="Calibri" w:eastAsia="Calibri" w:hAnsi="Calibri"/>
                        <w:color w:val="000000" w:themeColor="text1"/>
                        <w:kern w:val="0"/>
                        <w:sz w:val="22"/>
                        <w:u w:val="single"/>
                        <w:lang w:eastAsia="en-US"/>
                        <w14:ligatures w14:val="none"/>
                      </w:rPr>
                      <w:t>https://www.gov.wales/sites/default/files/pdf-versions/2025/2/1/1739185499/2024-plan-health-and-social-care.pdf</w:t>
                    </w:r>
                  </w:hyperlink>
                  <w:r w:rsidRPr="00385BF8">
                    <w:rPr>
                      <w:rFonts w:ascii="Calibri" w:eastAsia="Calibri" w:hAnsi="Calibri"/>
                      <w:color w:val="000000" w:themeColor="text1"/>
                      <w:kern w:val="0"/>
                      <w:sz w:val="22"/>
                      <w:lang w:eastAsia="en-US"/>
                      <w14:ligatures w14:val="none"/>
                    </w:rPr>
                    <w:t xml:space="preserve"> (Accessed on 27 April 2025).</w:t>
                  </w:r>
                </w:p>
                <w:p w14:paraId="6F6606C6"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Welsh Government (2021) </w:t>
                  </w:r>
                  <w:r w:rsidRPr="00385BF8">
                    <w:rPr>
                      <w:rFonts w:ascii="Calibri" w:eastAsia="Calibri" w:hAnsi="Calibri"/>
                      <w:i/>
                      <w:iCs/>
                      <w:color w:val="000000" w:themeColor="text1"/>
                      <w:kern w:val="0"/>
                      <w:sz w:val="22"/>
                      <w:lang w:eastAsia="en-US"/>
                      <w14:ligatures w14:val="none"/>
                    </w:rPr>
                    <w:t>Age Friendly Wales: Our Strategy for an Aging Society,</w:t>
                  </w:r>
                  <w:r w:rsidRPr="00385BF8">
                    <w:rPr>
                      <w:rFonts w:ascii="Calibri" w:eastAsia="Calibri" w:hAnsi="Calibri"/>
                      <w:color w:val="000000" w:themeColor="text1"/>
                      <w:kern w:val="0"/>
                      <w:sz w:val="22"/>
                      <w:lang w:eastAsia="en-US"/>
                      <w14:ligatures w14:val="none"/>
                    </w:rPr>
                    <w:t xml:space="preserve"> Available at: </w:t>
                  </w:r>
                  <w:hyperlink r:id="rId62" w:history="1">
                    <w:r w:rsidRPr="00385BF8">
                      <w:rPr>
                        <w:rFonts w:ascii="Calibri" w:eastAsia="Calibri" w:hAnsi="Calibri"/>
                        <w:color w:val="000000" w:themeColor="text1"/>
                        <w:kern w:val="0"/>
                        <w:sz w:val="22"/>
                        <w:u w:val="single"/>
                        <w:lang w:eastAsia="en-US"/>
                        <w14:ligatures w14:val="none"/>
                      </w:rPr>
                      <w:t>https://www.gov.wales/sites/default/files/publications/2021-10/our-strategy-for-an-ageing-society.pdf</w:t>
                    </w:r>
                  </w:hyperlink>
                  <w:r w:rsidRPr="00385BF8">
                    <w:rPr>
                      <w:rFonts w:ascii="Calibri" w:eastAsia="Calibri" w:hAnsi="Calibri"/>
                      <w:color w:val="000000" w:themeColor="text1"/>
                      <w:kern w:val="0"/>
                      <w:sz w:val="22"/>
                      <w:lang w:eastAsia="en-US"/>
                      <w14:ligatures w14:val="none"/>
                    </w:rPr>
                    <w:t xml:space="preserve"> (Accessed on 13 April 2025).</w:t>
                  </w:r>
                </w:p>
                <w:p w14:paraId="381EE00D"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Welsh Government (2019) </w:t>
                  </w:r>
                  <w:r w:rsidRPr="00385BF8">
                    <w:rPr>
                      <w:rFonts w:ascii="Calibri" w:eastAsia="Calibri" w:hAnsi="Calibri"/>
                      <w:i/>
                      <w:iCs/>
                      <w:color w:val="000000" w:themeColor="text1"/>
                      <w:kern w:val="0"/>
                      <w:sz w:val="22"/>
                      <w:lang w:eastAsia="en-US"/>
                      <w14:ligatures w14:val="none"/>
                    </w:rPr>
                    <w:t xml:space="preserve">Food &amp; Nutrition in Care Homes for Older </w:t>
                  </w:r>
                  <w:proofErr w:type="gramStart"/>
                  <w:r w:rsidRPr="00385BF8">
                    <w:rPr>
                      <w:rFonts w:ascii="Calibri" w:eastAsia="Calibri" w:hAnsi="Calibri"/>
                      <w:i/>
                      <w:iCs/>
                      <w:color w:val="000000" w:themeColor="text1"/>
                      <w:kern w:val="0"/>
                      <w:sz w:val="22"/>
                      <w:lang w:eastAsia="en-US"/>
                      <w14:ligatures w14:val="none"/>
                    </w:rPr>
                    <w:t>People :</w:t>
                  </w:r>
                  <w:proofErr w:type="gramEnd"/>
                  <w:r w:rsidRPr="00385BF8">
                    <w:rPr>
                      <w:rFonts w:ascii="Calibri" w:eastAsia="Calibri" w:hAnsi="Calibri"/>
                      <w:i/>
                      <w:iCs/>
                      <w:color w:val="000000" w:themeColor="text1"/>
                      <w:kern w:val="0"/>
                      <w:sz w:val="22"/>
                      <w:lang w:eastAsia="en-US"/>
                      <w14:ligatures w14:val="none"/>
                    </w:rPr>
                    <w:t xml:space="preserve"> Best Practice Guidance</w:t>
                  </w:r>
                  <w:r w:rsidRPr="00385BF8">
                    <w:rPr>
                      <w:rFonts w:ascii="Calibri" w:eastAsia="Calibri" w:hAnsi="Calibri"/>
                      <w:color w:val="000000" w:themeColor="text1"/>
                      <w:kern w:val="0"/>
                      <w:sz w:val="22"/>
                      <w:lang w:eastAsia="en-US"/>
                      <w14:ligatures w14:val="none"/>
                    </w:rPr>
                    <w:t xml:space="preserve">. Available at: </w:t>
                  </w:r>
                  <w:hyperlink r:id="rId63" w:history="1">
                    <w:r w:rsidRPr="00385BF8">
                      <w:rPr>
                        <w:rFonts w:ascii="Calibri" w:eastAsia="Calibri" w:hAnsi="Calibri"/>
                        <w:color w:val="000000" w:themeColor="text1"/>
                        <w:kern w:val="0"/>
                        <w:sz w:val="22"/>
                        <w:u w:val="single"/>
                        <w:lang w:eastAsia="en-US"/>
                        <w14:ligatures w14:val="none"/>
                      </w:rPr>
                      <w:t>https://www.gov.wales/sites/default/files/publications/2019-12/food-and-nutrition-care-homes-older-people-guidance-complete.pdf</w:t>
                    </w:r>
                  </w:hyperlink>
                  <w:r w:rsidRPr="00385BF8">
                    <w:rPr>
                      <w:rFonts w:ascii="Calibri" w:eastAsia="Calibri" w:hAnsi="Calibri"/>
                      <w:color w:val="000000" w:themeColor="text1"/>
                      <w:kern w:val="0"/>
                      <w:sz w:val="22"/>
                      <w:lang w:eastAsia="en-US"/>
                      <w14:ligatures w14:val="none"/>
                    </w:rPr>
                    <w:t xml:space="preserve"> (Accessed on 21 April 2025).</w:t>
                  </w:r>
                </w:p>
                <w:p w14:paraId="138631F6"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Welsh Government (2022) </w:t>
                  </w:r>
                  <w:r w:rsidRPr="00385BF8">
                    <w:rPr>
                      <w:rFonts w:ascii="Calibri" w:eastAsia="Calibri" w:hAnsi="Calibri"/>
                      <w:i/>
                      <w:iCs/>
                      <w:color w:val="000000" w:themeColor="text1"/>
                      <w:kern w:val="0"/>
                      <w:sz w:val="22"/>
                      <w:lang w:eastAsia="en-US"/>
                      <w14:ligatures w14:val="none"/>
                    </w:rPr>
                    <w:t>Healthy Weight: Healthy Wales</w:t>
                  </w:r>
                  <w:r w:rsidRPr="00385BF8">
                    <w:rPr>
                      <w:rFonts w:ascii="Calibri" w:eastAsia="Calibri" w:hAnsi="Calibri"/>
                      <w:color w:val="000000" w:themeColor="text1"/>
                      <w:kern w:val="0"/>
                      <w:sz w:val="22"/>
                      <w:lang w:eastAsia="en-US"/>
                      <w14:ligatures w14:val="none"/>
                    </w:rPr>
                    <w:t xml:space="preserve">. Available at: </w:t>
                  </w:r>
                  <w:hyperlink r:id="rId64" w:history="1">
                    <w:r w:rsidRPr="00385BF8">
                      <w:rPr>
                        <w:rFonts w:ascii="Calibri" w:eastAsia="Calibri" w:hAnsi="Calibri"/>
                        <w:color w:val="000000" w:themeColor="text1"/>
                        <w:kern w:val="0"/>
                        <w:sz w:val="22"/>
                        <w:u w:val="single"/>
                        <w:lang w:eastAsia="en-US"/>
                        <w14:ligatures w14:val="none"/>
                      </w:rPr>
                      <w:t>https://www.gov.wales/sites/default/files/publications/2019-10/healthy-weight-healthy-wales_0.pdf</w:t>
                    </w:r>
                  </w:hyperlink>
                  <w:r w:rsidRPr="00385BF8">
                    <w:rPr>
                      <w:rFonts w:ascii="Calibri" w:eastAsia="Calibri" w:hAnsi="Calibri"/>
                      <w:color w:val="000000" w:themeColor="text1"/>
                      <w:kern w:val="0"/>
                      <w:sz w:val="22"/>
                      <w:lang w:eastAsia="en-US"/>
                      <w14:ligatures w14:val="none"/>
                    </w:rPr>
                    <w:t xml:space="preserve"> (Accessed on 29 April 2025). </w:t>
                  </w:r>
                </w:p>
                <w:p w14:paraId="1E3758AD" w14:textId="77777777" w:rsidR="00385BF8" w:rsidRPr="00385BF8" w:rsidRDefault="00385BF8" w:rsidP="00385BF8">
                  <w:pPr>
                    <w:spacing w:after="160" w:line="259" w:lineRule="auto"/>
                    <w:ind w:left="0" w:firstLine="0"/>
                    <w:rPr>
                      <w:rFonts w:ascii="Calibri" w:eastAsia="Calibri" w:hAnsi="Calibri"/>
                      <w:color w:val="auto"/>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Welsh Government (2024) </w:t>
                  </w:r>
                  <w:r w:rsidRPr="00385BF8">
                    <w:rPr>
                      <w:rFonts w:ascii="Calibri" w:eastAsia="Calibri" w:hAnsi="Calibri"/>
                      <w:i/>
                      <w:iCs/>
                      <w:color w:val="000000" w:themeColor="text1"/>
                      <w:kern w:val="0"/>
                      <w:sz w:val="22"/>
                      <w:lang w:eastAsia="en-US"/>
                      <w14:ligatures w14:val="none"/>
                    </w:rPr>
                    <w:t>Well-being of Wales: 2024</w:t>
                  </w:r>
                  <w:r w:rsidRPr="00385BF8">
                    <w:rPr>
                      <w:rFonts w:ascii="Calibri" w:eastAsia="Calibri" w:hAnsi="Calibri"/>
                      <w:color w:val="000000" w:themeColor="text1"/>
                      <w:kern w:val="0"/>
                      <w:sz w:val="22"/>
                      <w:lang w:eastAsia="en-US"/>
                      <w14:ligatures w14:val="none"/>
                    </w:rPr>
                    <w:t xml:space="preserve">. Available at: </w:t>
                  </w:r>
                  <w:hyperlink r:id="rId65" w:history="1">
                    <w:r w:rsidRPr="00385BF8">
                      <w:rPr>
                        <w:rFonts w:ascii="Calibri" w:eastAsia="Calibri" w:hAnsi="Calibri"/>
                        <w:color w:val="000000" w:themeColor="text1"/>
                        <w:kern w:val="0"/>
                        <w:sz w:val="22"/>
                        <w:u w:val="single"/>
                        <w:lang w:eastAsia="en-US"/>
                        <w14:ligatures w14:val="none"/>
                      </w:rPr>
                      <w:t>https://www.gov.wales/sites/default/files/statistics-and-research/2024-09/wellbeing-wales-2024-easy-read-067.pdf</w:t>
                    </w:r>
                  </w:hyperlink>
                  <w:r w:rsidRPr="00385BF8">
                    <w:rPr>
                      <w:rFonts w:ascii="Calibri" w:eastAsia="Calibri" w:hAnsi="Calibri"/>
                      <w:color w:val="auto"/>
                      <w:kern w:val="0"/>
                      <w:sz w:val="22"/>
                      <w:lang w:eastAsia="en-US"/>
                      <w14:ligatures w14:val="none"/>
                    </w:rPr>
                    <w:t xml:space="preserve"> (Accessed on 3 April 2025). </w:t>
                  </w:r>
                </w:p>
                <w:p w14:paraId="4C51A210"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auto"/>
                      <w:kern w:val="0"/>
                      <w:sz w:val="22"/>
                      <w:lang w:eastAsia="en-US"/>
                      <w14:ligatures w14:val="none"/>
                    </w:rPr>
                    <w:lastRenderedPageBreak/>
                    <w:t xml:space="preserve">Welsh Parliament (2024) </w:t>
                  </w:r>
                  <w:r w:rsidRPr="00385BF8">
                    <w:rPr>
                      <w:rFonts w:ascii="Calibri" w:eastAsia="Calibri" w:hAnsi="Calibri"/>
                      <w:i/>
                      <w:iCs/>
                      <w:color w:val="auto"/>
                      <w:kern w:val="0"/>
                      <w:sz w:val="22"/>
                      <w:lang w:eastAsia="en-US"/>
                      <w14:ligatures w14:val="none"/>
                    </w:rPr>
                    <w:t xml:space="preserve">The rise in obesity: some food for thought. </w:t>
                  </w:r>
                  <w:r w:rsidRPr="00385BF8">
                    <w:rPr>
                      <w:rFonts w:ascii="Calibri" w:eastAsia="Calibri" w:hAnsi="Calibri"/>
                      <w:color w:val="auto"/>
                      <w:kern w:val="0"/>
                      <w:sz w:val="22"/>
                      <w:lang w:eastAsia="en-US"/>
                      <w14:ligatures w14:val="none"/>
                    </w:rPr>
                    <w:t xml:space="preserve">Available at: </w:t>
                  </w:r>
                  <w:hyperlink r:id="rId66" w:history="1">
                    <w:r w:rsidRPr="00385BF8">
                      <w:rPr>
                        <w:rFonts w:ascii="Calibri" w:eastAsia="Calibri" w:hAnsi="Calibri"/>
                        <w:color w:val="000000" w:themeColor="text1"/>
                        <w:kern w:val="0"/>
                        <w:sz w:val="22"/>
                        <w:u w:val="single"/>
                        <w:lang w:eastAsia="en-US"/>
                        <w14:ligatures w14:val="none"/>
                      </w:rPr>
                      <w:t>https://research.senedd.wales/research-articles/the-rise-in-obesity-some-food-for-thought/</w:t>
                    </w:r>
                  </w:hyperlink>
                  <w:r w:rsidRPr="00385BF8">
                    <w:rPr>
                      <w:rFonts w:ascii="Calibri" w:eastAsia="Calibri" w:hAnsi="Calibri"/>
                      <w:color w:val="000000" w:themeColor="text1"/>
                      <w:kern w:val="0"/>
                      <w:sz w:val="22"/>
                      <w:lang w:eastAsia="en-US"/>
                      <w14:ligatures w14:val="none"/>
                    </w:rPr>
                    <w:t xml:space="preserve"> (Accessed on 29 April 2025).</w:t>
                  </w:r>
                </w:p>
                <w:p w14:paraId="72C32902" w14:textId="77777777" w:rsidR="00385BF8" w:rsidRPr="00385BF8" w:rsidRDefault="00385BF8" w:rsidP="00385BF8">
                  <w:pPr>
                    <w:spacing w:after="160" w:line="259" w:lineRule="auto"/>
                    <w:ind w:left="0" w:firstLine="0"/>
                    <w:rPr>
                      <w:rFonts w:ascii="Calibri" w:eastAsia="Calibri" w:hAnsi="Calibri"/>
                      <w:i/>
                      <w:iCs/>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World Health Organization (2025) </w:t>
                  </w:r>
                  <w:r w:rsidRPr="00385BF8">
                    <w:rPr>
                      <w:rFonts w:ascii="Calibri" w:eastAsia="Calibri" w:hAnsi="Calibri"/>
                      <w:i/>
                      <w:iCs/>
                      <w:color w:val="000000" w:themeColor="text1"/>
                      <w:kern w:val="0"/>
                      <w:sz w:val="22"/>
                      <w:lang w:eastAsia="en-US"/>
                      <w14:ligatures w14:val="none"/>
                    </w:rPr>
                    <w:t>Health and Well-Being.</w:t>
                  </w:r>
                  <w:r w:rsidRPr="00385BF8">
                    <w:rPr>
                      <w:rFonts w:ascii="Calibri" w:eastAsia="Calibri" w:hAnsi="Calibri"/>
                      <w:color w:val="000000" w:themeColor="text1"/>
                      <w:kern w:val="0"/>
                      <w:sz w:val="22"/>
                      <w:lang w:eastAsia="en-US"/>
                      <w14:ligatures w14:val="none"/>
                    </w:rPr>
                    <w:t xml:space="preserve"> Available at: </w:t>
                  </w:r>
                  <w:hyperlink r:id="rId67" w:history="1">
                    <w:r w:rsidRPr="00385BF8">
                      <w:rPr>
                        <w:rFonts w:ascii="Calibri" w:eastAsia="Calibri" w:hAnsi="Calibri"/>
                        <w:color w:val="000000" w:themeColor="text1"/>
                        <w:kern w:val="0"/>
                        <w:sz w:val="22"/>
                        <w:u w:val="single"/>
                        <w:lang w:eastAsia="en-US"/>
                        <w14:ligatures w14:val="none"/>
                      </w:rPr>
                      <w:t>https://www.who.int/data/gho/data/major-themes/health-and-well-being</w:t>
                    </w:r>
                  </w:hyperlink>
                  <w:r w:rsidRPr="00385BF8">
                    <w:rPr>
                      <w:rFonts w:ascii="Calibri" w:eastAsia="Calibri" w:hAnsi="Calibri"/>
                      <w:color w:val="000000" w:themeColor="text1"/>
                      <w:kern w:val="0"/>
                      <w:sz w:val="22"/>
                      <w:lang w:eastAsia="en-US"/>
                      <w14:ligatures w14:val="none"/>
                    </w:rPr>
                    <w:t xml:space="preserve"> (Accessed 3 April 2025).</w:t>
                  </w:r>
                  <w:r w:rsidRPr="00385BF8">
                    <w:rPr>
                      <w:rFonts w:ascii="Calibri" w:eastAsia="Calibri" w:hAnsi="Calibri"/>
                      <w:i/>
                      <w:iCs/>
                      <w:color w:val="000000" w:themeColor="text1"/>
                      <w:kern w:val="0"/>
                      <w:sz w:val="22"/>
                      <w:lang w:eastAsia="en-US"/>
                      <w14:ligatures w14:val="none"/>
                    </w:rPr>
                    <w:t xml:space="preserve"> </w:t>
                  </w:r>
                </w:p>
                <w:p w14:paraId="440932D4"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World Health Organization (2025) </w:t>
                  </w:r>
                  <w:r w:rsidRPr="00385BF8">
                    <w:rPr>
                      <w:rFonts w:ascii="Calibri" w:eastAsia="Calibri" w:hAnsi="Calibri"/>
                      <w:i/>
                      <w:iCs/>
                      <w:color w:val="000000" w:themeColor="text1"/>
                      <w:kern w:val="0"/>
                      <w:sz w:val="22"/>
                      <w:lang w:eastAsia="en-US"/>
                      <w14:ligatures w14:val="none"/>
                    </w:rPr>
                    <w:t>Promoting Well-Being</w:t>
                  </w:r>
                  <w:r w:rsidRPr="00385BF8">
                    <w:rPr>
                      <w:rFonts w:ascii="Calibri" w:eastAsia="Calibri" w:hAnsi="Calibri"/>
                      <w:color w:val="000000" w:themeColor="text1"/>
                      <w:kern w:val="0"/>
                      <w:sz w:val="22"/>
                      <w:lang w:eastAsia="en-US"/>
                      <w14:ligatures w14:val="none"/>
                    </w:rPr>
                    <w:t xml:space="preserve">. Available at: </w:t>
                  </w:r>
                  <w:hyperlink r:id="rId68" w:history="1">
                    <w:r w:rsidRPr="00385BF8">
                      <w:rPr>
                        <w:rFonts w:ascii="Calibri" w:eastAsia="Calibri" w:hAnsi="Calibri"/>
                        <w:color w:val="000000" w:themeColor="text1"/>
                        <w:kern w:val="0"/>
                        <w:sz w:val="22"/>
                        <w:u w:val="single"/>
                        <w:lang w:eastAsia="en-US"/>
                        <w14:ligatures w14:val="none"/>
                      </w:rPr>
                      <w:t>https://www.who.int/activities/promoting-well-being</w:t>
                    </w:r>
                  </w:hyperlink>
                  <w:r w:rsidRPr="00385BF8">
                    <w:rPr>
                      <w:rFonts w:ascii="Calibri" w:eastAsia="Calibri" w:hAnsi="Calibri"/>
                      <w:color w:val="000000" w:themeColor="text1"/>
                      <w:kern w:val="0"/>
                      <w:sz w:val="22"/>
                      <w:lang w:eastAsia="en-US"/>
                      <w14:ligatures w14:val="none"/>
                    </w:rPr>
                    <w:t xml:space="preserve"> (Accessed on 3 April 2025).</w:t>
                  </w:r>
                </w:p>
                <w:p w14:paraId="2FEFC7A8" w14:textId="77777777" w:rsidR="00385BF8" w:rsidRPr="00385BF8" w:rsidRDefault="00385BF8" w:rsidP="00385BF8">
                  <w:pPr>
                    <w:spacing w:after="160" w:line="259" w:lineRule="auto"/>
                    <w:ind w:left="0" w:firstLine="0"/>
                    <w:rPr>
                      <w:rFonts w:ascii="Calibri" w:eastAsia="Calibri" w:hAnsi="Calibri"/>
                      <w:color w:val="000000" w:themeColor="text1"/>
                      <w:kern w:val="0"/>
                      <w:sz w:val="22"/>
                      <w:lang w:eastAsia="en-US"/>
                      <w14:ligatures w14:val="none"/>
                    </w:rPr>
                  </w:pPr>
                  <w:r w:rsidRPr="00385BF8">
                    <w:rPr>
                      <w:rFonts w:ascii="Calibri" w:eastAsia="Calibri" w:hAnsi="Calibri"/>
                      <w:color w:val="000000" w:themeColor="text1"/>
                      <w:kern w:val="0"/>
                      <w:sz w:val="22"/>
                      <w:lang w:eastAsia="en-US"/>
                      <w14:ligatures w14:val="none"/>
                    </w:rPr>
                    <w:t xml:space="preserve">World Health Organization (2025) </w:t>
                  </w:r>
                  <w:r w:rsidRPr="00385BF8">
                    <w:rPr>
                      <w:rFonts w:ascii="Calibri" w:eastAsia="Calibri" w:hAnsi="Calibri"/>
                      <w:i/>
                      <w:iCs/>
                      <w:color w:val="000000" w:themeColor="text1"/>
                      <w:kern w:val="0"/>
                      <w:sz w:val="22"/>
                      <w:lang w:eastAsia="en-US"/>
                      <w14:ligatures w14:val="none"/>
                    </w:rPr>
                    <w:t>Social determinants of health</w:t>
                  </w:r>
                  <w:r w:rsidRPr="00385BF8">
                    <w:rPr>
                      <w:rFonts w:ascii="Calibri" w:eastAsia="Calibri" w:hAnsi="Calibri"/>
                      <w:color w:val="000000" w:themeColor="text1"/>
                      <w:kern w:val="0"/>
                      <w:sz w:val="22"/>
                      <w:lang w:eastAsia="en-US"/>
                      <w14:ligatures w14:val="none"/>
                    </w:rPr>
                    <w:t xml:space="preserve">. Available at: </w:t>
                  </w:r>
                  <w:hyperlink r:id="rId69" w:anchor="tab=tab_1" w:history="1">
                    <w:r w:rsidRPr="00385BF8">
                      <w:rPr>
                        <w:rFonts w:ascii="Calibri" w:eastAsia="Calibri" w:hAnsi="Calibri"/>
                        <w:color w:val="000000" w:themeColor="text1"/>
                        <w:kern w:val="0"/>
                        <w:sz w:val="22"/>
                        <w:u w:val="single"/>
                        <w:lang w:eastAsia="en-US"/>
                        <w14:ligatures w14:val="none"/>
                      </w:rPr>
                      <w:t>https://www.who.int/health-topics/social-determinants-of-health#tab=tab_1</w:t>
                    </w:r>
                  </w:hyperlink>
                  <w:r w:rsidRPr="00385BF8">
                    <w:rPr>
                      <w:rFonts w:ascii="Calibri" w:eastAsia="Calibri" w:hAnsi="Calibri"/>
                      <w:color w:val="000000" w:themeColor="text1"/>
                      <w:kern w:val="0"/>
                      <w:sz w:val="22"/>
                      <w:lang w:eastAsia="en-US"/>
                      <w14:ligatures w14:val="none"/>
                    </w:rPr>
                    <w:t xml:space="preserve"> (Accessed on 10 April 2025). </w:t>
                  </w:r>
                </w:p>
                <w:p w14:paraId="3C87C82D" w14:textId="77777777" w:rsidR="004B22DE" w:rsidRPr="00601B22" w:rsidRDefault="004B22DE" w:rsidP="004B22DE">
                  <w:pPr>
                    <w:spacing w:after="0" w:line="259" w:lineRule="auto"/>
                    <w:ind w:left="0" w:right="115" w:firstLine="0"/>
                    <w:rPr>
                      <w:rFonts w:asciiTheme="majorHAnsi" w:hAnsiTheme="majorHAnsi" w:cstheme="majorHAnsi"/>
                      <w:szCs w:val="24"/>
                    </w:rPr>
                  </w:pPr>
                </w:p>
                <w:p w14:paraId="40172B48" w14:textId="77777777" w:rsidR="004B22DE" w:rsidRPr="00601B22" w:rsidRDefault="004B22DE" w:rsidP="004B22DE">
                  <w:pPr>
                    <w:spacing w:after="0" w:line="259" w:lineRule="auto"/>
                    <w:ind w:left="0" w:right="115" w:firstLine="0"/>
                    <w:rPr>
                      <w:rFonts w:asciiTheme="majorHAnsi" w:hAnsiTheme="majorHAnsi" w:cstheme="majorHAnsi"/>
                      <w:szCs w:val="24"/>
                    </w:rPr>
                  </w:pPr>
                </w:p>
                <w:p w14:paraId="53E44731" w14:textId="77777777" w:rsidR="004B22DE" w:rsidRPr="00601B22" w:rsidRDefault="004B22DE" w:rsidP="004B22DE">
                  <w:pPr>
                    <w:spacing w:after="0" w:line="259" w:lineRule="auto"/>
                    <w:ind w:left="0" w:right="115" w:firstLine="0"/>
                    <w:rPr>
                      <w:rFonts w:asciiTheme="majorHAnsi" w:hAnsiTheme="majorHAnsi" w:cstheme="majorHAnsi"/>
                      <w:szCs w:val="24"/>
                    </w:rPr>
                  </w:pPr>
                </w:p>
              </w:tc>
            </w:tr>
          </w:tbl>
          <w:tbl>
            <w:tblPr>
              <w:tblStyle w:val="TableGrid"/>
              <w:tblW w:w="10330" w:type="dxa"/>
              <w:tblInd w:w="90" w:type="dxa"/>
              <w:tblLook w:val="04A0" w:firstRow="1" w:lastRow="0" w:firstColumn="1" w:lastColumn="0" w:noHBand="0" w:noVBand="1"/>
            </w:tblPr>
            <w:tblGrid>
              <w:gridCol w:w="9129"/>
              <w:gridCol w:w="1201"/>
            </w:tblGrid>
            <w:tr w:rsidR="004B22DE" w14:paraId="45DE1C00" w14:textId="77777777" w:rsidTr="00F42984">
              <w:trPr>
                <w:trHeight w:val="1190"/>
              </w:trPr>
              <w:tc>
                <w:tcPr>
                  <w:tcW w:w="9129" w:type="dxa"/>
                </w:tcPr>
                <w:p w14:paraId="502B93F7" w14:textId="77777777" w:rsidR="004B22DE" w:rsidRDefault="004B22DE" w:rsidP="004B22DE">
                  <w:pPr>
                    <w:spacing w:after="0" w:line="259" w:lineRule="auto"/>
                    <w:ind w:left="240" w:hanging="240"/>
                  </w:pPr>
                </w:p>
                <w:p w14:paraId="32D84E03" w14:textId="77777777" w:rsidR="004B22DE" w:rsidRDefault="004B22DE" w:rsidP="004B22DE">
                  <w:pPr>
                    <w:spacing w:after="0" w:line="259" w:lineRule="auto"/>
                    <w:ind w:left="240" w:hanging="240"/>
                  </w:pPr>
                </w:p>
                <w:p w14:paraId="2F35966B" w14:textId="77777777" w:rsidR="004B22DE" w:rsidRDefault="004B22DE" w:rsidP="004B22DE">
                  <w:pPr>
                    <w:spacing w:after="0" w:line="259" w:lineRule="auto"/>
                    <w:ind w:left="240" w:hanging="240"/>
                  </w:pPr>
                </w:p>
              </w:tc>
              <w:tc>
                <w:tcPr>
                  <w:tcW w:w="1201" w:type="dxa"/>
                </w:tcPr>
                <w:p w14:paraId="35D84BBB" w14:textId="77777777" w:rsidR="004B22DE" w:rsidRDefault="004B22DE" w:rsidP="004B22DE">
                  <w:pPr>
                    <w:spacing w:after="0" w:line="259" w:lineRule="auto"/>
                    <w:ind w:left="360" w:hanging="360"/>
                  </w:pPr>
                </w:p>
              </w:tc>
            </w:tr>
          </w:tbl>
          <w:p w14:paraId="74E50862" w14:textId="77777777" w:rsidR="004B22DE" w:rsidRDefault="004B22DE" w:rsidP="004B22DE"/>
          <w:p w14:paraId="7C8AE083" w14:textId="580891EC" w:rsidR="00601B22" w:rsidRPr="00601B22" w:rsidRDefault="00601B22" w:rsidP="002B1217">
            <w:pPr>
              <w:spacing w:after="0" w:line="259" w:lineRule="auto"/>
              <w:ind w:left="240" w:right="115" w:hanging="240"/>
              <w:rPr>
                <w:rFonts w:asciiTheme="majorHAnsi" w:hAnsiTheme="majorHAnsi" w:cstheme="majorHAnsi"/>
                <w:szCs w:val="24"/>
              </w:rPr>
            </w:pPr>
          </w:p>
        </w:tc>
        <w:tc>
          <w:tcPr>
            <w:tcW w:w="1201" w:type="dxa"/>
            <w:tcBorders>
              <w:top w:val="nil"/>
              <w:left w:val="nil"/>
              <w:bottom w:val="nil"/>
              <w:right w:val="nil"/>
            </w:tcBorders>
            <w:vAlign w:val="center"/>
          </w:tcPr>
          <w:p w14:paraId="3E52BAB3" w14:textId="788C0FCC" w:rsidR="00762115" w:rsidRPr="00601B22" w:rsidRDefault="00762115" w:rsidP="002B1217">
            <w:pPr>
              <w:spacing w:after="0" w:line="259" w:lineRule="auto"/>
              <w:ind w:left="360" w:hanging="360"/>
              <w:rPr>
                <w:rFonts w:asciiTheme="majorHAnsi" w:hAnsiTheme="majorHAnsi" w:cstheme="majorHAnsi"/>
                <w:szCs w:val="24"/>
              </w:rPr>
            </w:pPr>
          </w:p>
        </w:tc>
      </w:tr>
    </w:tbl>
    <w:p w14:paraId="755FCB1F" w14:textId="77777777" w:rsidR="00E87D00" w:rsidRDefault="00E87D00">
      <w:pPr>
        <w:spacing w:after="160" w:line="259" w:lineRule="auto"/>
        <w:ind w:left="0" w:firstLine="0"/>
      </w:pPr>
    </w:p>
    <w:p w14:paraId="61E20004" w14:textId="77777777" w:rsidR="00E87D00" w:rsidRDefault="00E87D00">
      <w:pPr>
        <w:spacing w:after="160" w:line="259" w:lineRule="auto"/>
        <w:ind w:left="0" w:firstLine="0"/>
      </w:pPr>
    </w:p>
    <w:p w14:paraId="185E6CC9" w14:textId="77777777" w:rsidR="005B6F77" w:rsidRDefault="005B6F77">
      <w:r>
        <w:br w:type="page"/>
      </w:r>
    </w:p>
    <w:sectPr w:rsidR="005B6F77">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53EF0" w14:textId="77777777" w:rsidR="00FD70D5" w:rsidRDefault="00FD70D5" w:rsidP="005F4C48">
      <w:pPr>
        <w:spacing w:after="0" w:line="240" w:lineRule="auto"/>
      </w:pPr>
      <w:r>
        <w:separator/>
      </w:r>
    </w:p>
  </w:endnote>
  <w:endnote w:type="continuationSeparator" w:id="0">
    <w:p w14:paraId="7678E816" w14:textId="77777777" w:rsidR="00FD70D5" w:rsidRDefault="00FD70D5" w:rsidP="005F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353AA" w14:textId="2E6EEDA8" w:rsidR="005F4C48" w:rsidRPr="005F4C48" w:rsidRDefault="005F4C48" w:rsidP="005F4C48">
    <w:pPr>
      <w:tabs>
        <w:tab w:val="center" w:pos="2815"/>
      </w:tabs>
      <w:ind w:left="0" w:firstLine="0"/>
      <w:rPr>
        <w:rFonts w:asciiTheme="majorHAnsi" w:hAnsiTheme="majorHAnsi" w:cstheme="majorHAnsi"/>
      </w:rPr>
    </w:pPr>
    <w:r>
      <w:rPr>
        <w:rFonts w:asciiTheme="majorHAnsi" w:hAnsiTheme="majorHAnsi" w:cstheme="majorHAnsi"/>
      </w:rPr>
      <w:t>U</w:t>
    </w:r>
    <w:r w:rsidRPr="005F4C48">
      <w:rPr>
        <w:rFonts w:asciiTheme="majorHAnsi" w:hAnsiTheme="majorHAnsi" w:cstheme="majorHAnsi"/>
      </w:rPr>
      <w:t>nit Code: PA94CY001</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Created: August 2023</w:t>
    </w:r>
  </w:p>
  <w:p w14:paraId="3243C5CD" w14:textId="77777777" w:rsidR="005F4C48" w:rsidRPr="005F4C48" w:rsidRDefault="005F4C48" w:rsidP="005F4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A1577" w14:textId="77777777" w:rsidR="00FD70D5" w:rsidRDefault="00FD70D5" w:rsidP="005F4C48">
      <w:pPr>
        <w:spacing w:after="0" w:line="240" w:lineRule="auto"/>
      </w:pPr>
      <w:r>
        <w:separator/>
      </w:r>
    </w:p>
  </w:footnote>
  <w:footnote w:type="continuationSeparator" w:id="0">
    <w:p w14:paraId="51580535" w14:textId="77777777" w:rsidR="00FD70D5" w:rsidRDefault="00FD70D5" w:rsidP="005F4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CD633" w14:textId="5F8FE025" w:rsidR="005F4C48" w:rsidRPr="005F4C48" w:rsidRDefault="005F4C48" w:rsidP="005F4C48">
    <w:pPr>
      <w:tabs>
        <w:tab w:val="center" w:pos="2815"/>
      </w:tabs>
      <w:ind w:left="0" w:firstLine="0"/>
      <w:rPr>
        <w:rFonts w:asciiTheme="majorHAnsi" w:hAnsiTheme="majorHAnsi" w:cstheme="majorHAnsi"/>
      </w:rPr>
    </w:pPr>
    <w:r>
      <w:rPr>
        <w:noProof/>
      </w:rPr>
      <w:drawing>
        <wp:anchor distT="0" distB="0" distL="114300" distR="114300" simplePos="0" relativeHeight="251661312" behindDoc="0" locked="0" layoutInCell="1" allowOverlap="1" wp14:anchorId="36AD2235" wp14:editId="1D4A08B6">
          <wp:simplePos x="0" y="0"/>
          <wp:positionH relativeFrom="column">
            <wp:posOffset>-622300</wp:posOffset>
          </wp:positionH>
          <wp:positionV relativeFrom="paragraph">
            <wp:posOffset>-318135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r>
      <w:rPr>
        <w:rFonts w:asciiTheme="majorHAnsi" w:hAnsiTheme="majorHAnsi" w:cstheme="majorHAnsi"/>
        <w:b/>
        <w:noProof/>
        <w:color w:val="538135" w:themeColor="accent6" w:themeShade="BF"/>
        <w:sz w:val="48"/>
      </w:rPr>
      <w:drawing>
        <wp:anchor distT="0" distB="0" distL="114300" distR="114300" simplePos="0" relativeHeight="251659264" behindDoc="1" locked="0" layoutInCell="1" allowOverlap="1" wp14:anchorId="61D07D86" wp14:editId="16FF2633">
          <wp:simplePos x="0" y="0"/>
          <wp:positionH relativeFrom="column">
            <wp:posOffset>4267200</wp:posOffset>
          </wp:positionH>
          <wp:positionV relativeFrom="paragraph">
            <wp:posOffset>-280035</wp:posOffset>
          </wp:positionV>
          <wp:extent cx="1854835" cy="973455"/>
          <wp:effectExtent l="0" t="0" r="0" b="0"/>
          <wp:wrapTight wrapText="bothSides">
            <wp:wrapPolygon edited="0">
              <wp:start x="0" y="0"/>
              <wp:lineTo x="0" y="21135"/>
              <wp:lineTo x="21297" y="21135"/>
              <wp:lineTo x="21297" y="0"/>
              <wp:lineTo x="0" y="0"/>
            </wp:wrapPolygon>
          </wp:wrapTight>
          <wp:docPr id="1139245397" name="Picture 1139245397" descr="Image result for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t davi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548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7023A1" w14:textId="25BCD039" w:rsidR="005F4C48" w:rsidRPr="005F4C48" w:rsidRDefault="005F4C48" w:rsidP="005F4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9F87F25"/>
    <w:multiLevelType w:val="multilevel"/>
    <w:tmpl w:val="926A7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0DE"/>
    <w:rsid w:val="00042761"/>
    <w:rsid w:val="00062104"/>
    <w:rsid w:val="000751B6"/>
    <w:rsid w:val="000A5670"/>
    <w:rsid w:val="000D2D8A"/>
    <w:rsid w:val="000E2B4E"/>
    <w:rsid w:val="000E5CB0"/>
    <w:rsid w:val="000F53F1"/>
    <w:rsid w:val="00103003"/>
    <w:rsid w:val="00125280"/>
    <w:rsid w:val="00163155"/>
    <w:rsid w:val="00193289"/>
    <w:rsid w:val="001A5D87"/>
    <w:rsid w:val="001D10DD"/>
    <w:rsid w:val="0020008C"/>
    <w:rsid w:val="002014B4"/>
    <w:rsid w:val="0020375C"/>
    <w:rsid w:val="0022446C"/>
    <w:rsid w:val="002B3C80"/>
    <w:rsid w:val="002E2280"/>
    <w:rsid w:val="002F3EF4"/>
    <w:rsid w:val="0032140B"/>
    <w:rsid w:val="003506DB"/>
    <w:rsid w:val="0037392A"/>
    <w:rsid w:val="00385BF8"/>
    <w:rsid w:val="003874F8"/>
    <w:rsid w:val="003E5E15"/>
    <w:rsid w:val="00411D6D"/>
    <w:rsid w:val="00414A68"/>
    <w:rsid w:val="00447006"/>
    <w:rsid w:val="00452F53"/>
    <w:rsid w:val="00457BC6"/>
    <w:rsid w:val="00486AF7"/>
    <w:rsid w:val="004B22DE"/>
    <w:rsid w:val="004B3551"/>
    <w:rsid w:val="004D0980"/>
    <w:rsid w:val="004D4E8F"/>
    <w:rsid w:val="004D5927"/>
    <w:rsid w:val="004E7C7E"/>
    <w:rsid w:val="005079CA"/>
    <w:rsid w:val="00522076"/>
    <w:rsid w:val="00522DD8"/>
    <w:rsid w:val="00545B9A"/>
    <w:rsid w:val="005774D6"/>
    <w:rsid w:val="005B600F"/>
    <w:rsid w:val="005B6F77"/>
    <w:rsid w:val="005F4C48"/>
    <w:rsid w:val="005F7527"/>
    <w:rsid w:val="005F7BEB"/>
    <w:rsid w:val="006006B3"/>
    <w:rsid w:val="00601B22"/>
    <w:rsid w:val="00603724"/>
    <w:rsid w:val="00622858"/>
    <w:rsid w:val="006262F5"/>
    <w:rsid w:val="00643698"/>
    <w:rsid w:val="0065473C"/>
    <w:rsid w:val="006772DC"/>
    <w:rsid w:val="0069063F"/>
    <w:rsid w:val="00695818"/>
    <w:rsid w:val="006C003A"/>
    <w:rsid w:val="006C7628"/>
    <w:rsid w:val="006E53F1"/>
    <w:rsid w:val="006E5E4E"/>
    <w:rsid w:val="00762115"/>
    <w:rsid w:val="0076525F"/>
    <w:rsid w:val="00765BE4"/>
    <w:rsid w:val="00771BB2"/>
    <w:rsid w:val="00795BC6"/>
    <w:rsid w:val="007A5046"/>
    <w:rsid w:val="007A6101"/>
    <w:rsid w:val="007E1560"/>
    <w:rsid w:val="007F73EA"/>
    <w:rsid w:val="00800FD3"/>
    <w:rsid w:val="00832947"/>
    <w:rsid w:val="00863764"/>
    <w:rsid w:val="00865602"/>
    <w:rsid w:val="00934618"/>
    <w:rsid w:val="00934810"/>
    <w:rsid w:val="00960F8C"/>
    <w:rsid w:val="00983FCE"/>
    <w:rsid w:val="009A0E24"/>
    <w:rsid w:val="009F1C4B"/>
    <w:rsid w:val="009F3420"/>
    <w:rsid w:val="00A128B8"/>
    <w:rsid w:val="00A2220A"/>
    <w:rsid w:val="00A961B8"/>
    <w:rsid w:val="00AA16A6"/>
    <w:rsid w:val="00AF37A5"/>
    <w:rsid w:val="00AF3E26"/>
    <w:rsid w:val="00AF4D06"/>
    <w:rsid w:val="00B01817"/>
    <w:rsid w:val="00B20FCE"/>
    <w:rsid w:val="00B32EB5"/>
    <w:rsid w:val="00B55214"/>
    <w:rsid w:val="00B55C32"/>
    <w:rsid w:val="00B611BC"/>
    <w:rsid w:val="00B84479"/>
    <w:rsid w:val="00BC0C40"/>
    <w:rsid w:val="00BE03A0"/>
    <w:rsid w:val="00C500DE"/>
    <w:rsid w:val="00C54E0C"/>
    <w:rsid w:val="00C9446F"/>
    <w:rsid w:val="00CB43F6"/>
    <w:rsid w:val="00CB4E18"/>
    <w:rsid w:val="00CB7A42"/>
    <w:rsid w:val="00CE6A6A"/>
    <w:rsid w:val="00D03551"/>
    <w:rsid w:val="00D7002C"/>
    <w:rsid w:val="00D709AC"/>
    <w:rsid w:val="00D70AE3"/>
    <w:rsid w:val="00D800D8"/>
    <w:rsid w:val="00D853A5"/>
    <w:rsid w:val="00DE0A62"/>
    <w:rsid w:val="00E10EAB"/>
    <w:rsid w:val="00E1298E"/>
    <w:rsid w:val="00E81D3E"/>
    <w:rsid w:val="00E87D00"/>
    <w:rsid w:val="00ED1A85"/>
    <w:rsid w:val="00F01856"/>
    <w:rsid w:val="00F02C49"/>
    <w:rsid w:val="00F16BD5"/>
    <w:rsid w:val="00F43248"/>
    <w:rsid w:val="00F6123E"/>
    <w:rsid w:val="00F62D93"/>
    <w:rsid w:val="00F658E3"/>
    <w:rsid w:val="00F668E4"/>
    <w:rsid w:val="00FA285C"/>
    <w:rsid w:val="00FB2012"/>
    <w:rsid w:val="00FD70D5"/>
    <w:rsid w:val="00FE47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949B"/>
  <w15:chartTrackingRefBased/>
  <w15:docId w15:val="{CB759362-BD0F-4B10-AF44-39881AD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CB0"/>
    <w:pPr>
      <w:spacing w:after="77" w:line="247" w:lineRule="auto"/>
      <w:ind w:left="55" w:hanging="10"/>
    </w:pPr>
    <w:rPr>
      <w:rFonts w:ascii="Times New Roman" w:eastAsia="Times New Roman" w:hAnsi="Times New Roman" w:cs="Times New Roman"/>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500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50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0DE"/>
    <w:pPr>
      <w:ind w:left="720"/>
      <w:contextualSpacing/>
    </w:pPr>
  </w:style>
  <w:style w:type="character" w:styleId="Hyperlink">
    <w:name w:val="Hyperlink"/>
    <w:basedOn w:val="DefaultParagraphFont"/>
    <w:uiPriority w:val="99"/>
    <w:unhideWhenUsed/>
    <w:rsid w:val="00601B22"/>
    <w:rPr>
      <w:color w:val="0563C1" w:themeColor="hyperlink"/>
      <w:u w:val="single"/>
    </w:rPr>
  </w:style>
  <w:style w:type="character" w:styleId="UnresolvedMention">
    <w:name w:val="Unresolved Mention"/>
    <w:basedOn w:val="DefaultParagraphFont"/>
    <w:uiPriority w:val="99"/>
    <w:semiHidden/>
    <w:unhideWhenUsed/>
    <w:rsid w:val="00601B22"/>
    <w:rPr>
      <w:color w:val="605E5C"/>
      <w:shd w:val="clear" w:color="auto" w:fill="E1DFDD"/>
    </w:rPr>
  </w:style>
  <w:style w:type="paragraph" w:styleId="Header">
    <w:name w:val="header"/>
    <w:basedOn w:val="Normal"/>
    <w:link w:val="HeaderChar"/>
    <w:uiPriority w:val="99"/>
    <w:unhideWhenUsed/>
    <w:rsid w:val="005F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48"/>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F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48"/>
    <w:rPr>
      <w:rFonts w:ascii="Times New Roman" w:eastAsia="Times New Roman" w:hAnsi="Times New Roman" w:cs="Times New Roman"/>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ange.nhs.uk/en-GB/" TargetMode="External"/><Relationship Id="rId21" Type="http://schemas.openxmlformats.org/officeDocument/2006/relationships/hyperlink" Target="https://www.verywellmind.com/health-belief-model-3132721" TargetMode="External"/><Relationship Id="rId42" Type="http://schemas.openxmlformats.org/officeDocument/2006/relationships/hyperlink" Target="https://senedd.wales/media/kzpf2cn0/17-025-web-english.pdf" TargetMode="External"/><Relationship Id="rId47" Type="http://schemas.openxmlformats.org/officeDocument/2006/relationships/hyperlink" Target="https://phw.nhs.wales/about-us/policies-and-procedures/policies-and-procedures-documents/risk-management-health-and-safety-and-estates-supporting-documents/display-screen-equipment-procedure-phw10tp13/" TargetMode="External"/><Relationship Id="rId63" Type="http://schemas.openxmlformats.org/officeDocument/2006/relationships/hyperlink" Target="https://www.gov.wales/sites/default/files/publications/2019-12/food-and-nutrition-care-homes-older-people-guidance-complete.pdf" TargetMode="External"/><Relationship Id="rId68" Type="http://schemas.openxmlformats.org/officeDocument/2006/relationships/hyperlink" Target="https://www.who.int/activities/promoting-well-being"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s://www.fph.org.uk/what-is-public-health/key-areas-of-work-in-public-health/" TargetMode="External"/><Relationship Id="rId11" Type="http://schemas.openxmlformats.org/officeDocument/2006/relationships/image" Target="media/image3.jpeg"/><Relationship Id="rId24" Type="http://schemas.openxmlformats.org/officeDocument/2006/relationships/hyperlink" Target="https://www.sciencedirect.com/science/article/pii/S0264275123002925" TargetMode="External"/><Relationship Id="rId32" Type="http://schemas.openxmlformats.org/officeDocument/2006/relationships/hyperlink" Target="https://pubmed.ncbi.nlm.nih.gov/36904285/" TargetMode="External"/><Relationship Id="rId37" Type="http://schemas.openxmlformats.org/officeDocument/2006/relationships/hyperlink" Target="https://phw.nhs.wales/services-and-teams/improvement-cymru/improvement-cymru-academy1/resource-library/academy-toolkit-guides/co-production-toolkit-guide/" TargetMode="External"/><Relationship Id="rId40" Type="http://schemas.openxmlformats.org/officeDocument/2006/relationships/hyperlink" Target="https://www.local.gov.uk/publications/building-fairer-towns-cities-and-regions-insights-marmot-places" TargetMode="External"/><Relationship Id="rId45" Type="http://schemas.openxmlformats.org/officeDocument/2006/relationships/hyperlink" Target="https://www.england.nhs.uk/wp-content/uploads/2022/07/nhs-long-term-plan-version-1.2.pdf" TargetMode="External"/><Relationship Id="rId53" Type="http://schemas.openxmlformats.org/officeDocument/2006/relationships/hyperlink" Target="https://www.sciencedirect.com/science/article/abs/pii/S0378475418302763" TargetMode="External"/><Relationship Id="rId58" Type="http://schemas.openxmlformats.org/officeDocument/2006/relationships/hyperlink" Target="https://www.sciencedirect.com/science/article/abs/pii/S0950329322001847" TargetMode="External"/><Relationship Id="rId66" Type="http://schemas.openxmlformats.org/officeDocument/2006/relationships/hyperlink" Target="https://research.senedd.wales/research-articles/the-rise-in-obesity-some-food-for-thought/" TargetMode="External"/><Relationship Id="rId5" Type="http://schemas.openxmlformats.org/officeDocument/2006/relationships/footnotes" Target="footnotes.xml"/><Relationship Id="rId61" Type="http://schemas.openxmlformats.org/officeDocument/2006/relationships/hyperlink" Target="https://www.gov.wales/sites/default/files/pdf-versions/2025/2/1/1739185499/2024-plan-health-and-social-care.pdf" TargetMode="External"/><Relationship Id="rId19" Type="http://schemas.openxmlformats.org/officeDocument/2006/relationships/hyperlink" Target="https://pubmed.ncbi.nlm.nih.gov/39163427/" TargetMode="External"/><Relationship Id="rId14" Type="http://schemas.openxmlformats.org/officeDocument/2006/relationships/image" Target="cid:mf_9A4A9291-A6CE-4EB1-8228-3BF0DDD8BB52/L0/001" TargetMode="External"/><Relationship Id="rId22" Type="http://schemas.openxmlformats.org/officeDocument/2006/relationships/hyperlink" Target="https://www.bda.uk.com/static/176907a2-f2d8-45bb-8213c581d3ccd7ba/06c5eecf-fa85-4472-948806c5165ed5d9/Nutrition-and-Hydration-Digest-3rd-edition.pdf" TargetMode="External"/><Relationship Id="rId27" Type="http://schemas.openxmlformats.org/officeDocument/2006/relationships/hyperlink" Target="https://assets.publishing.service.gov.uk/media/5a7c551ae5274a2041cf34cc/DH_wellbeing_health.PDF" TargetMode="External"/><Relationship Id="rId30" Type="http://schemas.openxmlformats.org/officeDocument/2006/relationships/hyperlink" Target="https://www.fph.org.uk/what-is-public-health/" TargetMode="External"/><Relationship Id="rId35" Type="http://schemas.openxmlformats.org/officeDocument/2006/relationships/hyperlink" Target="https://www.bmj.com/content/385/bmj-2024-079389" TargetMode="External"/><Relationship Id="rId43" Type="http://schemas.openxmlformats.org/officeDocument/2006/relationships/hyperlink" Target="https://www.england.nhs.uk/about/equality/equality-hub/national-healthcare-inequalities-improvement-programme/what-are-healthcare-inequalities/" TargetMode="External"/><Relationship Id="rId48" Type="http://schemas.openxmlformats.org/officeDocument/2006/relationships/hyperlink" Target="https://healthyworking.wales/" TargetMode="External"/><Relationship Id="rId56" Type="http://schemas.openxmlformats.org/officeDocument/2006/relationships/hyperlink" Target="https://pubmed.ncbi.nlm.nih.gov/37970381/" TargetMode="External"/><Relationship Id="rId64" Type="http://schemas.openxmlformats.org/officeDocument/2006/relationships/hyperlink" Target="https://www.gov.wales/sites/default/files/publications/2019-10/healthy-weight-healthy-wales_0.pdf" TargetMode="External"/><Relationship Id="rId69" Type="http://schemas.openxmlformats.org/officeDocument/2006/relationships/hyperlink" Target="https://www.who.int/health-topics/social-determinants-of-health" TargetMode="External"/><Relationship Id="rId8" Type="http://schemas.openxmlformats.org/officeDocument/2006/relationships/hyperlink" Target="https://abundantlifeinitiative.com/about/health-and-wellbeing/" TargetMode="External"/><Relationship Id="rId51" Type="http://schemas.openxmlformats.org/officeDocument/2006/relationships/hyperlink" Target="https://phw.nhs.wales/about-us/policies-and-procedures/policies-and-procedures-documents/risk-management-health-and-safety-and-estates-supporting-documents/phw10-tp09-personal-protective-equipment-procedure/"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cid:mf_BC41BDCC-BD55-4FB6-8D47-3FC409E60EC9/L0/001" TargetMode="External"/><Relationship Id="rId17" Type="http://schemas.openxmlformats.org/officeDocument/2006/relationships/image" Target="media/image7.png"/><Relationship Id="rId25" Type="http://schemas.openxmlformats.org/officeDocument/2006/relationships/hyperlink" Target="https://journals.rcni.com/nursing-standard/evidence-and-practice/understanding-the-importance-of-concepts-of-health-ns.2020.e11539/print/full" TargetMode="External"/><Relationship Id="rId33" Type="http://schemas.openxmlformats.org/officeDocument/2006/relationships/hyperlink" Target="https://pmc.ncbi.nlm.nih.gov/articles/PMC4403940/" TargetMode="External"/><Relationship Id="rId38" Type="http://schemas.openxmlformats.org/officeDocument/2006/relationships/hyperlink" Target="https://pmc.ncbi.nlm.nih.gov/articles/PMC8790685/" TargetMode="External"/><Relationship Id="rId46" Type="http://schemas.openxmlformats.org/officeDocument/2006/relationships/hyperlink" Target="https://phw.nhs.wales/about-us/policies-and-procedures/policies-and-procedures-documents/human-resources-policies/flexible-working-policy1/" TargetMode="External"/><Relationship Id="rId59" Type="http://schemas.openxmlformats.org/officeDocument/2006/relationships/hyperlink" Target="https://pmc.ncbi.nlm.nih.gov/articles/PMC5508938/" TargetMode="External"/><Relationship Id="rId67" Type="http://schemas.openxmlformats.org/officeDocument/2006/relationships/hyperlink" Target="https://www.who.int/data/gho/data/major-themes/health-and-well-being" TargetMode="External"/><Relationship Id="rId20" Type="http://schemas.openxmlformats.org/officeDocument/2006/relationships/hyperlink" Target="https://pubmed.ncbi.nlm.nih.gov/34705335/" TargetMode="External"/><Relationship Id="rId41" Type="http://schemas.openxmlformats.org/officeDocument/2006/relationships/hyperlink" Target="https://www.malnutritionpathway.co.uk/library/managing_malnutrition.pdf" TargetMode="External"/><Relationship Id="rId54" Type="http://schemas.openxmlformats.org/officeDocument/2006/relationships/hyperlink" Target="https://academic.oup.com/phe/article/16/3/210/7232444" TargetMode="External"/><Relationship Id="rId62" Type="http://schemas.openxmlformats.org/officeDocument/2006/relationships/hyperlink" Target="https://www.gov.wales/sites/default/files/publications/2021-10/our-strategy-for-an-ageing-society.pdf"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www.careuk.com/company/care-uk-campaigns/food-for-thought/residents-baking-secrets" TargetMode="External"/><Relationship Id="rId28" Type="http://schemas.openxmlformats.org/officeDocument/2006/relationships/hyperlink" Target="https://elevateni.org/app/uploads/2022/03/Dalgren-Whitehead-model-of-health-determinants-30-years-on-and-still-chasing-rainbows.pdf" TargetMode="External"/><Relationship Id="rId36" Type="http://schemas.openxmlformats.org/officeDocument/2006/relationships/hyperlink" Target="https://pubmed.ncbi.nlm.nih.gov/30289592/" TargetMode="External"/><Relationship Id="rId49" Type="http://schemas.openxmlformats.org/officeDocument/2006/relationships/hyperlink" Target="https://phw.nhs.wales/news/over-10-percent-of-deaths-in-wales-due-to-smoking/" TargetMode="External"/><Relationship Id="rId57" Type="http://schemas.openxmlformats.org/officeDocument/2006/relationships/hyperlink" Target="https://www.scie.org.uk/co-production/what-how/" TargetMode="External"/><Relationship Id="rId10" Type="http://schemas.openxmlformats.org/officeDocument/2006/relationships/image" Target="cid:mf_12C0C61D-4ABD-4678-8A5E-1002B28BB26C/L0/001" TargetMode="External"/><Relationship Id="rId31" Type="http://schemas.openxmlformats.org/officeDocument/2006/relationships/hyperlink" Target="https://www.mdpi.com/2072-6643/16/14/2335" TargetMode="External"/><Relationship Id="rId44" Type="http://schemas.openxmlformats.org/officeDocument/2006/relationships/hyperlink" Target="https://view.officeapps.live.com/op/view.aspx?src=https%3A%2F%2Fwww.england.nhs.uk%2Fwp-content%2Fuploads%2F2021%2F11%2FNHS-health-and-wellbeing-framework-elements-of-health-and-wellbeing.docx&amp;wdOrigin=BROWSELINK" TargetMode="External"/><Relationship Id="rId52" Type="http://schemas.openxmlformats.org/officeDocument/2006/relationships/hyperlink" Target="https://phw.nhs.wales/news/public-health-wales-vision-for-a-healthier-future-for-wales/working-together-for-a-healthier-wales/" TargetMode="External"/><Relationship Id="rId60" Type="http://schemas.openxmlformats.org/officeDocument/2006/relationships/hyperlink" Target="https://eppi.ioe.ac.uk/CMS/Portals/0/NHS%20Staff%20Short%20Report-4.pdf" TargetMode="External"/><Relationship Id="rId65" Type="http://schemas.openxmlformats.org/officeDocument/2006/relationships/hyperlink" Target="https://www.gov.wales/sites/default/files/statistics-and-research/2024-09/wellbeing-wales-2024-easy-read-067.pdf"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8.png"/><Relationship Id="rId39" Type="http://schemas.openxmlformats.org/officeDocument/2006/relationships/hyperlink" Target="https://www.sciencedirect.com/science/article/pii/S1936657421000753" TargetMode="External"/><Relationship Id="rId34" Type="http://schemas.openxmlformats.org/officeDocument/2006/relationships/hyperlink" Target="https://nhswalesleadershipportal.heiw.wales/api/storage/fceb94d4-8de3-407e-9602-24c86eed8345/HWBBestPracticeGuide%20%28Relationships%29%20v2.pdf" TargetMode="External"/><Relationship Id="rId50" Type="http://schemas.openxmlformats.org/officeDocument/2006/relationships/hyperlink" Target="https://phw.nhs.wales/topics/promoting-individual-and-community-wellbeing/principles-of-community-engagement-english/" TargetMode="External"/><Relationship Id="rId55" Type="http://schemas.openxmlformats.org/officeDocument/2006/relationships/hyperlink" Target="https://pmc.ncbi.nlm.nih.gov/articles/PMC8801595/pdf/healthpsychologyresearch_2021_9_1_24510.pdf" TargetMode="External"/><Relationship Id="rId7" Type="http://schemas.openxmlformats.org/officeDocument/2006/relationships/image" Target="media/image1.jpg"/><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37</Pages>
  <Words>12707</Words>
  <Characters>72430</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Rhian Wilyeo (Swansea Bay UHB - Dietetics)</cp:lastModifiedBy>
  <cp:revision>78</cp:revision>
  <cp:lastPrinted>2025-03-10T08:20:00Z</cp:lastPrinted>
  <dcterms:created xsi:type="dcterms:W3CDTF">2025-03-10T08:26:00Z</dcterms:created>
  <dcterms:modified xsi:type="dcterms:W3CDTF">2025-05-01T06:51:00Z</dcterms:modified>
</cp:coreProperties>
</file>