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bidi w:val="0"/>
        <w:spacing w:line="480" w:lineRule="auto"/>
        <w:ind w:firstLine="1261" w:firstLineChars="450"/>
        <w:rPr>
          <w:rFonts w:hint="default"/>
        </w:rPr>
      </w:pPr>
      <w:bookmarkStart w:id="36" w:name="_GoBack"/>
      <w:bookmarkEnd w:id="36"/>
      <w:r>
        <w:rPr>
          <w:rFonts w:hint="default"/>
        </w:rPr>
        <w:t>The role of leadership in the organization</w:t>
      </w:r>
    </w:p>
    <w:sdt>
      <w:sdtPr>
        <w:rPr>
          <w:rFonts w:ascii="宋体" w:hAnsi="宋体" w:eastAsia="宋体" w:cstheme="minorBidi"/>
          <w:kern w:val="2"/>
          <w:sz w:val="21"/>
          <w:szCs w:val="24"/>
          <w:lang w:val="en-US" w:eastAsia="zh-CN" w:bidi="ar-SA"/>
        </w:rPr>
        <w:id w:val="968355125"/>
        <w15:color w:val="DBDBDB"/>
      </w:sdtPr>
      <w:sdtEndPr>
        <w:rPr>
          <w:b/>
          <w:bCs/>
          <w:sz w:val="20"/>
          <w:szCs w:val="20"/>
        </w:rPr>
      </w:sdtEndPr>
      <w:sdtContent>
        <w:p>
          <w:pPr>
            <w:spacing w:before="0" w:beforeLines="0" w:after="0" w:afterLines="0" w:line="240" w:lineRule="auto"/>
            <w:ind w:left="0" w:leftChars="0" w:right="0" w:rightChars="0" w:firstLine="0" w:firstLineChars="0"/>
            <w:jc w:val="center"/>
          </w:pPr>
          <w:bookmarkStart w:id="0" w:name="_Toc1988479807_WPSOffice_Type2"/>
        </w:p>
        <w:p>
          <w:pPr>
            <w:pStyle w:val="10"/>
            <w:tabs>
              <w:tab w:val="right" w:leader="dot" w:pos="8306"/>
            </w:tabs>
          </w:pPr>
          <w:r>
            <w:rPr>
              <w:b/>
              <w:bCs/>
            </w:rPr>
            <w:fldChar w:fldCharType="begin"/>
          </w:r>
          <w:r>
            <w:instrText xml:space="preserve"> HYPERLINK \l _Toc662005721_WPSOffice_Level1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c9d49fb5-e2f7-40d6-b18f-cea5433ac1b5}"/>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1.0 introduction</w:t>
              </w:r>
            </w:sdtContent>
          </w:sdt>
          <w:r>
            <w:rPr>
              <w:b/>
              <w:bCs/>
            </w:rPr>
            <w:tab/>
          </w:r>
          <w:bookmarkStart w:id="1" w:name="_Toc662005721_WPSOffice_Level1Page"/>
          <w:r>
            <w:rPr>
              <w:b/>
              <w:bCs/>
            </w:rPr>
            <w:t>2</w:t>
          </w:r>
          <w:bookmarkEnd w:id="1"/>
          <w:r>
            <w:rPr>
              <w:b/>
              <w:bCs/>
            </w:rPr>
            <w:fldChar w:fldCharType="end"/>
          </w:r>
        </w:p>
        <w:p>
          <w:pPr>
            <w:pStyle w:val="10"/>
            <w:tabs>
              <w:tab w:val="right" w:leader="dot" w:pos="8306"/>
            </w:tabs>
          </w:pPr>
          <w:r>
            <w:rPr>
              <w:b/>
              <w:bCs/>
            </w:rPr>
            <w:fldChar w:fldCharType="begin"/>
          </w:r>
          <w:r>
            <w:instrText xml:space="preserve"> HYPERLINK \l _Toc1988479807_WPSOffice_Level1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065eadce-232a-4667-a513-f0570672f120}"/>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2.0 VUCA environment</w:t>
              </w:r>
            </w:sdtContent>
          </w:sdt>
          <w:r>
            <w:rPr>
              <w:b/>
              <w:bCs/>
            </w:rPr>
            <w:tab/>
          </w:r>
          <w:bookmarkStart w:id="2" w:name="_Toc1988479807_WPSOffice_Level1Page"/>
          <w:r>
            <w:rPr>
              <w:b/>
              <w:bCs/>
            </w:rPr>
            <w:t>3</w:t>
          </w:r>
          <w:bookmarkEnd w:id="2"/>
          <w:r>
            <w:rPr>
              <w:b/>
              <w:bCs/>
            </w:rPr>
            <w:fldChar w:fldCharType="end"/>
          </w:r>
        </w:p>
        <w:p>
          <w:pPr>
            <w:pStyle w:val="11"/>
            <w:tabs>
              <w:tab w:val="right" w:leader="dot" w:pos="8306"/>
            </w:tabs>
          </w:pPr>
          <w:r>
            <w:fldChar w:fldCharType="begin"/>
          </w:r>
          <w:r>
            <w:instrText xml:space="preserve"> HYPERLINK \l _Toc1988479807_WPSOffice_Level2 </w:instrText>
          </w:r>
          <w:r>
            <w:fldChar w:fldCharType="separate"/>
          </w:r>
          <w:sdt>
            <w:sdtPr>
              <w:rPr>
                <w:rFonts w:ascii="Times New Roman" w:hAnsi="Times New Roman" w:eastAsiaTheme="minorEastAsia" w:cstheme="minorBidi"/>
                <w:b/>
                <w:kern w:val="2"/>
                <w:sz w:val="28"/>
                <w:szCs w:val="24"/>
                <w:lang w:val="en-US" w:eastAsia="zh-CN" w:bidi="ar-SA"/>
              </w:rPr>
              <w:id w:val="968355125"/>
              <w:placeholder>
                <w:docPart w:val="{21954b7e-f525-4f53-af82-643da6ee1b7f}"/>
              </w:placeholder>
              <w15:color w:val="509DF3"/>
            </w:sdtPr>
            <w:sdtEndPr>
              <w:rPr>
                <w:rFonts w:ascii="Times New Roman" w:hAnsi="Times New Roman" w:eastAsiaTheme="minorEastAsia" w:cstheme="minorBidi"/>
                <w:b/>
                <w:kern w:val="2"/>
                <w:sz w:val="28"/>
                <w:szCs w:val="24"/>
                <w:lang w:val="en-US" w:eastAsia="zh-CN" w:bidi="ar-SA"/>
              </w:rPr>
            </w:sdtEndPr>
            <w:sdtContent>
              <w:r>
                <w:rPr>
                  <w:rFonts w:hint="default" w:ascii="Times New Roman" w:hAnsi="Times New Roman" w:eastAsiaTheme="minorEastAsia" w:cstheme="minorBidi"/>
                </w:rPr>
                <w:t>2.1How to improve VUCA leadership</w:t>
              </w:r>
            </w:sdtContent>
          </w:sdt>
          <w:r>
            <w:tab/>
          </w:r>
          <w:bookmarkStart w:id="3" w:name="_Toc1988479807_WPSOffice_Level2Page"/>
          <w:r>
            <w:t>3</w:t>
          </w:r>
          <w:bookmarkEnd w:id="3"/>
          <w:r>
            <w:fldChar w:fldCharType="end"/>
          </w:r>
        </w:p>
        <w:p>
          <w:pPr>
            <w:pStyle w:val="10"/>
            <w:tabs>
              <w:tab w:val="right" w:leader="dot" w:pos="8306"/>
            </w:tabs>
          </w:pPr>
          <w:r>
            <w:rPr>
              <w:b/>
              <w:bCs/>
            </w:rPr>
            <w:fldChar w:fldCharType="begin"/>
          </w:r>
          <w:r>
            <w:instrText xml:space="preserve"> HYPERLINK \l _Toc1239601635_WPSOffice_Level1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4f6fd4a7-5447-4028-8d9c-025743801865}"/>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3.0 Factors affecting organizational leadership</w:t>
              </w:r>
            </w:sdtContent>
          </w:sdt>
          <w:r>
            <w:rPr>
              <w:b/>
              <w:bCs/>
            </w:rPr>
            <w:tab/>
          </w:r>
          <w:bookmarkStart w:id="4" w:name="_Toc1239601635_WPSOffice_Level1Page"/>
          <w:r>
            <w:rPr>
              <w:b/>
              <w:bCs/>
            </w:rPr>
            <w:t>5</w:t>
          </w:r>
          <w:bookmarkEnd w:id="4"/>
          <w:r>
            <w:rPr>
              <w:b/>
              <w:bCs/>
            </w:rPr>
            <w:fldChar w:fldCharType="end"/>
          </w:r>
        </w:p>
        <w:p>
          <w:pPr>
            <w:pStyle w:val="11"/>
            <w:tabs>
              <w:tab w:val="right" w:leader="dot" w:pos="8306"/>
            </w:tabs>
          </w:pPr>
          <w:r>
            <w:fldChar w:fldCharType="begin"/>
          </w:r>
          <w:r>
            <w:instrText xml:space="preserve"> HYPERLINK \l _Toc1239601635_WPSOffice_Level2 </w:instrText>
          </w:r>
          <w:r>
            <w:fldChar w:fldCharType="separate"/>
          </w:r>
          <w:sdt>
            <w:sdtPr>
              <w:rPr>
                <w:rFonts w:ascii="Times New Roman" w:hAnsi="Times New Roman" w:eastAsiaTheme="minorEastAsia" w:cstheme="minorBidi"/>
                <w:b/>
                <w:kern w:val="2"/>
                <w:sz w:val="28"/>
                <w:szCs w:val="24"/>
                <w:lang w:val="en-US" w:eastAsia="zh-CN" w:bidi="ar-SA"/>
              </w:rPr>
              <w:id w:val="968355125"/>
              <w:placeholder>
                <w:docPart w:val="{8730da80-3032-4463-9510-fbf25fa8ee40}"/>
              </w:placeholder>
              <w15:color w:val="509DF3"/>
            </w:sdtPr>
            <w:sdtEndPr>
              <w:rPr>
                <w:rFonts w:ascii="Times New Roman" w:hAnsi="Times New Roman" w:eastAsiaTheme="minorEastAsia" w:cstheme="minorBidi"/>
                <w:b/>
                <w:kern w:val="2"/>
                <w:sz w:val="28"/>
                <w:szCs w:val="24"/>
                <w:lang w:val="en-US" w:eastAsia="zh-CN" w:bidi="ar-SA"/>
              </w:rPr>
            </w:sdtEndPr>
            <w:sdtContent>
              <w:r>
                <w:rPr>
                  <w:rFonts w:hint="default" w:ascii="Times New Roman" w:hAnsi="Times New Roman" w:eastAsia="Times New Roman" w:cstheme="minorBidi"/>
                </w:rPr>
                <w:t>3.1 economic factors</w:t>
              </w:r>
            </w:sdtContent>
          </w:sdt>
          <w:r>
            <w:tab/>
          </w:r>
          <w:bookmarkStart w:id="5" w:name="_Toc1239601635_WPSOffice_Level2Page"/>
          <w:r>
            <w:t>5</w:t>
          </w:r>
          <w:bookmarkEnd w:id="5"/>
          <w:r>
            <w:fldChar w:fldCharType="end"/>
          </w:r>
        </w:p>
        <w:p>
          <w:pPr>
            <w:pStyle w:val="11"/>
            <w:tabs>
              <w:tab w:val="right" w:leader="dot" w:pos="8306"/>
            </w:tabs>
          </w:pPr>
          <w:r>
            <w:fldChar w:fldCharType="begin"/>
          </w:r>
          <w:r>
            <w:instrText xml:space="preserve"> HYPERLINK \l _Toc1245819898_WPSOffice_Level2 </w:instrText>
          </w:r>
          <w:r>
            <w:fldChar w:fldCharType="separate"/>
          </w:r>
          <w:sdt>
            <w:sdtPr>
              <w:rPr>
                <w:rFonts w:ascii="Times New Roman" w:hAnsi="Times New Roman" w:eastAsiaTheme="minorEastAsia" w:cstheme="minorBidi"/>
                <w:b/>
                <w:kern w:val="2"/>
                <w:sz w:val="28"/>
                <w:szCs w:val="24"/>
                <w:lang w:val="en-US" w:eastAsia="zh-CN" w:bidi="ar-SA"/>
              </w:rPr>
              <w:id w:val="968355125"/>
              <w:placeholder>
                <w:docPart w:val="{a11b674f-e7bb-470a-8685-aca2b5442cff}"/>
              </w:placeholder>
              <w15:color w:val="509DF3"/>
            </w:sdtPr>
            <w:sdtEndPr>
              <w:rPr>
                <w:rFonts w:ascii="Times New Roman" w:hAnsi="Times New Roman" w:eastAsiaTheme="minorEastAsia" w:cstheme="minorBidi"/>
                <w:b/>
                <w:kern w:val="2"/>
                <w:sz w:val="28"/>
                <w:szCs w:val="24"/>
                <w:lang w:val="en-US" w:eastAsia="zh-CN" w:bidi="ar-SA"/>
              </w:rPr>
            </w:sdtEndPr>
            <w:sdtContent>
              <w:r>
                <w:rPr>
                  <w:rFonts w:hint="default" w:ascii="Times New Roman" w:hAnsi="Times New Roman" w:eastAsia="Times New Roman" w:cstheme="minorBidi"/>
                </w:rPr>
                <w:t>3.2 Political and legal factors</w:t>
              </w:r>
            </w:sdtContent>
          </w:sdt>
          <w:r>
            <w:tab/>
          </w:r>
          <w:bookmarkStart w:id="6" w:name="_Toc1245819898_WPSOffice_Level2Page"/>
          <w:r>
            <w:t>5</w:t>
          </w:r>
          <w:bookmarkEnd w:id="6"/>
          <w:r>
            <w:fldChar w:fldCharType="end"/>
          </w:r>
        </w:p>
        <w:p>
          <w:pPr>
            <w:pStyle w:val="10"/>
            <w:tabs>
              <w:tab w:val="right" w:leader="dot" w:pos="8306"/>
            </w:tabs>
          </w:pPr>
          <w:r>
            <w:rPr>
              <w:b/>
              <w:bCs/>
            </w:rPr>
            <w:fldChar w:fldCharType="begin"/>
          </w:r>
          <w:r>
            <w:instrText xml:space="preserve"> HYPERLINK \l _Toc1245819898_WPSOffice_Level1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027ef37b-00d9-436a-8692-49f0956f7ae7}"/>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4.0Analysis of Internal Environmental Factors of Leadership</w:t>
              </w:r>
            </w:sdtContent>
          </w:sdt>
          <w:r>
            <w:rPr>
              <w:b/>
              <w:bCs/>
            </w:rPr>
            <w:tab/>
          </w:r>
          <w:bookmarkStart w:id="7" w:name="_Toc1245819898_WPSOffice_Level1Page"/>
          <w:r>
            <w:rPr>
              <w:b/>
              <w:bCs/>
            </w:rPr>
            <w:t>6</w:t>
          </w:r>
          <w:bookmarkEnd w:id="7"/>
          <w:r>
            <w:rPr>
              <w:b/>
              <w:bCs/>
            </w:rPr>
            <w:fldChar w:fldCharType="end"/>
          </w:r>
        </w:p>
        <w:p>
          <w:pPr>
            <w:pStyle w:val="11"/>
            <w:tabs>
              <w:tab w:val="right" w:leader="dot" w:pos="8306"/>
            </w:tabs>
          </w:pPr>
          <w:r>
            <w:fldChar w:fldCharType="begin"/>
          </w:r>
          <w:r>
            <w:instrText xml:space="preserve"> HYPERLINK \l _Toc529467436_WPSOffice_Level2 </w:instrText>
          </w:r>
          <w:r>
            <w:fldChar w:fldCharType="separate"/>
          </w:r>
          <w:sdt>
            <w:sdtPr>
              <w:rPr>
                <w:rFonts w:ascii="Times New Roman" w:hAnsi="Times New Roman" w:eastAsiaTheme="minorEastAsia" w:cstheme="minorBidi"/>
                <w:b/>
                <w:kern w:val="2"/>
                <w:sz w:val="28"/>
                <w:szCs w:val="24"/>
                <w:lang w:val="en-US" w:eastAsia="zh-CN" w:bidi="ar-SA"/>
              </w:rPr>
              <w:id w:val="968355125"/>
              <w:placeholder>
                <w:docPart w:val="{a67f9dfb-3e07-4a6d-b729-89c7674b6dea}"/>
              </w:placeholder>
              <w15:color w:val="509DF3"/>
            </w:sdtPr>
            <w:sdtEndPr>
              <w:rPr>
                <w:rFonts w:ascii="Times New Roman" w:hAnsi="Times New Roman" w:eastAsiaTheme="minorEastAsia" w:cstheme="minorBidi"/>
                <w:b/>
                <w:kern w:val="2"/>
                <w:sz w:val="28"/>
                <w:szCs w:val="24"/>
                <w:lang w:val="en-US" w:eastAsia="zh-CN" w:bidi="ar-SA"/>
              </w:rPr>
            </w:sdtEndPr>
            <w:sdtContent>
              <w:r>
                <w:rPr>
                  <w:rFonts w:hint="default" w:ascii="Times New Roman" w:hAnsi="Times New Roman" w:eastAsia="Times New Roman" w:cstheme="minorBidi"/>
                </w:rPr>
                <w:t>4.1 Leadership Traits</w:t>
              </w:r>
            </w:sdtContent>
          </w:sdt>
          <w:r>
            <w:tab/>
          </w:r>
          <w:bookmarkStart w:id="8" w:name="_Toc529467436_WPSOffice_Level2Page"/>
          <w:r>
            <w:t>6</w:t>
          </w:r>
          <w:bookmarkEnd w:id="8"/>
          <w:r>
            <w:fldChar w:fldCharType="end"/>
          </w:r>
        </w:p>
        <w:p>
          <w:pPr>
            <w:pStyle w:val="11"/>
            <w:tabs>
              <w:tab w:val="right" w:leader="dot" w:pos="8306"/>
            </w:tabs>
          </w:pPr>
          <w:r>
            <w:fldChar w:fldCharType="begin"/>
          </w:r>
          <w:r>
            <w:instrText xml:space="preserve"> HYPERLINK \l _Toc1734447331_WPSOffice_Level2 </w:instrText>
          </w:r>
          <w:r>
            <w:fldChar w:fldCharType="separate"/>
          </w:r>
          <w:sdt>
            <w:sdtPr>
              <w:rPr>
                <w:rFonts w:ascii="Times New Roman" w:hAnsi="Times New Roman" w:eastAsiaTheme="minorEastAsia" w:cstheme="minorBidi"/>
                <w:b/>
                <w:kern w:val="2"/>
                <w:sz w:val="28"/>
                <w:szCs w:val="24"/>
                <w:lang w:val="en-US" w:eastAsia="zh-CN" w:bidi="ar-SA"/>
              </w:rPr>
              <w:id w:val="968355125"/>
              <w:placeholder>
                <w:docPart w:val="{3fe5ed50-eb91-4387-9a4a-f6c1f1e92fc9}"/>
              </w:placeholder>
              <w15:color w:val="509DF3"/>
            </w:sdtPr>
            <w:sdtEndPr>
              <w:rPr>
                <w:rFonts w:ascii="Times New Roman" w:hAnsi="Times New Roman" w:eastAsiaTheme="minorEastAsia" w:cstheme="minorBidi"/>
                <w:b/>
                <w:kern w:val="2"/>
                <w:sz w:val="28"/>
                <w:szCs w:val="24"/>
                <w:lang w:val="en-US" w:eastAsia="zh-CN" w:bidi="ar-SA"/>
              </w:rPr>
            </w:sdtEndPr>
            <w:sdtContent>
              <w:r>
                <w:rPr>
                  <w:rFonts w:hint="default" w:ascii="Times New Roman" w:hAnsi="Times New Roman" w:eastAsia="Times New Roman" w:cstheme="minorBidi"/>
                </w:rPr>
                <w:t>4.2 Follower</w:t>
              </w:r>
            </w:sdtContent>
          </w:sdt>
          <w:r>
            <w:tab/>
          </w:r>
          <w:bookmarkStart w:id="9" w:name="_Toc1734447331_WPSOffice_Level2Page"/>
          <w:r>
            <w:t>7</w:t>
          </w:r>
          <w:bookmarkEnd w:id="9"/>
          <w:r>
            <w:fldChar w:fldCharType="end"/>
          </w:r>
        </w:p>
        <w:p>
          <w:pPr>
            <w:pStyle w:val="11"/>
            <w:tabs>
              <w:tab w:val="right" w:leader="dot" w:pos="8306"/>
            </w:tabs>
          </w:pPr>
          <w:r>
            <w:fldChar w:fldCharType="begin"/>
          </w:r>
          <w:r>
            <w:instrText xml:space="preserve"> HYPERLINK \l _Toc913267739_WPSOffice_Level2 </w:instrText>
          </w:r>
          <w:r>
            <w:fldChar w:fldCharType="separate"/>
          </w:r>
          <w:sdt>
            <w:sdtPr>
              <w:rPr>
                <w:rFonts w:ascii="Times New Roman" w:hAnsi="Times New Roman" w:eastAsiaTheme="minorEastAsia" w:cstheme="minorBidi"/>
                <w:b/>
                <w:kern w:val="2"/>
                <w:sz w:val="28"/>
                <w:szCs w:val="24"/>
                <w:lang w:val="en-US" w:eastAsia="zh-CN" w:bidi="ar-SA"/>
              </w:rPr>
              <w:id w:val="968355125"/>
              <w:placeholder>
                <w:docPart w:val="{a9dfd0e7-512f-45e9-afa9-944a6bd2c4e0}"/>
              </w:placeholder>
              <w15:color w:val="509DF3"/>
            </w:sdtPr>
            <w:sdtEndPr>
              <w:rPr>
                <w:rFonts w:ascii="Times New Roman" w:hAnsi="Times New Roman" w:eastAsiaTheme="minorEastAsia" w:cstheme="minorBidi"/>
                <w:b/>
                <w:kern w:val="2"/>
                <w:sz w:val="28"/>
                <w:szCs w:val="24"/>
                <w:lang w:val="en-US" w:eastAsia="zh-CN" w:bidi="ar-SA"/>
              </w:rPr>
            </w:sdtEndPr>
            <w:sdtContent>
              <w:r>
                <w:rPr>
                  <w:rFonts w:hint="default" w:ascii="Times New Roman" w:hAnsi="Times New Roman" w:eastAsia="Times New Roman" w:cstheme="minorBidi"/>
                </w:rPr>
                <w:t>4.3 Corporate strategic</w:t>
              </w:r>
            </w:sdtContent>
          </w:sdt>
          <w:r>
            <w:tab/>
          </w:r>
          <w:bookmarkStart w:id="10" w:name="_Toc913267739_WPSOffice_Level2Page"/>
          <w:r>
            <w:t>8</w:t>
          </w:r>
          <w:bookmarkEnd w:id="10"/>
          <w:r>
            <w:fldChar w:fldCharType="end"/>
          </w:r>
        </w:p>
        <w:p>
          <w:pPr>
            <w:pStyle w:val="10"/>
            <w:tabs>
              <w:tab w:val="right" w:leader="dot" w:pos="8306"/>
            </w:tabs>
          </w:pPr>
          <w:r>
            <w:rPr>
              <w:b/>
              <w:bCs/>
            </w:rPr>
            <w:fldChar w:fldCharType="begin"/>
          </w:r>
          <w:r>
            <w:instrText xml:space="preserve"> HYPERLINK \l _Toc529467436_WPSOffice_Level1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6361142b-f385-4cca-aa21-f784c3970f90}"/>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5.0 Leading Practices for Innovation</w:t>
              </w:r>
            </w:sdtContent>
          </w:sdt>
          <w:r>
            <w:rPr>
              <w:b/>
              <w:bCs/>
            </w:rPr>
            <w:tab/>
          </w:r>
          <w:bookmarkStart w:id="11" w:name="_Toc529467436_WPSOffice_Level1Page"/>
          <w:r>
            <w:rPr>
              <w:b/>
              <w:bCs/>
            </w:rPr>
            <w:t>8</w:t>
          </w:r>
          <w:bookmarkEnd w:id="11"/>
          <w:r>
            <w:rPr>
              <w:b/>
              <w:bCs/>
            </w:rPr>
            <w:fldChar w:fldCharType="end"/>
          </w:r>
        </w:p>
        <w:p>
          <w:pPr>
            <w:pStyle w:val="10"/>
            <w:tabs>
              <w:tab w:val="right" w:leader="dot" w:pos="8306"/>
            </w:tabs>
          </w:pPr>
          <w:r>
            <w:rPr>
              <w:b/>
              <w:bCs/>
            </w:rPr>
            <w:fldChar w:fldCharType="begin"/>
          </w:r>
          <w:r>
            <w:instrText xml:space="preserve"> HYPERLINK \l _Toc1734447331_WPSOffice_Level1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fdb4337d-472c-4490-94f0-2cf76176b41a}"/>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6.0 Micro-Experiment for Strategy Implementation</w:t>
              </w:r>
            </w:sdtContent>
          </w:sdt>
          <w:r>
            <w:rPr>
              <w:b/>
              <w:bCs/>
            </w:rPr>
            <w:tab/>
          </w:r>
          <w:bookmarkStart w:id="12" w:name="_Toc1734447331_WPSOffice_Level1Page"/>
          <w:r>
            <w:rPr>
              <w:b/>
              <w:bCs/>
            </w:rPr>
            <w:t>12</w:t>
          </w:r>
          <w:bookmarkEnd w:id="12"/>
          <w:r>
            <w:rPr>
              <w:b/>
              <w:bCs/>
            </w:rPr>
            <w:fldChar w:fldCharType="end"/>
          </w:r>
        </w:p>
        <w:p>
          <w:pPr>
            <w:pStyle w:val="10"/>
            <w:tabs>
              <w:tab w:val="right" w:leader="dot" w:pos="8306"/>
            </w:tabs>
          </w:pPr>
          <w:r>
            <w:rPr>
              <w:b/>
              <w:bCs/>
            </w:rPr>
            <w:fldChar w:fldCharType="begin"/>
          </w:r>
          <w:r>
            <w:instrText xml:space="preserve"> HYPERLINK \l _Toc913267739_WPSOffice_Level1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baec1767-18ad-4452-a0f7-23d38cb110c4}"/>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 xml:space="preserve">7.0 </w:t>
              </w:r>
              <w:r>
                <w:rPr>
                  <w:rFonts w:asciiTheme="minorHAnsi" w:hAnsiTheme="minorHAnsi" w:eastAsiaTheme="minorEastAsia" w:cstheme="minorBidi"/>
                  <w:b/>
                  <w:bCs/>
                </w:rPr>
                <w:t>Conclusion</w:t>
              </w:r>
            </w:sdtContent>
          </w:sdt>
          <w:r>
            <w:rPr>
              <w:b/>
              <w:bCs/>
            </w:rPr>
            <w:tab/>
          </w:r>
          <w:bookmarkStart w:id="13" w:name="_Toc913267739_WPSOffice_Level1Page"/>
          <w:r>
            <w:rPr>
              <w:b/>
              <w:bCs/>
            </w:rPr>
            <w:t>13</w:t>
          </w:r>
          <w:bookmarkEnd w:id="13"/>
          <w:r>
            <w:rPr>
              <w:b/>
              <w:bCs/>
            </w:rPr>
            <w:fldChar w:fldCharType="end"/>
          </w:r>
        </w:p>
        <w:p>
          <w:pPr>
            <w:pStyle w:val="10"/>
            <w:tabs>
              <w:tab w:val="right" w:leader="dot" w:pos="8306"/>
            </w:tabs>
          </w:pPr>
          <w:r>
            <w:rPr>
              <w:b/>
              <w:bCs/>
            </w:rPr>
            <w:fldChar w:fldCharType="begin"/>
          </w:r>
          <w:r>
            <w:instrText xml:space="preserve"> HYPERLINK \l _Toc1225264264_WPSOffice_Level1 </w:instrText>
          </w:r>
          <w:r>
            <w:rPr>
              <w:b/>
              <w:bCs/>
            </w:rPr>
            <w:fldChar w:fldCharType="separate"/>
          </w:r>
          <w:sdt>
            <w:sdtPr>
              <w:rPr>
                <w:rFonts w:ascii="Times New Roman" w:hAnsi="Times New Roman" w:eastAsiaTheme="minorEastAsia" w:cstheme="minorBidi"/>
                <w:b/>
                <w:bCs/>
                <w:kern w:val="2"/>
                <w:sz w:val="28"/>
                <w:szCs w:val="24"/>
                <w:lang w:val="en-US" w:eastAsia="zh-CN" w:bidi="ar-SA"/>
              </w:rPr>
              <w:id w:val="968355125"/>
              <w:placeholder>
                <w:docPart w:val="{bb24dbe5-9487-4c37-859f-986af78e7fff}"/>
              </w:placeholder>
              <w15:color w:val="509DF3"/>
            </w:sdtPr>
            <w:sdtEndPr>
              <w:rPr>
                <w:rFonts w:ascii="Times New Roman" w:hAnsi="Times New Roman" w:eastAsiaTheme="minorEastAsia" w:cstheme="minorBidi"/>
                <w:b/>
                <w:bCs/>
                <w:kern w:val="2"/>
                <w:sz w:val="28"/>
                <w:szCs w:val="24"/>
                <w:lang w:val="en-US" w:eastAsia="zh-CN" w:bidi="ar-SA"/>
              </w:rPr>
            </w:sdtEndPr>
            <w:sdtContent>
              <w:r>
                <w:rPr>
                  <w:rFonts w:hint="default" w:asciiTheme="minorHAnsi" w:hAnsiTheme="minorHAnsi" w:eastAsiaTheme="minorEastAsia" w:cstheme="minorBidi"/>
                  <w:b/>
                  <w:bCs/>
                </w:rPr>
                <w:t>8.0 Reference</w:t>
              </w:r>
            </w:sdtContent>
          </w:sdt>
          <w:r>
            <w:rPr>
              <w:b/>
              <w:bCs/>
            </w:rPr>
            <w:tab/>
          </w:r>
          <w:bookmarkStart w:id="14" w:name="_Toc1225264264_WPSOffice_Level1Page"/>
          <w:r>
            <w:rPr>
              <w:b/>
              <w:bCs/>
            </w:rPr>
            <w:t>14</w:t>
          </w:r>
          <w:bookmarkEnd w:id="14"/>
          <w:r>
            <w:rPr>
              <w:b/>
              <w:bCs/>
            </w:rPr>
            <w:fldChar w:fldCharType="end"/>
          </w:r>
          <w:bookmarkEnd w:id="0"/>
        </w:p>
      </w:sdtContent>
    </w:sdt>
    <w:p>
      <w:pPr>
        <w:pStyle w:val="6"/>
        <w:bidi w:val="0"/>
        <w:spacing w:line="480" w:lineRule="auto"/>
        <w:rPr>
          <w:rFonts w:hint="default"/>
        </w:rPr>
      </w:pPr>
    </w:p>
    <w:p>
      <w:pPr>
        <w:pStyle w:val="6"/>
        <w:bidi w:val="0"/>
        <w:spacing w:line="480" w:lineRule="auto"/>
        <w:rPr>
          <w:rFonts w:hint="default"/>
        </w:rPr>
      </w:pPr>
    </w:p>
    <w:p>
      <w:pPr>
        <w:pStyle w:val="6"/>
        <w:bidi w:val="0"/>
        <w:spacing w:line="480" w:lineRule="auto"/>
        <w:rPr>
          <w:rFonts w:hint="default"/>
        </w:rPr>
      </w:pPr>
    </w:p>
    <w:p>
      <w:pPr>
        <w:pStyle w:val="6"/>
        <w:bidi w:val="0"/>
        <w:spacing w:line="480" w:lineRule="auto"/>
        <w:rPr>
          <w:rFonts w:hint="default"/>
        </w:rPr>
      </w:pPr>
    </w:p>
    <w:p>
      <w:pPr>
        <w:pStyle w:val="6"/>
        <w:bidi w:val="0"/>
        <w:spacing w:line="480" w:lineRule="auto"/>
        <w:rPr>
          <w:rFonts w:hint="default"/>
        </w:rPr>
      </w:pPr>
    </w:p>
    <w:p>
      <w:pPr>
        <w:pStyle w:val="6"/>
        <w:bidi w:val="0"/>
        <w:spacing w:line="480" w:lineRule="auto"/>
        <w:rPr>
          <w:rFonts w:hint="default"/>
        </w:rPr>
      </w:pPr>
    </w:p>
    <w:p>
      <w:pPr>
        <w:pStyle w:val="2"/>
        <w:bidi w:val="0"/>
        <w:rPr>
          <w:rFonts w:hint="default" w:ascii="Times New Roman" w:hAnsi="Times New Roman" w:cs="Times New Roman"/>
          <w:sz w:val="28"/>
          <w:szCs w:val="28"/>
        </w:rPr>
      </w:pPr>
      <w:bookmarkStart w:id="15" w:name="_Toc662005721_WPSOffice_Level1"/>
      <w:r>
        <w:rPr>
          <w:rFonts w:hint="default" w:ascii="Times New Roman" w:hAnsi="Times New Roman" w:cs="Times New Roman"/>
          <w:sz w:val="28"/>
          <w:szCs w:val="28"/>
        </w:rPr>
        <w:t>1.0 introduction</w:t>
      </w:r>
      <w:bookmarkEnd w:id="15"/>
    </w:p>
    <w:p>
      <w:pPr>
        <w:pStyle w:val="7"/>
        <w:bidi w:val="0"/>
        <w:spacing w:line="480" w:lineRule="auto"/>
        <w:rPr>
          <w:rFonts w:hint="eastAsia"/>
        </w:rPr>
      </w:pPr>
      <w:r>
        <w:rPr>
          <w:rFonts w:hint="eastAsia"/>
        </w:rPr>
        <w:t>To improve the leadership and performance of company management. This report will be based on VUCA, CAS and other theories.</w:t>
      </w:r>
    </w:p>
    <w:p>
      <w:pPr>
        <w:pStyle w:val="7"/>
        <w:bidi w:val="0"/>
        <w:spacing w:line="480" w:lineRule="auto"/>
        <w:rPr>
          <w:rFonts w:hint="eastAsia"/>
        </w:rPr>
      </w:pPr>
      <w:r>
        <w:rPr>
          <w:rFonts w:hint="eastAsia"/>
        </w:rPr>
        <w:t>The deep meaning of each element in VUCA is the strategic significance used to improve the predictability and insight of VUCA, as well as to improve the mobility of organizations and individuals in the enterprise.</w:t>
      </w:r>
    </w:p>
    <w:p>
      <w:pPr>
        <w:pStyle w:val="7"/>
        <w:bidi w:val="0"/>
        <w:spacing w:line="480" w:lineRule="auto"/>
        <w:rPr>
          <w:rFonts w:hint="eastAsia"/>
        </w:rPr>
      </w:pPr>
      <w:r>
        <w:rPr>
          <w:rFonts w:hint="eastAsia"/>
        </w:rPr>
        <w:t>V = Volatility is the nature and driving force of change, and it is also driven and catalyzed by change</w:t>
      </w:r>
    </w:p>
    <w:p>
      <w:pPr>
        <w:pStyle w:val="7"/>
        <w:bidi w:val="0"/>
        <w:spacing w:line="480" w:lineRule="auto"/>
        <w:rPr>
          <w:rFonts w:hint="eastAsia"/>
        </w:rPr>
      </w:pPr>
      <w:r>
        <w:rPr>
          <w:rFonts w:hint="eastAsia"/>
        </w:rPr>
        <w:t>U = (Uncertainty) Lack of foresight, lack of anticipation and understanding and awareness of things</w:t>
      </w:r>
    </w:p>
    <w:p>
      <w:pPr>
        <w:pStyle w:val="7"/>
        <w:bidi w:val="0"/>
        <w:spacing w:line="480" w:lineRule="auto"/>
        <w:rPr>
          <w:rFonts w:hint="eastAsia"/>
        </w:rPr>
      </w:pPr>
      <w:r>
        <w:rPr>
          <w:rFonts w:hint="eastAsia"/>
        </w:rPr>
        <w:t>C =  (complexity) enterprises are plagued by various forces, various factors, and various things.</w:t>
      </w:r>
    </w:p>
    <w:p>
      <w:pPr>
        <w:pStyle w:val="7"/>
        <w:bidi w:val="0"/>
        <w:spacing w:line="480" w:lineRule="auto"/>
        <w:rPr>
          <w:rFonts w:hint="eastAsia"/>
        </w:rPr>
      </w:pPr>
      <w:r>
        <w:rPr>
          <w:rFonts w:hint="eastAsia"/>
        </w:rPr>
        <w:t>A = (ambiguity) is the source of misunderstanding, the confusion of various conditions and causality.</w:t>
      </w:r>
    </w:p>
    <w:p>
      <w:pPr>
        <w:pStyle w:val="7"/>
        <w:bidi w:val="0"/>
        <w:spacing w:line="480" w:lineRule="auto"/>
        <w:rPr>
          <w:rFonts w:hint="eastAsia"/>
        </w:rPr>
      </w:pPr>
      <w:r>
        <w:rPr>
          <w:rFonts w:hint="eastAsia"/>
        </w:rPr>
        <w:t>These factors describe the situation in which companies are looking at their current and future status, and they show how marginal they are when making policies or plans. These factors make us insignificant when planning or looking to the future.</w:t>
      </w:r>
    </w:p>
    <w:p>
      <w:pPr>
        <w:pStyle w:val="7"/>
        <w:bidi w:val="0"/>
        <w:spacing w:line="480" w:lineRule="auto"/>
        <w:rPr>
          <w:rFonts w:hint="eastAsia"/>
        </w:rPr>
      </w:pPr>
    </w:p>
    <w:p>
      <w:pPr>
        <w:pStyle w:val="2"/>
        <w:bidi w:val="0"/>
        <w:rPr>
          <w:rFonts w:hint="default" w:ascii="Times New Roman" w:hAnsi="Times New Roman" w:cs="Times New Roman"/>
          <w:sz w:val="28"/>
          <w:szCs w:val="28"/>
        </w:rPr>
      </w:pPr>
      <w:bookmarkStart w:id="16" w:name="_Toc1988479807_WPSOffice_Level1"/>
      <w:r>
        <w:rPr>
          <w:rFonts w:hint="default" w:ascii="Times New Roman" w:hAnsi="Times New Roman" w:cs="Times New Roman"/>
          <w:sz w:val="28"/>
          <w:szCs w:val="28"/>
        </w:rPr>
        <w:t>2.0 VUCA environment</w:t>
      </w:r>
      <w:bookmarkEnd w:id="16"/>
    </w:p>
    <w:p>
      <w:pPr>
        <w:pStyle w:val="7"/>
        <w:bidi w:val="0"/>
        <w:spacing w:line="480" w:lineRule="auto"/>
        <w:rPr>
          <w:rFonts w:hint="default"/>
        </w:rPr>
      </w:pPr>
      <w:r>
        <w:rPr>
          <w:rFonts w:hint="default"/>
        </w:rPr>
        <w:t>In the past, VUCA attitude was often considered to be bad, negative, and temporarily, it could only be dealt with passively. Today, VUCA is recognized as a new normal, which is often referred to as "the uncertainty of the external environment can be determined", or "only change is a constant fact". World-class companies believe that VUCA will not only bring challenges, but also provide opportunities, provided they are better prepared than their competitors. Therefore, world-class companies never regard changes in the environment as negative factors, but actively adapt to VUCA new normal, take the initiative to build their own capabilities, and improve combat effectiveness and competitiveness.</w:t>
      </w:r>
    </w:p>
    <w:p>
      <w:pPr>
        <w:pStyle w:val="7"/>
        <w:bidi w:val="0"/>
        <w:spacing w:line="480" w:lineRule="auto"/>
        <w:rPr>
          <w:rFonts w:hint="default"/>
        </w:rPr>
      </w:pPr>
    </w:p>
    <w:p>
      <w:pPr>
        <w:pStyle w:val="6"/>
        <w:bidi w:val="0"/>
        <w:spacing w:line="480" w:lineRule="auto"/>
        <w:outlineLvl w:val="0"/>
        <w:rPr>
          <w:rFonts w:hint="default"/>
        </w:rPr>
      </w:pPr>
      <w:bookmarkStart w:id="17" w:name="_Toc1797109186_WPSOffice_Level1"/>
      <w:bookmarkStart w:id="18" w:name="_Toc1988479807_WPSOffice_Level2"/>
      <w:r>
        <w:rPr>
          <w:rFonts w:hint="default"/>
        </w:rPr>
        <w:t>2.1How to improve VUCA leadership</w:t>
      </w:r>
      <w:bookmarkEnd w:id="17"/>
      <w:bookmarkEnd w:id="18"/>
    </w:p>
    <w:p>
      <w:pPr>
        <w:pStyle w:val="7"/>
        <w:bidi w:val="0"/>
        <w:spacing w:line="480" w:lineRule="auto"/>
        <w:rPr>
          <w:rFonts w:hint="default"/>
        </w:rPr>
      </w:pPr>
      <w:r>
        <w:rPr>
          <w:rFonts w:hint="default"/>
        </w:rPr>
        <w:t>In the VUCA era, changes are rapid. Past successes and accumulated abilities and qualities cannot guarantee success in the new era. Under these circumstances, only rapid learning, rapid adaptation, and rapid innovation can lead to success in the new business environment, advanced reserves of knowledge and skills to cope with change, and better sustainable development. This ability to learn and adapt quickly is called learning acumen.</w:t>
      </w:r>
    </w:p>
    <w:p>
      <w:pPr>
        <w:pStyle w:val="7"/>
        <w:bidi w:val="0"/>
        <w:spacing w:line="480" w:lineRule="auto"/>
        <w:rPr>
          <w:rFonts w:hint="default"/>
        </w:rPr>
      </w:pPr>
    </w:p>
    <w:p>
      <w:pPr>
        <w:pStyle w:val="7"/>
        <w:bidi w:val="0"/>
        <w:spacing w:line="480" w:lineRule="auto"/>
        <w:rPr>
          <w:rFonts w:hint="default"/>
        </w:rPr>
      </w:pPr>
      <w:r>
        <w:rPr>
          <w:rFonts w:hint="default"/>
        </w:rPr>
        <w:t>From the day of its birth, Tesla has attracted the attention of the industry as an innovative and disruptive attitude. This also includes the direct sales model of "online sales + offline experience and services". The self-operated offline experience store can Provide standardization, professionalization and experience services that are not aimed at direct on-site transactions. This model is the result of Tesla learning from Apple, a typical case of cross-border learning. In the future, cross-border learning will become a trend of learning, that is, a person who is doing business must learn the knowledge of other businesses. The purpose of cross-border learning is not necessarily to make people a generalist, but to learn from other fields methods that are not in their own business. The stones from other mountains can be used to attack jade. The new perspectives and new thinking methods brought by cross-borders will expand our thinking reserve, so that we can make better choices in an appropriate way when facing VUCA challenges.</w:t>
      </w:r>
    </w:p>
    <w:p>
      <w:pPr>
        <w:pStyle w:val="7"/>
        <w:bidi w:val="0"/>
        <w:spacing w:line="480" w:lineRule="auto"/>
        <w:rPr>
          <w:rFonts w:hint="default"/>
        </w:rPr>
      </w:pPr>
    </w:p>
    <w:p>
      <w:pPr>
        <w:pStyle w:val="7"/>
        <w:bidi w:val="0"/>
        <w:spacing w:line="480" w:lineRule="auto"/>
        <w:rPr>
          <w:rFonts w:hint="default"/>
        </w:rPr>
      </w:pPr>
      <w:r>
        <w:rPr>
          <w:rFonts w:hint="default"/>
        </w:rPr>
        <w:t>General Eisenhower said, "Leadership reaches the realm of art, which is to make others willing to do what you want to accomplish." This "willingness" is based on the maximization of the consensus between the leader and the leader, and the establishment of consensus. It requires mutual trust and understanding and even mutual appreciation. The foundation of all this is the most basic mutual respect and transposition thinking between people. Therefore, the way of communication is very important for the effectiveness of leadership. Only through effective communication with mutual insight can mutual understanding and trust be achieved, internal friction can be minimized, and the effect of doing more with less can be achieved.</w:t>
      </w:r>
    </w:p>
    <w:p>
      <w:pPr>
        <w:pStyle w:val="7"/>
        <w:bidi w:val="0"/>
        <w:spacing w:line="480" w:lineRule="auto"/>
        <w:rPr>
          <w:rFonts w:hint="default"/>
        </w:rPr>
      </w:pPr>
    </w:p>
    <w:p>
      <w:pPr>
        <w:pStyle w:val="2"/>
        <w:bidi w:val="0"/>
        <w:rPr>
          <w:rFonts w:hint="default" w:ascii="Times New Roman" w:hAnsi="Times New Roman" w:cs="Times New Roman"/>
          <w:sz w:val="28"/>
          <w:szCs w:val="28"/>
        </w:rPr>
      </w:pPr>
      <w:bookmarkStart w:id="19" w:name="_Toc1239601635_WPSOffice_Level1"/>
      <w:r>
        <w:rPr>
          <w:rFonts w:hint="default" w:ascii="Times New Roman" w:hAnsi="Times New Roman" w:cs="Times New Roman"/>
          <w:sz w:val="28"/>
          <w:szCs w:val="28"/>
        </w:rPr>
        <w:t>3.0 Factors affecting organizational leadership</w:t>
      </w:r>
      <w:bookmarkEnd w:id="19"/>
    </w:p>
    <w:p>
      <w:pPr>
        <w:pStyle w:val="8"/>
        <w:bidi w:val="0"/>
        <w:spacing w:line="480" w:lineRule="auto"/>
        <w:outlineLvl w:val="0"/>
        <w:rPr>
          <w:rFonts w:hint="default"/>
        </w:rPr>
      </w:pPr>
      <w:bookmarkStart w:id="20" w:name="_Toc1151130379_WPSOffice_Level1"/>
      <w:bookmarkStart w:id="21" w:name="_Toc1239601635_WPSOffice_Level2"/>
      <w:r>
        <w:rPr>
          <w:rFonts w:hint="default"/>
        </w:rPr>
        <w:t>3.1 economic factors</w:t>
      </w:r>
      <w:bookmarkEnd w:id="20"/>
      <w:bookmarkEnd w:id="21"/>
    </w:p>
    <w:p>
      <w:pPr>
        <w:pStyle w:val="7"/>
        <w:bidi w:val="0"/>
        <w:spacing w:line="480" w:lineRule="auto"/>
        <w:rPr>
          <w:rFonts w:hint="default"/>
        </w:rPr>
      </w:pPr>
      <w:r>
        <w:rPr>
          <w:rFonts w:hint="default"/>
        </w:rPr>
        <w:t>The macroeconomic conditions of a country or region that affects the business activities of an enterprise mainly include the situation of economic development, economic structure, residents' income, and consumer structure. If leaders want to lead the company to achieve business success, they must have a comprehensive and clear understanding of the macroeconomic conditions of the target market of the company, and especially have a more objective evaluation of the target consumer ’s consumption structure and consumption habits. Its reasonable use in corporate marketing strategy, so that the company's products can be accepted by consumers and win competitive advantages. Especially in the current era of economic globalization, enterprises must seek development, not only do a good job in the domestic market, but also fully explore business opportunities in the international market. This requires business leaders to grasp the status of domestic and foreign market economic development in a timely and reasonable manner. Configure resources.</w:t>
      </w:r>
    </w:p>
    <w:p>
      <w:pPr>
        <w:pStyle w:val="7"/>
        <w:bidi w:val="0"/>
        <w:spacing w:line="480" w:lineRule="auto"/>
        <w:rPr>
          <w:rFonts w:hint="default"/>
        </w:rPr>
      </w:pPr>
    </w:p>
    <w:p>
      <w:pPr>
        <w:pStyle w:val="8"/>
        <w:bidi w:val="0"/>
        <w:spacing w:line="480" w:lineRule="auto"/>
        <w:outlineLvl w:val="0"/>
        <w:rPr>
          <w:rFonts w:hint="default"/>
        </w:rPr>
      </w:pPr>
      <w:bookmarkStart w:id="22" w:name="_Toc368104030_WPSOffice_Level1"/>
      <w:bookmarkStart w:id="23" w:name="_Toc1245819898_WPSOffice_Level2"/>
      <w:r>
        <w:rPr>
          <w:rFonts w:hint="default"/>
        </w:rPr>
        <w:t>3.2 Political and legal factors</w:t>
      </w:r>
      <w:bookmarkEnd w:id="22"/>
      <w:bookmarkEnd w:id="23"/>
    </w:p>
    <w:p>
      <w:pPr>
        <w:pStyle w:val="7"/>
        <w:bidi w:val="0"/>
        <w:spacing w:line="480" w:lineRule="auto"/>
        <w:rPr>
          <w:rFonts w:hint="default"/>
        </w:rPr>
      </w:pPr>
      <w:r>
        <w:rPr>
          <w:rFonts w:hint="default"/>
        </w:rPr>
        <w:t>Political and legal factors refer to the political system, system, guidelines, policies, laws and regulations of the country or region where the enterprise is located. These factors often constrain and influence the decisions of business leaders and business operations. The energy policy, price policy, fiscal policy, and monetary policy implemented by the state will directly affect the business activities of enterprises.</w:t>
      </w:r>
    </w:p>
    <w:p>
      <w:pPr>
        <w:pStyle w:val="7"/>
        <w:bidi w:val="0"/>
        <w:spacing w:line="480" w:lineRule="auto"/>
        <w:rPr>
          <w:rFonts w:hint="default"/>
        </w:rPr>
      </w:pPr>
    </w:p>
    <w:p>
      <w:pPr>
        <w:pStyle w:val="2"/>
        <w:bidi w:val="0"/>
        <w:rPr>
          <w:rFonts w:hint="default" w:ascii="Times New Roman" w:hAnsi="Times New Roman" w:cs="Times New Roman"/>
          <w:sz w:val="28"/>
          <w:szCs w:val="28"/>
        </w:rPr>
      </w:pPr>
      <w:bookmarkStart w:id="24" w:name="_Toc1245819898_WPSOffice_Level1"/>
      <w:r>
        <w:rPr>
          <w:rFonts w:hint="default" w:ascii="Times New Roman" w:hAnsi="Times New Roman" w:cs="Times New Roman"/>
          <w:sz w:val="28"/>
          <w:szCs w:val="28"/>
        </w:rPr>
        <w:t>4.0Analysis of Internal Environmental Factors of Leadership</w:t>
      </w:r>
      <w:bookmarkEnd w:id="24"/>
    </w:p>
    <w:p>
      <w:pPr>
        <w:pStyle w:val="7"/>
        <w:bidi w:val="0"/>
        <w:spacing w:line="480" w:lineRule="auto"/>
        <w:rPr>
          <w:rFonts w:hint="default"/>
        </w:rPr>
      </w:pPr>
      <w:r>
        <w:rPr>
          <w:rFonts w:hint="default"/>
        </w:rPr>
        <w:t>The internal environment refers to various factors that directly or indirectly affect business activities and leadership effectiveness within an enterprise, including aspects such as the characteristics of leaders, followers, corporate strategic goals, and organizational culture.</w:t>
      </w:r>
    </w:p>
    <w:p>
      <w:pPr>
        <w:pStyle w:val="8"/>
        <w:bidi w:val="0"/>
        <w:spacing w:line="480" w:lineRule="auto"/>
        <w:outlineLvl w:val="0"/>
        <w:rPr>
          <w:rFonts w:hint="default"/>
        </w:rPr>
      </w:pPr>
      <w:bookmarkStart w:id="25" w:name="_Toc1971528850_WPSOffice_Level1"/>
      <w:bookmarkStart w:id="26" w:name="_Toc529467436_WPSOffice_Level2"/>
      <w:r>
        <w:rPr>
          <w:rFonts w:hint="default"/>
        </w:rPr>
        <w:t>4.1 Leadership Traits</w:t>
      </w:r>
      <w:bookmarkEnd w:id="25"/>
      <w:bookmarkEnd w:id="26"/>
    </w:p>
    <w:p>
      <w:pPr>
        <w:pStyle w:val="7"/>
        <w:bidi w:val="0"/>
        <w:spacing w:line="480" w:lineRule="auto"/>
        <w:rPr>
          <w:rFonts w:hint="default"/>
        </w:rPr>
      </w:pPr>
      <w:r>
        <w:rPr>
          <w:rFonts w:hint="default"/>
        </w:rPr>
        <w:t>Leader traits, that is, the qualities of the leader, including personality, accomplishment, and leadership style. Leadership is an important aspect of the internal environment of an organization. The inherent qualities of the leader's cultural expertise, decision-making ability, coordination and organizational ability, and strategic thinking ability have a direct impact on the effectiveness of the leader in exercising leadership power. A leader with high professional quality, strong decision-making ability, innovative spirit and advanced strategic thinking ability will be more proactive in business operations, and the effectiveness of his leadership will be more obvious. On the contrary, a leader with low professional quality, indecisiveness, and aggressiveness can hardly make a difference, let alone lead an enterprise to win a competitive advantage.</w:t>
      </w:r>
    </w:p>
    <w:p>
      <w:pPr>
        <w:pStyle w:val="7"/>
        <w:bidi w:val="0"/>
        <w:spacing w:line="480" w:lineRule="auto"/>
        <w:rPr>
          <w:rFonts w:hint="default"/>
        </w:rPr>
      </w:pPr>
    </w:p>
    <w:p>
      <w:pPr>
        <w:pStyle w:val="7"/>
        <w:bidi w:val="0"/>
        <w:spacing w:line="480" w:lineRule="auto"/>
        <w:rPr>
          <w:rFonts w:hint="default"/>
        </w:rPr>
      </w:pPr>
      <w:r>
        <w:rPr>
          <w:rFonts w:hint="default"/>
        </w:rPr>
        <w:t>In the context of today's globalized economy, the market environment in which companies are located is extremely complex, and the factors affecting business operations are changing rapidly. This requires leaders to have a keen market insight, grasp business opportunities in a timely manner, and adjust business strategies in a timely manner. Only then can the effectiveness of leadership play a positive role.</w:t>
      </w:r>
    </w:p>
    <w:p>
      <w:pPr>
        <w:pStyle w:val="7"/>
        <w:bidi w:val="0"/>
        <w:spacing w:line="480" w:lineRule="auto"/>
        <w:rPr>
          <w:rFonts w:hint="default"/>
        </w:rPr>
      </w:pPr>
    </w:p>
    <w:p>
      <w:pPr>
        <w:pStyle w:val="8"/>
        <w:bidi w:val="0"/>
        <w:spacing w:line="480" w:lineRule="auto"/>
        <w:outlineLvl w:val="0"/>
        <w:rPr>
          <w:rFonts w:hint="default"/>
        </w:rPr>
      </w:pPr>
      <w:bookmarkStart w:id="27" w:name="_Toc1960192387_WPSOffice_Level1"/>
      <w:bookmarkStart w:id="28" w:name="_Toc1734447331_WPSOffice_Level2"/>
      <w:r>
        <w:rPr>
          <w:rFonts w:hint="default"/>
        </w:rPr>
        <w:t>4.2 Follower</w:t>
      </w:r>
      <w:bookmarkEnd w:id="27"/>
      <w:bookmarkEnd w:id="28"/>
    </w:p>
    <w:p>
      <w:pPr>
        <w:pStyle w:val="7"/>
        <w:bidi w:val="0"/>
        <w:spacing w:line="480" w:lineRule="auto"/>
        <w:rPr>
          <w:rFonts w:hint="default"/>
        </w:rPr>
      </w:pPr>
      <w:r>
        <w:rPr>
          <w:rFonts w:hint="default"/>
        </w:rPr>
        <w:t>Followers, or subordinates of leaders, are a key element in leadership activities. Leadership is a team action. Without the interaction of team members, any leadership action is invalid. How leaders mobilize their employees' enthusiasm to effectively complete their assigned tasks and achieve business goals is an important aspect of measuring the effectiveness of leadership.</w:t>
      </w:r>
    </w:p>
    <w:p>
      <w:pPr>
        <w:pStyle w:val="7"/>
        <w:bidi w:val="0"/>
        <w:spacing w:line="480" w:lineRule="auto"/>
        <w:rPr>
          <w:rFonts w:hint="default"/>
        </w:rPr>
      </w:pPr>
    </w:p>
    <w:p>
      <w:pPr>
        <w:pStyle w:val="7"/>
        <w:bidi w:val="0"/>
        <w:spacing w:line="480" w:lineRule="auto"/>
        <w:rPr>
          <w:rFonts w:hint="default"/>
        </w:rPr>
      </w:pPr>
      <w:r>
        <w:rPr>
          <w:rFonts w:hint="default"/>
        </w:rPr>
        <w:t>According to the theoretical model of Hessey and Blanchard, leaders should choose different leadership methods based on the maturity of their subordinates. Only in this way can the role of leadership be maximized. For employees who are incompetent and not actively working, leaders should adopt a mentored leadership style, clearly telling their subordinates how to do and how to do it; for employees who are incompetent but have high enthusiasm for work, the leader should adopt sales leadership Leaders should tell their subordinates when and where to do it, and pay attention to their attitudes. For employees who are capable of working but not very motivated, leaders should adopt participatory leadership methods. Subordinates make joint decisions, provide convenience for subordinates, and guide and motivate subordinates to complete tasks. For employees who have the ability and high enthusiasm, leaders should adopt an authoritative leadership style. Leaders do not need to provide too much guidance, they only need to authorize Give your subordinates and let them do it.</w:t>
      </w:r>
    </w:p>
    <w:p>
      <w:pPr>
        <w:pStyle w:val="7"/>
        <w:bidi w:val="0"/>
        <w:spacing w:line="480" w:lineRule="auto"/>
        <w:rPr>
          <w:rFonts w:hint="default"/>
        </w:rPr>
      </w:pPr>
    </w:p>
    <w:p>
      <w:pPr>
        <w:pStyle w:val="8"/>
        <w:bidi w:val="0"/>
        <w:spacing w:line="480" w:lineRule="auto"/>
        <w:outlineLvl w:val="0"/>
        <w:rPr>
          <w:rFonts w:hint="default"/>
        </w:rPr>
      </w:pPr>
      <w:bookmarkStart w:id="29" w:name="_Toc406819682_WPSOffice_Level1"/>
      <w:bookmarkStart w:id="30" w:name="_Toc913267739_WPSOffice_Level2"/>
      <w:r>
        <w:rPr>
          <w:rFonts w:hint="default"/>
        </w:rPr>
        <w:t xml:space="preserve">4.3 </w:t>
      </w:r>
      <w:r>
        <w:rPr>
          <w:rFonts w:hint="default"/>
        </w:rPr>
        <w:t>Corporate strategic</w:t>
      </w:r>
      <w:bookmarkEnd w:id="29"/>
      <w:bookmarkEnd w:id="30"/>
    </w:p>
    <w:p>
      <w:pPr>
        <w:pStyle w:val="7"/>
        <w:bidi w:val="0"/>
        <w:spacing w:line="480" w:lineRule="auto"/>
        <w:rPr>
          <w:rFonts w:hint="default"/>
        </w:rPr>
      </w:pPr>
      <w:r>
        <w:rPr>
          <w:rFonts w:hint="default"/>
        </w:rPr>
        <w:t>Corporate strategic goals refer to the overall goals of the company's "long-term market position and competitive ability to be achieved and improved in the course of strategic management". It determines the company's future development direction and market positioning. All leaders' actions should be based on the realization of the company's strategic goals, formulate a reasonable plan, allocate appropriate resources, and ensure the successful realization of the goals. Only in this way can leadership show the greatest value.</w:t>
      </w:r>
    </w:p>
    <w:p>
      <w:pPr>
        <w:pStyle w:val="7"/>
        <w:bidi w:val="0"/>
        <w:spacing w:line="480" w:lineRule="auto"/>
        <w:rPr>
          <w:rFonts w:hint="default"/>
        </w:rPr>
      </w:pPr>
    </w:p>
    <w:p>
      <w:pPr>
        <w:pStyle w:val="2"/>
        <w:bidi w:val="0"/>
        <w:rPr>
          <w:rFonts w:hint="default" w:ascii="Times New Roman" w:hAnsi="Times New Roman" w:cs="Times New Roman"/>
          <w:sz w:val="28"/>
          <w:szCs w:val="28"/>
        </w:rPr>
      </w:pPr>
      <w:bookmarkStart w:id="31" w:name="_Toc529467436_WPSOffice_Level1"/>
      <w:r>
        <w:rPr>
          <w:rFonts w:hint="default" w:ascii="Times New Roman" w:hAnsi="Times New Roman" w:cs="Times New Roman"/>
          <w:sz w:val="28"/>
          <w:szCs w:val="28"/>
        </w:rPr>
        <w:t>5.0 Leading Practices for Innovation</w:t>
      </w:r>
      <w:bookmarkEnd w:id="31"/>
    </w:p>
    <w:p>
      <w:pPr>
        <w:pStyle w:val="8"/>
        <w:bidi w:val="0"/>
        <w:spacing w:line="480" w:lineRule="auto"/>
        <w:rPr>
          <w:rFonts w:hint="default"/>
        </w:rPr>
      </w:pPr>
      <w:r>
        <w:rPr>
          <w:rFonts w:hint="default"/>
        </w:rPr>
        <w:t>5.1 New requirements for corporate leadership in the era of globalization</w:t>
      </w:r>
    </w:p>
    <w:p>
      <w:pPr>
        <w:pStyle w:val="7"/>
        <w:bidi w:val="0"/>
        <w:spacing w:line="480" w:lineRule="auto"/>
        <w:rPr>
          <w:rFonts w:hint="default"/>
        </w:rPr>
      </w:pPr>
      <w:r>
        <w:rPr>
          <w:rFonts w:hint="default"/>
        </w:rPr>
        <w:t>Globalization has deepened the interdependence of the countries of the world, united the countries of the world, interacted and influenced each other. The reality of the current world is that no country can survive without other countries, and problems in any country will surely affect other countries and even the whole world. It can really be described as "moving the whole body with one stroke." The development of globalization has put forward new requirements for corporate leadership. Global vision and thinking, the ability to change and innovate, and cross-cultural leadership have become new concerns for leadership.</w:t>
      </w:r>
    </w:p>
    <w:p>
      <w:pPr>
        <w:pStyle w:val="7"/>
        <w:bidi w:val="0"/>
        <w:spacing w:line="480" w:lineRule="auto"/>
        <w:rPr>
          <w:rFonts w:hint="default"/>
        </w:rPr>
      </w:pPr>
    </w:p>
    <w:p>
      <w:pPr>
        <w:pStyle w:val="8"/>
        <w:bidi w:val="0"/>
        <w:spacing w:line="480" w:lineRule="auto"/>
        <w:rPr>
          <w:rFonts w:hint="default"/>
        </w:rPr>
      </w:pPr>
      <w:r>
        <w:rPr>
          <w:rFonts w:hint="default"/>
        </w:rPr>
        <w:t>5.2 Global vision and thinking</w:t>
      </w:r>
    </w:p>
    <w:p>
      <w:pPr>
        <w:pStyle w:val="7"/>
        <w:bidi w:val="0"/>
        <w:spacing w:line="480" w:lineRule="auto"/>
        <w:rPr>
          <w:rFonts w:hint="default"/>
        </w:rPr>
      </w:pPr>
      <w:r>
        <w:rPr>
          <w:rFonts w:hint="default"/>
        </w:rPr>
        <w:t>Economic globalization has enabled developed capitalist countries to begin a new round of expansion on a global scale. On the one hand, it brings development opportunities to developing countries, but on the other hand, it also makes developing countries face unprecedented pressures and challenges, and their operating risks are also increasing. At the same time, it also threatens the social stability and regional peace of some countries. Environmental issues, security issues, energy issues, financial issues and other global issues have never been more urgently before the leaders of the new century. Globalization has also made social operations within countries more complex. In 1997, the financial crisis broke out in Southeast Asia, causing huge losses to many countries. The 2008 US financial crisis has spread across the globe, and it is difficult to accurately estimate the impact on China's economy and financial system. Under the trend of globalization and integration of the world economy, competition among enterprises has increasingly exceeded the boundaries between countries. As an important force in international competition, multinational companies have become a major force in international competition, both in terms of quantity, scale, and new technology Have been unprecedentedly improved. Therefore, in the era of globalization, Chinese companies must have a global vision and thinking. Whether Haier, Lenovo or TCL's multinational operations have proved this. In the 1990s, Peter F. Drucker, known as the "Master of Management Masters" and "The Godfather of Management", said: There are only two types of managers in the 21st century. One is Managers with a global perspective, one is laid-off managers.</w:t>
      </w:r>
    </w:p>
    <w:p>
      <w:pPr>
        <w:pStyle w:val="7"/>
        <w:bidi w:val="0"/>
        <w:spacing w:line="480" w:lineRule="auto"/>
        <w:rPr>
          <w:rFonts w:hint="default"/>
        </w:rPr>
      </w:pPr>
    </w:p>
    <w:p>
      <w:pPr>
        <w:pStyle w:val="8"/>
        <w:bidi w:val="0"/>
        <w:spacing w:line="480" w:lineRule="auto"/>
        <w:rPr>
          <w:rFonts w:hint="default"/>
        </w:rPr>
      </w:pPr>
      <w:r>
        <w:rPr>
          <w:rFonts w:hint="default"/>
        </w:rPr>
        <w:t>5.3 Change and innovation capabilities</w:t>
      </w:r>
    </w:p>
    <w:p>
      <w:pPr>
        <w:pStyle w:val="7"/>
        <w:bidi w:val="0"/>
        <w:spacing w:line="480" w:lineRule="auto"/>
        <w:rPr>
          <w:rFonts w:hint="default"/>
        </w:rPr>
      </w:pPr>
      <w:r>
        <w:rPr>
          <w:rFonts w:hint="default"/>
        </w:rPr>
        <w:t>Today's economic globalization is driven by the rapid development of high technology. The world is becoming more and more "flat", and the entire world is projected onto flat media such as the Internet and multimedia. This has led to more and more open information technology and patents, which has fundamentally changed the market competition landscape. The popularity of information technology has enabled enterprises in developing countries such as China, India, Russia, and Brazil to compete with established multinational companies on internationally available technology information platforms. With the development of globalization, it is difficult for Chinese companies to rely on low-cost labor and sacrifice resources and the environment to compete internationally. In the flat world, business leaders must have a broad mind to promote innovation. Nasbitt said: We are in a changing world. The past world is leaving us, and the new world is not far ahead. In the gap between the old and the new world, change is absolute. Since the world is changing, everyone in this world must also change. This is a great time, and we must be sharp-eyed and seize the opportunity. China should create a better environment for entrepreneurs to grow. Only constant innovation can meet the changing pulse of the times.</w:t>
      </w:r>
    </w:p>
    <w:p>
      <w:pPr>
        <w:pStyle w:val="7"/>
        <w:bidi w:val="0"/>
        <w:spacing w:line="480" w:lineRule="auto"/>
        <w:rPr>
          <w:rFonts w:hint="default"/>
        </w:rPr>
      </w:pPr>
    </w:p>
    <w:p>
      <w:pPr>
        <w:pStyle w:val="8"/>
        <w:bidi w:val="0"/>
        <w:spacing w:line="480" w:lineRule="auto"/>
        <w:rPr>
          <w:rFonts w:hint="default"/>
        </w:rPr>
      </w:pPr>
      <w:r>
        <w:rPr>
          <w:rFonts w:hint="default"/>
        </w:rPr>
        <w:t>5.4 Cross-cultural leadership</w:t>
      </w:r>
    </w:p>
    <w:p>
      <w:pPr>
        <w:pStyle w:val="8"/>
        <w:bidi w:val="0"/>
        <w:spacing w:line="480" w:lineRule="auto"/>
        <w:rPr>
          <w:rFonts w:hint="default"/>
        </w:rPr>
      </w:pPr>
      <w:r>
        <w:rPr>
          <w:rFonts w:hint="default"/>
        </w:rPr>
        <w:t>In the era of globalization, personnel exchanges within enterprises, interactions between enterprises, and interactions between enterprises, society and governments have all become involved in multicultural networks. This requires the leadership of the company to have global cultural awareness, basic cultural literacy and cross-cultural leadership. John Alexander, Vice President of the Creative Leadership Center and his collaborators, the world's premier leadership development organization, in "Organizations of the Future" (Published by Renmin University of China Press, January 2006) In the chapter "Important Ability", the abilities that transnational leaders must possess are put forward, including: 1. Improving self-awareness; 2. The habit of welcoming feedback; 3. Maintaining curiosity; 4. The combination of work and life; 5. Respect Different cultures and perspectives. To be effective in a globalized environment, cross-cultural leaders must be aware and sensitive to people and environments that differ significantly. This not only facilitates communication with employees of different cultures, but the resulting views are also needed in business, politics and dealings with governments. Globalization-the process by which human beings continue to overcome social obstacles such as space and institutions, culture, etc., to achieve full communication (physical and informational) and reach more consensus and common action on a global scale.</w:t>
      </w:r>
    </w:p>
    <w:p>
      <w:pPr>
        <w:pStyle w:val="8"/>
        <w:bidi w:val="0"/>
        <w:spacing w:line="480" w:lineRule="auto"/>
        <w:rPr>
          <w:rFonts w:hint="default"/>
        </w:rPr>
      </w:pPr>
    </w:p>
    <w:p>
      <w:pPr>
        <w:pStyle w:val="2"/>
        <w:bidi w:val="0"/>
        <w:rPr>
          <w:rFonts w:hint="default" w:ascii="Times New Roman" w:hAnsi="Times New Roman" w:cs="Times New Roman"/>
          <w:sz w:val="28"/>
          <w:szCs w:val="28"/>
        </w:rPr>
      </w:pPr>
      <w:bookmarkStart w:id="32" w:name="_Toc1734447331_WPSOffice_Level1"/>
      <w:r>
        <w:rPr>
          <w:rFonts w:hint="default" w:ascii="Times New Roman" w:hAnsi="Times New Roman" w:cs="Times New Roman"/>
          <w:sz w:val="28"/>
          <w:szCs w:val="28"/>
        </w:rPr>
        <w:t>6.0 Micro-Experiment for Strategy Implementation</w:t>
      </w:r>
      <w:bookmarkEnd w:id="32"/>
    </w:p>
    <w:p>
      <w:pPr>
        <w:pStyle w:val="8"/>
        <w:bidi w:val="0"/>
        <w:spacing w:line="480" w:lineRule="auto"/>
        <w:rPr>
          <w:rFonts w:hint="default"/>
        </w:rPr>
      </w:pPr>
      <w:r>
        <w:rPr>
          <w:rFonts w:hint="default"/>
        </w:rPr>
        <w:t>6.1 Cases of Leadership Development in the Age of Globalization</w:t>
      </w:r>
    </w:p>
    <w:p>
      <w:pPr>
        <w:pStyle w:val="7"/>
        <w:bidi w:val="0"/>
        <w:spacing w:line="480" w:lineRule="auto"/>
        <w:rPr>
          <w:rFonts w:hint="default"/>
        </w:rPr>
      </w:pPr>
      <w:r>
        <w:rPr>
          <w:rFonts w:hint="default"/>
        </w:rPr>
        <w:t>There is a worldwide trend to replace management with leadership. Leadership is one of the key factors for the growth of an organization. Effective leadership is the key to ensure the implementation of corporate strategy in the organization, and ultimately determines the success or failure of the company in market competition. Zh</w:t>
      </w:r>
    </w:p>
    <w:p>
      <w:pPr>
        <w:pStyle w:val="7"/>
        <w:bidi w:val="0"/>
        <w:spacing w:line="480" w:lineRule="auto"/>
        <w:rPr>
          <w:rFonts w:hint="default"/>
        </w:rPr>
      </w:pPr>
      <w:r>
        <w:rPr>
          <w:rFonts w:hint="default"/>
        </w:rPr>
        <w:t>In this context, well-known international companies such as BP-Amoco, Colgate, PhD, Motorola, United Signals and other multinational companies have successively implemented leadership development programs, which effectively promoted the change and development of enterprises. Effective leadership development programs often include formal training, 360-degree feedback, and mentorship. Globally, superior leadership is becoming a scarce resource, chased and owned by a small number of great companies.</w:t>
      </w:r>
    </w:p>
    <w:p>
      <w:pPr>
        <w:pStyle w:val="7"/>
        <w:bidi w:val="0"/>
        <w:spacing w:line="480" w:lineRule="auto"/>
        <w:rPr>
          <w:rFonts w:hint="default"/>
        </w:rPr>
      </w:pPr>
    </w:p>
    <w:p>
      <w:pPr>
        <w:pStyle w:val="8"/>
        <w:bidi w:val="0"/>
        <w:spacing w:line="480" w:lineRule="auto"/>
        <w:rPr>
          <w:rFonts w:hint="default"/>
        </w:rPr>
      </w:pPr>
      <w:r>
        <w:rPr>
          <w:rFonts w:hint="default"/>
        </w:rPr>
        <w:t>6.2 Experimental recommendations</w:t>
      </w:r>
    </w:p>
    <w:p>
      <w:pPr>
        <w:pStyle w:val="7"/>
        <w:bidi w:val="0"/>
        <w:spacing w:line="480" w:lineRule="auto"/>
        <w:rPr>
          <w:rFonts w:hint="default"/>
        </w:rPr>
      </w:pPr>
      <w:r>
        <w:rPr>
          <w:rFonts w:hint="default"/>
        </w:rPr>
        <w:t>1) The leadership development of middle and senior managers in an enterprise must be guided by the company's strategy,</w:t>
      </w:r>
    </w:p>
    <w:p>
      <w:pPr>
        <w:pStyle w:val="7"/>
        <w:bidi w:val="0"/>
        <w:spacing w:line="480" w:lineRule="auto"/>
        <w:rPr>
          <w:rFonts w:hint="default"/>
        </w:rPr>
      </w:pPr>
      <w:r>
        <w:rPr>
          <w:rFonts w:hint="default"/>
        </w:rPr>
        <w:t xml:space="preserve">Organizational competence and leadership requirements. An analysis of the business environment of a business is the foundation for understanding the business strategy. </w:t>
      </w:r>
    </w:p>
    <w:p>
      <w:pPr>
        <w:pStyle w:val="7"/>
        <w:bidi w:val="0"/>
        <w:spacing w:line="480" w:lineRule="auto"/>
        <w:rPr>
          <w:rFonts w:hint="default"/>
        </w:rPr>
      </w:pPr>
      <w:r>
        <w:rPr>
          <w:rFonts w:hint="default"/>
        </w:rPr>
        <w:t>2) The curriculum plan for leadership development is combined with the organizational performance improvement plan.</w:t>
      </w:r>
    </w:p>
    <w:p>
      <w:pPr>
        <w:pStyle w:val="7"/>
        <w:bidi w:val="0"/>
        <w:spacing w:line="480" w:lineRule="auto"/>
        <w:rPr>
          <w:rFonts w:hint="default"/>
        </w:rPr>
      </w:pPr>
      <w:r>
        <w:rPr>
          <w:rFonts w:hint="default"/>
        </w:rPr>
        <w:t xml:space="preserve">In order to improve the relevance and effectiveness of leadership development, it can also improve the motivation of leaders to participate. </w:t>
      </w:r>
    </w:p>
    <w:p>
      <w:pPr>
        <w:pStyle w:val="7"/>
        <w:bidi w:val="0"/>
        <w:spacing w:line="480" w:lineRule="auto"/>
        <w:rPr>
          <w:rFonts w:hint="default"/>
        </w:rPr>
      </w:pPr>
      <w:r>
        <w:rPr>
          <w:rFonts w:hint="default"/>
        </w:rPr>
        <w:t>3) The leadership competency model is an important bridge between the strategic requirements of the company and the leadership development curriculum.</w:t>
      </w:r>
    </w:p>
    <w:p>
      <w:pPr>
        <w:pStyle w:val="7"/>
        <w:bidi w:val="0"/>
        <w:spacing w:line="480" w:lineRule="auto"/>
        <w:rPr>
          <w:rFonts w:hint="default"/>
        </w:rPr>
      </w:pPr>
      <w:r>
        <w:rPr>
          <w:rFonts w:hint="default"/>
        </w:rPr>
        <w:t xml:space="preserve">The competency model should reflect the leadership requirements of the company's strategy and cultural philosophy. </w:t>
      </w:r>
    </w:p>
    <w:p>
      <w:pPr>
        <w:pStyle w:val="7"/>
        <w:bidi w:val="0"/>
        <w:spacing w:line="480" w:lineRule="auto"/>
        <w:rPr>
          <w:rFonts w:hint="default"/>
        </w:rPr>
      </w:pPr>
      <w:r>
        <w:rPr>
          <w:rFonts w:hint="default"/>
        </w:rPr>
        <w:t>4) For Sino-foreign joint ventures, the development of leadership must take into account the cultural backgrounds of the Chinese and foreign parties and improve senior leadership</w:t>
      </w:r>
    </w:p>
    <w:p>
      <w:pPr>
        <w:pStyle w:val="7"/>
        <w:bidi w:val="0"/>
        <w:spacing w:line="480" w:lineRule="auto"/>
        <w:rPr>
          <w:rFonts w:hint="default"/>
        </w:rPr>
      </w:pPr>
      <w:r>
        <w:rPr>
          <w:rFonts w:hint="default"/>
        </w:rPr>
        <w:t xml:space="preserve">Understanding of both cultures and leadership of cross-cultural teams. </w:t>
      </w:r>
    </w:p>
    <w:p>
      <w:pPr>
        <w:pStyle w:val="7"/>
        <w:bidi w:val="0"/>
        <w:spacing w:line="480" w:lineRule="auto"/>
        <w:rPr>
          <w:rFonts w:hint="default"/>
        </w:rPr>
      </w:pPr>
      <w:r>
        <w:rPr>
          <w:rFonts w:hint="default"/>
        </w:rPr>
        <w:t>5) For multi-disciplinary lectures for senior leaders of enterprises who have received systematic advanced business management education</w:t>
      </w:r>
    </w:p>
    <w:p>
      <w:pPr>
        <w:pStyle w:val="7"/>
        <w:bidi w:val="0"/>
        <w:spacing w:line="480" w:lineRule="auto"/>
        <w:rPr>
          <w:rFonts w:hint="default"/>
        </w:rPr>
      </w:pPr>
      <w:r>
        <w:rPr>
          <w:rFonts w:hint="default"/>
        </w:rPr>
        <w:t>Broad vision and philosophical improvement of thinking models are an effective way to develop strategic leadership</w:t>
      </w:r>
    </w:p>
    <w:p>
      <w:pPr>
        <w:pStyle w:val="7"/>
        <w:bidi w:val="0"/>
        <w:spacing w:line="480" w:lineRule="auto"/>
        <w:rPr>
          <w:rFonts w:hint="default"/>
        </w:rPr>
      </w:pPr>
    </w:p>
    <w:p>
      <w:pPr>
        <w:pStyle w:val="2"/>
        <w:bidi w:val="0"/>
        <w:rPr>
          <w:rFonts w:hint="default" w:ascii="Times New Roman" w:hAnsi="Times New Roman" w:cs="Times New Roman"/>
          <w:sz w:val="28"/>
          <w:szCs w:val="28"/>
        </w:rPr>
      </w:pPr>
      <w:bookmarkStart w:id="33" w:name="_Toc913267739_WPSOffice_Level1"/>
      <w:r>
        <w:rPr>
          <w:rFonts w:hint="default" w:ascii="Times New Roman" w:hAnsi="Times New Roman" w:cs="Times New Roman"/>
          <w:sz w:val="28"/>
          <w:szCs w:val="28"/>
        </w:rPr>
        <w:t xml:space="preserve">7.0 </w:t>
      </w:r>
      <w:r>
        <w:rPr>
          <w:rFonts w:hint="default" w:ascii="Times New Roman" w:hAnsi="Times New Roman" w:cs="Times New Roman"/>
          <w:sz w:val="28"/>
          <w:szCs w:val="28"/>
        </w:rPr>
        <w:t>Conclusion</w:t>
      </w:r>
      <w:bookmarkEnd w:id="33"/>
    </w:p>
    <w:p>
      <w:pPr>
        <w:pStyle w:val="7"/>
        <w:bidi w:val="0"/>
        <w:spacing w:line="480" w:lineRule="auto"/>
        <w:rPr>
          <w:rFonts w:hint="default"/>
        </w:rPr>
      </w:pPr>
      <w:r>
        <w:rPr>
          <w:rFonts w:hint="default"/>
        </w:rPr>
        <w:t>These factors describe how companies focus on current and future status, and indicate how marginal they are when making a policy or plan. These factors make us seem insignificant when planning or looking to the future. It introduces how to improve the role of leadership in the global environment, and gives some suggestions that companies need to pay attention to when implementing strategies. With this report, we hope to help companies learn more about the leadership methods needed to implement their strategy to become a global leader in innovation and excellence.</w:t>
      </w:r>
    </w:p>
    <w:p>
      <w:pPr>
        <w:pStyle w:val="7"/>
        <w:bidi w:val="0"/>
        <w:spacing w:line="480" w:lineRule="auto"/>
        <w:rPr>
          <w:rFonts w:hint="default"/>
        </w:rPr>
      </w:pPr>
    </w:p>
    <w:p>
      <w:pPr>
        <w:pStyle w:val="2"/>
        <w:bidi w:val="0"/>
        <w:rPr>
          <w:rFonts w:hint="default" w:ascii="Times New Roman" w:hAnsi="Times New Roman" w:cs="Times New Roman"/>
          <w:sz w:val="28"/>
          <w:szCs w:val="28"/>
        </w:rPr>
      </w:pPr>
      <w:bookmarkStart w:id="34" w:name="_Toc1225264264_WPSOffice_Level1"/>
      <w:r>
        <w:rPr>
          <w:rFonts w:hint="default" w:ascii="Times New Roman" w:hAnsi="Times New Roman" w:cs="Times New Roman"/>
          <w:sz w:val="28"/>
          <w:szCs w:val="28"/>
        </w:rPr>
        <w:t>8.0 Reference</w:t>
      </w:r>
      <w:bookmarkEnd w:id="34"/>
    </w:p>
    <w:p>
      <w:pPr>
        <w:spacing w:line="480" w:lineRule="auto"/>
        <w:rPr>
          <w:rFonts w:ascii="Times New Roman" w:hAnsi="Times New Roman" w:cs="Times New Roman"/>
          <w:bCs/>
          <w:sz w:val="24"/>
          <w:szCs w:val="24"/>
        </w:rPr>
      </w:pPr>
      <w:bookmarkStart w:id="35" w:name="_Hlk29470966"/>
      <w:r>
        <w:rPr>
          <w:rFonts w:ascii="Times New Roman" w:hAnsi="Times New Roman" w:cs="Times New Roman"/>
          <w:bCs/>
          <w:sz w:val="24"/>
          <w:szCs w:val="24"/>
        </w:rPr>
        <w:t>Blazej Motyka. (2018), Employee Engagement and Performance: A Systematic Literature Review, International Journal of Management and Economics 2018, vol54(3), pp227-244</w:t>
      </w:r>
    </w:p>
    <w:p>
      <w:pPr>
        <w:spacing w:line="480" w:lineRule="auto"/>
        <w:rPr>
          <w:rFonts w:ascii="Times New Roman" w:hAnsi="Times New Roman" w:cs="Times New Roman"/>
          <w:bCs/>
          <w:sz w:val="24"/>
          <w:szCs w:val="24"/>
        </w:rPr>
      </w:pPr>
      <w:r>
        <w:rPr>
          <w:rFonts w:ascii="Times New Roman" w:hAnsi="Times New Roman" w:cs="Times New Roman"/>
          <w:bCs/>
          <w:sz w:val="24"/>
          <w:szCs w:val="24"/>
        </w:rPr>
        <w:t>David Dorsey, Rose Mueller Hanson. (2018), Performance Management That Makes a Difference: An Evidence-based Approach, Society For Human Resource Management.</w:t>
      </w:r>
    </w:p>
    <w:p>
      <w:pPr>
        <w:widowControl/>
        <w:spacing w:line="480" w:lineRule="auto"/>
        <w:rPr>
          <w:rFonts w:ascii="Times New Roman" w:hAnsi="Times New Roman" w:cs="Times New Roman"/>
          <w:bCs/>
          <w:sz w:val="24"/>
          <w:szCs w:val="24"/>
        </w:rPr>
      </w:pPr>
      <w:r>
        <w:rPr>
          <w:rFonts w:ascii="Times New Roman" w:hAnsi="Times New Roman" w:cs="Times New Roman"/>
          <w:bCs/>
          <w:sz w:val="24"/>
          <w:szCs w:val="24"/>
        </w:rPr>
        <w:t>G Iveta. (2012), Human Resources Key Performance Indicators, Journal of Competitiveness, vol4(1), pp117-128</w:t>
      </w:r>
    </w:p>
    <w:p>
      <w:pPr>
        <w:spacing w:line="480" w:lineRule="auto"/>
        <w:rPr>
          <w:rFonts w:ascii="Times New Roman" w:hAnsi="Times New Roman" w:cs="Times New Roman"/>
          <w:bCs/>
          <w:sz w:val="24"/>
          <w:szCs w:val="24"/>
        </w:rPr>
      </w:pPr>
      <w:r>
        <w:rPr>
          <w:rFonts w:ascii="Times New Roman" w:hAnsi="Times New Roman" w:cs="Times New Roman"/>
          <w:bCs/>
          <w:sz w:val="24"/>
          <w:szCs w:val="24"/>
        </w:rPr>
        <w:t>Harris Hilary, Brewster Chris, Sparrow Paul. (2003). International Human Resource Management. </w:t>
      </w:r>
      <w:r>
        <w:fldChar w:fldCharType="begin"/>
      </w:r>
      <w:r>
        <w:instrText xml:space="preserve"> HYPERLINK "https://en.wikipedia.org/wiki/International_Standard_Book_Number" \o "International Standard Book Number" </w:instrText>
      </w:r>
      <w:r>
        <w:fldChar w:fldCharType="separate"/>
      </w:r>
      <w:r>
        <w:rPr>
          <w:rFonts w:ascii="Times New Roman" w:hAnsi="Times New Roman" w:cs="Times New Roman"/>
          <w:bCs/>
          <w:sz w:val="24"/>
          <w:szCs w:val="24"/>
        </w:rPr>
        <w:t>ISBN</w:t>
      </w:r>
      <w:r>
        <w:rPr>
          <w:rFonts w:ascii="Times New Roman" w:hAnsi="Times New Roman" w:cs="Times New Roman"/>
          <w:bCs/>
          <w:sz w:val="24"/>
          <w:szCs w:val="24"/>
        </w:rPr>
        <w:fldChar w:fldCharType="end"/>
      </w:r>
      <w:r>
        <w:rPr>
          <w:rFonts w:ascii="Times New Roman" w:hAnsi="Times New Roman" w:cs="Times New Roman"/>
          <w:bCs/>
          <w:sz w:val="24"/>
          <w:szCs w:val="24"/>
        </w:rPr>
        <w:t> 9780852929834.</w:t>
      </w:r>
    </w:p>
    <w:p>
      <w:pPr>
        <w:spacing w:line="480" w:lineRule="auto"/>
        <w:rPr>
          <w:rFonts w:ascii="Times New Roman" w:hAnsi="Times New Roman" w:cs="Times New Roman"/>
          <w:bCs/>
          <w:sz w:val="24"/>
          <w:szCs w:val="24"/>
        </w:rPr>
      </w:pPr>
      <w:r>
        <w:rPr>
          <w:rFonts w:ascii="Times New Roman" w:hAnsi="Times New Roman" w:cs="Times New Roman"/>
          <w:bCs/>
          <w:sz w:val="24"/>
          <w:szCs w:val="24"/>
        </w:rPr>
        <w:t>John W. Fleenor. (1997), Using 360-Degree Feedback In Organizations, Center For Creative Leadership, ISBN 1-882197-33-X</w:t>
      </w:r>
    </w:p>
    <w:p>
      <w:pPr>
        <w:spacing w:line="480" w:lineRule="auto"/>
        <w:rPr>
          <w:rFonts w:ascii="Times New Roman" w:hAnsi="Times New Roman" w:cs="Times New Roman"/>
          <w:bCs/>
          <w:sz w:val="24"/>
          <w:szCs w:val="24"/>
        </w:rPr>
      </w:pPr>
      <w:r>
        <w:rPr>
          <w:rFonts w:ascii="Times New Roman" w:hAnsi="Times New Roman" w:cs="Times New Roman"/>
          <w:bCs/>
          <w:sz w:val="24"/>
          <w:szCs w:val="24"/>
        </w:rPr>
        <w:t>Lisa Jackson. (2014), The Work Engagement and Job Performance Relationship: Exploring the Mediating Effect of Trait Emotional Intelligence, San Jose State University</w:t>
      </w:r>
      <w:bookmarkEnd w:id="35"/>
    </w:p>
    <w:p>
      <w:pPr>
        <w:spacing w:line="480" w:lineRule="auto"/>
        <w:rPr>
          <w:rFonts w:hint="eastAsia" w:ascii="Times New Roman" w:hAnsi="Times New Roman" w:cs="Times New Roman"/>
          <w:bCs/>
          <w:sz w:val="24"/>
          <w:szCs w:val="24"/>
        </w:rPr>
      </w:pPr>
      <w:r>
        <w:rPr>
          <w:rFonts w:ascii="Times New Roman" w:hAnsi="Times New Roman" w:cs="Times New Roman"/>
          <w:bCs/>
          <w:sz w:val="24"/>
          <w:szCs w:val="24"/>
        </w:rPr>
        <w:t>Li Sun. (2019), Perceived Organizational Support: A Literature Review, International Journal of Human Resource Studies, vol 9(3), pp155-165</w:t>
      </w:r>
    </w:p>
    <w:p>
      <w:pPr>
        <w:spacing w:line="480" w:lineRule="auto"/>
        <w:rPr>
          <w:rFonts w:ascii="Times New Roman" w:hAnsi="Times New Roman" w:cs="Times New Roman"/>
          <w:bCs/>
          <w:sz w:val="24"/>
          <w:szCs w:val="24"/>
        </w:rPr>
      </w:pPr>
      <w:r>
        <w:rPr>
          <w:rFonts w:ascii="Times New Roman" w:hAnsi="Times New Roman" w:cs="Times New Roman"/>
          <w:bCs/>
          <w:sz w:val="24"/>
          <w:szCs w:val="24"/>
        </w:rPr>
        <w:t>M. Sandhya Sridevi. (2010), Employee Engagement: The Key to Improving Performance, International Journal of Business and Management, vol5(12), pp89-94</w:t>
      </w:r>
    </w:p>
    <w:p>
      <w:pPr>
        <w:spacing w:line="480" w:lineRule="auto"/>
        <w:rPr>
          <w:rFonts w:ascii="Times New Roman" w:hAnsi="Times New Roman" w:cs="Times New Roman"/>
          <w:bCs/>
          <w:sz w:val="24"/>
          <w:szCs w:val="24"/>
        </w:rPr>
      </w:pPr>
      <w:r>
        <w:rPr>
          <w:rFonts w:ascii="Times New Roman" w:hAnsi="Times New Roman" w:cs="Times New Roman"/>
          <w:bCs/>
          <w:sz w:val="24"/>
          <w:szCs w:val="24"/>
        </w:rPr>
        <w:t>M. Schrage, David Kiron, Bryan Hancock. (2019), Performance Management Digital Shift, MiKinsey &amp;Company</w:t>
      </w:r>
    </w:p>
    <w:p>
      <w:pPr>
        <w:spacing w:line="480" w:lineRule="auto"/>
        <w:rPr>
          <w:rFonts w:ascii="Times New Roman" w:hAnsi="Times New Roman" w:cs="Times New Roman"/>
          <w:bCs/>
          <w:sz w:val="24"/>
          <w:szCs w:val="24"/>
        </w:rPr>
      </w:pPr>
      <w:r>
        <w:rPr>
          <w:rFonts w:ascii="Times New Roman" w:hAnsi="Times New Roman" w:cs="Times New Roman"/>
          <w:bCs/>
          <w:sz w:val="24"/>
          <w:szCs w:val="24"/>
        </w:rPr>
        <w:t>M. Ishaq Bhatti, Hassan Awan. (2014), The Key Performance Indicators and Their Impact on Overall Organizational Performance, Quality and Quantity, vol48(6)</w:t>
      </w:r>
    </w:p>
    <w:p>
      <w:pPr>
        <w:spacing w:line="480" w:lineRule="auto"/>
        <w:rPr>
          <w:rFonts w:hint="eastAsia" w:ascii="Times New Roman" w:hAnsi="Times New Roman" w:cs="Times New Roman"/>
          <w:bCs/>
          <w:sz w:val="24"/>
          <w:szCs w:val="24"/>
        </w:rPr>
      </w:pPr>
      <w:r>
        <w:rPr>
          <w:rFonts w:ascii="Times New Roman" w:hAnsi="Times New Roman" w:cs="Times New Roman"/>
          <w:bCs/>
          <w:sz w:val="24"/>
          <w:szCs w:val="24"/>
        </w:rPr>
        <w:t>Robert J. Vance. (2004), Employee Engagement and Commitment, A Guide to Understanding Measuring and Increasing Engagement in Your Organization. Society For Human Resource Management.</w:t>
      </w:r>
    </w:p>
    <w:p>
      <w:pPr>
        <w:spacing w:line="480" w:lineRule="auto"/>
        <w:rPr>
          <w:rFonts w:ascii="Times New Roman" w:hAnsi="Times New Roman" w:cs="Times New Roman"/>
          <w:bCs/>
          <w:sz w:val="24"/>
          <w:szCs w:val="24"/>
        </w:rPr>
      </w:pPr>
      <w:r>
        <w:rPr>
          <w:rFonts w:ascii="Times New Roman" w:hAnsi="Times New Roman" w:cs="Times New Roman"/>
          <w:bCs/>
          <w:sz w:val="24"/>
          <w:szCs w:val="24"/>
        </w:rPr>
        <w:t>Valery Katkalo, Martin Moehrle. (2018), Corporate Learning For The Digital World, Sberbank Corporate University.</w:t>
      </w:r>
    </w:p>
    <w:p>
      <w:pPr>
        <w:spacing w:line="480" w:lineRule="auto"/>
        <w:rPr>
          <w:rFonts w:ascii="Times New Roman" w:hAnsi="Times New Roman" w:cs="Times New Roman"/>
          <w:bCs/>
          <w:sz w:val="24"/>
          <w:szCs w:val="24"/>
        </w:rPr>
      </w:pPr>
      <w:r>
        <w:rPr>
          <w:rFonts w:ascii="Times New Roman" w:hAnsi="Times New Roman" w:cs="Times New Roman"/>
          <w:bCs/>
          <w:sz w:val="24"/>
          <w:szCs w:val="24"/>
        </w:rPr>
        <w:t>Woocheol Kim, Judith A. Kolb, Taesung Kim. (2013), The Relationship Between Work Engagement and Performance: A Review of Empirical Literature and a Proposed Research Agenda, Human Resource Development Review, vol 12(3)</w:t>
      </w:r>
    </w:p>
    <w:p>
      <w:pPr>
        <w:pStyle w:val="7"/>
        <w:bidi w:val="0"/>
        <w:spacing w:line="480" w:lineRule="auto"/>
      </w:pPr>
      <w:r>
        <w:rPr>
          <w:rtl w:val="0"/>
          <w:lang w:val="zh-CN" w:eastAsia="zh-CN"/>
        </w:rPr>
        <w:t>Bitner</w:t>
      </w:r>
      <w:r>
        <w:rPr>
          <w:rtl w:val="0"/>
        </w:rPr>
        <w:t>,</w:t>
      </w:r>
      <w:r>
        <w:rPr>
          <w:rtl w:val="0"/>
          <w:lang w:val="zh-CN" w:eastAsia="zh-CN"/>
        </w:rPr>
        <w:t xml:space="preserve"> M</w:t>
      </w:r>
      <w:r>
        <w:rPr>
          <w:rtl w:val="0"/>
        </w:rPr>
        <w:t xml:space="preserve">. </w:t>
      </w:r>
      <w:r>
        <w:rPr>
          <w:rtl w:val="0"/>
          <w:lang w:val="zh-CN" w:eastAsia="zh-CN"/>
        </w:rPr>
        <w:t>J</w:t>
      </w:r>
      <w:r>
        <w:rPr>
          <w:rtl w:val="0"/>
        </w:rPr>
        <w:t>. and</w:t>
      </w:r>
      <w:r>
        <w:rPr>
          <w:rtl w:val="0"/>
          <w:lang w:val="zh-CN" w:eastAsia="zh-CN"/>
        </w:rPr>
        <w:t xml:space="preserve"> Booms</w:t>
      </w:r>
      <w:r>
        <w:rPr>
          <w:rtl w:val="0"/>
        </w:rPr>
        <w:t>,</w:t>
      </w:r>
      <w:r>
        <w:rPr>
          <w:rtl w:val="0"/>
          <w:lang w:val="zh-CN" w:eastAsia="zh-CN"/>
        </w:rPr>
        <w:t xml:space="preserve"> B</w:t>
      </w:r>
      <w:r>
        <w:rPr>
          <w:rtl w:val="0"/>
        </w:rPr>
        <w:t xml:space="preserve">. </w:t>
      </w:r>
      <w:r>
        <w:rPr>
          <w:rtl w:val="0"/>
          <w:lang w:val="zh-CN" w:eastAsia="zh-CN"/>
        </w:rPr>
        <w:t>H</w:t>
      </w:r>
      <w:r>
        <w:rPr>
          <w:rtl w:val="0"/>
        </w:rPr>
        <w:t xml:space="preserve">., </w:t>
      </w:r>
      <w:r>
        <w:rPr>
          <w:rtl w:val="0"/>
          <w:lang w:val="zh-CN" w:eastAsia="zh-CN"/>
        </w:rPr>
        <w:t xml:space="preserve"> (1981)</w:t>
      </w:r>
      <w:r>
        <w:rPr>
          <w:rtl w:val="0"/>
        </w:rPr>
        <w:t>,</w:t>
      </w:r>
      <w:r>
        <w:rPr>
          <w:rtl w:val="0"/>
          <w:lang w:val="zh-CN" w:eastAsia="zh-CN"/>
        </w:rPr>
        <w:t xml:space="preserve"> Marketing Strategies and Organization Structure for Service Firms. In Donnelly JH, George WR. (Eds), Marketing of Services, Conference Proceedings: American Marketing Association, Chicago, IL, pp. 47- 52.</w:t>
      </w:r>
    </w:p>
    <w:p>
      <w:pPr>
        <w:pStyle w:val="7"/>
        <w:bidi w:val="0"/>
        <w:spacing w:line="480" w:lineRule="auto"/>
      </w:pPr>
      <w:r>
        <w:rPr>
          <w:rtl w:val="0"/>
        </w:rPr>
        <w:t>Ashill, N. and Jobbe, D., (2014), The effects of the external environment on marketing decision-maker uncertainty, Journal of Marketing Management, (30), 3-4.</w:t>
      </w:r>
    </w:p>
    <w:p>
      <w:pPr>
        <w:pStyle w:val="7"/>
        <w:bidi w:val="0"/>
        <w:spacing w:line="480" w:lineRule="auto"/>
      </w:pPr>
      <w:r>
        <w:rPr>
          <w:rtl w:val="0"/>
          <w:lang w:val="pt-PT"/>
        </w:rPr>
        <w:t>Constantinides</w:t>
      </w:r>
      <w:r>
        <w:rPr>
          <w:rtl w:val="0"/>
        </w:rPr>
        <w:t>, E. (2006), The Marketing Mix Revisited: Towards the 21st Century Marketing, Journal of Marketing Management, (22), 407-438.</w:t>
      </w:r>
    </w:p>
    <w:p>
      <w:pPr>
        <w:pStyle w:val="7"/>
        <w:bidi w:val="0"/>
        <w:spacing w:line="480" w:lineRule="auto"/>
      </w:pPr>
      <w:r>
        <w:rPr>
          <w:rtl w:val="0"/>
        </w:rPr>
        <w:t>Iš</w:t>
      </w:r>
      <w:r>
        <w:rPr>
          <w:rtl w:val="0"/>
          <w:lang w:val="fr-FR"/>
        </w:rPr>
        <w:t>orait</w:t>
      </w:r>
      <w:r>
        <w:rPr>
          <w:rtl w:val="0"/>
        </w:rPr>
        <w:t>ė, M. (2016), Marketing Mix theoretical aspects.</w:t>
      </w:r>
    </w:p>
    <w:p>
      <w:pPr>
        <w:pStyle w:val="7"/>
        <w:bidi w:val="0"/>
        <w:spacing w:line="480" w:lineRule="auto"/>
      </w:pPr>
      <w:r>
        <w:rPr>
          <w:rtl w:val="0"/>
        </w:rPr>
        <w:t xml:space="preserve">Kaplan, R. S. and Norton,  D. P., (2005), The Office of Strategy Management, Retrieved Feb. 23, 2020, from </w:t>
      </w:r>
      <w:r>
        <w:rPr>
          <w:rStyle w:val="9"/>
        </w:rPr>
        <w:fldChar w:fldCharType="begin"/>
      </w:r>
      <w:r>
        <w:rPr>
          <w:rStyle w:val="9"/>
        </w:rPr>
        <w:instrText xml:space="preserve"> HYPERLINK "https://hbr.org/2005/10/the-office-of-strategy-management"</w:instrText>
      </w:r>
      <w:r>
        <w:rPr>
          <w:rStyle w:val="9"/>
        </w:rPr>
        <w:fldChar w:fldCharType="separate"/>
      </w:r>
      <w:r>
        <w:rPr>
          <w:rStyle w:val="9"/>
          <w:rtl w:val="0"/>
        </w:rPr>
        <w:t>https://hbr.org/2005/10/the-office-of-strategy-management</w:t>
      </w:r>
      <w:r>
        <w:fldChar w:fldCharType="end"/>
      </w:r>
      <w:r>
        <w:rPr>
          <w:rtl w:val="0"/>
        </w:rPr>
        <w:t>.</w:t>
      </w:r>
    </w:p>
    <w:p>
      <w:pPr>
        <w:pStyle w:val="7"/>
        <w:bidi w:val="0"/>
        <w:spacing w:line="480" w:lineRule="auto"/>
      </w:pPr>
      <w:r>
        <w:rPr>
          <w:rtl w:val="0"/>
          <w:lang w:val="it-IT"/>
        </w:rPr>
        <w:t>Luenendonk</w:t>
      </w:r>
      <w:r>
        <w:rPr>
          <w:rtl w:val="0"/>
        </w:rPr>
        <w:t>, M., (2014), Understanding the Marketing Mix Concept – 4Ps, Retrieved Feb. 25, 2020, from https://www.cleverism.com/understanding-marketing-mix-concept-4ps/.</w:t>
      </w:r>
    </w:p>
    <w:p>
      <w:pPr>
        <w:pStyle w:val="7"/>
        <w:bidi w:val="0"/>
        <w:spacing w:line="480" w:lineRule="auto"/>
      </w:pPr>
      <w:r>
        <w:rPr>
          <w:rtl w:val="0"/>
        </w:rPr>
        <w:t>Manthei, L. (2017), The Four Ps of Marketing: Why the Marketing Mix Is Still Relevant,</w:t>
      </w:r>
      <w:r>
        <w:rPr>
          <w:rtl w:val="0"/>
          <w:lang w:val="zh-CN" w:eastAsia="zh-CN"/>
        </w:rPr>
        <w:t xml:space="preserve"> </w:t>
      </w:r>
      <w:r>
        <w:rPr>
          <w:rtl w:val="0"/>
        </w:rPr>
        <w:t xml:space="preserve">Retrieved Feb. 21, 2020, from </w:t>
      </w:r>
      <w:r>
        <w:rPr>
          <w:rStyle w:val="9"/>
        </w:rPr>
        <w:fldChar w:fldCharType="begin"/>
      </w:r>
      <w:r>
        <w:rPr>
          <w:rStyle w:val="9"/>
        </w:rPr>
        <w:instrText xml:space="preserve"> HYPERLINK "https://emarsys.com/learn/blog/4-ps-of-marketing-importance/"</w:instrText>
      </w:r>
      <w:r>
        <w:rPr>
          <w:rStyle w:val="9"/>
        </w:rPr>
        <w:fldChar w:fldCharType="separate"/>
      </w:r>
      <w:r>
        <w:rPr>
          <w:rStyle w:val="9"/>
          <w:rtl w:val="0"/>
        </w:rPr>
        <w:t>https://emarsys.com/learn/blog/4-ps-of-marketing-importance/</w:t>
      </w:r>
      <w:r>
        <w:fldChar w:fldCharType="end"/>
      </w:r>
      <w:r>
        <w:rPr>
          <w:rtl w:val="0"/>
        </w:rPr>
        <w:t>.</w:t>
      </w:r>
    </w:p>
    <w:p>
      <w:pPr>
        <w:pStyle w:val="7"/>
        <w:bidi w:val="0"/>
        <w:spacing w:line="480" w:lineRule="auto"/>
      </w:pPr>
      <w:r>
        <w:rPr>
          <w:rtl w:val="0"/>
          <w:lang w:val="it-IT"/>
        </w:rPr>
        <w:t xml:space="preserve">Pautasso, M., </w:t>
      </w:r>
      <w:r>
        <w:rPr>
          <w:rtl w:val="0"/>
        </w:rPr>
        <w:t>(2013), Ten Simple Rules for Writing a Literature Review.</w:t>
      </w:r>
    </w:p>
    <w:p>
      <w:pPr>
        <w:pStyle w:val="7"/>
        <w:bidi w:val="0"/>
        <w:spacing w:line="480" w:lineRule="auto"/>
      </w:pPr>
      <w:r>
        <w:rPr>
          <w:rtl w:val="0"/>
        </w:rPr>
        <w:t>Rowe, F., (2014), What literature review is not: diversity, boundaries and recommendations. </w:t>
      </w:r>
      <w:r>
        <w:rPr>
          <w:i/>
          <w:iCs/>
          <w:rtl w:val="0"/>
          <w:lang w:val="en-US"/>
        </w:rPr>
        <w:t>European Journal of Information Systems, (</w:t>
      </w:r>
      <w:r>
        <w:rPr>
          <w:rtl w:val="0"/>
        </w:rPr>
        <w:t>23)</w:t>
      </w:r>
      <w:r>
        <w:rPr>
          <w:b/>
          <w:bCs/>
          <w:rtl w:val="0"/>
        </w:rPr>
        <w:t>, </w:t>
      </w:r>
      <w:r>
        <w:rPr>
          <w:rtl w:val="0"/>
        </w:rPr>
        <w:t>241–255.</w:t>
      </w:r>
    </w:p>
    <w:p>
      <w:pPr>
        <w:pStyle w:val="7"/>
        <w:bidi w:val="0"/>
        <w:spacing w:line="480" w:lineRule="auto"/>
      </w:pPr>
      <w:r>
        <w:rPr>
          <w:rtl w:val="0"/>
        </w:rPr>
        <w:t>Su</w:t>
      </w:r>
      <w:r>
        <w:rPr>
          <w:rtl w:val="0"/>
          <w:lang w:val="en-US"/>
        </w:rPr>
        <w:t>, M. L. (2011). Marketing mix (7P) and performance assessment of western fast food industry in Taiwan: An application by associating DEMATEL and ANP. African Journal of Business Management. Vol.5</w:t>
      </w:r>
    </w:p>
    <w:p>
      <w:pPr>
        <w:pStyle w:val="7"/>
        <w:bidi w:val="0"/>
        <w:spacing w:line="480" w:lineRule="auto"/>
      </w:pPr>
      <w:r>
        <w:rPr>
          <w:rtl w:val="0"/>
        </w:rPr>
        <w:t>Thabit, T. H., and Raewf, M. B. (2018), The Evaluation of Marketing Mix Elements: A Case Study,  International Journal of Social Sciences &amp; Educational Studies, (4), 100-109.</w:t>
      </w:r>
    </w:p>
    <w:p>
      <w:pPr>
        <w:pStyle w:val="6"/>
        <w:bidi w:val="0"/>
        <w:spacing w:line="480" w:lineRule="auto"/>
        <w:rPr>
          <w:rFonts w:hint="default"/>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MT Extra">
    <w:panose1 w:val="05050102010205020202"/>
    <w:charset w:val="00"/>
    <w:family w:val="auto"/>
    <w:pitch w:val="default"/>
    <w:sig w:usb0="80000000" w:usb1="00000000" w:usb2="00000000" w:usb3="00000000" w:csb0="00000000" w:csb1="00000000"/>
  </w:font>
  <w:font w:name="Calibri Light">
    <w:altName w:val="Helvetica Neue"/>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Symbol">
    <w:panose1 w:val="05050102010706020507"/>
    <w:charset w:val="02"/>
    <w:family w:val="roman"/>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Arial">
    <w:panose1 w:val="020B0604020202090204"/>
    <w:charset w:val="00"/>
    <w:family w:val="swiss"/>
    <w:pitch w:val="default"/>
    <w:sig w:usb0="E0000AFF" w:usb1="00007843" w:usb2="00000001" w:usb3="00000000" w:csb0="400001BF" w:csb1="DFF70000"/>
  </w:font>
  <w:font w:name="Arial Unicode MS">
    <w:panose1 w:val="020B0604020202020204"/>
    <w:charset w:val="86"/>
    <w:family w:val="roman"/>
    <w:pitch w:val="default"/>
    <w:sig w:usb0="FFFFFFFF" w:usb1="E9FFFFFF" w:usb2="0000003F" w:usb3="00000000" w:csb0="603F01FF" w:csb1="FFFF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AFE79F93"/>
    <w:rsid w:val="5DFEE429"/>
    <w:rsid w:val="5F7FC212"/>
    <w:rsid w:val="77DF00D0"/>
    <w:rsid w:val="AFE79F93"/>
    <w:rsid w:val="DDFDB2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3">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character" w:styleId="4">
    <w:name w:val="Hyperlink"/>
    <w:uiPriority w:val="0"/>
    <w:rPr>
      <w:u w:val="single"/>
    </w:rPr>
  </w:style>
  <w:style w:type="paragraph" w:customStyle="1" w:styleId="6">
    <w:name w:val="标题1"/>
    <w:basedOn w:val="1"/>
    <w:uiPriority w:val="0"/>
    <w:rPr>
      <w:rFonts w:ascii="Times New Roman" w:hAnsi="Times New Roman" w:eastAsiaTheme="minorEastAsia"/>
      <w:b/>
      <w:sz w:val="28"/>
    </w:rPr>
  </w:style>
  <w:style w:type="paragraph" w:customStyle="1" w:styleId="7">
    <w:name w:val="正文1"/>
    <w:basedOn w:val="1"/>
    <w:uiPriority w:val="0"/>
    <w:rPr>
      <w:rFonts w:ascii="Times New Roman" w:hAnsi="Times New Roman" w:eastAsia="Times New Roman"/>
      <w:sz w:val="24"/>
    </w:rPr>
  </w:style>
  <w:style w:type="paragraph" w:customStyle="1" w:styleId="8">
    <w:name w:val="标题2"/>
    <w:basedOn w:val="7"/>
    <w:uiPriority w:val="0"/>
  </w:style>
  <w:style w:type="character" w:customStyle="1" w:styleId="9">
    <w:name w:val="Hyperlink.0"/>
    <w:basedOn w:val="4"/>
    <w:qFormat/>
    <w:uiPriority w:val="0"/>
    <w:rPr>
      <w:u w:val="single"/>
    </w:rPr>
  </w:style>
  <w:style w:type="paragraph" w:customStyle="1" w:styleId="10">
    <w:name w:val="WPSOffice手动目录 1"/>
    <w:uiPriority w:val="0"/>
    <w:pPr>
      <w:ind w:leftChars="0"/>
    </w:pPr>
    <w:rPr>
      <w:sz w:val="20"/>
      <w:szCs w:val="20"/>
    </w:rPr>
  </w:style>
  <w:style w:type="paragraph" w:customStyle="1" w:styleId="1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9d49fb5-e2f7-40d6-b18f-cea5433ac1b5}"/>
        <w:style w:val=""/>
        <w:category>
          <w:name w:val="常规"/>
          <w:gallery w:val="placeholder"/>
        </w:category>
        <w:types>
          <w:type w:val="bbPlcHdr"/>
        </w:types>
        <w:behaviors>
          <w:behavior w:val="content"/>
        </w:behaviors>
        <w:description w:val=""/>
        <w:guid w:val="{c9d49fb5-e2f7-40d6-b18f-cea5433ac1b5}"/>
      </w:docPartPr>
      <w:docPartBody>
        <w:p>
          <w:r>
            <w:rPr>
              <w:color w:val="808080"/>
            </w:rPr>
            <w:t>单击此处输入文字。</w:t>
          </w:r>
        </w:p>
      </w:docPartBody>
    </w:docPart>
    <w:docPart>
      <w:docPartPr>
        <w:name w:val="{065eadce-232a-4667-a513-f0570672f120}"/>
        <w:style w:val=""/>
        <w:category>
          <w:name w:val="常规"/>
          <w:gallery w:val="placeholder"/>
        </w:category>
        <w:types>
          <w:type w:val="bbPlcHdr"/>
        </w:types>
        <w:behaviors>
          <w:behavior w:val="content"/>
        </w:behaviors>
        <w:description w:val=""/>
        <w:guid w:val="{065eadce-232a-4667-a513-f0570672f120}"/>
      </w:docPartPr>
      <w:docPartBody>
        <w:p>
          <w:r>
            <w:rPr>
              <w:color w:val="808080"/>
            </w:rPr>
            <w:t>单击此处输入文字。</w:t>
          </w:r>
        </w:p>
      </w:docPartBody>
    </w:docPart>
    <w:docPart>
      <w:docPartPr>
        <w:name w:val="{21954b7e-f525-4f53-af82-643da6ee1b7f}"/>
        <w:style w:val=""/>
        <w:category>
          <w:name w:val="常规"/>
          <w:gallery w:val="placeholder"/>
        </w:category>
        <w:types>
          <w:type w:val="bbPlcHdr"/>
        </w:types>
        <w:behaviors>
          <w:behavior w:val="content"/>
        </w:behaviors>
        <w:description w:val=""/>
        <w:guid w:val="{21954b7e-f525-4f53-af82-643da6ee1b7f}"/>
      </w:docPartPr>
      <w:docPartBody>
        <w:p>
          <w:r>
            <w:rPr>
              <w:color w:val="808080"/>
            </w:rPr>
            <w:t>单击此处输入文字。</w:t>
          </w:r>
        </w:p>
      </w:docPartBody>
    </w:docPart>
    <w:docPart>
      <w:docPartPr>
        <w:name w:val="{4f6fd4a7-5447-4028-8d9c-025743801865}"/>
        <w:style w:val=""/>
        <w:category>
          <w:name w:val="常规"/>
          <w:gallery w:val="placeholder"/>
        </w:category>
        <w:types>
          <w:type w:val="bbPlcHdr"/>
        </w:types>
        <w:behaviors>
          <w:behavior w:val="content"/>
        </w:behaviors>
        <w:description w:val=""/>
        <w:guid w:val="{4f6fd4a7-5447-4028-8d9c-025743801865}"/>
      </w:docPartPr>
      <w:docPartBody>
        <w:p>
          <w:r>
            <w:rPr>
              <w:color w:val="808080"/>
            </w:rPr>
            <w:t>单击此处输入文字。</w:t>
          </w:r>
        </w:p>
      </w:docPartBody>
    </w:docPart>
    <w:docPart>
      <w:docPartPr>
        <w:name w:val="{8730da80-3032-4463-9510-fbf25fa8ee40}"/>
        <w:style w:val=""/>
        <w:category>
          <w:name w:val="常规"/>
          <w:gallery w:val="placeholder"/>
        </w:category>
        <w:types>
          <w:type w:val="bbPlcHdr"/>
        </w:types>
        <w:behaviors>
          <w:behavior w:val="content"/>
        </w:behaviors>
        <w:description w:val=""/>
        <w:guid w:val="{8730da80-3032-4463-9510-fbf25fa8ee40}"/>
      </w:docPartPr>
      <w:docPartBody>
        <w:p>
          <w:r>
            <w:rPr>
              <w:color w:val="808080"/>
            </w:rPr>
            <w:t>单击此处输入文字。</w:t>
          </w:r>
        </w:p>
      </w:docPartBody>
    </w:docPart>
    <w:docPart>
      <w:docPartPr>
        <w:name w:val="{a11b674f-e7bb-470a-8685-aca2b5442cff}"/>
        <w:style w:val=""/>
        <w:category>
          <w:name w:val="常规"/>
          <w:gallery w:val="placeholder"/>
        </w:category>
        <w:types>
          <w:type w:val="bbPlcHdr"/>
        </w:types>
        <w:behaviors>
          <w:behavior w:val="content"/>
        </w:behaviors>
        <w:description w:val=""/>
        <w:guid w:val="{a11b674f-e7bb-470a-8685-aca2b5442cff}"/>
      </w:docPartPr>
      <w:docPartBody>
        <w:p>
          <w:r>
            <w:rPr>
              <w:color w:val="808080"/>
            </w:rPr>
            <w:t>单击此处输入文字。</w:t>
          </w:r>
        </w:p>
      </w:docPartBody>
    </w:docPart>
    <w:docPart>
      <w:docPartPr>
        <w:name w:val="{027ef37b-00d9-436a-8692-49f0956f7ae7}"/>
        <w:style w:val=""/>
        <w:category>
          <w:name w:val="常规"/>
          <w:gallery w:val="placeholder"/>
        </w:category>
        <w:types>
          <w:type w:val="bbPlcHdr"/>
        </w:types>
        <w:behaviors>
          <w:behavior w:val="content"/>
        </w:behaviors>
        <w:description w:val=""/>
        <w:guid w:val="{027ef37b-00d9-436a-8692-49f0956f7ae7}"/>
      </w:docPartPr>
      <w:docPartBody>
        <w:p>
          <w:r>
            <w:rPr>
              <w:color w:val="808080"/>
            </w:rPr>
            <w:t>单击此处输入文字。</w:t>
          </w:r>
        </w:p>
      </w:docPartBody>
    </w:docPart>
    <w:docPart>
      <w:docPartPr>
        <w:name w:val="{a67f9dfb-3e07-4a6d-b729-89c7674b6dea}"/>
        <w:style w:val=""/>
        <w:category>
          <w:name w:val="常规"/>
          <w:gallery w:val="placeholder"/>
        </w:category>
        <w:types>
          <w:type w:val="bbPlcHdr"/>
        </w:types>
        <w:behaviors>
          <w:behavior w:val="content"/>
        </w:behaviors>
        <w:description w:val=""/>
        <w:guid w:val="{a67f9dfb-3e07-4a6d-b729-89c7674b6dea}"/>
      </w:docPartPr>
      <w:docPartBody>
        <w:p>
          <w:r>
            <w:rPr>
              <w:color w:val="808080"/>
            </w:rPr>
            <w:t>单击此处输入文字。</w:t>
          </w:r>
        </w:p>
      </w:docPartBody>
    </w:docPart>
    <w:docPart>
      <w:docPartPr>
        <w:name w:val="{3fe5ed50-eb91-4387-9a4a-f6c1f1e92fc9}"/>
        <w:style w:val=""/>
        <w:category>
          <w:name w:val="常规"/>
          <w:gallery w:val="placeholder"/>
        </w:category>
        <w:types>
          <w:type w:val="bbPlcHdr"/>
        </w:types>
        <w:behaviors>
          <w:behavior w:val="content"/>
        </w:behaviors>
        <w:description w:val=""/>
        <w:guid w:val="{3fe5ed50-eb91-4387-9a4a-f6c1f1e92fc9}"/>
      </w:docPartPr>
      <w:docPartBody>
        <w:p>
          <w:r>
            <w:rPr>
              <w:color w:val="808080"/>
            </w:rPr>
            <w:t>单击此处输入文字。</w:t>
          </w:r>
        </w:p>
      </w:docPartBody>
    </w:docPart>
    <w:docPart>
      <w:docPartPr>
        <w:name w:val="{a9dfd0e7-512f-45e9-afa9-944a6bd2c4e0}"/>
        <w:style w:val=""/>
        <w:category>
          <w:name w:val="常规"/>
          <w:gallery w:val="placeholder"/>
        </w:category>
        <w:types>
          <w:type w:val="bbPlcHdr"/>
        </w:types>
        <w:behaviors>
          <w:behavior w:val="content"/>
        </w:behaviors>
        <w:description w:val=""/>
        <w:guid w:val="{a9dfd0e7-512f-45e9-afa9-944a6bd2c4e0}"/>
      </w:docPartPr>
      <w:docPartBody>
        <w:p>
          <w:r>
            <w:rPr>
              <w:color w:val="808080"/>
            </w:rPr>
            <w:t>单击此处输入文字。</w:t>
          </w:r>
        </w:p>
      </w:docPartBody>
    </w:docPart>
    <w:docPart>
      <w:docPartPr>
        <w:name w:val="{6361142b-f385-4cca-aa21-f784c3970f90}"/>
        <w:style w:val=""/>
        <w:category>
          <w:name w:val="常规"/>
          <w:gallery w:val="placeholder"/>
        </w:category>
        <w:types>
          <w:type w:val="bbPlcHdr"/>
        </w:types>
        <w:behaviors>
          <w:behavior w:val="content"/>
        </w:behaviors>
        <w:description w:val=""/>
        <w:guid w:val="{6361142b-f385-4cca-aa21-f784c3970f90}"/>
      </w:docPartPr>
      <w:docPartBody>
        <w:p>
          <w:r>
            <w:rPr>
              <w:color w:val="808080"/>
            </w:rPr>
            <w:t>单击此处输入文字。</w:t>
          </w:r>
        </w:p>
      </w:docPartBody>
    </w:docPart>
    <w:docPart>
      <w:docPartPr>
        <w:name w:val="{fdb4337d-472c-4490-94f0-2cf76176b41a}"/>
        <w:style w:val=""/>
        <w:category>
          <w:name w:val="常规"/>
          <w:gallery w:val="placeholder"/>
        </w:category>
        <w:types>
          <w:type w:val="bbPlcHdr"/>
        </w:types>
        <w:behaviors>
          <w:behavior w:val="content"/>
        </w:behaviors>
        <w:description w:val=""/>
        <w:guid w:val="{fdb4337d-472c-4490-94f0-2cf76176b41a}"/>
      </w:docPartPr>
      <w:docPartBody>
        <w:p>
          <w:r>
            <w:rPr>
              <w:color w:val="808080"/>
            </w:rPr>
            <w:t>单击此处输入文字。</w:t>
          </w:r>
        </w:p>
      </w:docPartBody>
    </w:docPart>
    <w:docPart>
      <w:docPartPr>
        <w:name w:val="{baec1767-18ad-4452-a0f7-23d38cb110c4}"/>
        <w:style w:val=""/>
        <w:category>
          <w:name w:val="常规"/>
          <w:gallery w:val="placeholder"/>
        </w:category>
        <w:types>
          <w:type w:val="bbPlcHdr"/>
        </w:types>
        <w:behaviors>
          <w:behavior w:val="content"/>
        </w:behaviors>
        <w:description w:val=""/>
        <w:guid w:val="{baec1767-18ad-4452-a0f7-23d38cb110c4}"/>
      </w:docPartPr>
      <w:docPartBody>
        <w:p>
          <w:r>
            <w:rPr>
              <w:color w:val="808080"/>
            </w:rPr>
            <w:t>单击此处输入文字。</w:t>
          </w:r>
        </w:p>
      </w:docPartBody>
    </w:docPart>
    <w:docPart>
      <w:docPartPr>
        <w:name w:val="{bb24dbe5-9487-4c37-859f-986af78e7fff}"/>
        <w:style w:val=""/>
        <w:category>
          <w:name w:val="常规"/>
          <w:gallery w:val="placeholder"/>
        </w:category>
        <w:types>
          <w:type w:val="bbPlcHdr"/>
        </w:types>
        <w:behaviors>
          <w:behavior w:val="content"/>
        </w:behaviors>
        <w:description w:val=""/>
        <w:guid w:val="{bb24dbe5-9487-4c37-859f-986af78e7fff}"/>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MT Extra">
    <w:panose1 w:val="05050102010205020202"/>
    <w:charset w:val="00"/>
    <w:family w:val="auto"/>
    <w:pitch w:val="default"/>
    <w:sig w:usb0="80000000" w:usb1="00000000" w:usb2="00000000" w:usb3="00000000" w:csb0="00000000" w:csb1="00000000"/>
  </w:font>
  <w:font w:name="Calibri Light">
    <w:altName w:val="Helvetica Neue"/>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oNotDisplayPageBoundaries w:val="1"/>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Office_1.9.1.2994_F1E327BC-269C-435d-A152-05C5408002CA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2020-02-09T23:54:00Z</dcterms:created>
  <dc:creator>zqy</dc:creator>
  <cp:lastModifiedBy>zqy</cp:lastModifiedBy>
  <dcterms:modified xsi:type="dcterms:W3CDTF">2020-03-13T23:37:38Z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2052-1.9.1.2994</vt:lpwstr>
  </property>
</Properties>
</file>