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5D44" w:rsidRPr="00E85D44" w:rsidRDefault="00E85D44" w:rsidP="00E85D44">
      <w:pPr>
        <w:spacing w:after="0" w:line="240" w:lineRule="auto"/>
        <w:rPr>
          <w:rFonts w:ascii="Verdana" w:eastAsia="Times New Roman" w:hAnsi="Verdana" w:cs="Arial"/>
          <w:b/>
          <w:bCs/>
          <w:color w:val="000000"/>
          <w:sz w:val="24"/>
          <w:szCs w:val="24"/>
          <w:lang w:eastAsia="en-GB"/>
        </w:rPr>
      </w:pPr>
      <w:r w:rsidRPr="00E85D44">
        <w:rPr>
          <w:rFonts w:ascii="Verdana" w:eastAsia="Times New Roman" w:hAnsi="Verdana" w:cs="Arial"/>
          <w:b/>
          <w:bCs/>
          <w:color w:val="FF0000"/>
          <w:sz w:val="24"/>
          <w:szCs w:val="24"/>
          <w:lang w:eastAsia="en-GB"/>
        </w:rPr>
        <w:t>Corporate Social Responsibility</w:t>
      </w:r>
      <w:r w:rsidRPr="00E85D44">
        <w:rPr>
          <w:rFonts w:ascii="Verdana" w:eastAsia="Times New Roman" w:hAnsi="Verdana" w:cs="Arial"/>
          <w:b/>
          <w:bCs/>
          <w:color w:val="000000"/>
          <w:sz w:val="24"/>
          <w:szCs w:val="24"/>
          <w:lang w:eastAsia="en-GB"/>
        </w:rPr>
        <w:t xml:space="preserve">: A Developmental Tool for </w:t>
      </w:r>
      <w:r w:rsidRPr="00E85D44">
        <w:rPr>
          <w:rFonts w:ascii="Verdana" w:eastAsia="Times New Roman" w:hAnsi="Verdana" w:cs="Arial"/>
          <w:b/>
          <w:bCs/>
          <w:color w:val="FF0000"/>
          <w:sz w:val="24"/>
          <w:szCs w:val="24"/>
          <w:lang w:eastAsia="en-GB"/>
        </w:rPr>
        <w:t>India</w:t>
      </w:r>
    </w:p>
    <w:p w:rsidR="00E85D44" w:rsidRPr="00E85D44" w:rsidRDefault="00E85D44" w:rsidP="00E85D44">
      <w:pPr>
        <w:spacing w:after="0" w:line="240" w:lineRule="auto"/>
        <w:rPr>
          <w:rFonts w:ascii="Arial" w:eastAsia="Times New Roman" w:hAnsi="Arial" w:cs="Arial"/>
          <w:color w:val="000000"/>
          <w:sz w:val="19"/>
          <w:szCs w:val="19"/>
          <w:lang w:eastAsia="en-GB"/>
        </w:rPr>
      </w:pPr>
      <w:hyperlink r:id="rId4" w:history="1">
        <w:r w:rsidRPr="00E85D44">
          <w:rPr>
            <w:rFonts w:ascii="Arial" w:eastAsia="Times New Roman" w:hAnsi="Arial" w:cs="Arial"/>
            <w:i/>
            <w:iCs/>
            <w:color w:val="003399"/>
            <w:sz w:val="19"/>
            <w:u w:val="single"/>
            <w:lang w:eastAsia="en-GB"/>
          </w:rPr>
          <w:t>Anupam Ghosh</w:t>
        </w:r>
      </w:hyperlink>
      <w:r w:rsidRPr="00E85D44">
        <w:rPr>
          <w:rFonts w:ascii="Arial" w:eastAsia="Times New Roman" w:hAnsi="Arial" w:cs="Arial"/>
          <w:color w:val="000000"/>
          <w:sz w:val="19"/>
          <w:szCs w:val="19"/>
          <w:lang w:eastAsia="en-GB"/>
        </w:rPr>
        <w:t xml:space="preserve">, </w:t>
      </w:r>
      <w:hyperlink r:id="rId5" w:history="1">
        <w:r w:rsidRPr="00E85D44">
          <w:rPr>
            <w:rFonts w:ascii="Arial" w:eastAsia="Times New Roman" w:hAnsi="Arial" w:cs="Arial"/>
            <w:i/>
            <w:iCs/>
            <w:color w:val="003399"/>
            <w:sz w:val="19"/>
            <w:u w:val="single"/>
            <w:lang w:eastAsia="en-GB"/>
          </w:rPr>
          <w:t>Chhanda Chakraborti</w:t>
        </w:r>
      </w:hyperlink>
      <w:r w:rsidRPr="00E85D44">
        <w:rPr>
          <w:rFonts w:ascii="Arial" w:eastAsia="Times New Roman" w:hAnsi="Arial" w:cs="Arial"/>
          <w:color w:val="000000"/>
          <w:sz w:val="19"/>
          <w:szCs w:val="19"/>
          <w:lang w:eastAsia="en-GB"/>
        </w:rPr>
        <w:t xml:space="preserve">. </w:t>
      </w:r>
      <w:hyperlink r:id="rId6" w:history="1">
        <w:r w:rsidRPr="00E85D44">
          <w:rPr>
            <w:rFonts w:ascii="Arial" w:eastAsia="Times New Roman" w:hAnsi="Arial" w:cs="Arial"/>
            <w:b/>
            <w:bCs/>
            <w:color w:val="003399"/>
            <w:sz w:val="19"/>
            <w:u w:val="single"/>
            <w:lang w:eastAsia="en-GB"/>
          </w:rPr>
          <w:t xml:space="preserve">IUP Journal of </w:t>
        </w:r>
        <w:r w:rsidRPr="00E85D44">
          <w:rPr>
            <w:rFonts w:ascii="Arial" w:eastAsia="Times New Roman" w:hAnsi="Arial" w:cs="Arial"/>
            <w:b/>
            <w:bCs/>
            <w:color w:val="FF0000"/>
            <w:sz w:val="19"/>
            <w:u w:val="single"/>
            <w:lang w:eastAsia="en-GB"/>
          </w:rPr>
          <w:t>Corporate</w:t>
        </w:r>
        <w:r w:rsidRPr="00E85D44">
          <w:rPr>
            <w:rFonts w:ascii="Arial" w:eastAsia="Times New Roman" w:hAnsi="Arial" w:cs="Arial"/>
            <w:b/>
            <w:bCs/>
            <w:color w:val="003399"/>
            <w:sz w:val="19"/>
            <w:u w:val="single"/>
            <w:lang w:eastAsia="en-GB"/>
          </w:rPr>
          <w:t xml:space="preserve"> Governance</w:t>
        </w:r>
      </w:hyperlink>
      <w:r w:rsidRPr="00E85D44">
        <w:rPr>
          <w:rFonts w:ascii="Arial" w:eastAsia="Times New Roman" w:hAnsi="Arial" w:cs="Arial"/>
          <w:color w:val="000000"/>
          <w:sz w:val="19"/>
          <w:szCs w:val="19"/>
          <w:lang w:eastAsia="en-GB"/>
        </w:rPr>
        <w:t xml:space="preserve">. Hyderabad: </w:t>
      </w:r>
      <w:hyperlink r:id="rId7" w:history="1">
        <w:r w:rsidRPr="00E85D44">
          <w:rPr>
            <w:rFonts w:ascii="Arial" w:eastAsia="Times New Roman" w:hAnsi="Arial" w:cs="Arial"/>
            <w:color w:val="003399"/>
            <w:sz w:val="19"/>
            <w:u w:val="single"/>
            <w:lang w:eastAsia="en-GB"/>
          </w:rPr>
          <w:t>Oct 2010</w:t>
        </w:r>
      </w:hyperlink>
      <w:r w:rsidRPr="00E85D44">
        <w:rPr>
          <w:rFonts w:ascii="Arial" w:eastAsia="Times New Roman" w:hAnsi="Arial" w:cs="Arial"/>
          <w:color w:val="000000"/>
          <w:sz w:val="19"/>
          <w:szCs w:val="19"/>
          <w:lang w:eastAsia="en-GB"/>
        </w:rPr>
        <w:t>. Vol. 9, Iss. 4; pg. 40, 17 pgs</w:t>
      </w:r>
    </w:p>
    <w:p w:rsidR="00E85D44" w:rsidRPr="00E85D44" w:rsidRDefault="00E85D44" w:rsidP="00E85D44">
      <w:pPr>
        <w:spacing w:before="100" w:beforeAutospacing="1" w:after="100" w:afterAutospacing="1" w:line="240" w:lineRule="auto"/>
        <w:outlineLvl w:val="1"/>
        <w:rPr>
          <w:rFonts w:ascii="Verdana" w:eastAsia="Times New Roman" w:hAnsi="Verdana" w:cs="Arial"/>
          <w:b/>
          <w:bCs/>
          <w:color w:val="990000"/>
          <w:sz w:val="15"/>
          <w:szCs w:val="15"/>
          <w:lang w:eastAsia="en-GB"/>
        </w:rPr>
      </w:pPr>
      <w:bookmarkStart w:id="0" w:name="summary"/>
      <w:bookmarkStart w:id="1" w:name="abstract"/>
      <w:bookmarkEnd w:id="0"/>
      <w:bookmarkEnd w:id="1"/>
      <w:r w:rsidRPr="00E85D44">
        <w:rPr>
          <w:rFonts w:ascii="Verdana" w:eastAsia="Times New Roman" w:hAnsi="Verdana" w:cs="Arial"/>
          <w:b/>
          <w:bCs/>
          <w:color w:val="990000"/>
          <w:sz w:val="15"/>
          <w:szCs w:val="15"/>
          <w:lang w:eastAsia="en-GB"/>
        </w:rPr>
        <w:t>Abstract (Summary)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xml:space="preserve">After discussing the various changes that the concept of </w:t>
      </w:r>
      <w:r w:rsidRPr="00E85D44">
        <w:rPr>
          <w:rFonts w:ascii="Arial" w:eastAsia="Times New Roman" w:hAnsi="Arial" w:cs="Arial"/>
          <w:b/>
          <w:bCs/>
          <w:color w:val="FF0000"/>
          <w:sz w:val="19"/>
          <w:lang w:eastAsia="en-GB"/>
        </w:rPr>
        <w:t>Corporate Social Responsibility</w:t>
      </w:r>
      <w:r w:rsidRPr="00E85D44">
        <w:rPr>
          <w:rFonts w:ascii="Arial" w:eastAsia="Times New Roman" w:hAnsi="Arial" w:cs="Arial"/>
          <w:color w:val="000000"/>
          <w:sz w:val="19"/>
          <w:szCs w:val="19"/>
          <w:lang w:eastAsia="en-GB"/>
        </w:rPr>
        <w:t xml:space="preserve"> (CSR) has undergone since its inception, this paper focuses on a relatively new proposal by the United Nations (UN) called 'Global Compact' (GC) and 'Millennium Development Goals' (MDGs) to reshape </w:t>
      </w:r>
      <w:r w:rsidRPr="00E85D44">
        <w:rPr>
          <w:rFonts w:ascii="Arial" w:eastAsia="Times New Roman" w:hAnsi="Arial" w:cs="Arial"/>
          <w:b/>
          <w:bCs/>
          <w:color w:val="FF0000"/>
          <w:sz w:val="19"/>
          <w:lang w:eastAsia="en-GB"/>
        </w:rPr>
        <w:t>Corporate Social Responsibility</w:t>
      </w:r>
      <w:r w:rsidRPr="00E85D44">
        <w:rPr>
          <w:rFonts w:ascii="Arial" w:eastAsia="Times New Roman" w:hAnsi="Arial" w:cs="Arial"/>
          <w:color w:val="000000"/>
          <w:sz w:val="19"/>
          <w:szCs w:val="19"/>
          <w:lang w:eastAsia="en-GB"/>
        </w:rPr>
        <w:t xml:space="preserve"> (CSR) as a tool for national and international development and its applicability </w:t>
      </w:r>
      <w:r w:rsidRPr="00E85D44">
        <w:rPr>
          <w:rFonts w:ascii="Arial" w:eastAsia="Times New Roman" w:hAnsi="Arial" w:cs="Arial"/>
          <w:b/>
          <w:bCs/>
          <w:color w:val="FF0000"/>
          <w:sz w:val="19"/>
          <w:lang w:eastAsia="en-GB"/>
        </w:rPr>
        <w:t>in</w:t>
      </w:r>
      <w:r w:rsidRPr="00E85D44">
        <w:rPr>
          <w:rFonts w:ascii="Arial" w:eastAsia="Times New Roman" w:hAnsi="Arial" w:cs="Arial"/>
          <w:color w:val="000000"/>
          <w:sz w:val="19"/>
          <w:szCs w:val="19"/>
          <w:lang w:eastAsia="en-GB"/>
        </w:rPr>
        <w:t xml:space="preserve"> the Indian context. This study also critically analyzes the CSR initiatives adopted by Tata Steel Ltd </w:t>
      </w:r>
      <w:r w:rsidRPr="00E85D44">
        <w:rPr>
          <w:rFonts w:ascii="Arial" w:eastAsia="Times New Roman" w:hAnsi="Arial" w:cs="Arial"/>
          <w:b/>
          <w:bCs/>
          <w:color w:val="FF0000"/>
          <w:sz w:val="19"/>
          <w:lang w:eastAsia="en-GB"/>
        </w:rPr>
        <w:t>in</w:t>
      </w:r>
      <w:r w:rsidRPr="00E85D44">
        <w:rPr>
          <w:rFonts w:ascii="Arial" w:eastAsia="Times New Roman" w:hAnsi="Arial" w:cs="Arial"/>
          <w:color w:val="000000"/>
          <w:sz w:val="19"/>
          <w:szCs w:val="19"/>
          <w:lang w:eastAsia="en-GB"/>
        </w:rPr>
        <w:t xml:space="preserve"> the light of this approach to CSR as a developmental tool. The data analysis is based on auditor's annual report and the CSR reports of Tata Steel Ltd. Rural Development Society (TSRDS) from 1990 to 1998 (post liberalization </w:t>
      </w:r>
      <w:r w:rsidRPr="00E85D44">
        <w:rPr>
          <w:rFonts w:ascii="Arial" w:eastAsia="Times New Roman" w:hAnsi="Arial" w:cs="Arial"/>
          <w:b/>
          <w:bCs/>
          <w:color w:val="FF0000"/>
          <w:sz w:val="19"/>
          <w:lang w:eastAsia="en-GB"/>
        </w:rPr>
        <w:t>in India</w:t>
      </w:r>
      <w:r w:rsidRPr="00E85D44">
        <w:rPr>
          <w:rFonts w:ascii="Arial" w:eastAsia="Times New Roman" w:hAnsi="Arial" w:cs="Arial"/>
          <w:color w:val="000000"/>
          <w:sz w:val="19"/>
          <w:szCs w:val="19"/>
          <w:lang w:eastAsia="en-GB"/>
        </w:rPr>
        <w:t>). The analysis ends with the conclusion that Tata Steel Ltd's CSR activities implicitly follow the MDGs of the UN as a developmental tool for Jharkhand. These CSR activities (which are well-structured following the MDGs) act like tools for development and try to fill the developmental gaps of the Government. [PUBLICATION ABSTRACT]</w:t>
      </w:r>
    </w:p>
    <w:p w:rsidR="00E85D44" w:rsidRPr="00E85D44" w:rsidRDefault="00E85D44" w:rsidP="00E85D44">
      <w:pPr>
        <w:spacing w:after="75"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 </w:t>
      </w:r>
      <w:r w:rsidRPr="00E85D44">
        <w:rPr>
          <w:rFonts w:ascii="Verdana" w:eastAsia="Times New Roman" w:hAnsi="Verdana" w:cs="Arial"/>
          <w:b/>
          <w:bCs/>
          <w:color w:val="CC0000"/>
          <w:sz w:val="20"/>
          <w:lang w:eastAsia="en-GB"/>
        </w:rPr>
        <w:t>»</w:t>
      </w:r>
      <w:r w:rsidRPr="00E85D44">
        <w:rPr>
          <w:rFonts w:ascii="Arial" w:eastAsia="Times New Roman" w:hAnsi="Arial" w:cs="Arial"/>
          <w:color w:val="000000"/>
          <w:sz w:val="18"/>
          <w:szCs w:val="18"/>
          <w:lang w:eastAsia="en-GB"/>
        </w:rPr>
        <w:t xml:space="preserve">  </w:t>
      </w:r>
      <w:hyperlink r:id="rId8" w:anchor="indexing" w:history="1">
        <w:r w:rsidRPr="00E85D44">
          <w:rPr>
            <w:rFonts w:ascii="Arial" w:eastAsia="Times New Roman" w:hAnsi="Arial" w:cs="Arial"/>
            <w:color w:val="003399"/>
            <w:sz w:val="18"/>
            <w:u w:val="single"/>
            <w:lang w:eastAsia="en-GB"/>
          </w:rPr>
          <w:t>Jump to indexing (document details)</w:t>
        </w:r>
      </w:hyperlink>
    </w:p>
    <w:tbl>
      <w:tblPr>
        <w:tblW w:w="0" w:type="auto"/>
        <w:tblCellSpacing w:w="15" w:type="dxa"/>
        <w:tblCellMar>
          <w:top w:w="15" w:type="dxa"/>
          <w:left w:w="15" w:type="dxa"/>
          <w:bottom w:w="15" w:type="dxa"/>
          <w:right w:w="15" w:type="dxa"/>
        </w:tblCellMar>
        <w:tblLook w:val="04A0"/>
      </w:tblPr>
      <w:tblGrid>
        <w:gridCol w:w="1624"/>
      </w:tblGrid>
      <w:tr w:rsidR="00E85D44" w:rsidRPr="00E85D44" w:rsidTr="00E85D44">
        <w:trPr>
          <w:tblCellSpacing w:w="15" w:type="dxa"/>
        </w:trPr>
        <w:tc>
          <w:tcPr>
            <w:tcW w:w="0" w:type="auto"/>
            <w:noWrap/>
            <w:vAlign w:val="center"/>
            <w:hideMark/>
          </w:tcPr>
          <w:p w:rsidR="00E85D44" w:rsidRPr="00E85D44" w:rsidRDefault="00E85D44" w:rsidP="00E85D44">
            <w:pPr>
              <w:spacing w:before="100" w:beforeAutospacing="1" w:after="100" w:afterAutospacing="1" w:line="240" w:lineRule="auto"/>
              <w:outlineLvl w:val="1"/>
              <w:rPr>
                <w:rFonts w:ascii="Verdana" w:eastAsia="Times New Roman" w:hAnsi="Verdana" w:cs="Arial"/>
                <w:b/>
                <w:bCs/>
                <w:color w:val="990000"/>
                <w:sz w:val="20"/>
                <w:szCs w:val="20"/>
                <w:lang w:eastAsia="en-GB"/>
              </w:rPr>
            </w:pPr>
            <w:bookmarkStart w:id="2" w:name="fulltext"/>
            <w:bookmarkEnd w:id="2"/>
            <w:r w:rsidRPr="00E85D44">
              <w:rPr>
                <w:rFonts w:ascii="Verdana" w:eastAsia="Times New Roman" w:hAnsi="Verdana" w:cs="Arial"/>
                <w:b/>
                <w:bCs/>
                <w:color w:val="990000"/>
                <w:sz w:val="20"/>
                <w:szCs w:val="20"/>
                <w:lang w:eastAsia="en-GB"/>
              </w:rPr>
              <w:t>Full Text</w:t>
            </w:r>
          </w:p>
          <w:p w:rsidR="00E85D44" w:rsidRPr="00E85D44" w:rsidRDefault="00E85D44" w:rsidP="00E85D44">
            <w:pPr>
              <w:spacing w:after="0" w:line="240" w:lineRule="auto"/>
              <w:rPr>
                <w:rFonts w:ascii="Arial" w:eastAsia="Times New Roman" w:hAnsi="Arial" w:cs="Arial"/>
                <w:color w:val="000000"/>
                <w:sz w:val="24"/>
                <w:szCs w:val="24"/>
                <w:lang w:eastAsia="en-GB"/>
              </w:rPr>
            </w:pPr>
            <w:r w:rsidRPr="00E85D44">
              <w:rPr>
                <w:rFonts w:ascii="Arial" w:eastAsia="Times New Roman" w:hAnsi="Arial" w:cs="Arial"/>
                <w:color w:val="000000"/>
                <w:sz w:val="24"/>
                <w:szCs w:val="24"/>
                <w:lang w:eastAsia="en-GB"/>
              </w:rPr>
              <w:t> (6635  words)</w:t>
            </w:r>
          </w:p>
        </w:tc>
      </w:tr>
    </w:tbl>
    <w:p w:rsidR="00E85D44" w:rsidRPr="00E85D44" w:rsidRDefault="00E85D44" w:rsidP="00E85D44">
      <w:pPr>
        <w:spacing w:after="240" w:line="240" w:lineRule="auto"/>
        <w:rPr>
          <w:rFonts w:ascii="Arial" w:eastAsia="Times New Roman" w:hAnsi="Arial" w:cs="Arial"/>
          <w:color w:val="000000"/>
          <w:sz w:val="24"/>
          <w:szCs w:val="24"/>
          <w:lang w:eastAsia="en-GB"/>
        </w:rPr>
      </w:pPr>
      <w:r w:rsidRPr="00E85D44">
        <w:rPr>
          <w:rFonts w:ascii="Arial" w:eastAsia="Times New Roman" w:hAnsi="Arial" w:cs="Arial"/>
          <w:i/>
          <w:iCs/>
          <w:color w:val="000000"/>
          <w:sz w:val="19"/>
          <w:lang w:eastAsia="en-GB"/>
        </w:rPr>
        <w:t>Copyright IUP Publications Oct 2010</w:t>
      </w:r>
    </w:p>
    <w:tbl>
      <w:tblPr>
        <w:tblW w:w="0" w:type="auto"/>
        <w:tblCellSpacing w:w="0" w:type="dxa"/>
        <w:tblCellMar>
          <w:left w:w="0" w:type="dxa"/>
          <w:right w:w="0" w:type="dxa"/>
        </w:tblCellMar>
        <w:tblLook w:val="04A0"/>
      </w:tblPr>
      <w:tblGrid>
        <w:gridCol w:w="9026"/>
      </w:tblGrid>
      <w:tr w:rsidR="00E85D44" w:rsidRPr="00E85D44" w:rsidTr="00E85D44">
        <w:trPr>
          <w:tblCellSpacing w:w="0" w:type="dxa"/>
        </w:trPr>
        <w:tc>
          <w:tcPr>
            <w:tcW w:w="0" w:type="auto"/>
            <w:noWrap/>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b/>
                <w:bCs/>
                <w:color w:val="000000"/>
                <w:sz w:val="18"/>
                <w:szCs w:val="18"/>
                <w:lang w:eastAsia="en-GB"/>
              </w:rPr>
              <w:t>[Headnote]</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After discussing the various changes that the concept of Corporate Social Responsibility (CSR) has undergone since its inception, this paper focuses on a relatively new proposal by the United Nations (UN) called 'Global Compact' (GC) and 'Millennium Development Goals' (MDGs) to reshape Corporate Social Responsibility (CSR) as a tool for national and international development and its applicability in the Indian context. This study also critically analyzes the CSR initiatives adopted by Tata Steel Ltd in the light of this approach to CSR as a developmental tool. The data analysis is based on auditor's annual report and the CSR reports of Tata Steel Ltd. Rural Development Society (TSRDS) from 1990 to 1998 (post liberalization in India). The analysis ends with the conclusion that Tata Steel Ltd's CSR activities implicitly follow the MDGs of the UN as a developmental tool for Jharkhand. These CSR activities (which are well-structured following the MDGs) act like tools for development and try to fill the developmental gaps of the Government.</w:t>
            </w:r>
          </w:p>
        </w:tc>
      </w:tr>
    </w:tbl>
    <w:p w:rsidR="00E85D44" w:rsidRPr="00E85D44" w:rsidRDefault="00E85D44" w:rsidP="00E85D44">
      <w:pPr>
        <w:spacing w:after="75" w:line="240" w:lineRule="auto"/>
        <w:rPr>
          <w:rFonts w:ascii="Arial" w:eastAsia="Times New Roman" w:hAnsi="Arial" w:cs="Arial"/>
          <w:vanish/>
          <w:color w:val="000000"/>
          <w:sz w:val="19"/>
          <w:szCs w:val="19"/>
          <w:lang w:eastAsia="en-GB"/>
        </w:rPr>
      </w:pPr>
    </w:p>
    <w:tbl>
      <w:tblPr>
        <w:tblW w:w="0" w:type="auto"/>
        <w:tblCellSpacing w:w="0" w:type="dxa"/>
        <w:tblCellMar>
          <w:left w:w="0" w:type="dxa"/>
          <w:right w:w="0" w:type="dxa"/>
        </w:tblCellMar>
        <w:tblLook w:val="04A0"/>
      </w:tblPr>
      <w:tblGrid>
        <w:gridCol w:w="6"/>
      </w:tblGrid>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24"/>
                <w:szCs w:val="24"/>
                <w:lang w:eastAsia="en-GB"/>
              </w:rPr>
            </w:pPr>
          </w:p>
        </w:tc>
      </w:tr>
    </w:tbl>
    <w:p w:rsidR="00E85D44" w:rsidRPr="00E85D44" w:rsidRDefault="00E85D44" w:rsidP="00E85D44">
      <w:pPr>
        <w:spacing w:after="0" w:line="240" w:lineRule="auto"/>
        <w:rPr>
          <w:rFonts w:ascii="Arial" w:eastAsia="Times New Roman" w:hAnsi="Arial" w:cs="Arial"/>
          <w:color w:val="000000"/>
          <w:sz w:val="19"/>
          <w:szCs w:val="19"/>
          <w:lang w:eastAsia="en-GB"/>
        </w:rPr>
      </w:pP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Introduction</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Though Corporate Social Responsibility (CSR) is a frequently discussed and a pivotal topic in business ethics, literature shows that its definition has undergone significant changes to be compared to an 'evolution' (Min-Dong, 2008). Because of changed perception of the role and obligation of business, CSR, which initially was considered to be tantamount to occasional charity work and philanthropy by the business, has gained both depth and width in connotation and has emerged as a complex, multilayered concept. Carroll's famous three dimensional conceptual model of CSR (Carroll, 1979) depicted the multilayered nature of CSR as something over and above meeting the basic economic and legal responsibilities. He cited The Committee for Economic Development (CED) report and a model of three concentric circles to define this layered nature of CSR in his subsequent writing (Carroll, 1999). The basic responsibilities for the efficient execution of the economic function; namely, products, jobs and economic growth, was considered as the inner circle or the core responsibilities; the responsibility to express this economic function with a sense of awareness of changing social values with the necessary priorities was considered as intermediate layer of duties: for example, with respect to environmental conservation; hiring and relations with employees; fair treatment, and protection from injury. The outer circle stood for the next level of responsibility of business to meet the new challenges for actively improving the social environment.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xml:space="preserve">Freeman's Stakeholder Theory enabled the further expansion of CSR with its wide interpretation of the term 'stakeholder' (Freeman, 1984). The impact of business activities on all those who are 'affected': for better or for worse, became an integral part of understanding the social responsibilities of corporations. Freeman brought to our attention the fact that the business operations not only affect the usual participants in business such as suppliers, employees, stockholders, dealers, consumers, but also the other not-so-obvious important participants such as government, political groups, associations of commerce, trade unions, other corporations, and the society at large. Thus, by identifying the different stakeholder groups </w:t>
      </w:r>
      <w:r w:rsidRPr="00E85D44">
        <w:rPr>
          <w:rFonts w:ascii="Arial" w:eastAsia="Times New Roman" w:hAnsi="Arial" w:cs="Arial"/>
          <w:color w:val="000000"/>
          <w:sz w:val="19"/>
          <w:szCs w:val="19"/>
          <w:lang w:eastAsia="en-GB"/>
        </w:rPr>
        <w:lastRenderedPageBreak/>
        <w:t>and the need to protect their different interests, Freeman's stakeholder concept has helped to enlarge the scope of corporate responsibility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More recently, however, the concept of CSR has been reinterpreted to provide more importance to employee welfare and environmental responsibilities as well. At the insistence of the European Union (EU), the concept of CSR in Europe now stands for a voluntary, proactive policy to be adopted by businesses to integrate not just social but also employee relations and environmental concerns in the business processes and in the relationship with the stakeholders (EU Business, 2006). The expectation from the European businesses is that they would be not only appreciated for making a good profit, but also for making fair contribution in addressing certain societal and global challenges. Thus, in EU the concept of social responsibility has become a much larger concept that encompasses (a) economic responsibility, (b) environmental responsibility, (c) responsibility to shareholders and stakeholders, and (d) commitment to contribute towards the effort to redress certain societal and global problems.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Thus, as mentioned before, through different phases, the concept of CSR has undergone an 'evolution'. The changes appear to be the effect of our transformed understanding and expectations from this concept. For example, Moon (2002) has observed that the gradual changes in the concept of CSR have taken place in three distinct 'waves'.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1st wave: Awareness of business about the importance of community involvement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2nd wave: Awareness of business about the importance of socially-responsible production processes ('green' technology, 'clean energy', etc.,).</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3rd wave: Awareness about the importance of maintaining socially-responsible employee relations (with respect to recession, outsourcing, etc.,).</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Each of these waves maybe viewed as a reactive change in the concept with respect to growing 'social demand' on business to accept more responsibility.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Just as the definition of CSR has undergone alterations, there have been changes also in the argumentation for why a business should adopt CSR. Studies show (Garriga and Mele, 2004) that at least four distinct kinds of argumentations are detectable:</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1. The Strategic (the 'instrumental'),</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2. The Political,</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3. The Integrative, and</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4. The Philosophico-ethical</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The strategic approach is a distinctive pragmatic line of reasoning which underscores the strategic efficacy of CSR and depicts it as an economic tool to foster the main corporate objective (profit maximization) of a firm (see for example Marom, 2006). The political approach to CSR makes an argument from 'power', and claims that business enjoys tremendous economic power, and because it has that power to 'help', the social responsibility to help and the duty towards engaging in social cooperation emerges. This theory also brings up the concept of 'corporate citizenship' and argues for the duty to act as a responsible citizen to uphold the rights of the have-nots. The integrative approach tries to incorporate the social demands into the management process. Here, the questions of corporate social performance and the connection between the laws and regulations with social opinions are given much importance. Lastly, the ethical approach to CSR tries to support the business-society relationship on ethical grounds, such as moral obligation, greater utility, as a moral requirement. Freeman's (1984) stakeholder theory claims, for example that businesses have ethical responsibilities to all the stakeholders and have the duty to conform to the universal human rights.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xml:space="preserve">These four approaches to CSR already exist in the literature. However, lately another approach to CSR has been proposed by the United Nations (UN). This, on the other hand, is relatively less discussed. In this new approach, the UN proposes CSR as a tool for international development (UN Millennium Development Goals, 2006). The argument for linking CSR explicitly with international development is founded on two </w:t>
      </w:r>
      <w:r w:rsidRPr="00E85D44">
        <w:rPr>
          <w:rFonts w:ascii="Arial" w:eastAsia="Times New Roman" w:hAnsi="Arial" w:cs="Arial"/>
          <w:color w:val="000000"/>
          <w:sz w:val="19"/>
          <w:szCs w:val="19"/>
          <w:lang w:eastAsia="en-GB"/>
        </w:rPr>
        <w:lastRenderedPageBreak/>
        <w:t>uncontroversial premises: (1) The pervasive and continuous presence of global developmental problems such as poverty, hunger, and the little success of governments of different countries to eradicate the problems, and (2) the enormous financial and organizational clout that businesses, specially the MNCs, enjoy in the modern world. The argument concludes with an invitation to businesses to assume more responsibility towards overall development. As Hopkins (2008) puts it: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Corporations have got immense financial power and social position; on the other hand, Governments and their international arms, such as UNDP, have 'failed' in their effort to eradicate the global problems of underdevelopment; therefore, it behooves the businesses to take on more responsibility towards development than before (Hopkins, 2008).</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The enormity and persistence of poverty and other related developmental problems, particularly in the developing countries of Asia and Africa, in a way seems to have influenced the UN, the United Nations Development Programs (UNDP) and other international bodies to promote CSR as a developmental tool. Similar thoughts along these lines are also echoed in the previous UN declarations of GCs and MDGs, as explained below.</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 the World Economic Forum on January 31, 1999, the-then UN Secretary General Kofi Annan announced the concept called Global Compact (GC).1 has ten principles, which are specifically about human rights, labor standards, environment and anticorruption that have been aimed at the business community to request them to align their operations and strategies accordingly.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Eight Millennium Development Goals (MDGs)2 (which were adopted in the Millennium Summit, September 6-8, 2000) also have been announced as targets to be fulfilled by 2015. MDGs in particular showcase very pertinent international developmental issues which the developing countries in particular have been long distressed by, such as malnutrition, HIV/AIDS, poverty, environmental degradation, deplorable status of women and minorities.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The GC and MDG evince the already existing UN efforts to highlight the major developmental needs in the world. In addition, UN also urges international business community to make a concerted effort to take up the challenges of addressing these needs. In July 2000, for example, UN had proposed special guidelines on Cooperation between the UN and the business community. This entire spectrum of thoughts has been encapsulated in the most recent approach of UN which proposes that through the concept of CSR business can take more responsibility towards resolving the developmental predicaments across the world. It may be seen also as a strategic way to build strong relation between a multinational company and the host country.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This paper focuses on this relatively new extension of the concept of CSR as a developmental tool and is relevant to Indian business.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Corporate Social Responsibility and Developmental Issues in India</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It is well-known that the development indices in India are still not where they should be. For example, the most recent World Bank Report (2009)3 shows that the 'Below Poverty Line' ratio in India is still significant with 28% people in rural regions and 26% in the urban areas surviving below the poverty line. The Infant mortality rate4 (per 1,000 live births) in 2009 was 57, maternal mortality (per 100,000 live births)5 was 450, the percentage of underweight children (below 5 years)6 was 46, male adult literacy rate (15-year and older)7 was 73%, female adult literacy rate (15-year and older)8 was 48%, access to pure water source (% of pop)9 at 89% and access to improved sanitation10 was 33%. Most of those children who were not enrolled in school belong to marginalized society. India's Integrated Child Development Services (ICDS)11 Scheme is trying to undergo drastic changes to address the wide scale malnutrition crisis in India.</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Clearly, developmental issues in India are still not well-managed even after 60 years after independence. This is reaffirmed by the fact that the following key social developmental goals featured among the salient objectives of the Tenth Five-Year Plan (2002-2007) of India:</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Reduction in the ratio of poverty;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Provision of employment for the laborforce;</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Reduction of illiteracy and gender gaps;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lastRenderedPageBreak/>
        <w:t>* Reduction in the growth of population;</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Reducing the infant and maternal mortality rates (Government of India, 2002).</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Developmental problems still persist as objectives yet to be achieved in the most recent Eleventh Five-Year Plan (2007-2012). The following basic developmental objectives still persist: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Generating more jobs for the educated unemployed;</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Developing minimum standards of elementary education;</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Reducing malnutrition among children;</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preventing aneamia among women and girls;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Raising the sex ratio;</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Making women and girl child the beneficiaries of government programs; and</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Electricity and roads for villages, telephone for villagers and houses for rural poor (Eleventh Five-Year Plan, Vol. II, 2007).</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Thus, developmental challenges such as poverty, malnutrition, poor infrastructure and discrimination incontrovertibly exist in the country even today.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However, it is also true that Government had initiated many efforts to meet and address these challenges. For example, Government of India (GOI)12 has identified the problems of poverty and the systemic changes necessary for its eradication. Similarly, the Central Government Health Scheme (CGHS)13 of the Ministry of Health and Family Affairs has come up with a comprehensive program for the employees of central government. Also the Sarva Shiksha Abhiyan14 (SSA) focuses on the issue of elementary education and girl child education. Ayurveda, Yoga and Naturopathy, Unani, Siddha, and Homeopathy (AYUSH)15 institutions have been set up all over the country for providing skilled-manpower as paramedics. Sajaldhara16 project was launched for provision of safe drinking water and sanitation mainly in the rural sector. GOI has started the National Rural Health Mission17 (2005-2012) to improve the basic health care delivery system, nutrition, sanitation and clean drinking water for the villages. The Pradhan Mantri Gram Sadak Yojna18 (PMGSY) was launched on December 25, 2000 to provide connectivity to all people staying in remote village with fine quality roads.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Though the efforts on the part of GOI are indeed praiseworthy, they clearly do not add up. The issues of poverty, malnutrition, illiteracy, unemployment, etc., are still very much core developmental issues. In spite of affluence in certain sectors, poverty is still rampant in the general population; health and healthcare, are both woefully inadequate for millions, and basic living environment is abysmally appalling for many.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After more than 60 years of independence, it has become apparent that given the magnitude of population and the gravity of the developmental needs, GOI efforts, though considerable, cannot alone eradicate the developmental problems. Hence, the need of cooperation from other parties arises for the sake of overall and satisfactory level of progress towards development. Under the circumstances, therefore, the UN approach of inclusion of CSR policies in businesses more as a developmental tool has direct relevance for India. CSR research (such as Hoffman's work as discussed earlier in the paper) now needs to draw the attention of the Indian business community to actively extend their help to the cause of national and international development.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India has a vibrant and very enterprising business community, some with long family traditions of being in business (Khanna and Palepu, 2000). CSR, as it is known in the western hemisphere, is considered to be more of a nascent activity in the Indian corporate sector than an established trend in general. Still, one can identify visible efforts among Indian businesses as a tradition to take up socially-relevant causes, either collectively or individually (such as setting up schools or charitable dispensaries).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lastRenderedPageBreak/>
        <w:t>The concept of CSR was never new to India, it was built into the traditional fabric of the country from time immemorial. In ancient times, especially the Vedic period marked the guilds to be working for social development (Mitra, 2007). The guilds represented a network of socioeconomic- political-religious institutions which affected the state machinery. They exercised an advisory role to the king and took part in political and administrative issues of the state as well. A guild had the function to oversee that the revenues of the state were diverted to social work. At times guild members acted as representatives of the government administration. The influence and the power of the guilds were such that they even withstood the destruction of kingdoms. The head of the guild was supposed to know the Vedas; the wisdom of the Vedas was not thought to be incompatible with the economic prudence (Mitra, 2007). Indu Jain19 in a study on Indian CSR mentioned about the embedded nature of social responsibility in ancient India.</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Kautilya's Arthashastra20 (written in 4th century BC) is an excellent work on economic policy and military strategy. The book stressed the ethics of economics and the duties and obligations of a king to his people. It focused on issues of good governance (such as redistribution of wealth during a famine) and the collective ethics that brings a society together (Deva, 1984). Arthashastra's true spirit could be translated from the individual obligations of a king to his subjects to organizational obligations of organizations (both business and nonbusiness) to a society, and a modern business code of conduct may emerge with similar values of statehood. For instance, Kautilya stressed certain personal values such as being well-organized, resolute, upholding promises and showing gratitude.21 The book states how a king should also practice self-control and could gain control over his greed and look after the welfare of the society. In this era of corporate scams and frauds, there may be a lesson in this for the top management in modern corporations to learn about social responsibility. An analogy may be drawn-the 'king' in the Arthashastra with absolute power and sovereignty may be seen as comparable to companies which in the globalized era having equal power to the well-being of the society. Scholars claim that lessons from Kautilya is still relevant for corporate management and governance today (Muniapan and Shaikh, 2007).</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So, social responsibility may not have been new to India, but it was in the hands of those in power. Collective decision making and stakeholder relations were not present, however, everything was voluntary and charity was trickling down from the king. In recent times, Mahatma Gandhi introduced the concept of 'Trusteeship' as a practicable norm for Indian business community. He wanted to propagate the idea that businesses were similar to trustees of the wealth of society for its well-being (Mitra, 2007). According to him 'Trusteeship' means leveling of the disparity in wealth in society, a nonviolent way to make the capitalists the trustees of the wealth of society and partners in community welfare activities. Thus, though CSR is considered primarily a concept which is western in origin but India too had her own visualization of social responsibility of business.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 the modern times, the initiatives taken by Confederation of Indian Industry (CII),22 one of the oldest business associations in India, and its own 'CII-social code for business' be taken as instances of an industry effort. They consider principles of equality in gender representation in employment, documentation of all the contributions of learning experience to all stakeholders, striving for partnerships and synergizing all the opportunities to bring community development and companies learning from each other how to become better corporate citizens. CII claims to emphasize on broad socially-relevant issues such as development of social infrastructure, women empowerment, control and prevention of HIV/AIDS.23</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Similarly, Federation of Indian Chambers of Commerce and Industry (FICCI) proclaims that along with competitiveness and quality of business, business-government-civil society relationship and the effort of business to improve the quality of life of people also must be upheld has a business value.24 FICCI also claims to have a 'Resource Conservation &amp; Management Group' (RC&amp;M) which tries to improve the competitiveness of business for long-term by adopting sustainable strategies with environmental and natural resources. The effort is not a one-sided activity generated purely from the side of business. Mitra (2007) claims that though the GOI earlier may have been skeptical about the role of business in developmental work, the recent trends show that the Government is also showing some interest in encouraging the formulation and implementation of development-oriented CSR policies in the private sector.</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Moreover, it is somewhat understood that the claim by both CII and FICCI is that they should balance the existing developmental realities and the expectation from business with operational constraints.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xml:space="preserve">Apart from these, they claim to engage in collective efforts as a fraternity of business. If we look closely at the individual efforts of Indian companies, we find that development oriented CSR policies are present in the agenda of many of the leading corporations. For example, providing education for the local community, health facilities for children &amp; mothers, sustainable development etc., are already included in Tata Steel's </w:t>
      </w:r>
      <w:r w:rsidRPr="00E85D44">
        <w:rPr>
          <w:rFonts w:ascii="Arial" w:eastAsia="Times New Roman" w:hAnsi="Arial" w:cs="Arial"/>
          <w:color w:val="000000"/>
          <w:sz w:val="19"/>
          <w:szCs w:val="19"/>
          <w:lang w:eastAsia="en-GB"/>
        </w:rPr>
        <w:lastRenderedPageBreak/>
        <w:t>policies.25, 26 and 27 There are other corporations such as Hindalco (Birla group) which also claims to follow the ten principles of GC as laid down by the UN.28 Indian Tobacco Company (ITC) claims29 to have aligned its CSR actions with the Global Reporting Initiative (GRI) standard for social reporting. The sustainability report 200930of the company stressed on environment, health and safety policy for its workers. Its four goals in the area of environment are:</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1. Performance Beyond Compliance,</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2. 'Carbon Positive' Footprint,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3. 'Water Positive' Footprint, and</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4. 'Solid Waste Recycling Positive'</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Infosys, another global leader, claims to follow the world economic forum policies for social and economic development since 1997.</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Developmental activities by the companies are usually taken to include initiatives towards societal upliftment or community improvement. However, we must note that developmental effort also means efforts to sustain the natural environment for the long term31 (Jacobs, 2003). Apart from societal concerns, with the looming threats of global warming and climate change, development-related responsibilities of businesses now must include a bigger responsibility of nurturing and protecting the natural environment and the natural resources. With this kind of expanded understanding of developmental effort, the environmental integration strategies of some prominent Indian companies are discussed below. The data are obtained from their explicitly publicized sustainability reports or from their environmental reports. Some are implicitly involved in environmental work towards aiding sustainable development. Here implicitness means that certain 'green' ventures were never pronounced but in turn always been latent as a part of company's philosophy.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Reliance Industries claims to be involved in promoting training facilities for employees and enhancing their responsibilities towards environment, and supposedly follows relevant environmental laws, reduces emissions and encourages recycled products.32 The company also claims to promote awareness among their supply chain and quality improvement with research and development facilities. Hindustan Unilever Limited33 has implemented environment policy at the plant level (in products, design and production). The company is trying to increase the understanding of environmental issues and disseminate good practice. The e-Choupal of ITC supposedly help the farming communities, contributing to health issues and supporting vulnerable communities. Dabur India Ltd.34 has initiated some significant programs for ecological regeneration and protection of endangered plant species. The company claims to be committed to ecological conservation and regeneration, and uses state-of-the-art technology to preserve, produce and also encourage the local people to cultivate rare herbs. Wipro35 claims to recognize its responsibility as a global citizen to assess and minimize the impact of its business activities to reduce environmental impact and protecting ecosystems. The company improves its triple bottom line by integrating marketplace, workplace, environment and community concerns with business operations.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 recent times Indian Public Sector Units (PSUs) apart from abiding by the Planning Commission are taking self-motivating initiatives to foster developmental activities for the local community. For example, Oil and Natural Gas Corporation Limited (ONGC), India36 gives more impetus on use of cleaner technologies and follows the Kyoto Protocol. ONGC complies with the GC principles and involves in community development while following the best environmental practices around the world. Steel Authority of India Limited (SAIL)37 claims to integrate good environment and good practices. Cleaner technologies and energy efficient methods of production are incorporated, also improvement in environmental performance by setting targets and measuring the progress. NTPC India38 claims to be involved in incorporation of environmental provisions into machinery design. The company helps in empowering people, resettlement and rehabilitation, also involves in environmental impact assessment monitoring eco-friendly technologies.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 2008, a survey was carried out by TNS India39 (a research organization) and the Times Foundation which claimed that all major Indian organizations surveyed were involved in CSR initiatives. In fact, the private sector was found to be more involved in CSR activities such as livelihood environment, and women empowerment promotion, education and health,</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lastRenderedPageBreak/>
        <w:t>In future, the trend, if sustained properly and with GOI encouragement, can deliver many of the developmental aspirations that this huge country with teeming millions has always hoped to achieve. The idea of 'public-private partnership' (PPP) in achieving developmental targets and Indian corporate sector joining hands with GOI in national development is an idea that deserves serious consideration. The GOI policy framework and the programs undertaken by companies may be studied together to investigate the possibility of better coordination among the efforts. A sector-wise study of Indian management decisions could be undertaken to find out the impact of these efforts on meeting the needs of the underprivileged, and the disadvantaged, in the country.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India's main problem lies in underdevelopment of the masses, so there arises the question of tapping more skilled-resources and money to meet the challenge. The private sector in India, even before Independence, showed interest in community development. However, such activities were scattered and often depended on the caprices of the management. Some companies were successful enough to institutionalize CSR work into policies and strategies, while others continued with philanthropy. In such a context let us now study the case of Tata Steel Ltd., which has a reputation of being a socially responsive company since the 1920s, for better understanding of the types of CSR work they do.</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Tata Steel Ltd's CSR Performance</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Tata Steel's social work originates from the codes of conduct of the Tata Group and the CSR policy framework spelt out by B Muthuraman (Chairman, Tata steel Ltd.) on February 1, 2003. MDGs reflect goals such as eradication of poverty, malnutrition, HIV/AIDS, preserving the environment, women empowerment and so on, which have to be rectified by 2015.</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The state of Jharkhand, where Tata Steel Ltd. is located, has major developmental issues. According to the census survey 1991-2001, literacy rate was 75.95% for males and 50.97% for females, 59% of children are malnourished, only 36% of villages have access to roads, (57% is the all India average), only 11% of rural households have electricity (all India average40 is 48%). The World Bank report41 (June 12, 2007) identifies certain weaknesses in institutional capacity, infrastructural development and rural opportunities which are basic to growth and development in Jharkhand. Now, let us see how Tata Steel has used its CSR as tool to rectify such and whether such activities can be considered addressing the local developmental needs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Against this scenario of poor developmental activities of Jharkhand, Tata Steel Ltd has reportedly taken the initiative of micro-credit facilities in about 95 villages at the vicinity of the steel plant in the periphery of Jamshedpur city with 229 self-help groups working simultaneously for the villagers. 'Balvikas' classes are organized to directly help the slum children with books, income generation, financial help and expertise for a better future in tandem with government primary schools. Tribal &amp; Harijan Welfare Cell (T &amp; HWC) has been specially created to meet the special needs of the tribals such as 'Ho', 'Santhal' and 'Bhumij' (predominant in this region depends on the forest reserves for livelihood), and nomadic tribes like 'Kharia', 'Birhore' and 'Mahali' from Bihar, and also take care of the medical needs of 'bustees' and villages, family planning and health awareness camps are set up. The cell helps to improve the socioeconomic conditions of tribals and of Harijans, and to help them to come into the mainstream society. We may say that these efforts conform to 1st goal of MDG (Eradicate Extreme Poverty and Hunger). Tata Steel has set up three primary schools (this reminds of the private-public partnership style of development), around 312 private schools and assists 171 'balwadi' schools. These match with the 2nd goal of MDG (Achieve Universal Primary Education). 'Tejaswini', launched in 2003, was a women empowerment program- this program trains women to start unconventional jobs in the steel works. In Pipla and Gamahria located in Jharkhand, the company also built 2 camp schools for education and rehabilitation of destitute girls. Such activities relate to the 3rd goal of MDG (Promote Gender Equality and Empower Women). The preventive health programs and the infant mortality measures have been instilled with much success by the company (such as creation of mobile clinics). Immunization and sterilization projects are running well for the community. These activities match with the 4th goal of MDG (Reduce Child Mortality). The company chose seven active community partners as Anganwari worker and two was like sahayika (or assistant) to them. Maternal health is much important aspect of Tata steel Ltd.'s concern for community development. Pre-natal and post-natal check-ups and advice are given to the young mothers with sterilization and other medicines. "Maternity and infant survival project" was undertaken on April 28, 2006 with much success. Also training and counseling of adolescents is organized with training sessions by government doctors. These initiatives aim at the 5th goal of MDG (Improve Maternal Health).</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xml:space="preserve">The company provides rehabilitation of the people with HIV/AIDS, helps the service providers with capacity, resource mobilization and awareness programs for preventing parent to child transmissions. These </w:t>
      </w:r>
      <w:r w:rsidRPr="00E85D44">
        <w:rPr>
          <w:rFonts w:ascii="Arial" w:eastAsia="Times New Roman" w:hAnsi="Arial" w:cs="Arial"/>
          <w:color w:val="000000"/>
          <w:sz w:val="19"/>
          <w:szCs w:val="19"/>
          <w:lang w:eastAsia="en-GB"/>
        </w:rPr>
        <w:lastRenderedPageBreak/>
        <w:t>activities meet the 6th goal of MDG (Combat HIV/AIDS, Malaria and other diseases). The company started the wasteland development measure called the "Integrated Wasteland Development Program" in association with the government in Saraikela, Kharsawan District (Tata Steel Sustainability Initiatives). Tata Steel Ltd. takes initiative in watershed development of rainfed area, also in plantation activities and the renewable energy sources for the development in the locality. The company claims that Jamshedpur was the first ISO 14001 certified town in the country. All the production units certified to ISO 14001 and town services certified to ISO 14001. The company planted 1,000 trees in 1,000 days as an afforestation program which launched the 'Green Millennium Countdown' on June 5, 1997. Such work confirms the 7th goal of MDG (Ensure Environmental Sustainability). The company has already linked up with the Government, the NGOs, international foundations to help and guide in its CSR activities like (Sir Ratan Tata Trust, Bill &amp; Melinda Gates Foundation, The David and Lucile Packard Foundation, Moody Foundation, UNDP, UNICEFF and others, also Government of Jharkhand, Chattisgarh and Orissa and GOI). These activities fulfill the 8th goal of MDG (Develop a Global Partnership for Development).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'Uthnau' is a program which helps in the development of tribal people (the Santhals), moreover the company has 'Tata Football Academy' for youngsters and the "Centre for Excellence"42 for integration of science, technology, humanities, art, literature and culture to improve the overall productivity.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Analysis of Tata Steel Ltd's CSR Programs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Methodology</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Non-Probability Sampling</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(a) Purposive/judgmental sampling (gathering the samples from the project data which are devoted to social and environmental development in the vicinity of the company; especially the projects and the programs undertaken and also the expenditure on them).</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(b) Interview method (Personal correspondence) of the Chief CSS Satish Pillai; the CSS department staff; local village people who come under the purview of Tata Steel's various social projects),</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 Secondary data collected from the auditor's annual report and the CSR reports of Tata Steel Ltd. Rural Development Society (TSRDS) from 1990 to 1998.</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It shows that health, education and family planning programs are the flag bearers of Tata Steel's CSR initiative (Figures 1 to 3). During the period 1990 to 1998 (mostly post-liberalization time in India), the company had a spent a lot of money on family planning, health, education and on irrigation facilities (Table 1).</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It is noticeable that Tata Steel Ltd's CSR activities act as a developmental tool (in synchronization with the MDGs) for the state of Jharkhand. The education expenditure trend has moderately increased from 1989 to 1998. However, it was in the peak during 1993-94 and after that the rate of downtrend is not steep (shown in Figure 1). The company realized much early in the post-liberalization era that education is always the mainstay of development.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In a comparative expenditure trend chart (Figure 2) of the amount spent on education and vocational training during 10 years, interestingly it is seen that education and vocational training somewhat positively related. Before 1993 vocational training was given more emphasis than education but later education picked up and vocational training got a stable trend. The company may have given vocational training earlier but later stressed on education as the main source of human resource development.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The 10-year trend depicts that expenditure on women development and family planning (Figure 3) had been of much importance to Tata Steel Ltd. Before 1993, it was low but after that surged up and stabilized at a very high level. This shows the realization by the company of the need for women and family planning initiative as necessary for development.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Thus we can conclude that Tata Steel's CSR activities are based on MDGs and are more focused on health and family planning (of the local community) as tool for development.</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Conclusion</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lastRenderedPageBreak/>
        <w:t>The utility of any CSR program as a tool for development could be judged if the impact, feedback and monitoring system are good, because information on the extent of resource utilization would help in further effective allocation. Also environment needs to be a basic criterion, for any company, to show development to be a part of their CSR. This is important as natural environment nourishes humans and provides resources for business. So, without environmental sustainability, business would soon run out of clean natural resources and in turn jeopardize the health of present and future human stakeholders. For a developing nation such as India, this approach would be quite promising, as CSR with shades of environmental sustainability would make business competent enough to strengthen the hands of Government to foster 'green' and stable development (which is a true holistic development) for the long run. In the same vein, in recent times, some Indian business community and pioneering business leaders (such as Tata Steel Ltd., Aditya Birla group, ITC, Godrej, Infosys, Wipro) are seen to promote sustainable development as their social responsibility initiative.</w:t>
      </w:r>
    </w:p>
    <w:p w:rsidR="00E85D44" w:rsidRPr="00E85D44" w:rsidRDefault="00E85D44" w:rsidP="00E85D44">
      <w:pPr>
        <w:spacing w:after="100" w:afterAutospacing="1" w:line="240" w:lineRule="auto"/>
        <w:rPr>
          <w:rFonts w:ascii="Arial" w:eastAsia="Times New Roman" w:hAnsi="Arial" w:cs="Arial"/>
          <w:color w:val="000000"/>
          <w:sz w:val="19"/>
          <w:szCs w:val="19"/>
          <w:lang w:eastAsia="en-GB"/>
        </w:rPr>
      </w:pPr>
      <w:r w:rsidRPr="00E85D44">
        <w:rPr>
          <w:rFonts w:ascii="Arial" w:eastAsia="Times New Roman" w:hAnsi="Arial" w:cs="Arial"/>
          <w:color w:val="000000"/>
          <w:sz w:val="19"/>
          <w:szCs w:val="19"/>
          <w:lang w:eastAsia="en-GB"/>
        </w:rPr>
        <w:t>There should be a monitoring and feedback system or a structure to access CSR activities by both public sector and private firms. Also, the implementation of developmental programs needs better rules for monitoring and accountability from the business community. Monitoring is required so that the right persons (those who are needy, lack basic amenities and opportunities) or community in need are not overlooked, while accountability checks better money allocation during the process of providing support. Feedback is needed because when money flows then the question of accountability on the part of the company towards the various stakeholders arises. From the overall study we understood that development could be more if there is a collaboration between the government and business.</w:t>
      </w:r>
    </w:p>
    <w:tbl>
      <w:tblPr>
        <w:tblW w:w="0" w:type="auto"/>
        <w:tblCellSpacing w:w="0" w:type="dxa"/>
        <w:tblCellMar>
          <w:left w:w="0" w:type="dxa"/>
          <w:right w:w="0" w:type="dxa"/>
        </w:tblCellMar>
        <w:tblLook w:val="04A0"/>
      </w:tblPr>
      <w:tblGrid>
        <w:gridCol w:w="9026"/>
      </w:tblGrid>
      <w:tr w:rsidR="00E85D44" w:rsidRPr="00E85D44" w:rsidTr="00E85D44">
        <w:trPr>
          <w:tblCellSpacing w:w="0" w:type="dxa"/>
        </w:trPr>
        <w:tc>
          <w:tcPr>
            <w:tcW w:w="0" w:type="auto"/>
            <w:noWrap/>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b/>
                <w:bCs/>
                <w:color w:val="000000"/>
                <w:sz w:val="18"/>
                <w:szCs w:val="18"/>
                <w:lang w:eastAsia="en-GB"/>
              </w:rPr>
              <w:t>[Footnote]</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 "Global Compact", available at http://www.unglobalcompact.org/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 Millennium Development Goals, available at http://www.un.org/millenniumgoals/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 World Development Indicators (2008), NFHS 3 2005-06, and World Bank's "India at a Glance".</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4 "India Country Overview", available at http://www.worldbank.org.in/WBSITE/EXTERNAL/COUNTRIES/ SOUTHASIAEXT/INDIAEXTN0,,contentMDK:20195738~pagePK:141137~piPK:141127~theSitePK:295584,00.html</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5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6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7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8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9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10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11 Integrated Child Development Services (ICDS), available at http://wcd.nic.in/icds.htm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12 India: Urban Poverty Report 2009, available at http://www.undp.org.in index.php? option=com_content&amp;view = article&amp;id = 540&amp;Itemid = 646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13 Central Government Health Scheme (CGHS), available at http://mohfw.nic.in/cghsnew/index.asp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14 11th Planning Commission Report (social sector), available at http://planningcommission.nic.in/plans/planrel/ fiveyr/11th/11_v2/11th_vol2.pdf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15 11th Planning Commission Report (social sector), available at http://planningcommission.nic.in/plans/planrel/ fiveyr/11th/11_v2/11th_vol2.pdf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16 11th Planning Commission Report (social sector)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17 National Rural Health Mission (NRHM), available at http://mohfw.nic.in/NRHM.htm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18 Pradhan Mantri Gram Sadak Yojna, available at http://india.gov.in/sectors/rural/pradhan_mantri.php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19 Indu Jain (2009), "Corporate Social Responsibility Practices in India", available at http:/ timesfoundation.indiatimes.com/articleshow/4662536.cms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20 kautilya_arthashastra, available at http://www.bharatadesam.com/literature/kautilya_arthashastra/ arthashastra.php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21 Ibid.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22 Confederation of Indian Industry (CII), available at http://www.cii.in/ http://www.bharatadesam.com/literature kautilya_arthashastra/arthashastra.php (accessed on December 11,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23 UN Global Compact (GC), available at http://www.unglobalcompact.org/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24 FICCI (2009), available at http://www.fkcci.in/fkcci_pdf/100.pdf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25 "A Patron of Education, Arts and Culture", available at http://www.tatasteel.com/corporatesustainability/ education.asp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26 "Advocating Better Health Through Community-Based Health Care", available at http://www.tatasteel.com/ corporatesustainability/health.asp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 xml:space="preserve">27 "Sustainable Development", available at http://www.tatasteel.com/corporatesustainability/sus_dev.asp </w:t>
            </w:r>
            <w:r w:rsidRPr="00E85D44">
              <w:rPr>
                <w:rFonts w:ascii="Arial" w:eastAsia="Times New Roman" w:hAnsi="Arial" w:cs="Arial"/>
                <w:color w:val="000000"/>
                <w:sz w:val="18"/>
                <w:szCs w:val="18"/>
                <w:lang w:eastAsia="en-GB"/>
              </w:rPr>
              <w:lastRenderedPageBreak/>
              <w:t>(accessed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lastRenderedPageBreak/>
              <w:t>28 "Global Compact: Corporate Leadership in the World Economy", available at http://www.hindalco.com/ media/features/global_compact.htm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29 "Global Honors", available at http://www.itcportal.com/sets/global_honours_frames.htm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30 Sustainability Report (2009), available at http://www.itcportal.com/sustainability-report-2009/index.htm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31 Jacobs M (2003), "Environment as Stakeholder", Business Strategy Review, Vol. 8, No. 2, pp. 25-28.</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32 RIL's Sustainability Report (2009), available at http://www.ril.com/html/aboutus/sustainability_report.html,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33 "Sustainability", available at http://www.hul.co.in/sustainability/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34 Sustainability Report (2009), available at http://www.dabur.com/About%20Dabur-Vision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35 "Corporate Social Responsibility", available at http://www.wipro.com/corporate/aboutus/corporate-socialresponsibility. htm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36 Sustainability Report (2009), available at http://www.dabur.com/About%20Dabur-Vision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37 ONGC India (2009), available at http://www.ongcindia.com/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38 "SAIL-Corporate Citizenship", available at http://www.sail.co.in/corporate-details.php?tag=corporate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39 "Corporate Citizenship", available at http://www.ntpc.co.in/index.php?option com_content&amp;view= article&amp;id=19&amp;Itemid=27&amp;lang=e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40 "A Spotlight on Corporate Social Responsibility in India", available at http://www.karmayog.org/news/ news_18621.htm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41 "Jharkhand", available at http://web.worldbank.org/WBSITE/EXTERNAL/COUNTRIES/SOUTHASIAEXT/ 0,,contentMDK:21370355~pagePK:146736~piPK:146830~theSitePK:223547,00.html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42 Ibid.</w:t>
            </w:r>
          </w:p>
        </w:tc>
      </w:tr>
    </w:tbl>
    <w:p w:rsidR="00E85D44" w:rsidRPr="00E85D44" w:rsidRDefault="00E85D44" w:rsidP="00E85D44">
      <w:pPr>
        <w:spacing w:after="75" w:line="240" w:lineRule="auto"/>
        <w:rPr>
          <w:rFonts w:ascii="Arial" w:eastAsia="Times New Roman" w:hAnsi="Arial" w:cs="Arial"/>
          <w:vanish/>
          <w:color w:val="000000"/>
          <w:sz w:val="19"/>
          <w:szCs w:val="19"/>
          <w:lang w:eastAsia="en-GB"/>
        </w:rPr>
      </w:pPr>
    </w:p>
    <w:tbl>
      <w:tblPr>
        <w:tblW w:w="0" w:type="auto"/>
        <w:tblCellSpacing w:w="0" w:type="dxa"/>
        <w:tblCellMar>
          <w:left w:w="0" w:type="dxa"/>
          <w:right w:w="0" w:type="dxa"/>
        </w:tblCellMar>
        <w:tblLook w:val="04A0"/>
      </w:tblPr>
      <w:tblGrid>
        <w:gridCol w:w="6"/>
      </w:tblGrid>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24"/>
                <w:szCs w:val="24"/>
                <w:lang w:eastAsia="en-GB"/>
              </w:rPr>
            </w:pPr>
          </w:p>
        </w:tc>
      </w:tr>
    </w:tbl>
    <w:p w:rsidR="00E85D44" w:rsidRPr="00E85D44" w:rsidRDefault="00E85D44" w:rsidP="00E85D44">
      <w:pPr>
        <w:spacing w:after="75" w:line="240" w:lineRule="auto"/>
        <w:rPr>
          <w:rFonts w:ascii="Arial" w:eastAsia="Times New Roman" w:hAnsi="Arial" w:cs="Arial"/>
          <w:color w:val="000000"/>
          <w:sz w:val="24"/>
          <w:szCs w:val="24"/>
          <w:lang w:eastAsia="en-GB"/>
        </w:rPr>
      </w:pPr>
    </w:p>
    <w:tbl>
      <w:tblPr>
        <w:tblW w:w="0" w:type="auto"/>
        <w:tblCellSpacing w:w="0" w:type="dxa"/>
        <w:tblCellMar>
          <w:left w:w="0" w:type="dxa"/>
          <w:right w:w="0" w:type="dxa"/>
        </w:tblCellMar>
        <w:tblLook w:val="04A0"/>
      </w:tblPr>
      <w:tblGrid>
        <w:gridCol w:w="9026"/>
      </w:tblGrid>
      <w:tr w:rsidR="00E85D44" w:rsidRPr="00E85D44" w:rsidTr="00E85D44">
        <w:trPr>
          <w:tblCellSpacing w:w="0" w:type="dxa"/>
        </w:trPr>
        <w:tc>
          <w:tcPr>
            <w:tcW w:w="0" w:type="auto"/>
            <w:noWrap/>
            <w:vAlign w:val="center"/>
            <w:hideMark/>
          </w:tcPr>
          <w:p w:rsidR="00E85D44" w:rsidRPr="00E85D44" w:rsidRDefault="00E85D44" w:rsidP="00E85D44">
            <w:pPr>
              <w:spacing w:after="0" w:line="240" w:lineRule="auto"/>
              <w:rPr>
                <w:rFonts w:ascii="Arial" w:eastAsia="Times New Roman" w:hAnsi="Arial" w:cs="Arial"/>
                <w:color w:val="000000"/>
                <w:sz w:val="24"/>
                <w:szCs w:val="24"/>
                <w:lang w:eastAsia="en-GB"/>
              </w:rPr>
            </w:pPr>
            <w:r w:rsidRPr="00E85D44">
              <w:rPr>
                <w:rFonts w:ascii="Arial" w:eastAsia="Times New Roman" w:hAnsi="Arial" w:cs="Arial"/>
                <w:b/>
                <w:bCs/>
                <w:color w:val="000000"/>
                <w:sz w:val="24"/>
                <w:szCs w:val="24"/>
                <w:lang w:eastAsia="en-GB"/>
              </w:rPr>
              <w:t>[Reference]</w:t>
            </w:r>
            <w:r w:rsidRPr="00E85D44">
              <w:rPr>
                <w:rFonts w:ascii="Arial" w:eastAsia="Times New Roman" w:hAnsi="Arial" w:cs="Arial"/>
                <w:color w:val="000000"/>
                <w:sz w:val="24"/>
                <w:szCs w:val="24"/>
                <w:lang w:eastAsia="en-GB"/>
              </w:rPr>
              <w:t xml:space="preserve">  </w:t>
            </w:r>
            <w:r w:rsidRPr="00E85D44">
              <w:rPr>
                <w:rFonts w:ascii="Verdana" w:eastAsia="Times New Roman" w:hAnsi="Verdana" w:cs="Arial"/>
                <w:b/>
                <w:bCs/>
                <w:color w:val="CC0000"/>
                <w:lang w:eastAsia="en-GB"/>
              </w:rPr>
              <w:t xml:space="preserve">» </w:t>
            </w:r>
            <w:r w:rsidRPr="00E85D44">
              <w:rPr>
                <w:rFonts w:ascii="Arial" w:eastAsia="Times New Roman" w:hAnsi="Arial" w:cs="Arial"/>
                <w:color w:val="000000"/>
                <w:sz w:val="24"/>
                <w:szCs w:val="24"/>
                <w:lang w:eastAsia="en-GB"/>
              </w:rPr>
              <w:t> </w:t>
            </w:r>
            <w:hyperlink r:id="rId9" w:tooltip="View a list of references included in this document" w:history="1">
              <w:r w:rsidRPr="00E85D44">
                <w:rPr>
                  <w:rFonts w:ascii="Arial" w:eastAsia="Times New Roman" w:hAnsi="Arial" w:cs="Arial"/>
                  <w:color w:val="003399"/>
                  <w:sz w:val="18"/>
                  <w:u w:val="single"/>
                  <w:lang w:eastAsia="en-GB"/>
                </w:rPr>
                <w:t xml:space="preserve"> View reference page with links </w:t>
              </w:r>
            </w:hyperlink>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Bibliography</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 Carroll A B (1979), "A Three-Dimensional Conceptual Model of Corporate Social Performance", Academy of Management Review, Vol. 4, No. 4 pp. 497-505.</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 Carroll A B (1999), "Corporate Social Responsibility Evolution of a Definitional Construct", Business &amp; Society, Vol. 38, No. 3, pp. 268-295.</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3. "CII-Social Code for Business", available at http://www.cii.in menu_content.php?menu_id=626</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4. "Corporate Social Responsibility in EU", available at http://www.ebusiness.com/topics/ social/Corporate-Social-Responsibility-in-the-eu/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5. "Corporate Social Responsibility Practices in India", available at http:// timesfoundation.indiatimes.com/articleshow/4662536.cms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6. Cooperation between the United Nations and the Business Community, available at http:/ /www.un.org/en/business/Guidelines_on%20UN_Business%20Cooperation.pdf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7. Deva S (1984), "State and Bureaucracy in Kautilya's "Arthasastra"", Economic and Political Weekly, Vol. 19, No. 19, pp. 811-815.</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8. Eleventh Five Year Plan, Vol. II, available at http://planningcommission.gov.in/plans/planrel/ fiveyr/11th/11_v2/11th_vol2.pdf](accessed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9. EU Business (2006). "Corporate Social Responsibility in the EU", available at http:// www.eubusiness.com/topics/social/corporate-social-responsibility-in-the-eu/</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10. Freeman R E (1984), Strategic Management: A Stakeholder Approach, Pitman, Boston.</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11. Garriga E and Mele D (2004), "Corporate Social Responsibility Theories: Mapping the Territory", Journal of Business Ethics, Vol. 53, Nos. 1/2, pp. 51-71.</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12. Government of India, "Dimensions and Strategy", Tenth Five Year Plan, Vol.1. available at http://planningcommission.gov.in/plans/planrel/fiveyr/10th/hindi/volume2/10th_vol2h.pdf</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13. Hart S L (1995), "A Natural-Resource-Based View of the Firm", Academy of Management Review, Vol. 20, No. 4, pp. 986-1014.</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14. Hoffman W M (1991), "Business and Environmental Ethics", Business Ethics Quarterly, Vol. 1, No. 2, pp. 169-84.</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15. Hopkins M (2008), Corporate Social Responsibility and International Development: Is Business the Solution?, Earthscan, London.</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16. Jacobs M (2003), "Environment as Stakeholder", Business Strategy Review, Vol. 8, No. 2, pp. 25-28.</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17. Khanna T and Palepu K (2000), "Is Group Affiliation Profitable in Emerging Markets? An Analysis of Diversified Indian Business Groups", The Journal of Finance, Vol. 55, No. 2, pp. 867-891.</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18. Laszlo Z (2006), "Extended Stakeholder Theory", Society and Business Review, Vol. 1, No. 1, pp. 37-44.</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19. Marom I Y (2006), "Toward a Unified Theory of the CSP-CFP Link", Journal of Business Ethics, Vol. 67, No. 2, pp. 191-200.</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lastRenderedPageBreak/>
              <w:t>20. Min-Dong P L (2008), "A Review of the Theories of Corporate Social Responsibility: Its Evolutionary Path and the Road Ahead", International Journal of Management Reviews, Vol. 10, No. 1, pp. 53-73.</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21. Mitra M (2007), It's Only Business India's Corporate Social Responsiveness in a GlobalizedWorld, Oxford University Press, New Delhi.</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22. Moon J (2002), "Corporate Social Responsibility: An Overview", Journal of Business Ethics, Vol. 23, No. 2, pp. 185-197.</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23. Muniapan B and Shaikh J M (2007), "Lessons in Corporate Governance from Kautilya's Arthasastra in Ancient India", World Review of Entrepreneurship, Management and Sustainable Development, Vol. 3, No. 1, pp. 50-61.</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24. Response from the Interview with Satish Pillai (Chief-CSS, Tata Steel) at TSRDS office at 3:00 pm, Tata Steel, Jamshedpur) on February 1, 2008.</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25. Sustainability Initiatives (A Century of Trust), A Power Point Presentation by Satish Pillai (Former Chief-CSS,Tata Steel Ltd).</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26. United Nations (2000), "Guidelines on Cooperation between the United Nations and the Business Community", available at http://www.un.org/en/business Guidelines_on%20UN_ Business%20Cooperation.pdf (accessed on December 10, 2009).</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27. UN Millennium Development Goals (MDG (2006)), available at http://www.un.org/millenniumgoals/bkgd.shtml</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Reference # 04J-2010-10-04-01</w:t>
            </w:r>
          </w:p>
        </w:tc>
      </w:tr>
    </w:tbl>
    <w:p w:rsidR="00E85D44" w:rsidRPr="00E85D44" w:rsidRDefault="00E85D44" w:rsidP="00E85D44">
      <w:pPr>
        <w:spacing w:after="75" w:line="240" w:lineRule="auto"/>
        <w:rPr>
          <w:rFonts w:ascii="Arial" w:eastAsia="Times New Roman" w:hAnsi="Arial" w:cs="Arial"/>
          <w:vanish/>
          <w:color w:val="000000"/>
          <w:sz w:val="19"/>
          <w:szCs w:val="19"/>
          <w:lang w:eastAsia="en-GB"/>
        </w:rPr>
      </w:pPr>
    </w:p>
    <w:tbl>
      <w:tblPr>
        <w:tblW w:w="0" w:type="auto"/>
        <w:tblCellSpacing w:w="0" w:type="dxa"/>
        <w:tblCellMar>
          <w:left w:w="0" w:type="dxa"/>
          <w:right w:w="0" w:type="dxa"/>
        </w:tblCellMar>
        <w:tblLook w:val="04A0"/>
      </w:tblPr>
      <w:tblGrid>
        <w:gridCol w:w="6"/>
      </w:tblGrid>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24"/>
                <w:szCs w:val="24"/>
                <w:lang w:eastAsia="en-GB"/>
              </w:rPr>
            </w:pPr>
          </w:p>
        </w:tc>
      </w:tr>
    </w:tbl>
    <w:p w:rsidR="00E85D44" w:rsidRPr="00E85D44" w:rsidRDefault="00E85D44" w:rsidP="00E85D44">
      <w:pPr>
        <w:spacing w:after="75" w:line="240" w:lineRule="auto"/>
        <w:rPr>
          <w:rFonts w:ascii="Arial" w:eastAsia="Times New Roman" w:hAnsi="Arial" w:cs="Arial"/>
          <w:color w:val="000000"/>
          <w:sz w:val="24"/>
          <w:szCs w:val="24"/>
          <w:lang w:eastAsia="en-GB"/>
        </w:rPr>
      </w:pPr>
    </w:p>
    <w:tbl>
      <w:tblPr>
        <w:tblW w:w="0" w:type="auto"/>
        <w:tblCellSpacing w:w="0" w:type="dxa"/>
        <w:tblCellMar>
          <w:left w:w="0" w:type="dxa"/>
          <w:right w:w="0" w:type="dxa"/>
        </w:tblCellMar>
        <w:tblLook w:val="04A0"/>
      </w:tblPr>
      <w:tblGrid>
        <w:gridCol w:w="9026"/>
      </w:tblGrid>
      <w:tr w:rsidR="00E85D44" w:rsidRPr="00E85D44" w:rsidTr="00E85D44">
        <w:trPr>
          <w:tblCellSpacing w:w="0" w:type="dxa"/>
        </w:trPr>
        <w:tc>
          <w:tcPr>
            <w:tcW w:w="0" w:type="auto"/>
            <w:noWrap/>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b/>
                <w:bCs/>
                <w:color w:val="000000"/>
                <w:sz w:val="18"/>
                <w:szCs w:val="18"/>
                <w:lang w:eastAsia="en-GB"/>
              </w:rPr>
              <w:t>[Author Affiliation]</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Anupam Ghosh*, and Chhanda Chakraborti**</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 Research Scholar, Department of Humanities and Social Sciences, IIT, Kharagpur, India. E-mail: anupam230@rediffmail.com</w:t>
            </w:r>
          </w:p>
        </w:tc>
      </w:tr>
      <w:tr w:rsidR="00E85D44" w:rsidRPr="00E85D44" w:rsidTr="00E85D44">
        <w:trPr>
          <w:tblCellSpacing w:w="0" w:type="dxa"/>
        </w:trPr>
        <w:tc>
          <w:tcPr>
            <w:tcW w:w="0" w:type="auto"/>
            <w:vAlign w:val="center"/>
            <w:hideMark/>
          </w:tcPr>
          <w:p w:rsidR="00E85D44" w:rsidRPr="00E85D44" w:rsidRDefault="00E85D44" w:rsidP="00E85D44">
            <w:pPr>
              <w:spacing w:after="0" w:line="240" w:lineRule="auto"/>
              <w:rPr>
                <w:rFonts w:ascii="Arial" w:eastAsia="Times New Roman" w:hAnsi="Arial" w:cs="Arial"/>
                <w:color w:val="000000"/>
                <w:sz w:val="18"/>
                <w:szCs w:val="18"/>
                <w:lang w:eastAsia="en-GB"/>
              </w:rPr>
            </w:pPr>
            <w:r w:rsidRPr="00E85D44">
              <w:rPr>
                <w:rFonts w:ascii="Arial" w:eastAsia="Times New Roman" w:hAnsi="Arial" w:cs="Arial"/>
                <w:color w:val="000000"/>
                <w:sz w:val="18"/>
                <w:szCs w:val="18"/>
                <w:lang w:eastAsia="en-GB"/>
              </w:rPr>
              <w:t>** Associate Professor, Department of Humanities and Social Sciences, IIT, Kharagpur, India. E-mail: chhanda@iitkgp.ac.in</w:t>
            </w:r>
          </w:p>
        </w:tc>
      </w:tr>
    </w:tbl>
    <w:p w:rsidR="00CD0AF9" w:rsidRDefault="00E85D44"/>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E85D44"/>
    <w:rsid w:val="00097A3C"/>
    <w:rsid w:val="00154564"/>
    <w:rsid w:val="00601D34"/>
    <w:rsid w:val="00622482"/>
    <w:rsid w:val="00AE3A77"/>
    <w:rsid w:val="00E85D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2">
    <w:name w:val="heading 2"/>
    <w:basedOn w:val="Normal"/>
    <w:link w:val="Heading2Char"/>
    <w:uiPriority w:val="9"/>
    <w:qFormat/>
    <w:rsid w:val="00E85D44"/>
    <w:pPr>
      <w:spacing w:before="100" w:beforeAutospacing="1" w:after="100" w:afterAutospacing="1" w:line="240" w:lineRule="auto"/>
      <w:outlineLvl w:val="1"/>
    </w:pPr>
    <w:rPr>
      <w:rFonts w:ascii="Verdana" w:eastAsia="Times New Roman" w:hAnsi="Verdana" w:cs="Times New Roman"/>
      <w:b/>
      <w:bCs/>
      <w:color w:val="99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85D44"/>
    <w:rPr>
      <w:rFonts w:ascii="Verdana" w:eastAsia="Times New Roman" w:hAnsi="Verdana" w:cs="Times New Roman"/>
      <w:b/>
      <w:bCs/>
      <w:color w:val="990000"/>
      <w:sz w:val="20"/>
      <w:szCs w:val="20"/>
      <w:lang w:eastAsia="en-GB"/>
    </w:rPr>
  </w:style>
  <w:style w:type="character" w:styleId="Hyperlink">
    <w:name w:val="Hyperlink"/>
    <w:basedOn w:val="DefaultParagraphFont"/>
    <w:uiPriority w:val="99"/>
    <w:semiHidden/>
    <w:unhideWhenUsed/>
    <w:rsid w:val="00E85D44"/>
    <w:rPr>
      <w:color w:val="003399"/>
      <w:u w:val="single"/>
    </w:rPr>
  </w:style>
  <w:style w:type="paragraph" w:styleId="NormalWeb">
    <w:name w:val="Normal (Web)"/>
    <w:basedOn w:val="Normal"/>
    <w:uiPriority w:val="99"/>
    <w:semiHidden/>
    <w:unhideWhenUsed/>
    <w:rsid w:val="00E85D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85D44"/>
    <w:rPr>
      <w:b/>
      <w:bCs/>
    </w:rPr>
  </w:style>
  <w:style w:type="character" w:styleId="Emphasis">
    <w:name w:val="Emphasis"/>
    <w:basedOn w:val="DefaultParagraphFont"/>
    <w:uiPriority w:val="20"/>
    <w:qFormat/>
    <w:rsid w:val="00E85D44"/>
    <w:rPr>
      <w:i/>
      <w:iCs/>
    </w:rPr>
  </w:style>
  <w:style w:type="character" w:customStyle="1" w:styleId="left">
    <w:name w:val="left"/>
    <w:basedOn w:val="DefaultParagraphFont"/>
    <w:rsid w:val="00E85D44"/>
  </w:style>
  <w:style w:type="character" w:customStyle="1" w:styleId="right">
    <w:name w:val="right"/>
    <w:basedOn w:val="DefaultParagraphFont"/>
    <w:rsid w:val="00E85D44"/>
  </w:style>
  <w:style w:type="character" w:customStyle="1" w:styleId="italic1">
    <w:name w:val="italic1"/>
    <w:basedOn w:val="DefaultParagraphFont"/>
    <w:rsid w:val="00E85D44"/>
    <w:rPr>
      <w:i/>
      <w:iCs/>
    </w:rPr>
  </w:style>
  <w:style w:type="character" w:customStyle="1" w:styleId="bold1">
    <w:name w:val="bold1"/>
    <w:basedOn w:val="DefaultParagraphFont"/>
    <w:rsid w:val="00E85D44"/>
    <w:rPr>
      <w:b/>
      <w:bCs/>
    </w:rPr>
  </w:style>
  <w:style w:type="character" w:customStyle="1" w:styleId="raquo1">
    <w:name w:val="raquo1"/>
    <w:basedOn w:val="DefaultParagraphFont"/>
    <w:rsid w:val="00E85D44"/>
    <w:rPr>
      <w:rFonts w:ascii="Verdana" w:hAnsi="Verdana" w:hint="default"/>
      <w:b/>
      <w:bCs/>
      <w:color w:val="CC0000"/>
      <w:sz w:val="22"/>
      <w:szCs w:val="22"/>
    </w:rPr>
  </w:style>
</w:styles>
</file>

<file path=word/webSettings.xml><?xml version="1.0" encoding="utf-8"?>
<w:webSettings xmlns:r="http://schemas.openxmlformats.org/officeDocument/2006/relationships" xmlns:w="http://schemas.openxmlformats.org/wordprocessingml/2006/main">
  <w:divs>
    <w:div w:id="376900150">
      <w:bodyDiv w:val="1"/>
      <w:marLeft w:val="75"/>
      <w:marRight w:val="75"/>
      <w:marTop w:val="75"/>
      <w:marBottom w:val="75"/>
      <w:divBdr>
        <w:top w:val="none" w:sz="0" w:space="0" w:color="auto"/>
        <w:left w:val="none" w:sz="0" w:space="0" w:color="auto"/>
        <w:bottom w:val="none" w:sz="0" w:space="0" w:color="auto"/>
        <w:right w:val="none" w:sz="0" w:space="0" w:color="auto"/>
      </w:divBdr>
      <w:divsChild>
        <w:div w:id="57897562">
          <w:marLeft w:val="0"/>
          <w:marRight w:val="0"/>
          <w:marTop w:val="0"/>
          <w:marBottom w:val="0"/>
          <w:divBdr>
            <w:top w:val="none" w:sz="0" w:space="0" w:color="auto"/>
            <w:left w:val="none" w:sz="0" w:space="0" w:color="auto"/>
            <w:bottom w:val="none" w:sz="0" w:space="0" w:color="auto"/>
            <w:right w:val="none" w:sz="0" w:space="0" w:color="auto"/>
          </w:divBdr>
          <w:divsChild>
            <w:div w:id="1711370838">
              <w:marLeft w:val="0"/>
              <w:marRight w:val="0"/>
              <w:marTop w:val="0"/>
              <w:marBottom w:val="0"/>
              <w:divBdr>
                <w:top w:val="none" w:sz="0" w:space="0" w:color="auto"/>
                <w:left w:val="none" w:sz="0" w:space="0" w:color="auto"/>
                <w:bottom w:val="none" w:sz="0" w:space="0" w:color="auto"/>
                <w:right w:val="none" w:sz="0" w:space="0" w:color="auto"/>
              </w:divBdr>
              <w:divsChild>
                <w:div w:id="1983851756">
                  <w:marLeft w:val="0"/>
                  <w:marRight w:val="0"/>
                  <w:marTop w:val="0"/>
                  <w:marBottom w:val="0"/>
                  <w:divBdr>
                    <w:top w:val="none" w:sz="0" w:space="0" w:color="auto"/>
                    <w:left w:val="none" w:sz="0" w:space="0" w:color="auto"/>
                    <w:bottom w:val="none" w:sz="0" w:space="0" w:color="auto"/>
                    <w:right w:val="none" w:sz="0" w:space="0" w:color="auto"/>
                  </w:divBdr>
                  <w:divsChild>
                    <w:div w:id="290944448">
                      <w:marLeft w:val="0"/>
                      <w:marRight w:val="3900"/>
                      <w:marTop w:val="0"/>
                      <w:marBottom w:val="0"/>
                      <w:divBdr>
                        <w:top w:val="none" w:sz="0" w:space="0" w:color="auto"/>
                        <w:left w:val="none" w:sz="0" w:space="0" w:color="auto"/>
                        <w:bottom w:val="none" w:sz="0" w:space="0" w:color="auto"/>
                        <w:right w:val="none" w:sz="0" w:space="0" w:color="auto"/>
                      </w:divBdr>
                      <w:divsChild>
                        <w:div w:id="912855193">
                          <w:marLeft w:val="0"/>
                          <w:marRight w:val="0"/>
                          <w:marTop w:val="0"/>
                          <w:marBottom w:val="0"/>
                          <w:divBdr>
                            <w:top w:val="none" w:sz="0" w:space="0" w:color="auto"/>
                            <w:left w:val="none" w:sz="0" w:space="0" w:color="auto"/>
                            <w:bottom w:val="none" w:sz="0" w:space="0" w:color="auto"/>
                            <w:right w:val="none" w:sz="0" w:space="0" w:color="auto"/>
                          </w:divBdr>
                          <w:divsChild>
                            <w:div w:id="854730198">
                              <w:marLeft w:val="0"/>
                              <w:marRight w:val="0"/>
                              <w:marTop w:val="0"/>
                              <w:marBottom w:val="0"/>
                              <w:divBdr>
                                <w:top w:val="none" w:sz="0" w:space="0" w:color="auto"/>
                                <w:left w:val="none" w:sz="0" w:space="0" w:color="auto"/>
                                <w:bottom w:val="none" w:sz="0" w:space="0" w:color="auto"/>
                                <w:right w:val="none" w:sz="0" w:space="0" w:color="auto"/>
                              </w:divBdr>
                            </w:div>
                            <w:div w:id="89400424">
                              <w:marLeft w:val="0"/>
                              <w:marRight w:val="0"/>
                              <w:marTop w:val="0"/>
                              <w:marBottom w:val="0"/>
                              <w:divBdr>
                                <w:top w:val="none" w:sz="0" w:space="0" w:color="auto"/>
                                <w:left w:val="none" w:sz="0" w:space="0" w:color="auto"/>
                                <w:bottom w:val="none" w:sz="0" w:space="0" w:color="auto"/>
                                <w:right w:val="none" w:sz="0" w:space="0" w:color="auto"/>
                              </w:divBdr>
                            </w:div>
                          </w:divsChild>
                        </w:div>
                        <w:div w:id="1688435704">
                          <w:marLeft w:val="0"/>
                          <w:marRight w:val="0"/>
                          <w:marTop w:val="0"/>
                          <w:marBottom w:val="0"/>
                          <w:divBdr>
                            <w:top w:val="none" w:sz="0" w:space="0" w:color="auto"/>
                            <w:left w:val="none" w:sz="0" w:space="0" w:color="auto"/>
                            <w:bottom w:val="none" w:sz="0" w:space="0" w:color="auto"/>
                            <w:right w:val="none" w:sz="0" w:space="0" w:color="auto"/>
                          </w:divBdr>
                          <w:divsChild>
                            <w:div w:id="926960221">
                              <w:marLeft w:val="0"/>
                              <w:marRight w:val="0"/>
                              <w:marTop w:val="0"/>
                              <w:marBottom w:val="0"/>
                              <w:divBdr>
                                <w:top w:val="none" w:sz="0" w:space="0" w:color="auto"/>
                                <w:left w:val="none" w:sz="0" w:space="0" w:color="auto"/>
                                <w:bottom w:val="none" w:sz="0" w:space="0" w:color="auto"/>
                                <w:right w:val="none" w:sz="0" w:space="0" w:color="auto"/>
                              </w:divBdr>
                            </w:div>
                          </w:divsChild>
                        </w:div>
                        <w:div w:id="396785275">
                          <w:marLeft w:val="0"/>
                          <w:marRight w:val="0"/>
                          <w:marTop w:val="0"/>
                          <w:marBottom w:val="0"/>
                          <w:divBdr>
                            <w:top w:val="none" w:sz="0" w:space="0" w:color="auto"/>
                            <w:left w:val="none" w:sz="0" w:space="0" w:color="auto"/>
                            <w:bottom w:val="none" w:sz="0" w:space="0" w:color="auto"/>
                            <w:right w:val="none" w:sz="0" w:space="0" w:color="auto"/>
                          </w:divBdr>
                        </w:div>
                        <w:div w:id="1549292687">
                          <w:marLeft w:val="0"/>
                          <w:marRight w:val="0"/>
                          <w:marTop w:val="75"/>
                          <w:marBottom w:val="0"/>
                          <w:divBdr>
                            <w:top w:val="none" w:sz="0" w:space="0" w:color="auto"/>
                            <w:left w:val="none" w:sz="0" w:space="0" w:color="auto"/>
                            <w:bottom w:val="none" w:sz="0" w:space="0" w:color="auto"/>
                            <w:right w:val="none" w:sz="0" w:space="0" w:color="auto"/>
                          </w:divBdr>
                          <w:divsChild>
                            <w:div w:id="1883010244">
                              <w:marLeft w:val="0"/>
                              <w:marRight w:val="0"/>
                              <w:marTop w:val="0"/>
                              <w:marBottom w:val="0"/>
                              <w:divBdr>
                                <w:top w:val="none" w:sz="0" w:space="0" w:color="auto"/>
                                <w:left w:val="none" w:sz="0" w:space="0" w:color="auto"/>
                                <w:bottom w:val="none" w:sz="0" w:space="0" w:color="auto"/>
                                <w:right w:val="none" w:sz="0" w:space="0" w:color="auto"/>
                              </w:divBdr>
                            </w:div>
                            <w:div w:id="50551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proquest.umi.com/pqdweb?index=2&amp;did=2170212601&amp;SrchMode=1&amp;sid=2&amp;Fmt=3&amp;VInst=PROD&amp;VType=PQD&amp;RQT=309&amp;VName=PQD&amp;TS=1300192449&amp;clientId=129794" TargetMode="External"/><Relationship Id="rId3" Type="http://schemas.openxmlformats.org/officeDocument/2006/relationships/webSettings" Target="webSettings.xml"/><Relationship Id="rId7" Type="http://schemas.openxmlformats.org/officeDocument/2006/relationships/hyperlink" Target="http://proquest.umi.com/pqdweb?RQT=572&amp;VType=PQD&amp;VName=PQD&amp;VInst=PROD&amp;pmid=113925&amp;pcid=55050691&amp;SrchMode=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roquest.umi.com/pqdweb?RQT=318&amp;pmid=113925&amp;TS=1300192529&amp;clientId=129794&amp;VInst=PROD&amp;VName=PQD&amp;VType=PQD" TargetMode="External"/><Relationship Id="rId11" Type="http://schemas.openxmlformats.org/officeDocument/2006/relationships/theme" Target="theme/theme1.xml"/><Relationship Id="rId5" Type="http://schemas.openxmlformats.org/officeDocument/2006/relationships/hyperlink" Target="javascript:void(0);" TargetMode="External"/><Relationship Id="rId10" Type="http://schemas.openxmlformats.org/officeDocument/2006/relationships/fontTable" Target="fontTable.xml"/><Relationship Id="rId4" Type="http://schemas.openxmlformats.org/officeDocument/2006/relationships/hyperlink" Target="javascript:void(0);" TargetMode="External"/><Relationship Id="rId9" Type="http://schemas.openxmlformats.org/officeDocument/2006/relationships/hyperlink" Target="http://proquest.umi.com/pqdweb?VInst=PROD&amp;VName=PQD&amp;VType=PQD&amp;RQT=594&amp;did=2170212601&amp;Fmt=3&amp;refType=CITEDIN&amp;b2=d&amp;SrchMode=1&amp;sid=2&amp;index=2&amp;TS=13001925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7250</Words>
  <Characters>41331</Characters>
  <Application>Microsoft Office Word</Application>
  <DocSecurity>0</DocSecurity>
  <Lines>344</Lines>
  <Paragraphs>96</Paragraphs>
  <ScaleCrop>false</ScaleCrop>
  <Company>Swansea Metropolitas</Company>
  <LinksUpToDate>false</LinksUpToDate>
  <CharactersWithSpaces>48485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2011-03-15T12:36:00Z</dcterms:created>
  <dcterms:modified xsi:type="dcterms:W3CDTF">2011-03-15T12:36:00Z</dcterms:modified>
</cp:coreProperties>
</file>