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ECFB2" w14:textId="77777777" w:rsidR="000B743B" w:rsidRPr="00383332" w:rsidRDefault="000B743B" w:rsidP="00821186">
      <w:pPr>
        <w:pStyle w:val="NoSpacing"/>
        <w:rPr>
          <w:lang w:val="en-GB"/>
        </w:rPr>
      </w:pPr>
    </w:p>
    <w:p w14:paraId="4CD56900" w14:textId="77777777" w:rsidR="00470E95" w:rsidRPr="00383332" w:rsidRDefault="00470E95" w:rsidP="00383332">
      <w:pPr>
        <w:spacing w:line="360" w:lineRule="auto"/>
        <w:jc w:val="both"/>
        <w:rPr>
          <w:rFonts w:asciiTheme="minorBidi" w:hAnsiTheme="minorBidi"/>
          <w:sz w:val="22"/>
          <w:szCs w:val="22"/>
          <w:lang w:val="en-GB"/>
        </w:rPr>
      </w:pPr>
    </w:p>
    <w:p w14:paraId="05C21CC5" w14:textId="169A4C32" w:rsidR="00ED4B94" w:rsidRPr="00821186" w:rsidRDefault="00ED4B94" w:rsidP="00383332">
      <w:pPr>
        <w:spacing w:line="360" w:lineRule="auto"/>
        <w:jc w:val="center"/>
        <w:rPr>
          <w:rFonts w:asciiTheme="minorBidi" w:hAnsiTheme="minorBidi"/>
          <w:b/>
          <w:bCs/>
          <w:sz w:val="32"/>
          <w:szCs w:val="32"/>
          <w:lang w:val="en-GB"/>
        </w:rPr>
      </w:pPr>
      <w:r w:rsidRPr="00383332">
        <w:rPr>
          <w:rFonts w:asciiTheme="minorBidi" w:hAnsiTheme="minorBidi"/>
          <w:b/>
          <w:bCs/>
          <w:sz w:val="32"/>
          <w:szCs w:val="32"/>
        </w:rPr>
        <w:t>Name</w:t>
      </w:r>
      <w:r w:rsidR="00821186">
        <w:rPr>
          <w:rFonts w:asciiTheme="minorBidi" w:hAnsiTheme="minorBidi"/>
          <w:b/>
          <w:bCs/>
          <w:sz w:val="32"/>
          <w:szCs w:val="32"/>
          <w:lang w:val="en-GB"/>
        </w:rPr>
        <w:t>: Aatiqa Rehmani</w:t>
      </w:r>
    </w:p>
    <w:p w14:paraId="3043B3BB" w14:textId="00A2DFF9" w:rsidR="00ED4B94" w:rsidRPr="00821186" w:rsidRDefault="00ED4B94" w:rsidP="00383332">
      <w:pPr>
        <w:spacing w:line="360" w:lineRule="auto"/>
        <w:jc w:val="center"/>
        <w:rPr>
          <w:rFonts w:asciiTheme="minorBidi" w:hAnsiTheme="minorBidi"/>
          <w:b/>
          <w:bCs/>
          <w:sz w:val="32"/>
          <w:szCs w:val="32"/>
          <w:lang w:val="en-GB"/>
        </w:rPr>
      </w:pPr>
      <w:r w:rsidRPr="00383332">
        <w:rPr>
          <w:rFonts w:asciiTheme="minorBidi" w:hAnsiTheme="minorBidi"/>
          <w:b/>
          <w:bCs/>
          <w:sz w:val="32"/>
          <w:szCs w:val="32"/>
        </w:rPr>
        <w:t>Student Number</w:t>
      </w:r>
      <w:r w:rsidR="00821186">
        <w:rPr>
          <w:rFonts w:asciiTheme="minorBidi" w:hAnsiTheme="minorBidi"/>
          <w:b/>
          <w:bCs/>
          <w:sz w:val="32"/>
          <w:szCs w:val="32"/>
          <w:lang w:val="en-GB"/>
        </w:rPr>
        <w:t>: 2522836</w:t>
      </w:r>
    </w:p>
    <w:p w14:paraId="745AF329" w14:textId="25FD969F" w:rsidR="00ED4B94" w:rsidRPr="00821186" w:rsidRDefault="00ED4B94" w:rsidP="00383332">
      <w:pPr>
        <w:spacing w:line="360" w:lineRule="auto"/>
        <w:jc w:val="center"/>
        <w:rPr>
          <w:rFonts w:asciiTheme="minorBidi" w:hAnsiTheme="minorBidi"/>
          <w:b/>
          <w:bCs/>
          <w:sz w:val="32"/>
          <w:szCs w:val="32"/>
          <w:lang w:val="en-GB"/>
        </w:rPr>
      </w:pPr>
      <w:r w:rsidRPr="00383332">
        <w:rPr>
          <w:rFonts w:asciiTheme="minorBidi" w:hAnsiTheme="minorBidi"/>
          <w:b/>
          <w:bCs/>
          <w:sz w:val="32"/>
          <w:szCs w:val="32"/>
        </w:rPr>
        <w:t>Module Code And Title</w:t>
      </w:r>
      <w:r w:rsidR="00821186">
        <w:rPr>
          <w:rFonts w:asciiTheme="minorBidi" w:hAnsiTheme="minorBidi"/>
          <w:b/>
          <w:bCs/>
          <w:sz w:val="32"/>
          <w:szCs w:val="32"/>
          <w:lang w:val="en-GB"/>
        </w:rPr>
        <w:t>: LCHS4003 introduction to Health and Social Care</w:t>
      </w:r>
    </w:p>
    <w:p w14:paraId="0216035E" w14:textId="7F459A71" w:rsidR="00ED4B94" w:rsidRPr="00821186" w:rsidRDefault="00ED4B94" w:rsidP="00383332">
      <w:pPr>
        <w:spacing w:line="360" w:lineRule="auto"/>
        <w:jc w:val="center"/>
        <w:rPr>
          <w:rFonts w:asciiTheme="minorBidi" w:hAnsiTheme="minorBidi"/>
          <w:b/>
          <w:bCs/>
          <w:sz w:val="32"/>
          <w:szCs w:val="32"/>
          <w:lang w:val="en-GB"/>
        </w:rPr>
      </w:pPr>
      <w:r w:rsidRPr="00383332">
        <w:rPr>
          <w:rFonts w:asciiTheme="minorBidi" w:hAnsiTheme="minorBidi"/>
          <w:b/>
          <w:bCs/>
          <w:sz w:val="32"/>
          <w:szCs w:val="32"/>
        </w:rPr>
        <w:t>Lecturer Name</w:t>
      </w:r>
      <w:r w:rsidR="00821186">
        <w:rPr>
          <w:rFonts w:asciiTheme="minorBidi" w:hAnsiTheme="minorBidi"/>
          <w:b/>
          <w:bCs/>
          <w:sz w:val="32"/>
          <w:szCs w:val="32"/>
          <w:lang w:val="en-GB"/>
        </w:rPr>
        <w:t>: Bernice Ejiogu</w:t>
      </w:r>
    </w:p>
    <w:p w14:paraId="0E310627" w14:textId="0A8D08C6" w:rsidR="00470E95" w:rsidRPr="00821186" w:rsidRDefault="00ED4B94" w:rsidP="00383332">
      <w:pPr>
        <w:spacing w:line="360" w:lineRule="auto"/>
        <w:jc w:val="center"/>
        <w:rPr>
          <w:rFonts w:asciiTheme="minorBidi" w:hAnsiTheme="minorBidi"/>
          <w:b/>
          <w:bCs/>
          <w:sz w:val="32"/>
          <w:szCs w:val="32"/>
          <w:lang w:val="en-GB"/>
        </w:rPr>
      </w:pPr>
      <w:r w:rsidRPr="00383332">
        <w:rPr>
          <w:rFonts w:asciiTheme="minorBidi" w:hAnsiTheme="minorBidi"/>
          <w:b/>
          <w:bCs/>
          <w:sz w:val="32"/>
          <w:szCs w:val="32"/>
        </w:rPr>
        <w:t>Assignment Title</w:t>
      </w:r>
      <w:r w:rsidR="00821186">
        <w:rPr>
          <w:rFonts w:asciiTheme="minorBidi" w:hAnsiTheme="minorBidi"/>
          <w:b/>
          <w:bCs/>
          <w:sz w:val="32"/>
          <w:szCs w:val="32"/>
          <w:lang w:val="en-GB"/>
        </w:rPr>
        <w:t>: Component 2</w:t>
      </w:r>
    </w:p>
    <w:p w14:paraId="2351A916" w14:textId="77777777" w:rsidR="00853A15" w:rsidRDefault="00853A15" w:rsidP="00383332">
      <w:pPr>
        <w:spacing w:line="360" w:lineRule="auto"/>
        <w:jc w:val="both"/>
        <w:rPr>
          <w:rFonts w:asciiTheme="minorBidi" w:hAnsiTheme="minorBidi"/>
          <w:sz w:val="22"/>
          <w:szCs w:val="22"/>
          <w:lang w:val="en-GB"/>
        </w:rPr>
      </w:pPr>
    </w:p>
    <w:p w14:paraId="3DBD8A93" w14:textId="77777777" w:rsidR="00383332" w:rsidRDefault="00383332" w:rsidP="00383332">
      <w:pPr>
        <w:spacing w:line="360" w:lineRule="auto"/>
        <w:jc w:val="both"/>
        <w:rPr>
          <w:rFonts w:asciiTheme="minorBidi" w:hAnsiTheme="minorBidi"/>
          <w:sz w:val="22"/>
          <w:szCs w:val="22"/>
          <w:lang w:val="en-GB"/>
        </w:rPr>
      </w:pPr>
    </w:p>
    <w:p w14:paraId="03203018" w14:textId="77777777" w:rsidR="00383332" w:rsidRDefault="00383332" w:rsidP="00383332">
      <w:pPr>
        <w:spacing w:line="360" w:lineRule="auto"/>
        <w:jc w:val="both"/>
        <w:rPr>
          <w:rFonts w:asciiTheme="minorBidi" w:hAnsiTheme="minorBidi"/>
          <w:sz w:val="22"/>
          <w:szCs w:val="22"/>
          <w:lang w:val="en-GB"/>
        </w:rPr>
      </w:pPr>
    </w:p>
    <w:p w14:paraId="655940AE" w14:textId="77777777" w:rsidR="00383332" w:rsidRDefault="00383332" w:rsidP="00383332">
      <w:pPr>
        <w:spacing w:line="360" w:lineRule="auto"/>
        <w:jc w:val="both"/>
        <w:rPr>
          <w:rFonts w:asciiTheme="minorBidi" w:hAnsiTheme="minorBidi"/>
          <w:sz w:val="22"/>
          <w:szCs w:val="22"/>
          <w:lang w:val="en-GB"/>
        </w:rPr>
      </w:pPr>
    </w:p>
    <w:p w14:paraId="76DF0D72" w14:textId="77777777" w:rsidR="00383332" w:rsidRDefault="00383332" w:rsidP="00383332">
      <w:pPr>
        <w:spacing w:line="360" w:lineRule="auto"/>
        <w:jc w:val="both"/>
        <w:rPr>
          <w:rFonts w:asciiTheme="minorBidi" w:hAnsiTheme="minorBidi"/>
          <w:sz w:val="22"/>
          <w:szCs w:val="22"/>
          <w:lang w:val="en-GB"/>
        </w:rPr>
      </w:pPr>
    </w:p>
    <w:p w14:paraId="200CFF08" w14:textId="77777777" w:rsidR="00383332" w:rsidRDefault="00383332" w:rsidP="00383332">
      <w:pPr>
        <w:spacing w:line="360" w:lineRule="auto"/>
        <w:jc w:val="both"/>
        <w:rPr>
          <w:rFonts w:asciiTheme="minorBidi" w:hAnsiTheme="minorBidi"/>
          <w:sz w:val="22"/>
          <w:szCs w:val="22"/>
          <w:lang w:val="en-GB"/>
        </w:rPr>
      </w:pPr>
    </w:p>
    <w:p w14:paraId="04419514" w14:textId="77777777" w:rsidR="00383332" w:rsidRDefault="00383332" w:rsidP="00383332">
      <w:pPr>
        <w:spacing w:line="360" w:lineRule="auto"/>
        <w:jc w:val="both"/>
        <w:rPr>
          <w:rFonts w:asciiTheme="minorBidi" w:hAnsiTheme="minorBidi"/>
          <w:sz w:val="22"/>
          <w:szCs w:val="22"/>
          <w:lang w:val="en-GB"/>
        </w:rPr>
      </w:pPr>
    </w:p>
    <w:p w14:paraId="3010257C" w14:textId="77777777" w:rsidR="00383332" w:rsidRDefault="00383332" w:rsidP="00383332">
      <w:pPr>
        <w:spacing w:line="360" w:lineRule="auto"/>
        <w:jc w:val="both"/>
        <w:rPr>
          <w:rFonts w:asciiTheme="minorBidi" w:hAnsiTheme="minorBidi"/>
          <w:sz w:val="22"/>
          <w:szCs w:val="22"/>
          <w:lang w:val="en-GB"/>
        </w:rPr>
      </w:pPr>
    </w:p>
    <w:p w14:paraId="5F9BDF49" w14:textId="77777777" w:rsidR="00383332" w:rsidRDefault="00383332" w:rsidP="00383332">
      <w:pPr>
        <w:spacing w:line="360" w:lineRule="auto"/>
        <w:jc w:val="both"/>
        <w:rPr>
          <w:rFonts w:asciiTheme="minorBidi" w:hAnsiTheme="minorBidi"/>
          <w:sz w:val="22"/>
          <w:szCs w:val="22"/>
          <w:lang w:val="en-GB"/>
        </w:rPr>
      </w:pPr>
    </w:p>
    <w:p w14:paraId="04A86718" w14:textId="77777777" w:rsidR="00383332" w:rsidRDefault="00383332" w:rsidP="00383332">
      <w:pPr>
        <w:spacing w:line="360" w:lineRule="auto"/>
        <w:jc w:val="both"/>
        <w:rPr>
          <w:rFonts w:asciiTheme="minorBidi" w:hAnsiTheme="minorBidi"/>
          <w:sz w:val="22"/>
          <w:szCs w:val="22"/>
          <w:lang w:val="en-GB"/>
        </w:rPr>
      </w:pPr>
    </w:p>
    <w:p w14:paraId="2E4724F6" w14:textId="77777777" w:rsidR="00383332" w:rsidRDefault="00383332" w:rsidP="00383332">
      <w:pPr>
        <w:spacing w:line="360" w:lineRule="auto"/>
        <w:jc w:val="both"/>
        <w:rPr>
          <w:rFonts w:asciiTheme="minorBidi" w:hAnsiTheme="minorBidi"/>
          <w:sz w:val="22"/>
          <w:szCs w:val="22"/>
          <w:lang w:val="en-GB"/>
        </w:rPr>
      </w:pPr>
    </w:p>
    <w:p w14:paraId="12F1969F" w14:textId="77777777" w:rsidR="00383332" w:rsidRDefault="00383332" w:rsidP="00383332">
      <w:pPr>
        <w:spacing w:line="360" w:lineRule="auto"/>
        <w:jc w:val="both"/>
        <w:rPr>
          <w:rFonts w:asciiTheme="minorBidi" w:hAnsiTheme="minorBidi"/>
          <w:sz w:val="22"/>
          <w:szCs w:val="22"/>
          <w:lang w:val="en-GB"/>
        </w:rPr>
      </w:pPr>
    </w:p>
    <w:p w14:paraId="09D47B32" w14:textId="77777777" w:rsidR="00383332" w:rsidRDefault="00383332" w:rsidP="00383332">
      <w:pPr>
        <w:spacing w:line="360" w:lineRule="auto"/>
        <w:jc w:val="both"/>
        <w:rPr>
          <w:rFonts w:asciiTheme="minorBidi" w:hAnsiTheme="minorBidi"/>
          <w:sz w:val="22"/>
          <w:szCs w:val="22"/>
          <w:lang w:val="en-GB"/>
        </w:rPr>
      </w:pPr>
    </w:p>
    <w:p w14:paraId="4E3C300A" w14:textId="77777777" w:rsidR="00383332" w:rsidRDefault="00383332" w:rsidP="00383332">
      <w:pPr>
        <w:spacing w:line="360" w:lineRule="auto"/>
        <w:jc w:val="both"/>
        <w:rPr>
          <w:rFonts w:asciiTheme="minorBidi" w:hAnsiTheme="minorBidi"/>
          <w:sz w:val="22"/>
          <w:szCs w:val="22"/>
          <w:lang w:val="en-GB"/>
        </w:rPr>
      </w:pPr>
    </w:p>
    <w:p w14:paraId="3F5F200F" w14:textId="77777777" w:rsidR="00383332" w:rsidRDefault="00383332" w:rsidP="00383332">
      <w:pPr>
        <w:spacing w:line="360" w:lineRule="auto"/>
        <w:jc w:val="both"/>
        <w:rPr>
          <w:rFonts w:asciiTheme="minorBidi" w:hAnsiTheme="minorBidi"/>
          <w:sz w:val="22"/>
          <w:szCs w:val="22"/>
          <w:lang w:val="en-GB"/>
        </w:rPr>
      </w:pPr>
    </w:p>
    <w:p w14:paraId="072D397E" w14:textId="77777777" w:rsidR="00383332" w:rsidRDefault="00383332" w:rsidP="00383332">
      <w:pPr>
        <w:spacing w:line="360" w:lineRule="auto"/>
        <w:jc w:val="both"/>
        <w:rPr>
          <w:rFonts w:asciiTheme="minorBidi" w:hAnsiTheme="minorBidi"/>
          <w:sz w:val="22"/>
          <w:szCs w:val="22"/>
          <w:lang w:val="en-GB"/>
        </w:rPr>
      </w:pPr>
    </w:p>
    <w:p w14:paraId="335DFE40" w14:textId="77777777" w:rsidR="00383332" w:rsidRDefault="00383332" w:rsidP="00383332">
      <w:pPr>
        <w:spacing w:line="360" w:lineRule="auto"/>
        <w:jc w:val="both"/>
        <w:rPr>
          <w:rFonts w:asciiTheme="minorBidi" w:hAnsiTheme="minorBidi"/>
          <w:sz w:val="22"/>
          <w:szCs w:val="22"/>
          <w:lang w:val="en-GB"/>
        </w:rPr>
      </w:pPr>
    </w:p>
    <w:sdt>
      <w:sdtPr>
        <w:rPr>
          <w:rFonts w:asciiTheme="majorBidi" w:eastAsiaTheme="minorHAnsi" w:hAnsiTheme="majorBidi" w:cstheme="minorBidi"/>
          <w:b w:val="0"/>
          <w:bCs w:val="0"/>
          <w:color w:val="auto"/>
          <w:kern w:val="2"/>
          <w:sz w:val="24"/>
          <w:szCs w:val="24"/>
          <w:lang/>
          <w14:ligatures w14:val="standardContextual"/>
        </w:rPr>
        <w:id w:val="475886184"/>
        <w:docPartObj>
          <w:docPartGallery w:val="Table of Contents"/>
          <w:docPartUnique/>
        </w:docPartObj>
      </w:sdtPr>
      <w:sdtEndPr>
        <w:rPr>
          <w:noProof/>
        </w:rPr>
      </w:sdtEndPr>
      <w:sdtContent>
        <w:p w14:paraId="02063C89" w14:textId="2A6C0CAC" w:rsidR="00383332" w:rsidRDefault="00383332">
          <w:pPr>
            <w:pStyle w:val="TOCHeading"/>
          </w:pPr>
          <w:r>
            <w:t>Table of Contents</w:t>
          </w:r>
        </w:p>
        <w:p w14:paraId="39D1E290" w14:textId="189D78CF" w:rsidR="00383332" w:rsidRDefault="0038333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5633385" w:history="1">
            <w:r w:rsidRPr="00D303D2">
              <w:rPr>
                <w:rStyle w:val="Hyperlink"/>
                <w:rFonts w:asciiTheme="minorBidi" w:eastAsia="Times New Roman" w:hAnsiTheme="minorBidi"/>
                <w:noProof/>
                <w:lang w:eastAsia="en-GB"/>
              </w:rPr>
              <w:t>Introduction</w:t>
            </w:r>
            <w:r>
              <w:rPr>
                <w:noProof/>
                <w:webHidden/>
              </w:rPr>
              <w:tab/>
            </w:r>
            <w:r>
              <w:rPr>
                <w:noProof/>
                <w:webHidden/>
              </w:rPr>
              <w:fldChar w:fldCharType="begin"/>
            </w:r>
            <w:r>
              <w:rPr>
                <w:noProof/>
                <w:webHidden/>
              </w:rPr>
              <w:instrText xml:space="preserve"> PAGEREF _Toc235633385 \h </w:instrText>
            </w:r>
            <w:r>
              <w:rPr>
                <w:noProof/>
                <w:webHidden/>
              </w:rPr>
            </w:r>
            <w:r>
              <w:rPr>
                <w:noProof/>
                <w:webHidden/>
              </w:rPr>
              <w:fldChar w:fldCharType="separate"/>
            </w:r>
            <w:r>
              <w:rPr>
                <w:noProof/>
                <w:webHidden/>
              </w:rPr>
              <w:t>3</w:t>
            </w:r>
            <w:r>
              <w:rPr>
                <w:noProof/>
                <w:webHidden/>
              </w:rPr>
              <w:fldChar w:fldCharType="end"/>
            </w:r>
          </w:hyperlink>
        </w:p>
        <w:p w14:paraId="6F3B63CB" w14:textId="152C27AB" w:rsidR="00383332" w:rsidRDefault="00383332" w:rsidP="00383332">
          <w:pPr>
            <w:pStyle w:val="TOC1"/>
            <w:tabs>
              <w:tab w:val="right" w:leader="dot" w:pos="9016"/>
            </w:tabs>
            <w:rPr>
              <w:noProof/>
            </w:rPr>
          </w:pPr>
          <w:hyperlink w:anchor="_Toc235633387" w:history="1">
            <w:r w:rsidRPr="00D303D2">
              <w:rPr>
                <w:rStyle w:val="Hyperlink"/>
                <w:rFonts w:asciiTheme="minorBidi" w:eastAsia="Times New Roman" w:hAnsiTheme="minorBidi"/>
                <w:noProof/>
                <w:lang w:eastAsia="en-GB"/>
              </w:rPr>
              <w:t>1. Importance of effective communication</w:t>
            </w:r>
            <w:r>
              <w:rPr>
                <w:noProof/>
                <w:webHidden/>
              </w:rPr>
              <w:tab/>
            </w:r>
            <w:r>
              <w:rPr>
                <w:noProof/>
                <w:webHidden/>
              </w:rPr>
              <w:fldChar w:fldCharType="begin"/>
            </w:r>
            <w:r>
              <w:rPr>
                <w:noProof/>
                <w:webHidden/>
              </w:rPr>
              <w:instrText xml:space="preserve"> PAGEREF _Toc235633387 \h </w:instrText>
            </w:r>
            <w:r>
              <w:rPr>
                <w:noProof/>
                <w:webHidden/>
              </w:rPr>
            </w:r>
            <w:r>
              <w:rPr>
                <w:noProof/>
                <w:webHidden/>
              </w:rPr>
              <w:fldChar w:fldCharType="separate"/>
            </w:r>
            <w:r>
              <w:rPr>
                <w:noProof/>
                <w:webHidden/>
              </w:rPr>
              <w:t>3</w:t>
            </w:r>
            <w:r>
              <w:rPr>
                <w:noProof/>
                <w:webHidden/>
              </w:rPr>
              <w:fldChar w:fldCharType="end"/>
            </w:r>
          </w:hyperlink>
        </w:p>
        <w:p w14:paraId="7706B0A5" w14:textId="7B8C7198" w:rsidR="00383332" w:rsidRDefault="00383332" w:rsidP="00383332">
          <w:pPr>
            <w:pStyle w:val="TOC1"/>
            <w:tabs>
              <w:tab w:val="right" w:leader="dot" w:pos="9016"/>
            </w:tabs>
            <w:rPr>
              <w:noProof/>
            </w:rPr>
          </w:pPr>
          <w:hyperlink w:anchor="_Toc235633389" w:history="1">
            <w:r w:rsidRPr="00D303D2">
              <w:rPr>
                <w:rStyle w:val="Hyperlink"/>
                <w:rFonts w:asciiTheme="minorBidi" w:eastAsia="Times New Roman" w:hAnsiTheme="minorBidi"/>
                <w:noProof/>
                <w:lang w:eastAsia="en-GB"/>
              </w:rPr>
              <w:t>2. Importance of good administrative skills</w:t>
            </w:r>
            <w:r>
              <w:rPr>
                <w:noProof/>
                <w:webHidden/>
              </w:rPr>
              <w:tab/>
            </w:r>
            <w:r>
              <w:rPr>
                <w:noProof/>
                <w:webHidden/>
              </w:rPr>
              <w:fldChar w:fldCharType="begin"/>
            </w:r>
            <w:r>
              <w:rPr>
                <w:noProof/>
                <w:webHidden/>
              </w:rPr>
              <w:instrText xml:space="preserve"> PAGEREF _Toc235633389 \h </w:instrText>
            </w:r>
            <w:r>
              <w:rPr>
                <w:noProof/>
                <w:webHidden/>
              </w:rPr>
            </w:r>
            <w:r>
              <w:rPr>
                <w:noProof/>
                <w:webHidden/>
              </w:rPr>
              <w:fldChar w:fldCharType="separate"/>
            </w:r>
            <w:r>
              <w:rPr>
                <w:noProof/>
                <w:webHidden/>
              </w:rPr>
              <w:t>4</w:t>
            </w:r>
            <w:r>
              <w:rPr>
                <w:noProof/>
                <w:webHidden/>
              </w:rPr>
              <w:fldChar w:fldCharType="end"/>
            </w:r>
          </w:hyperlink>
        </w:p>
        <w:p w14:paraId="56B39A2F" w14:textId="4463DB7C" w:rsidR="00383332" w:rsidRDefault="00383332">
          <w:pPr>
            <w:pStyle w:val="TOC1"/>
            <w:tabs>
              <w:tab w:val="right" w:leader="dot" w:pos="9016"/>
            </w:tabs>
            <w:rPr>
              <w:noProof/>
            </w:rPr>
          </w:pPr>
          <w:hyperlink w:anchor="_Toc235633391" w:history="1">
            <w:r w:rsidRPr="00D303D2">
              <w:rPr>
                <w:rStyle w:val="Hyperlink"/>
                <w:rFonts w:asciiTheme="minorBidi" w:eastAsia="Times New Roman" w:hAnsiTheme="minorBidi"/>
                <w:noProof/>
                <w:lang w:eastAsia="en-GB"/>
              </w:rPr>
              <w:t>3. Importance of collaborative working</w:t>
            </w:r>
            <w:r>
              <w:rPr>
                <w:noProof/>
                <w:webHidden/>
              </w:rPr>
              <w:tab/>
            </w:r>
            <w:r>
              <w:rPr>
                <w:noProof/>
                <w:webHidden/>
              </w:rPr>
              <w:fldChar w:fldCharType="begin"/>
            </w:r>
            <w:r>
              <w:rPr>
                <w:noProof/>
                <w:webHidden/>
              </w:rPr>
              <w:instrText xml:space="preserve"> PAGEREF _Toc235633391 \h </w:instrText>
            </w:r>
            <w:r>
              <w:rPr>
                <w:noProof/>
                <w:webHidden/>
              </w:rPr>
            </w:r>
            <w:r>
              <w:rPr>
                <w:noProof/>
                <w:webHidden/>
              </w:rPr>
              <w:fldChar w:fldCharType="separate"/>
            </w:r>
            <w:r>
              <w:rPr>
                <w:noProof/>
                <w:webHidden/>
              </w:rPr>
              <w:t>5</w:t>
            </w:r>
            <w:r>
              <w:rPr>
                <w:noProof/>
                <w:webHidden/>
              </w:rPr>
              <w:fldChar w:fldCharType="end"/>
            </w:r>
          </w:hyperlink>
        </w:p>
        <w:p w14:paraId="77875A36" w14:textId="6F37A851" w:rsidR="00383332" w:rsidRDefault="00383332">
          <w:pPr>
            <w:pStyle w:val="TOC1"/>
            <w:tabs>
              <w:tab w:val="right" w:leader="dot" w:pos="9016"/>
            </w:tabs>
            <w:rPr>
              <w:noProof/>
            </w:rPr>
          </w:pPr>
          <w:hyperlink w:anchor="_Toc235633393" w:history="1">
            <w:r w:rsidRPr="00D303D2">
              <w:rPr>
                <w:rStyle w:val="Hyperlink"/>
                <w:rFonts w:asciiTheme="minorBidi" w:eastAsia="Times New Roman" w:hAnsiTheme="minorBidi"/>
                <w:noProof/>
                <w:lang w:eastAsia="en-GB"/>
              </w:rPr>
              <w:t>Conclusion</w:t>
            </w:r>
            <w:r>
              <w:rPr>
                <w:noProof/>
                <w:webHidden/>
              </w:rPr>
              <w:tab/>
            </w:r>
            <w:r>
              <w:rPr>
                <w:noProof/>
                <w:webHidden/>
              </w:rPr>
              <w:fldChar w:fldCharType="begin"/>
            </w:r>
            <w:r>
              <w:rPr>
                <w:noProof/>
                <w:webHidden/>
              </w:rPr>
              <w:instrText xml:space="preserve"> PAGEREF _Toc235633393 \h </w:instrText>
            </w:r>
            <w:r>
              <w:rPr>
                <w:noProof/>
                <w:webHidden/>
              </w:rPr>
            </w:r>
            <w:r>
              <w:rPr>
                <w:noProof/>
                <w:webHidden/>
              </w:rPr>
              <w:fldChar w:fldCharType="separate"/>
            </w:r>
            <w:r>
              <w:rPr>
                <w:noProof/>
                <w:webHidden/>
              </w:rPr>
              <w:t>6</w:t>
            </w:r>
            <w:r>
              <w:rPr>
                <w:noProof/>
                <w:webHidden/>
              </w:rPr>
              <w:fldChar w:fldCharType="end"/>
            </w:r>
          </w:hyperlink>
        </w:p>
        <w:p w14:paraId="1E9CBB23" w14:textId="6DFD4AA3" w:rsidR="00383332" w:rsidRDefault="00383332">
          <w:pPr>
            <w:pStyle w:val="TOC1"/>
            <w:tabs>
              <w:tab w:val="right" w:leader="dot" w:pos="9016"/>
            </w:tabs>
            <w:rPr>
              <w:noProof/>
            </w:rPr>
          </w:pPr>
          <w:hyperlink w:anchor="_Toc235633394" w:history="1">
            <w:r w:rsidRPr="00D303D2">
              <w:rPr>
                <w:rStyle w:val="Hyperlink"/>
                <w:rFonts w:asciiTheme="minorBidi" w:eastAsia="Times New Roman" w:hAnsiTheme="minorBidi"/>
                <w:noProof/>
                <w:lang w:eastAsia="en-GB"/>
              </w:rPr>
              <w:t>References</w:t>
            </w:r>
            <w:r>
              <w:rPr>
                <w:noProof/>
                <w:webHidden/>
              </w:rPr>
              <w:tab/>
            </w:r>
            <w:r>
              <w:rPr>
                <w:noProof/>
                <w:webHidden/>
              </w:rPr>
              <w:fldChar w:fldCharType="begin"/>
            </w:r>
            <w:r>
              <w:rPr>
                <w:noProof/>
                <w:webHidden/>
              </w:rPr>
              <w:instrText xml:space="preserve"> PAGEREF _Toc235633394 \h </w:instrText>
            </w:r>
            <w:r>
              <w:rPr>
                <w:noProof/>
                <w:webHidden/>
              </w:rPr>
            </w:r>
            <w:r>
              <w:rPr>
                <w:noProof/>
                <w:webHidden/>
              </w:rPr>
              <w:fldChar w:fldCharType="separate"/>
            </w:r>
            <w:r>
              <w:rPr>
                <w:noProof/>
                <w:webHidden/>
              </w:rPr>
              <w:t>7</w:t>
            </w:r>
            <w:r>
              <w:rPr>
                <w:noProof/>
                <w:webHidden/>
              </w:rPr>
              <w:fldChar w:fldCharType="end"/>
            </w:r>
          </w:hyperlink>
        </w:p>
        <w:p w14:paraId="444CFA82" w14:textId="1E7C87A2" w:rsidR="00383332" w:rsidRDefault="00383332">
          <w:r>
            <w:rPr>
              <w:b/>
              <w:bCs/>
              <w:noProof/>
            </w:rPr>
            <w:fldChar w:fldCharType="end"/>
          </w:r>
        </w:p>
      </w:sdtContent>
    </w:sdt>
    <w:p w14:paraId="7F3662B8" w14:textId="77777777" w:rsidR="00383332" w:rsidRDefault="00383332" w:rsidP="00383332">
      <w:pPr>
        <w:spacing w:line="360" w:lineRule="auto"/>
        <w:jc w:val="both"/>
        <w:rPr>
          <w:rFonts w:asciiTheme="minorBidi" w:hAnsiTheme="minorBidi"/>
          <w:sz w:val="22"/>
          <w:szCs w:val="22"/>
          <w:lang w:val="en-GB"/>
        </w:rPr>
      </w:pPr>
    </w:p>
    <w:p w14:paraId="22944F2A" w14:textId="77777777" w:rsidR="00383332" w:rsidRDefault="00383332" w:rsidP="00383332">
      <w:pPr>
        <w:spacing w:line="360" w:lineRule="auto"/>
        <w:jc w:val="both"/>
        <w:rPr>
          <w:rFonts w:asciiTheme="minorBidi" w:hAnsiTheme="minorBidi"/>
          <w:sz w:val="22"/>
          <w:szCs w:val="22"/>
          <w:lang w:val="en-GB"/>
        </w:rPr>
      </w:pPr>
    </w:p>
    <w:p w14:paraId="5965A102" w14:textId="77777777" w:rsidR="00383332" w:rsidRDefault="00383332" w:rsidP="00383332">
      <w:pPr>
        <w:spacing w:line="360" w:lineRule="auto"/>
        <w:jc w:val="both"/>
        <w:rPr>
          <w:rFonts w:asciiTheme="minorBidi" w:hAnsiTheme="minorBidi"/>
          <w:sz w:val="22"/>
          <w:szCs w:val="22"/>
          <w:lang w:val="en-GB"/>
        </w:rPr>
      </w:pPr>
    </w:p>
    <w:p w14:paraId="3E54B3E3" w14:textId="77777777" w:rsidR="00383332" w:rsidRDefault="00383332" w:rsidP="00383332">
      <w:pPr>
        <w:spacing w:line="360" w:lineRule="auto"/>
        <w:jc w:val="both"/>
        <w:rPr>
          <w:rFonts w:asciiTheme="minorBidi" w:hAnsiTheme="minorBidi"/>
          <w:sz w:val="22"/>
          <w:szCs w:val="22"/>
          <w:lang w:val="en-GB"/>
        </w:rPr>
      </w:pPr>
    </w:p>
    <w:p w14:paraId="7339AFD8" w14:textId="77777777" w:rsidR="00383332" w:rsidRDefault="00383332" w:rsidP="00383332">
      <w:pPr>
        <w:spacing w:line="360" w:lineRule="auto"/>
        <w:jc w:val="both"/>
        <w:rPr>
          <w:rFonts w:asciiTheme="minorBidi" w:hAnsiTheme="minorBidi"/>
          <w:sz w:val="22"/>
          <w:szCs w:val="22"/>
          <w:lang w:val="en-GB"/>
        </w:rPr>
      </w:pPr>
    </w:p>
    <w:p w14:paraId="4B5FBBD8" w14:textId="77777777" w:rsidR="00383332" w:rsidRDefault="00383332" w:rsidP="00383332">
      <w:pPr>
        <w:spacing w:line="360" w:lineRule="auto"/>
        <w:jc w:val="both"/>
        <w:rPr>
          <w:rFonts w:asciiTheme="minorBidi" w:hAnsiTheme="minorBidi"/>
          <w:sz w:val="22"/>
          <w:szCs w:val="22"/>
          <w:lang w:val="en-GB"/>
        </w:rPr>
      </w:pPr>
    </w:p>
    <w:p w14:paraId="13B26BFC" w14:textId="77777777" w:rsidR="00383332" w:rsidRDefault="00383332" w:rsidP="00383332">
      <w:pPr>
        <w:spacing w:line="360" w:lineRule="auto"/>
        <w:jc w:val="both"/>
        <w:rPr>
          <w:rFonts w:asciiTheme="minorBidi" w:hAnsiTheme="minorBidi"/>
          <w:sz w:val="22"/>
          <w:szCs w:val="22"/>
          <w:lang w:val="en-GB"/>
        </w:rPr>
      </w:pPr>
    </w:p>
    <w:p w14:paraId="59CCCD7D" w14:textId="77777777" w:rsidR="00383332" w:rsidRDefault="00383332" w:rsidP="00383332">
      <w:pPr>
        <w:spacing w:line="360" w:lineRule="auto"/>
        <w:jc w:val="both"/>
        <w:rPr>
          <w:rFonts w:asciiTheme="minorBidi" w:hAnsiTheme="minorBidi"/>
          <w:sz w:val="22"/>
          <w:szCs w:val="22"/>
          <w:lang w:val="en-GB"/>
        </w:rPr>
      </w:pPr>
    </w:p>
    <w:p w14:paraId="47BDC26A" w14:textId="77777777" w:rsidR="00383332" w:rsidRDefault="00383332" w:rsidP="00383332">
      <w:pPr>
        <w:spacing w:line="360" w:lineRule="auto"/>
        <w:jc w:val="both"/>
        <w:rPr>
          <w:rFonts w:asciiTheme="minorBidi" w:hAnsiTheme="minorBidi"/>
          <w:sz w:val="22"/>
          <w:szCs w:val="22"/>
          <w:lang w:val="en-GB"/>
        </w:rPr>
      </w:pPr>
    </w:p>
    <w:p w14:paraId="2C34A2A1" w14:textId="77777777" w:rsidR="00383332" w:rsidRDefault="00383332" w:rsidP="00383332">
      <w:pPr>
        <w:spacing w:line="360" w:lineRule="auto"/>
        <w:jc w:val="both"/>
        <w:rPr>
          <w:rFonts w:asciiTheme="minorBidi" w:hAnsiTheme="minorBidi"/>
          <w:sz w:val="22"/>
          <w:szCs w:val="22"/>
          <w:lang w:val="en-GB"/>
        </w:rPr>
      </w:pPr>
    </w:p>
    <w:p w14:paraId="286C6A6A" w14:textId="77777777" w:rsidR="00383332" w:rsidRDefault="00383332" w:rsidP="00383332">
      <w:pPr>
        <w:spacing w:line="360" w:lineRule="auto"/>
        <w:jc w:val="both"/>
        <w:rPr>
          <w:rFonts w:asciiTheme="minorBidi" w:hAnsiTheme="minorBidi"/>
          <w:sz w:val="22"/>
          <w:szCs w:val="22"/>
          <w:lang w:val="en-GB"/>
        </w:rPr>
      </w:pPr>
    </w:p>
    <w:p w14:paraId="43ADD550" w14:textId="77777777" w:rsidR="00383332" w:rsidRDefault="00383332" w:rsidP="00383332">
      <w:pPr>
        <w:spacing w:line="360" w:lineRule="auto"/>
        <w:jc w:val="both"/>
        <w:rPr>
          <w:rFonts w:asciiTheme="minorBidi" w:hAnsiTheme="minorBidi"/>
          <w:sz w:val="22"/>
          <w:szCs w:val="22"/>
          <w:lang w:val="en-GB"/>
        </w:rPr>
      </w:pPr>
    </w:p>
    <w:p w14:paraId="58F32211" w14:textId="77777777" w:rsidR="00383332" w:rsidRDefault="00383332" w:rsidP="00383332">
      <w:pPr>
        <w:spacing w:line="360" w:lineRule="auto"/>
        <w:jc w:val="both"/>
        <w:rPr>
          <w:rFonts w:asciiTheme="minorBidi" w:hAnsiTheme="minorBidi"/>
          <w:sz w:val="22"/>
          <w:szCs w:val="22"/>
          <w:lang w:val="en-GB"/>
        </w:rPr>
      </w:pPr>
    </w:p>
    <w:p w14:paraId="115D1257" w14:textId="77777777" w:rsidR="00383332" w:rsidRDefault="00383332" w:rsidP="00383332">
      <w:pPr>
        <w:spacing w:line="360" w:lineRule="auto"/>
        <w:jc w:val="both"/>
        <w:rPr>
          <w:rFonts w:asciiTheme="minorBidi" w:hAnsiTheme="minorBidi"/>
          <w:sz w:val="22"/>
          <w:szCs w:val="22"/>
          <w:lang w:val="en-GB"/>
        </w:rPr>
      </w:pPr>
    </w:p>
    <w:p w14:paraId="63D0DB70" w14:textId="77777777" w:rsidR="00383332" w:rsidRDefault="00383332" w:rsidP="00383332">
      <w:pPr>
        <w:spacing w:line="360" w:lineRule="auto"/>
        <w:jc w:val="both"/>
        <w:rPr>
          <w:rFonts w:asciiTheme="minorBidi" w:hAnsiTheme="minorBidi"/>
          <w:sz w:val="22"/>
          <w:szCs w:val="22"/>
          <w:lang w:val="en-GB"/>
        </w:rPr>
      </w:pPr>
    </w:p>
    <w:p w14:paraId="16A1B59E" w14:textId="77777777" w:rsidR="00383332" w:rsidRPr="00383332" w:rsidRDefault="00383332" w:rsidP="00383332">
      <w:pPr>
        <w:spacing w:line="360" w:lineRule="auto"/>
        <w:jc w:val="both"/>
        <w:rPr>
          <w:rFonts w:asciiTheme="minorBidi" w:hAnsiTheme="minorBidi"/>
          <w:sz w:val="22"/>
          <w:szCs w:val="22"/>
          <w:lang w:val="en-GB"/>
        </w:rPr>
      </w:pPr>
    </w:p>
    <w:p w14:paraId="30A66418" w14:textId="77777777" w:rsidR="00853A15" w:rsidRPr="00383332" w:rsidRDefault="00853A15" w:rsidP="00383332">
      <w:pPr>
        <w:pStyle w:val="Heading1"/>
        <w:spacing w:line="360" w:lineRule="auto"/>
        <w:jc w:val="both"/>
        <w:rPr>
          <w:rFonts w:asciiTheme="minorBidi" w:eastAsia="Times New Roman" w:hAnsiTheme="minorBidi" w:cstheme="minorBidi"/>
          <w:sz w:val="22"/>
          <w:szCs w:val="22"/>
          <w:lang w:eastAsia="en-GB"/>
        </w:rPr>
      </w:pPr>
      <w:bookmarkStart w:id="0" w:name="_Toc235633385"/>
      <w:r w:rsidRPr="00383332">
        <w:rPr>
          <w:rFonts w:asciiTheme="minorBidi" w:eastAsia="Times New Roman" w:hAnsiTheme="minorBidi" w:cstheme="minorBidi"/>
          <w:sz w:val="22"/>
          <w:szCs w:val="22"/>
          <w:lang w:eastAsia="en-GB"/>
        </w:rPr>
        <w:lastRenderedPageBreak/>
        <w:t>Introduction</w:t>
      </w:r>
      <w:bookmarkEnd w:id="0"/>
    </w:p>
    <w:p w14:paraId="5D29E3C3" w14:textId="77777777" w:rsidR="002A5888" w:rsidRPr="00383332" w:rsidRDefault="002A5888" w:rsidP="00383332">
      <w:pPr>
        <w:spacing w:before="100" w:beforeAutospacing="1" w:after="100" w:afterAutospacing="1" w:line="360" w:lineRule="auto"/>
        <w:jc w:val="both"/>
        <w:outlineLvl w:val="1"/>
        <w:rPr>
          <w:rFonts w:asciiTheme="minorBidi" w:eastAsia="Times New Roman" w:hAnsiTheme="minorBidi"/>
          <w:kern w:val="0"/>
          <w:sz w:val="22"/>
          <w:szCs w:val="22"/>
          <w:lang w:eastAsia="en-GB"/>
          <w14:ligatures w14:val="none"/>
        </w:rPr>
      </w:pPr>
      <w:bookmarkStart w:id="1" w:name="_Toc235633386"/>
      <w:r w:rsidRPr="00383332">
        <w:rPr>
          <w:rFonts w:asciiTheme="minorBidi" w:eastAsia="Times New Roman" w:hAnsiTheme="minorBidi"/>
          <w:kern w:val="0"/>
          <w:sz w:val="22"/>
          <w:szCs w:val="22"/>
          <w:lang w:eastAsia="en-GB"/>
          <w14:ligatures w14:val="none"/>
        </w:rPr>
        <w:t>This report analyses three key practices that are necessary for ensuring safety in care and taking a person-centred approach towards Mrs Thompson, an 84-year-old lady diagnosed with mild dementia, recently discharged from hospital after being treated for pneumonia. The failure to take medication, confusion and exposure to cold are the risk factors that need to be addressed and managed through interaction. Communication skills are vital to ensure that she expresses her views and the involvement of family members is appropriate. Administrative skills are equally crucial because accurate recording allows identifying new risk factors, coordinating actions and being accountable. Thirdly, collaboration skills are needed as the needs of Mrs Thompson cannot be managed by one service only. This discussion uses Egan's SOLER communication framework in conjunction with the Equality Act 2010, Mental Capacity Act 2005, Data Protection Act 2018, UK General Data Protection Regulation, Care Act 2014, CQC regulations and NICE guidelines.</w:t>
      </w:r>
      <w:bookmarkEnd w:id="1"/>
    </w:p>
    <w:p w14:paraId="061BBDA9" w14:textId="703FDDB9" w:rsidR="00853A15" w:rsidRPr="00383332" w:rsidRDefault="00853A15" w:rsidP="00383332">
      <w:pPr>
        <w:pStyle w:val="Heading1"/>
        <w:spacing w:line="360" w:lineRule="auto"/>
        <w:jc w:val="both"/>
        <w:rPr>
          <w:rFonts w:asciiTheme="minorBidi" w:eastAsia="Times New Roman" w:hAnsiTheme="minorBidi" w:cstheme="minorBidi"/>
          <w:sz w:val="22"/>
          <w:szCs w:val="22"/>
          <w:lang w:eastAsia="en-GB"/>
        </w:rPr>
      </w:pPr>
      <w:bookmarkStart w:id="2" w:name="_Toc235633387"/>
      <w:r w:rsidRPr="00383332">
        <w:rPr>
          <w:rFonts w:asciiTheme="minorBidi" w:eastAsia="Times New Roman" w:hAnsiTheme="minorBidi" w:cstheme="minorBidi"/>
          <w:sz w:val="22"/>
          <w:szCs w:val="22"/>
          <w:lang w:eastAsia="en-GB"/>
        </w:rPr>
        <w:t>1. Importance of effective communication</w:t>
      </w:r>
      <w:bookmarkEnd w:id="2"/>
    </w:p>
    <w:p w14:paraId="47968F51" w14:textId="77777777" w:rsidR="009926BC" w:rsidRPr="00383332" w:rsidRDefault="009926BC"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Good communication ensures that Mrs. Thompson can convey her needs and get involved in decision-making as well as understanding the right way of taking her drugs. Good communication will help the staff members to be able to differentiate her regular problems associated with dementia and the new problems after getting pneumonia or failing to take her drugs (Grover, 2005). But according to Tuffrey-Wijne et al., (2014), poor communication may result in giving her repeated drugs, failing to give the drugs, need for hospital admission or failing to recognize any safeguarding issues.</w:t>
      </w:r>
    </w:p>
    <w:p w14:paraId="67F8FB3F" w14:textId="3DB7659F" w:rsidR="00853A15" w:rsidRPr="00383332" w:rsidRDefault="009926BC"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Staff must talk to Mrs. Thompson directly rather than relying on relatives or care givers alone for communication. Her name of preference must be used, and she is introduced to the person talking to her. Background noises must be minimized and staff must keep their voice calm. The information must be broken down into small sentences, and each question or instruction must be given at a time. Jargon and babying language must not be used, unnecessary corrections must be avoided. Extra processing time, written cues for medication, pictures, calendar and clearly labeled medicines might help. It will be polite to ask Mrs. Thompson to repeat the plan in her own words </w:t>
      </w:r>
      <w:r w:rsidR="00AA5727" w:rsidRPr="00383332">
        <w:rPr>
          <w:rFonts w:asciiTheme="minorBidi" w:hAnsiTheme="minorBidi"/>
          <w:sz w:val="22"/>
          <w:szCs w:val="22"/>
        </w:rPr>
        <w:t xml:space="preserve">(Tuffrey-Wijne </w:t>
      </w:r>
      <w:r w:rsidR="00AA5727" w:rsidRPr="00383332">
        <w:rPr>
          <w:rFonts w:asciiTheme="minorBidi" w:hAnsiTheme="minorBidi"/>
          <w:i/>
          <w:iCs/>
          <w:sz w:val="22"/>
          <w:szCs w:val="22"/>
        </w:rPr>
        <w:t>et al.</w:t>
      </w:r>
      <w:r w:rsidR="00AA5727" w:rsidRPr="00383332">
        <w:rPr>
          <w:rFonts w:asciiTheme="minorBidi" w:hAnsiTheme="minorBidi"/>
          <w:sz w:val="22"/>
          <w:szCs w:val="22"/>
        </w:rPr>
        <w:t xml:space="preserve">, 2014; Danaher </w:t>
      </w:r>
      <w:r w:rsidR="00AA5727" w:rsidRPr="00383332">
        <w:rPr>
          <w:rFonts w:asciiTheme="minorBidi" w:hAnsiTheme="minorBidi"/>
          <w:i/>
          <w:iCs/>
          <w:sz w:val="22"/>
          <w:szCs w:val="22"/>
        </w:rPr>
        <w:t>et al.</w:t>
      </w:r>
      <w:r w:rsidR="00AA5727" w:rsidRPr="00383332">
        <w:rPr>
          <w:rFonts w:asciiTheme="minorBidi" w:hAnsiTheme="minorBidi"/>
          <w:sz w:val="22"/>
          <w:szCs w:val="22"/>
        </w:rPr>
        <w:t>, 2023)</w:t>
      </w:r>
      <w:r w:rsidR="00853A15" w:rsidRPr="00383332">
        <w:rPr>
          <w:rFonts w:asciiTheme="minorBidi" w:eastAsia="Times New Roman" w:hAnsiTheme="minorBidi"/>
          <w:kern w:val="0"/>
          <w:sz w:val="22"/>
          <w:szCs w:val="22"/>
          <w:lang w:eastAsia="en-GB"/>
          <w14:ligatures w14:val="none"/>
        </w:rPr>
        <w:t>.</w:t>
      </w:r>
    </w:p>
    <w:p w14:paraId="55CBA0B0" w14:textId="3167EF5C" w:rsidR="00853A15" w:rsidRPr="00383332" w:rsidRDefault="00F15D0F"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SOLER technique proposed by Egan helps to communicate effectively through attentive nonverbal communication. It comprises sitting square, having an open body posture, leaning towards the individual, making good eye contact and being relaxed </w:t>
      </w:r>
      <w:r w:rsidR="00853A15" w:rsidRPr="00383332">
        <w:rPr>
          <w:rFonts w:asciiTheme="minorBidi" w:eastAsia="Times New Roman" w:hAnsiTheme="minorBidi"/>
          <w:kern w:val="0"/>
          <w:sz w:val="22"/>
          <w:szCs w:val="22"/>
          <w:lang w:eastAsia="en-GB"/>
          <w14:ligatures w14:val="none"/>
        </w:rPr>
        <w:t xml:space="preserve">(Egan, 2017). </w:t>
      </w:r>
      <w:r w:rsidR="00E91D0F" w:rsidRPr="00383332">
        <w:rPr>
          <w:rFonts w:asciiTheme="minorBidi" w:eastAsia="Times New Roman" w:hAnsiTheme="minorBidi"/>
          <w:kern w:val="0"/>
          <w:sz w:val="22"/>
          <w:szCs w:val="22"/>
          <w:lang w:eastAsia="en-GB"/>
          <w14:ligatures w14:val="none"/>
        </w:rPr>
        <w:t xml:space="preserve">Indeed, in practice, the caregiver can sit at the same height as Mrs Thompson, listen to her without </w:t>
      </w:r>
      <w:r w:rsidR="00E91D0F" w:rsidRPr="00383332">
        <w:rPr>
          <w:rFonts w:asciiTheme="minorBidi" w:eastAsia="Times New Roman" w:hAnsiTheme="minorBidi"/>
          <w:kern w:val="0"/>
          <w:sz w:val="22"/>
          <w:szCs w:val="22"/>
          <w:lang w:eastAsia="en-GB"/>
          <w14:ligatures w14:val="none"/>
        </w:rPr>
        <w:lastRenderedPageBreak/>
        <w:t xml:space="preserve">interrupting, recognize her fear, and summarize what she is saying. However, the use of the SOLER technique should not be mechanical since direct eye contact and close proximity might make one feel uncomfortable based on their cultural, sensory, or personal background </w:t>
      </w:r>
      <w:r w:rsidR="00853A15" w:rsidRPr="00383332">
        <w:rPr>
          <w:rFonts w:asciiTheme="minorBidi" w:eastAsia="Times New Roman" w:hAnsiTheme="minorBidi"/>
          <w:kern w:val="0"/>
          <w:sz w:val="22"/>
          <w:szCs w:val="22"/>
          <w:lang w:eastAsia="en-GB"/>
          <w14:ligatures w14:val="none"/>
        </w:rPr>
        <w:t>(Stickley, 2011).</w:t>
      </w:r>
    </w:p>
    <w:p w14:paraId="7FE062FD" w14:textId="41C24C47" w:rsidR="00853A15" w:rsidRPr="00383332" w:rsidRDefault="00D538A9"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The Equality Act 2010 shields individuals against discrimination based on traits such as age and disability (GOV.UK, 2013). Mrs. Thompson cannot be treated as incompetent just because she is old and suffers from dementia. If Mrs. Thompson’s dementia qualifies under the law as a disability, adjustments have to be made by the service providers, which may include information in an easily accessible form, longer consultation hours, regular carers, or assistive devices for communication. Language, religion, culture, hearing, and visual requirements have also to be taken into account </w:t>
      </w:r>
      <w:r w:rsidR="00AA5727" w:rsidRPr="00383332">
        <w:rPr>
          <w:rFonts w:asciiTheme="minorBidi" w:hAnsiTheme="minorBidi"/>
          <w:sz w:val="22"/>
          <w:szCs w:val="22"/>
        </w:rPr>
        <w:t xml:space="preserve">(Read </w:t>
      </w:r>
      <w:r w:rsidR="00AA5727" w:rsidRPr="00383332">
        <w:rPr>
          <w:rFonts w:asciiTheme="minorBidi" w:hAnsiTheme="minorBidi"/>
          <w:i/>
          <w:iCs/>
          <w:sz w:val="22"/>
          <w:szCs w:val="22"/>
        </w:rPr>
        <w:t>et al.</w:t>
      </w:r>
      <w:r w:rsidR="00AA5727" w:rsidRPr="00383332">
        <w:rPr>
          <w:rFonts w:asciiTheme="minorBidi" w:hAnsiTheme="minorBidi"/>
          <w:sz w:val="22"/>
          <w:szCs w:val="22"/>
        </w:rPr>
        <w:t>, 2018)</w:t>
      </w:r>
      <w:r w:rsidR="00853A15" w:rsidRPr="00383332">
        <w:rPr>
          <w:rFonts w:asciiTheme="minorBidi" w:eastAsia="Times New Roman" w:hAnsiTheme="minorBidi"/>
          <w:kern w:val="0"/>
          <w:sz w:val="22"/>
          <w:szCs w:val="22"/>
          <w:lang w:eastAsia="en-GB"/>
          <w14:ligatures w14:val="none"/>
        </w:rPr>
        <w:t>.</w:t>
      </w:r>
    </w:p>
    <w:p w14:paraId="0A641C1C" w14:textId="77777777" w:rsidR="00497682" w:rsidRPr="00383332" w:rsidRDefault="00497682" w:rsidP="00383332">
      <w:pPr>
        <w:spacing w:before="100" w:beforeAutospacing="1" w:after="100" w:afterAutospacing="1" w:line="360" w:lineRule="auto"/>
        <w:jc w:val="both"/>
        <w:outlineLvl w:val="1"/>
        <w:rPr>
          <w:rFonts w:asciiTheme="minorBidi" w:eastAsia="Times New Roman" w:hAnsiTheme="minorBidi"/>
          <w:kern w:val="0"/>
          <w:sz w:val="22"/>
          <w:szCs w:val="22"/>
          <w:lang w:eastAsia="en-GB"/>
          <w14:ligatures w14:val="none"/>
        </w:rPr>
      </w:pPr>
      <w:bookmarkStart w:id="3" w:name="_Toc235633388"/>
      <w:r w:rsidRPr="00383332">
        <w:rPr>
          <w:rFonts w:asciiTheme="minorBidi" w:eastAsia="Times New Roman" w:hAnsiTheme="minorBidi"/>
          <w:kern w:val="0"/>
          <w:sz w:val="22"/>
          <w:szCs w:val="22"/>
          <w:lang w:eastAsia="en-GB"/>
          <w14:ligatures w14:val="none"/>
        </w:rPr>
        <w:t>Family input will also give information regarding Mrs Thompson’s baseline cognitive functioning, as well as her medication and preferences. Nonetheless, it is imperative that the staff gets her permission to release confidential information and keep including her in the discussion. The fact that one has mild dementia does not equate to lack of capacity. As per the Mental Capacity Act 2005, capacity should always be assumed and tested for each decision made (Mental Capacity Act, 2005). Where there is no capacity, decisions have to be done through the best interests approach.</w:t>
      </w:r>
      <w:bookmarkEnd w:id="3"/>
    </w:p>
    <w:p w14:paraId="3990D5BF" w14:textId="6E77F0F7" w:rsidR="00853A15" w:rsidRPr="00383332" w:rsidRDefault="00853A15" w:rsidP="00383332">
      <w:pPr>
        <w:pStyle w:val="Heading1"/>
        <w:spacing w:line="360" w:lineRule="auto"/>
        <w:jc w:val="both"/>
        <w:rPr>
          <w:rFonts w:asciiTheme="minorBidi" w:eastAsia="Times New Roman" w:hAnsiTheme="minorBidi" w:cstheme="minorBidi"/>
          <w:sz w:val="22"/>
          <w:szCs w:val="22"/>
          <w:lang w:eastAsia="en-GB"/>
        </w:rPr>
      </w:pPr>
      <w:bookmarkStart w:id="4" w:name="_Toc235633389"/>
      <w:r w:rsidRPr="00383332">
        <w:rPr>
          <w:rFonts w:asciiTheme="minorBidi" w:eastAsia="Times New Roman" w:hAnsiTheme="minorBidi" w:cstheme="minorBidi"/>
          <w:sz w:val="22"/>
          <w:szCs w:val="22"/>
          <w:lang w:eastAsia="en-GB"/>
        </w:rPr>
        <w:t>2. Importance of good administrative skills</w:t>
      </w:r>
      <w:bookmarkEnd w:id="4"/>
    </w:p>
    <w:p w14:paraId="1315CECE" w14:textId="77777777" w:rsidR="00497682" w:rsidRPr="00383332" w:rsidRDefault="00497682"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Efficient administration ensures continuity, accountability, and early identification of risks. Proper documentation enables various staff members to understand the care offered, the message relayed by Mrs. Thompson, and actions needed to be done. Demsash et al. (2023) indicate that proper documentation plays a crucial role in continuity, professional communication, and patient safety. The absence of documentation may lead to undetected medication non-adherence or failure to recognize her worsening confusion.</w:t>
      </w:r>
    </w:p>
    <w:p w14:paraId="2C8A8F71" w14:textId="6B2A81F8" w:rsidR="00853A15" w:rsidRPr="00383332" w:rsidRDefault="00BC7DA5"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The notes of Mrs Thompson should contain the latest assessment and plan for her care, current medications list, allergies, extent of medication support, MAR, capacity and consent issues, contact details and procedures for emergencies. The notes of each visit should be done in a timely manner and should include what medicines were given, what were refused or not available. The absence of notes over the period of two days should be written in both care notes and incident notes, along with the consequences of it, actions taken, who was told and any further actions planned. The case where Mrs Thompson was out wearing </w:t>
      </w:r>
      <w:r w:rsidRPr="00383332">
        <w:rPr>
          <w:rFonts w:asciiTheme="minorBidi" w:eastAsia="Times New Roman" w:hAnsiTheme="minorBidi"/>
          <w:kern w:val="0"/>
          <w:sz w:val="22"/>
          <w:szCs w:val="22"/>
          <w:lang w:eastAsia="en-GB"/>
          <w14:ligatures w14:val="none"/>
        </w:rPr>
        <w:lastRenderedPageBreak/>
        <w:t xml:space="preserve">inappropriate clothes should be noted with time, weather, presentation, actions taken and referral to the council </w:t>
      </w:r>
      <w:r w:rsidR="000E4338" w:rsidRPr="00383332">
        <w:rPr>
          <w:rFonts w:asciiTheme="minorBidi" w:hAnsiTheme="minorBidi"/>
          <w:sz w:val="22"/>
          <w:szCs w:val="22"/>
        </w:rPr>
        <w:t xml:space="preserve">(Contino, 2019; Vainieri </w:t>
      </w:r>
      <w:r w:rsidR="000E4338" w:rsidRPr="00383332">
        <w:rPr>
          <w:rFonts w:asciiTheme="minorBidi" w:hAnsiTheme="minorBidi"/>
          <w:i/>
          <w:iCs/>
          <w:sz w:val="22"/>
          <w:szCs w:val="22"/>
        </w:rPr>
        <w:t>et al.</w:t>
      </w:r>
      <w:r w:rsidR="000E4338" w:rsidRPr="00383332">
        <w:rPr>
          <w:rFonts w:asciiTheme="minorBidi" w:hAnsiTheme="minorBidi"/>
          <w:sz w:val="22"/>
          <w:szCs w:val="22"/>
        </w:rPr>
        <w:t>, 2019)</w:t>
      </w:r>
      <w:r w:rsidR="00853A15" w:rsidRPr="00383332">
        <w:rPr>
          <w:rFonts w:asciiTheme="minorBidi" w:eastAsia="Times New Roman" w:hAnsiTheme="minorBidi"/>
          <w:kern w:val="0"/>
          <w:sz w:val="22"/>
          <w:szCs w:val="22"/>
          <w:lang w:eastAsia="en-GB"/>
          <w14:ligatures w14:val="none"/>
        </w:rPr>
        <w:t>.</w:t>
      </w:r>
    </w:p>
    <w:p w14:paraId="4EB5FA34" w14:textId="77777777" w:rsidR="002429FE" w:rsidRPr="00383332" w:rsidRDefault="002429FE"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The Health and Social Care Act 2008 (Regulated Activities) Regulations 2014 regulation 17 states that all organizations must ensure secure and accurate record keeping for their service users (Care Quality Commission, 2025). Regulation 12 also requires assessment and mitigation of risks. The NICE guideline NG67 suggests the need for assessment of the service user’s needs regarding medicines support, recording of decision making, sharing of changes between the services and monitoring of medicines support provided by the care workers (NICE, 2017). Thus, the process of medicines review cannot be considered finished without documentation and implementation.</w:t>
      </w:r>
    </w:p>
    <w:p w14:paraId="7A28F01F" w14:textId="77777777" w:rsidR="008076FE" w:rsidRPr="00383332" w:rsidRDefault="008076FE"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The Data Protection Act 2018 works together with the UK GDPR (GOV.UK, 2018). Since the health data of Mrs Thompson is considered special category data, the provider needs to find and document an appropriate lawful basis under Article 6 and an appropriate condition for processing the data under Article 9. The seven data protection principles include lawfulness, fairness and transparency; purpose limitation; data minimization; accuracy; storage limitation; security; and accountability (ICO, 2023). In practice, this means that staff will need to enter only the relevant data, ensure the correction of any inaccuracies, adhere to retention schedules, and communicate how her data is being processed. Paper records should be stored in a locked file, electronic files should have passwords, and data transfer should be conducted via secure routes only (Vainieri et al., 2019).</w:t>
      </w:r>
    </w:p>
    <w:p w14:paraId="34D733A9" w14:textId="77777777" w:rsidR="00786162" w:rsidRPr="00383332" w:rsidRDefault="00786162" w:rsidP="00383332">
      <w:pPr>
        <w:spacing w:before="100" w:beforeAutospacing="1" w:after="100" w:afterAutospacing="1" w:line="360" w:lineRule="auto"/>
        <w:jc w:val="both"/>
        <w:outlineLvl w:val="1"/>
        <w:rPr>
          <w:rFonts w:asciiTheme="minorBidi" w:eastAsia="Times New Roman" w:hAnsiTheme="minorBidi"/>
          <w:kern w:val="0"/>
          <w:sz w:val="22"/>
          <w:szCs w:val="22"/>
          <w:lang w:eastAsia="en-GB"/>
          <w14:ligatures w14:val="none"/>
        </w:rPr>
      </w:pPr>
      <w:bookmarkStart w:id="5" w:name="_Toc235633390"/>
      <w:r w:rsidRPr="00383332">
        <w:rPr>
          <w:rFonts w:asciiTheme="minorBidi" w:eastAsia="Times New Roman" w:hAnsiTheme="minorBidi"/>
          <w:kern w:val="0"/>
          <w:sz w:val="22"/>
          <w:szCs w:val="22"/>
          <w:lang w:eastAsia="en-GB"/>
          <w14:ligatures w14:val="none"/>
        </w:rPr>
        <w:t>However, confidentiality must not create dangerous barriers. Information can be shared with the GP, community nurse, pharmacist, and the local authority if it is needed in the context of proper safeguarding or care, but the sharing of information must still be proportionate and necessary. Decisions regarding the sharing or withholding of information must be documented (Shelat, 2025). The cold weather situation may fall within the definition of a local authority safeguarding enquiry according to section 42 of the Care Act 2014 (UK Government, 2014). Effective management, therefore, links all these processes together and does not compartmentalize them.</w:t>
      </w:r>
      <w:bookmarkEnd w:id="5"/>
    </w:p>
    <w:p w14:paraId="24C94BDE" w14:textId="0BD2E63C" w:rsidR="00853A15" w:rsidRPr="00383332" w:rsidRDefault="00853A15" w:rsidP="00383332">
      <w:pPr>
        <w:pStyle w:val="Heading1"/>
        <w:spacing w:line="360" w:lineRule="auto"/>
        <w:jc w:val="both"/>
        <w:rPr>
          <w:rFonts w:asciiTheme="minorBidi" w:eastAsia="Times New Roman" w:hAnsiTheme="minorBidi" w:cstheme="minorBidi"/>
          <w:sz w:val="22"/>
          <w:szCs w:val="22"/>
          <w:lang w:eastAsia="en-GB"/>
        </w:rPr>
      </w:pPr>
      <w:bookmarkStart w:id="6" w:name="_Toc235633391"/>
      <w:r w:rsidRPr="00383332">
        <w:rPr>
          <w:rFonts w:asciiTheme="minorBidi" w:eastAsia="Times New Roman" w:hAnsiTheme="minorBidi" w:cstheme="minorBidi"/>
          <w:sz w:val="22"/>
          <w:szCs w:val="22"/>
          <w:lang w:eastAsia="en-GB"/>
        </w:rPr>
        <w:t>3. Importance of collaborative working</w:t>
      </w:r>
      <w:bookmarkEnd w:id="6"/>
    </w:p>
    <w:p w14:paraId="59703E3E" w14:textId="0E300F36" w:rsidR="00853A15" w:rsidRPr="00383332" w:rsidRDefault="00824015"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The collaborative approach will ensure that a coordinated response is provided to Mrs. Thompson’s inter-related needs. The GP will need to consider her increasing confusion and check her prescriptions, the community nurse can look at her recovery from pneumonia and any cognitive/physical decline, a pharmacist will be able to simplify her drug management, </w:t>
      </w:r>
      <w:r w:rsidRPr="00383332">
        <w:rPr>
          <w:rFonts w:asciiTheme="minorBidi" w:eastAsia="Times New Roman" w:hAnsiTheme="minorBidi"/>
          <w:kern w:val="0"/>
          <w:sz w:val="22"/>
          <w:szCs w:val="22"/>
          <w:lang w:eastAsia="en-GB"/>
          <w14:ligatures w14:val="none"/>
        </w:rPr>
        <w:lastRenderedPageBreak/>
        <w:t>domiciliary carers can check compliance, and authority/local authority and sheltered housing staff can tackle self-neglect and her tendency to wander. Mrs. Thompson and, with her permission, her family will be crucial</w:t>
      </w:r>
      <w:r w:rsidRPr="00383332">
        <w:rPr>
          <w:rFonts w:asciiTheme="minorBidi" w:eastAsia="MS Mincho" w:hAnsiTheme="minorBidi"/>
          <w:kern w:val="0"/>
          <w:sz w:val="22"/>
          <w:szCs w:val="22"/>
          <w:lang w:eastAsia="en-GB"/>
          <w14:ligatures w14:val="none"/>
        </w:rPr>
        <w:t xml:space="preserve"> </w:t>
      </w:r>
      <w:r w:rsidR="0045578B" w:rsidRPr="00383332">
        <w:rPr>
          <w:rFonts w:asciiTheme="minorBidi" w:hAnsiTheme="minorBidi"/>
          <w:sz w:val="22"/>
          <w:szCs w:val="22"/>
        </w:rPr>
        <w:t>(Morley and Cashell, 2017)</w:t>
      </w:r>
      <w:r w:rsidR="00853A15" w:rsidRPr="00383332">
        <w:rPr>
          <w:rFonts w:asciiTheme="minorBidi" w:eastAsia="Times New Roman" w:hAnsiTheme="minorBidi"/>
          <w:kern w:val="0"/>
          <w:sz w:val="22"/>
          <w:szCs w:val="22"/>
          <w:lang w:eastAsia="en-GB"/>
          <w14:ligatures w14:val="none"/>
        </w:rPr>
        <w:t>.</w:t>
      </w:r>
    </w:p>
    <w:p w14:paraId="4210AC03" w14:textId="7CAE0CC6" w:rsidR="00853A15" w:rsidRPr="00383332" w:rsidRDefault="00445B66"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 xml:space="preserve">Teamwork must entail common goals, roles, respect, and good communication. As stated by Nancarrow et al. (2013), role clarification, skill mix, leadership, and communication are characteristics of effective interdisciplinary teams. There should be only one up-to-date care plan, identification of who triggers or administers each drug, and tasks with identified individuals responsible for their implementation and due dates. Multidisciplinary meetings, protected access to records, medication review, and structured handovers like SBAR can help avoid omissions. Collaboration strategies might benefit professional practice and resources allocation, depending on how regularly they will be used </w:t>
      </w:r>
      <w:r w:rsidR="0045578B" w:rsidRPr="00383332">
        <w:rPr>
          <w:rFonts w:asciiTheme="minorBidi" w:hAnsiTheme="minorBidi"/>
          <w:sz w:val="22"/>
          <w:szCs w:val="22"/>
        </w:rPr>
        <w:t xml:space="preserve">(Fernández </w:t>
      </w:r>
      <w:r w:rsidR="0045578B" w:rsidRPr="00383332">
        <w:rPr>
          <w:rFonts w:asciiTheme="minorBidi" w:hAnsiTheme="minorBidi"/>
          <w:i/>
          <w:iCs/>
          <w:sz w:val="22"/>
          <w:szCs w:val="22"/>
        </w:rPr>
        <w:t>et al.</w:t>
      </w:r>
      <w:r w:rsidR="0045578B" w:rsidRPr="00383332">
        <w:rPr>
          <w:rFonts w:asciiTheme="minorBidi" w:hAnsiTheme="minorBidi"/>
          <w:sz w:val="22"/>
          <w:szCs w:val="22"/>
        </w:rPr>
        <w:t>, 2022)</w:t>
      </w:r>
      <w:r w:rsidR="00853A15" w:rsidRPr="00383332">
        <w:rPr>
          <w:rFonts w:asciiTheme="minorBidi" w:eastAsia="Times New Roman" w:hAnsiTheme="minorBidi"/>
          <w:kern w:val="0"/>
          <w:sz w:val="22"/>
          <w:szCs w:val="22"/>
          <w:lang w:eastAsia="en-GB"/>
          <w14:ligatures w14:val="none"/>
        </w:rPr>
        <w:t>.</w:t>
      </w:r>
    </w:p>
    <w:p w14:paraId="4201C1F7" w14:textId="77777777" w:rsidR="0068573A" w:rsidRPr="00383332" w:rsidRDefault="0068573A" w:rsidP="00383332">
      <w:pPr>
        <w:spacing w:before="100" w:beforeAutospacing="1" w:after="100" w:afterAutospacing="1" w:line="360" w:lineRule="auto"/>
        <w:jc w:val="both"/>
        <w:outlineLvl w:val="1"/>
        <w:rPr>
          <w:rFonts w:asciiTheme="minorBidi" w:eastAsia="Times New Roman" w:hAnsiTheme="minorBidi"/>
          <w:kern w:val="0"/>
          <w:sz w:val="22"/>
          <w:szCs w:val="22"/>
          <w:lang w:eastAsia="en-GB"/>
          <w14:ligatures w14:val="none"/>
        </w:rPr>
      </w:pPr>
      <w:bookmarkStart w:id="7" w:name="_Toc235633392"/>
      <w:r w:rsidRPr="00383332">
        <w:rPr>
          <w:rFonts w:asciiTheme="minorBidi" w:eastAsia="Times New Roman" w:hAnsiTheme="minorBidi"/>
          <w:kern w:val="0"/>
          <w:sz w:val="22"/>
          <w:szCs w:val="22"/>
          <w:lang w:eastAsia="en-GB"/>
          <w14:ligatures w14:val="none"/>
        </w:rPr>
        <w:t>Possible obstacles may include unclear role allocations, employee turnover, organisational differences, incompatible computer systems, pressure for time and uncertainty concerning confidentiality. This could lead to duplicating efforts or leaving certain responsibilities undefined. Role allocations in writing, an updated list of contacts, established protocols for escalating issues and conducting case reviews would resolve these difficulties. Data sharing protocols and training need to clarify when it is permissible as opposed to over-disclosing or over-restricting data. Disagreements among professionals should be resolved by means of a discussion based on evidence and risk assessment with possible escalation to a senior member (Manca et al., 2018).</w:t>
      </w:r>
      <w:bookmarkEnd w:id="7"/>
    </w:p>
    <w:p w14:paraId="6921127C" w14:textId="0EC54C03" w:rsidR="00853A15" w:rsidRPr="00383332" w:rsidRDefault="00853A15" w:rsidP="00383332">
      <w:pPr>
        <w:pStyle w:val="Heading1"/>
        <w:spacing w:line="360" w:lineRule="auto"/>
        <w:jc w:val="both"/>
        <w:rPr>
          <w:rFonts w:asciiTheme="minorBidi" w:eastAsia="Times New Roman" w:hAnsiTheme="minorBidi" w:cstheme="minorBidi"/>
          <w:sz w:val="22"/>
          <w:szCs w:val="22"/>
          <w:lang w:eastAsia="en-GB"/>
        </w:rPr>
      </w:pPr>
      <w:bookmarkStart w:id="8" w:name="_Toc235633393"/>
      <w:r w:rsidRPr="00383332">
        <w:rPr>
          <w:rFonts w:asciiTheme="minorBidi" w:eastAsia="Times New Roman" w:hAnsiTheme="minorBidi" w:cstheme="minorBidi"/>
          <w:sz w:val="22"/>
          <w:szCs w:val="22"/>
          <w:lang w:eastAsia="en-GB"/>
        </w:rPr>
        <w:t>Conclusion</w:t>
      </w:r>
      <w:bookmarkEnd w:id="8"/>
    </w:p>
    <w:p w14:paraId="359F586B" w14:textId="3AD737D6" w:rsidR="005410B7" w:rsidRPr="00383332" w:rsidRDefault="007E612A"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83332">
        <w:rPr>
          <w:rFonts w:asciiTheme="minorBidi" w:eastAsia="Times New Roman" w:hAnsiTheme="minorBidi"/>
          <w:kern w:val="0"/>
          <w:sz w:val="22"/>
          <w:szCs w:val="22"/>
          <w:lang w:eastAsia="en-GB"/>
          <w14:ligatures w14:val="none"/>
        </w:rPr>
        <w:t>The case of Mrs Thompson highlights how communication, administration, and collaboration are interconnected elements of professional safety. Adapted and person-centered communication will be helpful for Mrs Thompson to better understand the medicines, voice her concerns and stay engaged with mild dementia. While Egan’s SOLER model facilitates active listening, it should be consistent with Mrs Thompson’s culture and individual needs. The Equality Act 2010 implies non-discrimination of patients and reasonable adjustments while the Mental Capacity Act 2005 guarantees the autonomy of Mrs Thompson. Keeping accurate, up-to-date and confidential records will enable healthcare professionals to detect any missed doses of medications, report on the safeguarding issues and assess the effectiveness of measures taken within the framework of the data protection act, CQC and NICE guidelines.</w:t>
      </w:r>
    </w:p>
    <w:p w14:paraId="23633402" w14:textId="77777777" w:rsidR="005410B7" w:rsidRPr="00383332" w:rsidRDefault="005410B7" w:rsidP="00383332">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p>
    <w:p w14:paraId="31CFF123" w14:textId="0F618B9C" w:rsidR="005410B7" w:rsidRPr="00383332" w:rsidRDefault="005410B7" w:rsidP="00383332">
      <w:pPr>
        <w:pStyle w:val="Heading1"/>
        <w:spacing w:line="360" w:lineRule="auto"/>
        <w:jc w:val="both"/>
        <w:rPr>
          <w:rFonts w:asciiTheme="minorBidi" w:eastAsia="Times New Roman" w:hAnsiTheme="minorBidi" w:cstheme="minorBidi"/>
          <w:sz w:val="22"/>
          <w:szCs w:val="22"/>
          <w:lang w:eastAsia="en-GB"/>
        </w:rPr>
      </w:pPr>
      <w:bookmarkStart w:id="9" w:name="_Toc235633394"/>
      <w:r w:rsidRPr="00383332">
        <w:rPr>
          <w:rFonts w:asciiTheme="minorBidi" w:eastAsia="Times New Roman" w:hAnsiTheme="minorBidi" w:cstheme="minorBidi"/>
          <w:sz w:val="22"/>
          <w:szCs w:val="22"/>
          <w:lang w:eastAsia="en-GB"/>
        </w:rPr>
        <w:lastRenderedPageBreak/>
        <w:t>References</w:t>
      </w:r>
      <w:bookmarkEnd w:id="9"/>
    </w:p>
    <w:p w14:paraId="7CB05886"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Care Quality Commission (2025) </w:t>
      </w:r>
      <w:r w:rsidRPr="00383332">
        <w:rPr>
          <w:rFonts w:asciiTheme="minorBidi" w:hAnsiTheme="minorBidi" w:cstheme="minorBidi"/>
          <w:i/>
          <w:iCs/>
          <w:sz w:val="22"/>
          <w:szCs w:val="22"/>
        </w:rPr>
        <w:t>Regulation 17: Good Governance - Care Quality Commission</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Cqc.org.uk</w:t>
      </w:r>
      <w:r w:rsidRPr="00383332">
        <w:rPr>
          <w:rFonts w:asciiTheme="minorBidi" w:hAnsiTheme="minorBidi" w:cstheme="minorBidi"/>
          <w:sz w:val="22"/>
          <w:szCs w:val="22"/>
        </w:rPr>
        <w:t>. Available at: https://www.cqc.org.uk/guidance-regulation/providers/regulations-service-providers-and-managers/health-social-care-act/regulation-17 (Accessed: July 22, 2026).</w:t>
      </w:r>
    </w:p>
    <w:p w14:paraId="1440FBA7"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Contino, D.S. (2019) “Leadership Competencies: Knowledge, Skills, and Aptitudes Nurses Need to Lead Organizations Effectively,” </w:t>
      </w:r>
      <w:r w:rsidRPr="00383332">
        <w:rPr>
          <w:rFonts w:asciiTheme="minorBidi" w:hAnsiTheme="minorBidi" w:cstheme="minorBidi"/>
          <w:i/>
          <w:iCs/>
          <w:sz w:val="22"/>
          <w:szCs w:val="22"/>
        </w:rPr>
        <w:t>Critical Care Nurse</w:t>
      </w:r>
      <w:r w:rsidRPr="00383332">
        <w:rPr>
          <w:rFonts w:asciiTheme="minorBidi" w:hAnsiTheme="minorBidi" w:cstheme="minorBidi"/>
          <w:sz w:val="22"/>
          <w:szCs w:val="22"/>
        </w:rPr>
        <w:t>, 24(3), pp. 52–64. Available at: https://doi.org/10.4037/ccn2004.24.3.52.</w:t>
      </w:r>
    </w:p>
    <w:p w14:paraId="1C02E999"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Danaher, T.S.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(2023) “Improving How Clinicians Communicate with patients: An Integrative Review and Framework,” </w:t>
      </w:r>
      <w:r w:rsidRPr="00383332">
        <w:rPr>
          <w:rFonts w:asciiTheme="minorBidi" w:hAnsiTheme="minorBidi" w:cstheme="minorBidi"/>
          <w:i/>
          <w:iCs/>
          <w:sz w:val="22"/>
          <w:szCs w:val="22"/>
        </w:rPr>
        <w:t>Sage Journals</w:t>
      </w:r>
      <w:r w:rsidRPr="00383332">
        <w:rPr>
          <w:rFonts w:asciiTheme="minorBidi" w:hAnsiTheme="minorBidi" w:cstheme="minorBidi"/>
          <w:sz w:val="22"/>
          <w:szCs w:val="22"/>
        </w:rPr>
        <w:t>, 26(4), pp. 493–510. Available at: https://doi.org/10.1177/10946705231190018.</w:t>
      </w:r>
    </w:p>
    <w:p w14:paraId="36C84157"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Demsash, A.W.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(2023) “Health professionals’ routine practice documentation and its associated factors in a resource-limited setting: A cross-sectional study,” </w:t>
      </w:r>
      <w:r w:rsidRPr="00383332">
        <w:rPr>
          <w:rFonts w:asciiTheme="minorBidi" w:hAnsiTheme="minorBidi" w:cstheme="minorBidi"/>
          <w:i/>
          <w:iCs/>
          <w:sz w:val="22"/>
          <w:szCs w:val="22"/>
        </w:rPr>
        <w:t>BMJ Health &amp; Care Informatics</w:t>
      </w:r>
      <w:r w:rsidRPr="00383332">
        <w:rPr>
          <w:rFonts w:asciiTheme="minorBidi" w:hAnsiTheme="minorBidi" w:cstheme="minorBidi"/>
          <w:sz w:val="22"/>
          <w:szCs w:val="22"/>
        </w:rPr>
        <w:t>, 30(1), pp. 1–7. Available at: https://doi.org/10.1136/bmjhci-2022-100699.</w:t>
      </w:r>
    </w:p>
    <w:p w14:paraId="3B7F6745"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Egan, G. (2017) </w:t>
      </w:r>
      <w:r w:rsidRPr="00383332">
        <w:rPr>
          <w:rFonts w:asciiTheme="minorBidi" w:hAnsiTheme="minorBidi" w:cstheme="minorBidi"/>
          <w:i/>
          <w:iCs/>
          <w:sz w:val="22"/>
          <w:szCs w:val="22"/>
        </w:rPr>
        <w:t>The Skilled Helper: A Problem-Management and Opportunity-Development Approach to Helping, 11th Edition - 9781305865716 - Cengage</w:t>
      </w:r>
      <w:r w:rsidRPr="00383332">
        <w:rPr>
          <w:rFonts w:asciiTheme="minorBidi" w:hAnsiTheme="minorBidi" w:cstheme="minorBidi"/>
          <w:sz w:val="22"/>
          <w:szCs w:val="22"/>
        </w:rPr>
        <w:t>. 11th edn. Cengage.</w:t>
      </w:r>
    </w:p>
    <w:p w14:paraId="21A9928B"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Fernández, M.C.M.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(2022) “SBAR method for improving well-being in the internal medicine unit: Quasi-Experimental research,” </w:t>
      </w:r>
      <w:r w:rsidRPr="00383332">
        <w:rPr>
          <w:rFonts w:asciiTheme="minorBidi" w:hAnsiTheme="minorBidi" w:cstheme="minorBidi"/>
          <w:i/>
          <w:iCs/>
          <w:sz w:val="22"/>
          <w:szCs w:val="22"/>
        </w:rPr>
        <w:t>International Journal of Environmental Research and Public Health</w:t>
      </w:r>
      <w:r w:rsidRPr="00383332">
        <w:rPr>
          <w:rFonts w:asciiTheme="minorBidi" w:hAnsiTheme="minorBidi" w:cstheme="minorBidi"/>
          <w:sz w:val="22"/>
          <w:szCs w:val="22"/>
        </w:rPr>
        <w:t>, 19(24), pp. 1–13. Available at: https://doi.org/10.3390/ijerph192416813.</w:t>
      </w:r>
    </w:p>
    <w:p w14:paraId="0167951F"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GOV.UK (2013) </w:t>
      </w:r>
      <w:r w:rsidRPr="00383332">
        <w:rPr>
          <w:rFonts w:asciiTheme="minorBidi" w:hAnsiTheme="minorBidi" w:cstheme="minorBidi"/>
          <w:i/>
          <w:iCs/>
          <w:sz w:val="22"/>
          <w:szCs w:val="22"/>
        </w:rPr>
        <w:t>Equality Act 2010</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GOV.UK</w:t>
      </w:r>
      <w:r w:rsidRPr="00383332">
        <w:rPr>
          <w:rFonts w:asciiTheme="minorBidi" w:hAnsiTheme="minorBidi" w:cstheme="minorBidi"/>
          <w:sz w:val="22"/>
          <w:szCs w:val="22"/>
        </w:rPr>
        <w:t>. Available at: https://www.gov.uk/guidance/equality-act-2010-guidance (Accessed: July 22, 2026).</w:t>
      </w:r>
    </w:p>
    <w:p w14:paraId="7DD089B2"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GOV.UK (2018) </w:t>
      </w:r>
      <w:r w:rsidRPr="00383332">
        <w:rPr>
          <w:rFonts w:asciiTheme="minorBidi" w:hAnsiTheme="minorBidi" w:cstheme="minorBidi"/>
          <w:i/>
          <w:iCs/>
          <w:sz w:val="22"/>
          <w:szCs w:val="22"/>
        </w:rPr>
        <w:t>Data Protection Act 2018</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Legislation.gov.uk</w:t>
      </w:r>
      <w:r w:rsidRPr="00383332">
        <w:rPr>
          <w:rFonts w:asciiTheme="minorBidi" w:hAnsiTheme="minorBidi" w:cstheme="minorBidi"/>
          <w:sz w:val="22"/>
          <w:szCs w:val="22"/>
        </w:rPr>
        <w:t>. Available at: https://www.legislation.gov.uk/ukpga/2018/12/contents (Accessed: July 22, 2026).</w:t>
      </w:r>
    </w:p>
    <w:p w14:paraId="443F5DC9"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Grover, S.M. (2005) “Shaping Effective Communication Skills and Therapeutic Relationships at Work: The Foundation of Collaboration,” </w:t>
      </w:r>
      <w:r w:rsidRPr="00383332">
        <w:rPr>
          <w:rFonts w:asciiTheme="minorBidi" w:hAnsiTheme="minorBidi" w:cstheme="minorBidi"/>
          <w:i/>
          <w:iCs/>
          <w:sz w:val="22"/>
          <w:szCs w:val="22"/>
        </w:rPr>
        <w:t>AAOHN Journal</w:t>
      </w:r>
      <w:r w:rsidRPr="00383332">
        <w:rPr>
          <w:rFonts w:asciiTheme="minorBidi" w:hAnsiTheme="minorBidi" w:cstheme="minorBidi"/>
          <w:sz w:val="22"/>
          <w:szCs w:val="22"/>
        </w:rPr>
        <w:t>, 53(4), pp. 177–182. Available at: https://doi.org/10.1177/216507990505300408.</w:t>
      </w:r>
    </w:p>
    <w:p w14:paraId="4DFDD171"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ICO (2023) </w:t>
      </w:r>
      <w:r w:rsidRPr="00383332">
        <w:rPr>
          <w:rFonts w:asciiTheme="minorBidi" w:hAnsiTheme="minorBidi" w:cstheme="minorBidi"/>
          <w:i/>
          <w:iCs/>
          <w:sz w:val="22"/>
          <w:szCs w:val="22"/>
        </w:rPr>
        <w:t>A Guide to the Data Protection Principles</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Information Commissioner’s Office</w:t>
      </w:r>
      <w:r w:rsidRPr="00383332">
        <w:rPr>
          <w:rFonts w:asciiTheme="minorBidi" w:hAnsiTheme="minorBidi" w:cstheme="minorBidi"/>
          <w:sz w:val="22"/>
          <w:szCs w:val="22"/>
        </w:rPr>
        <w:t>. Available at: https://ico.org.uk/for-organisations/uk-gdpr-guidance-and-resources/data-protection-principles/a-guide-to-the-data-protection-principles/ (Accessed: July 22, 2026).</w:t>
      </w:r>
    </w:p>
    <w:p w14:paraId="1D58CBB2"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lastRenderedPageBreak/>
        <w:t xml:space="preserve">Manca, C.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(2018) “Collaborative workplaces for innovation in service companies: Barriers and enablers for supporting new ways of working,” </w:t>
      </w:r>
      <w:r w:rsidRPr="00383332">
        <w:rPr>
          <w:rFonts w:asciiTheme="minorBidi" w:hAnsiTheme="minorBidi" w:cstheme="minorBidi"/>
          <w:i/>
          <w:iCs/>
          <w:sz w:val="22"/>
          <w:szCs w:val="22"/>
        </w:rPr>
        <w:t>Service Business</w:t>
      </w:r>
      <w:r w:rsidRPr="00383332">
        <w:rPr>
          <w:rFonts w:asciiTheme="minorBidi" w:hAnsiTheme="minorBidi" w:cstheme="minorBidi"/>
          <w:sz w:val="22"/>
          <w:szCs w:val="22"/>
        </w:rPr>
        <w:t>, 12(3), pp. 525–550. Available at: https://doi.org/10.1007/s11628-017-0359-0.</w:t>
      </w:r>
    </w:p>
    <w:p w14:paraId="728B37DD"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Mental Capacity Act (2005) </w:t>
      </w:r>
      <w:r w:rsidRPr="00383332">
        <w:rPr>
          <w:rFonts w:asciiTheme="minorBidi" w:hAnsiTheme="minorBidi" w:cstheme="minorBidi"/>
          <w:i/>
          <w:iCs/>
          <w:sz w:val="22"/>
          <w:szCs w:val="22"/>
        </w:rPr>
        <w:t>Mental Capacity Act 2005</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Legislation.gov.uk</w:t>
      </w:r>
      <w:r w:rsidRPr="00383332">
        <w:rPr>
          <w:rFonts w:asciiTheme="minorBidi" w:hAnsiTheme="minorBidi" w:cstheme="minorBidi"/>
          <w:sz w:val="22"/>
          <w:szCs w:val="22"/>
        </w:rPr>
        <w:t>. Available at: https://www.legislation.gov.uk/ukpga/2005/9/section/2 (Accessed: July 22, 2026).</w:t>
      </w:r>
    </w:p>
    <w:p w14:paraId="61EB0F12"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Morley, L. and Cashell, A. (2017) “Collaboration in Health Care,” </w:t>
      </w:r>
      <w:r w:rsidRPr="00383332">
        <w:rPr>
          <w:rFonts w:asciiTheme="minorBidi" w:hAnsiTheme="minorBidi" w:cstheme="minorBidi"/>
          <w:i/>
          <w:iCs/>
          <w:sz w:val="22"/>
          <w:szCs w:val="22"/>
        </w:rPr>
        <w:t>Journal of Medical Imaging and Radiation Sciences</w:t>
      </w:r>
      <w:r w:rsidRPr="00383332">
        <w:rPr>
          <w:rFonts w:asciiTheme="minorBidi" w:hAnsiTheme="minorBidi" w:cstheme="minorBidi"/>
          <w:sz w:val="22"/>
          <w:szCs w:val="22"/>
        </w:rPr>
        <w:t>, 48(2), pp. 207–216. Available at: https://doi.org/https://doi.org/10.1016/j.jmir.2017.02.071.</w:t>
      </w:r>
    </w:p>
    <w:p w14:paraId="11AE1410"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Nancarrow, S.A.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(2013) “Ten Principles of Good Interdisciplinary Team Work,” </w:t>
      </w:r>
      <w:r w:rsidRPr="00383332">
        <w:rPr>
          <w:rFonts w:asciiTheme="minorBidi" w:hAnsiTheme="minorBidi" w:cstheme="minorBidi"/>
          <w:i/>
          <w:iCs/>
          <w:sz w:val="22"/>
          <w:szCs w:val="22"/>
        </w:rPr>
        <w:t>Human Resources for Health</w:t>
      </w:r>
      <w:r w:rsidRPr="00383332">
        <w:rPr>
          <w:rFonts w:asciiTheme="minorBidi" w:hAnsiTheme="minorBidi" w:cstheme="minorBidi"/>
          <w:sz w:val="22"/>
          <w:szCs w:val="22"/>
        </w:rPr>
        <w:t>, 11(1). Available at: https://doi.org/10.1186/1478-4491-11-19.</w:t>
      </w:r>
    </w:p>
    <w:p w14:paraId="5E445A37"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NICE (2017) </w:t>
      </w:r>
      <w:r w:rsidRPr="00383332">
        <w:rPr>
          <w:rFonts w:asciiTheme="minorBidi" w:hAnsiTheme="minorBidi" w:cstheme="minorBidi"/>
          <w:i/>
          <w:iCs/>
          <w:sz w:val="22"/>
          <w:szCs w:val="22"/>
        </w:rPr>
        <w:t>Recommendations | Managing medicines for adults receiving social care in the community | Guidance | NICE</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Nice.org.uk</w:t>
      </w:r>
      <w:r w:rsidRPr="00383332">
        <w:rPr>
          <w:rFonts w:asciiTheme="minorBidi" w:hAnsiTheme="minorBidi" w:cstheme="minorBidi"/>
          <w:sz w:val="22"/>
          <w:szCs w:val="22"/>
        </w:rPr>
        <w:t>. NICE. Available at: https://www.nice.org.uk/guidance/ng67/chapter/recommendations (Accessed: July 22, 2026).</w:t>
      </w:r>
    </w:p>
    <w:p w14:paraId="7F45D6DA"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Read, S.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(2018) “Disabled people’s experiences of accessing reasonable adjustments in hospitals: A qualitative study,” </w:t>
      </w:r>
      <w:r w:rsidRPr="00383332">
        <w:rPr>
          <w:rFonts w:asciiTheme="minorBidi" w:hAnsiTheme="minorBidi" w:cstheme="minorBidi"/>
          <w:i/>
          <w:iCs/>
          <w:sz w:val="22"/>
          <w:szCs w:val="22"/>
        </w:rPr>
        <w:t>BMC Health Services Research</w:t>
      </w:r>
      <w:r w:rsidRPr="00383332">
        <w:rPr>
          <w:rFonts w:asciiTheme="minorBidi" w:hAnsiTheme="minorBidi" w:cstheme="minorBidi"/>
          <w:sz w:val="22"/>
          <w:szCs w:val="22"/>
        </w:rPr>
        <w:t>, 18(1). Available at: https://doi.org/10.1186/s12913-018-3757-7.</w:t>
      </w:r>
    </w:p>
    <w:p w14:paraId="35507876"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Shelat, V.G. (2025) “Respecting privacy and upholding confidentiality: Core ethical duties,” </w:t>
      </w:r>
      <w:r w:rsidRPr="00383332">
        <w:rPr>
          <w:rFonts w:asciiTheme="minorBidi" w:hAnsiTheme="minorBidi" w:cstheme="minorBidi"/>
          <w:i/>
          <w:iCs/>
          <w:sz w:val="22"/>
          <w:szCs w:val="22"/>
        </w:rPr>
        <w:t>Singapore Medical Journal</w:t>
      </w:r>
      <w:r w:rsidRPr="00383332">
        <w:rPr>
          <w:rFonts w:asciiTheme="minorBidi" w:hAnsiTheme="minorBidi" w:cstheme="minorBidi"/>
          <w:sz w:val="22"/>
          <w:szCs w:val="22"/>
        </w:rPr>
        <w:t>, 66(12), pp. 685–689. Available at: https://doi.org/10.4103/singaporemedj.smj-2025-147.</w:t>
      </w:r>
    </w:p>
    <w:p w14:paraId="6B2A05BB"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Stickley, T. (2011) </w:t>
      </w:r>
      <w:r w:rsidRPr="00383332">
        <w:rPr>
          <w:rFonts w:asciiTheme="minorBidi" w:hAnsiTheme="minorBidi" w:cstheme="minorBidi"/>
          <w:i/>
          <w:iCs/>
          <w:sz w:val="22"/>
          <w:szCs w:val="22"/>
        </w:rPr>
        <w:t>From SOLER to SURETY for Effective Non-Verbal Communication</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Nurse education in practice</w:t>
      </w:r>
      <w:r w:rsidRPr="00383332">
        <w:rPr>
          <w:rFonts w:asciiTheme="minorBidi" w:hAnsiTheme="minorBidi" w:cstheme="minorBidi"/>
          <w:sz w:val="22"/>
          <w:szCs w:val="22"/>
        </w:rPr>
        <w:t>. Available at: https://pubmed.ncbi.nlm.nih.gov/21489877/ (Accessed: July 22, 2026).</w:t>
      </w:r>
    </w:p>
    <w:p w14:paraId="462ABFFC"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Tuffrey-Wijne, I.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(2014) “The challenges in monitoring and preventing patient safety incidents for people with intellectual disabilities in NHS acute hospitals: Evidence from a mixed-methods study,” </w:t>
      </w:r>
      <w:r w:rsidRPr="00383332">
        <w:rPr>
          <w:rFonts w:asciiTheme="minorBidi" w:hAnsiTheme="minorBidi" w:cstheme="minorBidi"/>
          <w:i/>
          <w:iCs/>
          <w:sz w:val="22"/>
          <w:szCs w:val="22"/>
        </w:rPr>
        <w:t>BMC Health Services Research</w:t>
      </w:r>
      <w:r w:rsidRPr="00383332">
        <w:rPr>
          <w:rFonts w:asciiTheme="minorBidi" w:hAnsiTheme="minorBidi" w:cstheme="minorBidi"/>
          <w:sz w:val="22"/>
          <w:szCs w:val="22"/>
        </w:rPr>
        <w:t>, 14(1). Available at: https://doi.org/10.1186/1472-6963-14-432.</w:t>
      </w:r>
    </w:p>
    <w:p w14:paraId="7113F359"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t xml:space="preserve">UK Government (2014) </w:t>
      </w:r>
      <w:r w:rsidRPr="00383332">
        <w:rPr>
          <w:rFonts w:asciiTheme="minorBidi" w:hAnsiTheme="minorBidi" w:cstheme="minorBidi"/>
          <w:i/>
          <w:iCs/>
          <w:sz w:val="22"/>
          <w:szCs w:val="22"/>
        </w:rPr>
        <w:t>Care Act 2014</w:t>
      </w:r>
      <w:r w:rsidRPr="00383332">
        <w:rPr>
          <w:rFonts w:asciiTheme="minorBidi" w:hAnsiTheme="minorBidi" w:cstheme="minorBidi"/>
          <w:sz w:val="22"/>
          <w:szCs w:val="22"/>
        </w:rPr>
        <w:t xml:space="preserve">, </w:t>
      </w:r>
      <w:r w:rsidRPr="00383332">
        <w:rPr>
          <w:rFonts w:asciiTheme="minorBidi" w:hAnsiTheme="minorBidi" w:cstheme="minorBidi"/>
          <w:i/>
          <w:iCs/>
          <w:sz w:val="22"/>
          <w:szCs w:val="22"/>
        </w:rPr>
        <w:t>Legislation.gov.uk</w:t>
      </w:r>
      <w:r w:rsidRPr="00383332">
        <w:rPr>
          <w:rFonts w:asciiTheme="minorBidi" w:hAnsiTheme="minorBidi" w:cstheme="minorBidi"/>
          <w:sz w:val="22"/>
          <w:szCs w:val="22"/>
        </w:rPr>
        <w:t>. Available at: https://www.legislation.gov.uk/ukpga/2014/23/section/42 (Accessed: July 22, 2026).</w:t>
      </w:r>
    </w:p>
    <w:p w14:paraId="256B7E24" w14:textId="77777777" w:rsidR="005410B7" w:rsidRPr="00383332" w:rsidRDefault="005410B7" w:rsidP="00383332">
      <w:pPr>
        <w:pStyle w:val="NormalWeb"/>
        <w:spacing w:before="0" w:beforeAutospacing="0" w:after="240" w:afterAutospacing="0" w:line="360" w:lineRule="auto"/>
        <w:jc w:val="both"/>
        <w:rPr>
          <w:rFonts w:asciiTheme="minorBidi" w:hAnsiTheme="minorBidi" w:cstheme="minorBidi"/>
          <w:sz w:val="22"/>
          <w:szCs w:val="22"/>
        </w:rPr>
      </w:pPr>
      <w:r w:rsidRPr="00383332">
        <w:rPr>
          <w:rFonts w:asciiTheme="minorBidi" w:hAnsiTheme="minorBidi" w:cstheme="minorBidi"/>
          <w:sz w:val="22"/>
          <w:szCs w:val="22"/>
        </w:rPr>
        <w:lastRenderedPageBreak/>
        <w:t xml:space="preserve">Vainieri, M. </w:t>
      </w:r>
      <w:r w:rsidRPr="00383332">
        <w:rPr>
          <w:rFonts w:asciiTheme="minorBidi" w:hAnsiTheme="minorBidi" w:cstheme="minorBidi"/>
          <w:i/>
          <w:iCs/>
          <w:sz w:val="22"/>
          <w:szCs w:val="22"/>
        </w:rPr>
        <w:t>et al.</w:t>
      </w:r>
      <w:r w:rsidRPr="00383332">
        <w:rPr>
          <w:rFonts w:asciiTheme="minorBidi" w:hAnsiTheme="minorBidi" w:cstheme="minorBidi"/>
          <w:sz w:val="22"/>
          <w:szCs w:val="22"/>
        </w:rPr>
        <w:t xml:space="preserve"> (2019) “Explaining performance in health care: How and when top management competencies make the difference,” </w:t>
      </w:r>
      <w:r w:rsidRPr="00383332">
        <w:rPr>
          <w:rFonts w:asciiTheme="minorBidi" w:hAnsiTheme="minorBidi" w:cstheme="minorBidi"/>
          <w:i/>
          <w:iCs/>
          <w:sz w:val="22"/>
          <w:szCs w:val="22"/>
        </w:rPr>
        <w:t>Health Care Management Review</w:t>
      </w:r>
      <w:r w:rsidRPr="00383332">
        <w:rPr>
          <w:rFonts w:asciiTheme="minorBidi" w:hAnsiTheme="minorBidi" w:cstheme="minorBidi"/>
          <w:sz w:val="22"/>
          <w:szCs w:val="22"/>
        </w:rPr>
        <w:t>, 44(4), p. 1. Available at: https://doi.org/10.1097/hmr.0000000000000164.</w:t>
      </w:r>
    </w:p>
    <w:p w14:paraId="7458ED27" w14:textId="77777777" w:rsidR="005410B7" w:rsidRPr="00383332" w:rsidRDefault="005410B7" w:rsidP="00383332">
      <w:pPr>
        <w:spacing w:line="360" w:lineRule="auto"/>
        <w:jc w:val="both"/>
        <w:rPr>
          <w:rFonts w:asciiTheme="minorBidi" w:hAnsiTheme="minorBidi"/>
          <w:sz w:val="22"/>
          <w:szCs w:val="22"/>
          <w:lang w:eastAsia="en-GB"/>
        </w:rPr>
      </w:pPr>
    </w:p>
    <w:p w14:paraId="6DD8C82D" w14:textId="77777777" w:rsidR="00853A15" w:rsidRPr="00383332" w:rsidRDefault="00853A15" w:rsidP="00383332">
      <w:pPr>
        <w:spacing w:line="360" w:lineRule="auto"/>
        <w:jc w:val="both"/>
        <w:rPr>
          <w:rFonts w:asciiTheme="minorBidi" w:hAnsiTheme="minorBidi"/>
          <w:sz w:val="22"/>
          <w:szCs w:val="22"/>
          <w:lang w:val="en-GB"/>
        </w:rPr>
      </w:pPr>
    </w:p>
    <w:p w14:paraId="57E617C2" w14:textId="77777777" w:rsidR="005410B7" w:rsidRPr="00383332" w:rsidRDefault="005410B7" w:rsidP="00383332">
      <w:pPr>
        <w:spacing w:line="360" w:lineRule="auto"/>
        <w:jc w:val="both"/>
        <w:rPr>
          <w:rFonts w:asciiTheme="minorBidi" w:hAnsiTheme="minorBidi"/>
          <w:sz w:val="22"/>
          <w:szCs w:val="22"/>
          <w:lang w:val="en-GB"/>
        </w:rPr>
      </w:pPr>
    </w:p>
    <w:sectPr w:rsidR="005410B7" w:rsidRPr="0038333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04C82" w14:textId="77777777" w:rsidR="003C4721" w:rsidRDefault="003C4721" w:rsidP="00383332">
      <w:pPr>
        <w:spacing w:after="0" w:line="240" w:lineRule="auto"/>
      </w:pPr>
      <w:r>
        <w:separator/>
      </w:r>
    </w:p>
  </w:endnote>
  <w:endnote w:type="continuationSeparator" w:id="0">
    <w:p w14:paraId="6FE15171" w14:textId="77777777" w:rsidR="003C4721" w:rsidRDefault="003C4721" w:rsidP="00383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1597175"/>
      <w:docPartObj>
        <w:docPartGallery w:val="Page Numbers (Bottom of Page)"/>
        <w:docPartUnique/>
      </w:docPartObj>
    </w:sdtPr>
    <w:sdtEndPr>
      <w:rPr>
        <w:rStyle w:val="PageNumber"/>
      </w:rPr>
    </w:sdtEndPr>
    <w:sdtContent>
      <w:p w14:paraId="4B3D8A03" w14:textId="63B96D04" w:rsidR="00383332" w:rsidRDefault="00383332" w:rsidP="00B90A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B1E3748" w14:textId="77777777" w:rsidR="00383332" w:rsidRDefault="00383332" w:rsidP="003833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9896545"/>
      <w:docPartObj>
        <w:docPartGallery w:val="Page Numbers (Bottom of Page)"/>
        <w:docPartUnique/>
      </w:docPartObj>
    </w:sdtPr>
    <w:sdtEndPr>
      <w:rPr>
        <w:rStyle w:val="PageNumber"/>
      </w:rPr>
    </w:sdtEndPr>
    <w:sdtContent>
      <w:p w14:paraId="088613E8" w14:textId="31AA0B55" w:rsidR="00383332" w:rsidRDefault="00383332" w:rsidP="00B90A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7243C7" w14:textId="77777777" w:rsidR="00383332" w:rsidRDefault="00383332" w:rsidP="003833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100EF" w14:textId="77777777" w:rsidR="003C4721" w:rsidRDefault="003C4721" w:rsidP="00383332">
      <w:pPr>
        <w:spacing w:after="0" w:line="240" w:lineRule="auto"/>
      </w:pPr>
      <w:r>
        <w:separator/>
      </w:r>
    </w:p>
  </w:footnote>
  <w:footnote w:type="continuationSeparator" w:id="0">
    <w:p w14:paraId="52EC639A" w14:textId="77777777" w:rsidR="003C4721" w:rsidRDefault="003C4721" w:rsidP="003833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A15"/>
    <w:rsid w:val="000363C5"/>
    <w:rsid w:val="00062680"/>
    <w:rsid w:val="000B743B"/>
    <w:rsid w:val="000E4338"/>
    <w:rsid w:val="001C2961"/>
    <w:rsid w:val="002429FE"/>
    <w:rsid w:val="00280EC8"/>
    <w:rsid w:val="002A5235"/>
    <w:rsid w:val="002A5888"/>
    <w:rsid w:val="00340028"/>
    <w:rsid w:val="00383332"/>
    <w:rsid w:val="003C4721"/>
    <w:rsid w:val="00437888"/>
    <w:rsid w:val="00445B66"/>
    <w:rsid w:val="0045578B"/>
    <w:rsid w:val="00461624"/>
    <w:rsid w:val="00470E95"/>
    <w:rsid w:val="00497682"/>
    <w:rsid w:val="004F1CD7"/>
    <w:rsid w:val="005410B7"/>
    <w:rsid w:val="005F5734"/>
    <w:rsid w:val="0068573A"/>
    <w:rsid w:val="00786162"/>
    <w:rsid w:val="007E612A"/>
    <w:rsid w:val="00804503"/>
    <w:rsid w:val="008076FE"/>
    <w:rsid w:val="00821186"/>
    <w:rsid w:val="00824015"/>
    <w:rsid w:val="00853A15"/>
    <w:rsid w:val="009926BC"/>
    <w:rsid w:val="009B14D7"/>
    <w:rsid w:val="00AA5727"/>
    <w:rsid w:val="00B05A1E"/>
    <w:rsid w:val="00BC7DA5"/>
    <w:rsid w:val="00BE4882"/>
    <w:rsid w:val="00D538A9"/>
    <w:rsid w:val="00D95A10"/>
    <w:rsid w:val="00DB4AD9"/>
    <w:rsid w:val="00DB6BA7"/>
    <w:rsid w:val="00E91D0F"/>
    <w:rsid w:val="00E947F1"/>
    <w:rsid w:val="00E97CBF"/>
    <w:rsid w:val="00ED4B94"/>
    <w:rsid w:val="00EF3CBD"/>
    <w:rsid w:val="00F15D0F"/>
    <w:rsid w:val="00FB6C67"/>
    <w:rsid w:val="00FD5920"/>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A6336"/>
  <w15:chartTrackingRefBased/>
  <w15:docId w15:val="{6C3F1B51-C8E6-C24D-8B2C-44A3122D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853A1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53A1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53A1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53A1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53A1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53A1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853A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A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A15"/>
    <w:rPr>
      <w:rFonts w:eastAsiaTheme="majorEastAsia" w:cstheme="majorBidi"/>
      <w:color w:val="272727" w:themeColor="text1" w:themeTint="D8"/>
    </w:rPr>
  </w:style>
  <w:style w:type="paragraph" w:styleId="Title">
    <w:name w:val="Title"/>
    <w:basedOn w:val="Normal"/>
    <w:next w:val="Normal"/>
    <w:link w:val="TitleChar"/>
    <w:uiPriority w:val="10"/>
    <w:qFormat/>
    <w:rsid w:val="00853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A1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A15"/>
    <w:pPr>
      <w:spacing w:before="160"/>
      <w:jc w:val="center"/>
    </w:pPr>
    <w:rPr>
      <w:i/>
      <w:iCs/>
      <w:color w:val="404040" w:themeColor="text1" w:themeTint="BF"/>
    </w:rPr>
  </w:style>
  <w:style w:type="character" w:customStyle="1" w:styleId="QuoteChar">
    <w:name w:val="Quote Char"/>
    <w:basedOn w:val="DefaultParagraphFont"/>
    <w:link w:val="Quote"/>
    <w:uiPriority w:val="29"/>
    <w:rsid w:val="00853A15"/>
    <w:rPr>
      <w:rFonts w:asciiTheme="majorBidi" w:hAnsiTheme="majorBidi"/>
      <w:i/>
      <w:iCs/>
      <w:color w:val="404040" w:themeColor="text1" w:themeTint="BF"/>
    </w:rPr>
  </w:style>
  <w:style w:type="paragraph" w:styleId="ListParagraph">
    <w:name w:val="List Paragraph"/>
    <w:basedOn w:val="Normal"/>
    <w:uiPriority w:val="34"/>
    <w:qFormat/>
    <w:rsid w:val="00853A15"/>
    <w:pPr>
      <w:ind w:left="720"/>
      <w:contextualSpacing/>
    </w:pPr>
  </w:style>
  <w:style w:type="character" w:styleId="IntenseEmphasis">
    <w:name w:val="Intense Emphasis"/>
    <w:basedOn w:val="DefaultParagraphFont"/>
    <w:uiPriority w:val="21"/>
    <w:qFormat/>
    <w:rsid w:val="00853A15"/>
    <w:rPr>
      <w:i/>
      <w:iCs/>
      <w:color w:val="0F4761" w:themeColor="accent1" w:themeShade="BF"/>
    </w:rPr>
  </w:style>
  <w:style w:type="paragraph" w:styleId="IntenseQuote">
    <w:name w:val="Intense Quote"/>
    <w:basedOn w:val="Normal"/>
    <w:next w:val="Normal"/>
    <w:link w:val="IntenseQuoteChar"/>
    <w:uiPriority w:val="30"/>
    <w:qFormat/>
    <w:rsid w:val="00853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A15"/>
    <w:rPr>
      <w:rFonts w:asciiTheme="majorBidi" w:hAnsiTheme="majorBidi"/>
      <w:i/>
      <w:iCs/>
      <w:color w:val="0F4761" w:themeColor="accent1" w:themeShade="BF"/>
    </w:rPr>
  </w:style>
  <w:style w:type="character" w:styleId="IntenseReference">
    <w:name w:val="Intense Reference"/>
    <w:basedOn w:val="DefaultParagraphFont"/>
    <w:uiPriority w:val="32"/>
    <w:qFormat/>
    <w:rsid w:val="00853A15"/>
    <w:rPr>
      <w:b/>
      <w:bCs/>
      <w:smallCaps/>
      <w:color w:val="0F4761" w:themeColor="accent1" w:themeShade="BF"/>
      <w:spacing w:val="5"/>
    </w:rPr>
  </w:style>
  <w:style w:type="paragraph" w:styleId="NormalWeb">
    <w:name w:val="Normal (Web)"/>
    <w:basedOn w:val="Normal"/>
    <w:uiPriority w:val="99"/>
    <w:semiHidden/>
    <w:unhideWhenUsed/>
    <w:rsid w:val="00853A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53A15"/>
    <w:rPr>
      <w:i/>
      <w:iCs/>
    </w:rPr>
  </w:style>
  <w:style w:type="character" w:styleId="Strong">
    <w:name w:val="Strong"/>
    <w:basedOn w:val="DefaultParagraphFont"/>
    <w:uiPriority w:val="22"/>
    <w:qFormat/>
    <w:rsid w:val="00853A15"/>
    <w:rPr>
      <w:b/>
      <w:bCs/>
    </w:rPr>
  </w:style>
  <w:style w:type="character" w:styleId="Hyperlink">
    <w:name w:val="Hyperlink"/>
    <w:basedOn w:val="DefaultParagraphFont"/>
    <w:uiPriority w:val="99"/>
    <w:unhideWhenUsed/>
    <w:rsid w:val="00853A15"/>
    <w:rPr>
      <w:color w:val="0000FF"/>
      <w:u w:val="single"/>
    </w:rPr>
  </w:style>
  <w:style w:type="paragraph" w:styleId="Header">
    <w:name w:val="header"/>
    <w:basedOn w:val="Normal"/>
    <w:link w:val="HeaderChar"/>
    <w:uiPriority w:val="99"/>
    <w:unhideWhenUsed/>
    <w:rsid w:val="00383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32"/>
    <w:rPr>
      <w:rFonts w:asciiTheme="majorBidi" w:hAnsiTheme="majorBidi"/>
    </w:rPr>
  </w:style>
  <w:style w:type="paragraph" w:styleId="Footer">
    <w:name w:val="footer"/>
    <w:basedOn w:val="Normal"/>
    <w:link w:val="FooterChar"/>
    <w:uiPriority w:val="99"/>
    <w:unhideWhenUsed/>
    <w:rsid w:val="00383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332"/>
    <w:rPr>
      <w:rFonts w:asciiTheme="majorBidi" w:hAnsiTheme="majorBidi"/>
    </w:rPr>
  </w:style>
  <w:style w:type="character" w:styleId="PageNumber">
    <w:name w:val="page number"/>
    <w:basedOn w:val="DefaultParagraphFont"/>
    <w:uiPriority w:val="99"/>
    <w:semiHidden/>
    <w:unhideWhenUsed/>
    <w:rsid w:val="00383332"/>
  </w:style>
  <w:style w:type="paragraph" w:styleId="TOCHeading">
    <w:name w:val="TOC Heading"/>
    <w:basedOn w:val="Heading1"/>
    <w:next w:val="Normal"/>
    <w:uiPriority w:val="39"/>
    <w:unhideWhenUsed/>
    <w:qFormat/>
    <w:rsid w:val="00383332"/>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383332"/>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383332"/>
    <w:pPr>
      <w:spacing w:before="120" w:after="0"/>
      <w:ind w:left="240"/>
    </w:pPr>
    <w:rPr>
      <w:rFonts w:asciiTheme="minorHAnsi" w:hAnsiTheme="minorHAnsi" w:cs="Times New Roman"/>
      <w:i/>
      <w:iCs/>
      <w:sz w:val="20"/>
    </w:rPr>
  </w:style>
  <w:style w:type="paragraph" w:styleId="TOC3">
    <w:name w:val="toc 3"/>
    <w:basedOn w:val="Normal"/>
    <w:next w:val="Normal"/>
    <w:autoRedefine/>
    <w:uiPriority w:val="39"/>
    <w:semiHidden/>
    <w:unhideWhenUsed/>
    <w:rsid w:val="00383332"/>
    <w:pPr>
      <w:spacing w:after="0"/>
      <w:ind w:left="480"/>
    </w:pPr>
    <w:rPr>
      <w:rFonts w:asciiTheme="minorHAnsi" w:hAnsiTheme="minorHAnsi" w:cs="Times New Roman"/>
      <w:sz w:val="20"/>
    </w:rPr>
  </w:style>
  <w:style w:type="paragraph" w:styleId="TOC4">
    <w:name w:val="toc 4"/>
    <w:basedOn w:val="Normal"/>
    <w:next w:val="Normal"/>
    <w:autoRedefine/>
    <w:uiPriority w:val="39"/>
    <w:semiHidden/>
    <w:unhideWhenUsed/>
    <w:rsid w:val="00383332"/>
    <w:pPr>
      <w:spacing w:after="0"/>
      <w:ind w:left="720"/>
    </w:pPr>
    <w:rPr>
      <w:rFonts w:asciiTheme="minorHAnsi" w:hAnsiTheme="minorHAnsi" w:cs="Times New Roman"/>
      <w:sz w:val="20"/>
    </w:rPr>
  </w:style>
  <w:style w:type="paragraph" w:styleId="TOC5">
    <w:name w:val="toc 5"/>
    <w:basedOn w:val="Normal"/>
    <w:next w:val="Normal"/>
    <w:autoRedefine/>
    <w:uiPriority w:val="39"/>
    <w:semiHidden/>
    <w:unhideWhenUsed/>
    <w:rsid w:val="00383332"/>
    <w:pPr>
      <w:spacing w:after="0"/>
      <w:ind w:left="960"/>
    </w:pPr>
    <w:rPr>
      <w:rFonts w:asciiTheme="minorHAnsi" w:hAnsiTheme="minorHAnsi" w:cs="Times New Roman"/>
      <w:sz w:val="20"/>
    </w:rPr>
  </w:style>
  <w:style w:type="paragraph" w:styleId="TOC6">
    <w:name w:val="toc 6"/>
    <w:basedOn w:val="Normal"/>
    <w:next w:val="Normal"/>
    <w:autoRedefine/>
    <w:uiPriority w:val="39"/>
    <w:semiHidden/>
    <w:unhideWhenUsed/>
    <w:rsid w:val="00383332"/>
    <w:pPr>
      <w:spacing w:after="0"/>
      <w:ind w:left="1200"/>
    </w:pPr>
    <w:rPr>
      <w:rFonts w:asciiTheme="minorHAnsi" w:hAnsiTheme="minorHAnsi" w:cs="Times New Roman"/>
      <w:sz w:val="20"/>
    </w:rPr>
  </w:style>
  <w:style w:type="paragraph" w:styleId="TOC7">
    <w:name w:val="toc 7"/>
    <w:basedOn w:val="Normal"/>
    <w:next w:val="Normal"/>
    <w:autoRedefine/>
    <w:uiPriority w:val="39"/>
    <w:semiHidden/>
    <w:unhideWhenUsed/>
    <w:rsid w:val="00383332"/>
    <w:pPr>
      <w:spacing w:after="0"/>
      <w:ind w:left="1440"/>
    </w:pPr>
    <w:rPr>
      <w:rFonts w:asciiTheme="minorHAnsi" w:hAnsiTheme="minorHAnsi" w:cs="Times New Roman"/>
      <w:sz w:val="20"/>
    </w:rPr>
  </w:style>
  <w:style w:type="paragraph" w:styleId="TOC8">
    <w:name w:val="toc 8"/>
    <w:basedOn w:val="Normal"/>
    <w:next w:val="Normal"/>
    <w:autoRedefine/>
    <w:uiPriority w:val="39"/>
    <w:semiHidden/>
    <w:unhideWhenUsed/>
    <w:rsid w:val="00383332"/>
    <w:pPr>
      <w:spacing w:after="0"/>
      <w:ind w:left="1680"/>
    </w:pPr>
    <w:rPr>
      <w:rFonts w:asciiTheme="minorHAnsi" w:hAnsiTheme="minorHAnsi" w:cs="Times New Roman"/>
      <w:sz w:val="20"/>
    </w:rPr>
  </w:style>
  <w:style w:type="paragraph" w:styleId="TOC9">
    <w:name w:val="toc 9"/>
    <w:basedOn w:val="Normal"/>
    <w:next w:val="Normal"/>
    <w:autoRedefine/>
    <w:uiPriority w:val="39"/>
    <w:semiHidden/>
    <w:unhideWhenUsed/>
    <w:rsid w:val="00383332"/>
    <w:pPr>
      <w:spacing w:after="0"/>
      <w:ind w:left="1920"/>
    </w:pPr>
    <w:rPr>
      <w:rFonts w:asciiTheme="minorHAnsi" w:hAnsiTheme="minorHAnsi" w:cs="Times New Roman"/>
      <w:sz w:val="20"/>
    </w:rPr>
  </w:style>
  <w:style w:type="paragraph" w:styleId="NoSpacing">
    <w:name w:val="No Spacing"/>
    <w:uiPriority w:val="1"/>
    <w:qFormat/>
    <w:rsid w:val="00821186"/>
    <w:pPr>
      <w:spacing w:after="0" w:line="240" w:lineRule="auto"/>
    </w:pPr>
    <w:rPr>
      <w:rFonts w:asciiTheme="majorBidi" w:hAnsi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7059C-A34A-9543-B744-BA5EDC037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2408</Words>
  <Characters>13730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Olukayode Michael Santana (25126602)</dc:creator>
  <cp:keywords/>
  <dc:description/>
  <cp:lastModifiedBy>Aatiqa Rehmani</cp:lastModifiedBy>
  <cp:revision>2</cp:revision>
  <dcterms:created xsi:type="dcterms:W3CDTF">2026-07-23T00:48:00Z</dcterms:created>
  <dcterms:modified xsi:type="dcterms:W3CDTF">2026-07-23T00:48:00Z</dcterms:modified>
</cp:coreProperties>
</file>