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97C70" w:rsidR="00797C70" w:rsidP="00797C70" w:rsidRDefault="00797C70" w14:paraId="69CCB99A" w14:textId="77777777">
      <w:pPr>
        <w:jc w:val="center"/>
      </w:pPr>
      <w:r w:rsidRPr="00797C70">
        <w:rPr>
          <w:noProof/>
          <w:lang w:eastAsia="en-GB"/>
        </w:rPr>
        <w:drawing>
          <wp:inline distT="0" distB="0" distL="0" distR="0" wp14:anchorId="00015D2D" wp14:editId="4F603FD8">
            <wp:extent cx="2156460" cy="99056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2217255" cy="1018490"/>
                    </a:xfrm>
                    <a:prstGeom prst="rect">
                      <a:avLst/>
                    </a:prstGeom>
                  </pic:spPr>
                </pic:pic>
              </a:graphicData>
            </a:graphic>
          </wp:inline>
        </w:drawing>
      </w:r>
    </w:p>
    <w:p w:rsidRPr="00797C70" w:rsidR="00797C70" w:rsidP="00797C70" w:rsidRDefault="00797C70" w14:paraId="6DF92D1F" w14:textId="77777777">
      <w:pPr>
        <w:jc w:val="center"/>
        <w:rPr>
          <w:rFonts w:ascii="Arial" w:hAnsi="Arial" w:cs="Arial"/>
          <w:sz w:val="28"/>
          <w:szCs w:val="28"/>
        </w:rPr>
      </w:pPr>
    </w:p>
    <w:p w:rsidRPr="00797C70" w:rsidR="00797C70" w:rsidP="002809A1" w:rsidRDefault="002809A1" w14:paraId="0B44F8D9" w14:textId="719C83DF">
      <w:pPr>
        <w:jc w:val="center"/>
        <w:rPr>
          <w:rFonts w:ascii="Arial" w:hAnsi="Arial" w:cs="Arial"/>
          <w:b/>
          <w:color w:val="242424"/>
          <w:sz w:val="48"/>
          <w:szCs w:val="48"/>
          <w:shd w:val="clear" w:color="auto" w:fill="FFFFFF"/>
        </w:rPr>
      </w:pPr>
      <w:r>
        <w:rPr>
          <w:rFonts w:ascii="Arial" w:hAnsi="Arial" w:cs="Arial"/>
          <w:b/>
          <w:color w:val="242424"/>
          <w:sz w:val="48"/>
          <w:szCs w:val="48"/>
          <w:shd w:val="clear" w:color="auto" w:fill="FFFFFF"/>
        </w:rPr>
        <w:t>Global Ethics</w:t>
      </w:r>
    </w:p>
    <w:p w:rsidRPr="00797C70" w:rsidR="00797C70" w:rsidP="00797C70" w:rsidRDefault="00797C70" w14:paraId="700B5699" w14:textId="77777777">
      <w:pPr>
        <w:jc w:val="center"/>
        <w:rPr>
          <w:rFonts w:ascii="Arial" w:hAnsi="Arial" w:cs="Arial"/>
          <w:b/>
          <w:color w:val="242424"/>
          <w:sz w:val="48"/>
          <w:szCs w:val="48"/>
          <w:shd w:val="clear" w:color="auto" w:fill="FFFFFF"/>
        </w:rPr>
      </w:pPr>
    </w:p>
    <w:p w:rsidRPr="00226CED" w:rsidR="00797C70" w:rsidP="00797C70" w:rsidRDefault="00226CED" w14:paraId="7E062D81" w14:textId="12D1B8D7">
      <w:pPr>
        <w:jc w:val="center"/>
        <w:rPr>
          <w:rFonts w:ascii="Arial" w:hAnsi="Arial" w:cs="Arial"/>
          <w:bCs/>
          <w:color w:val="242424"/>
          <w:sz w:val="32"/>
          <w:szCs w:val="32"/>
          <w:shd w:val="clear" w:color="auto" w:fill="FFFFFF"/>
        </w:rPr>
      </w:pPr>
      <w:r w:rsidRPr="00226CED">
        <w:rPr>
          <w:rFonts w:ascii="Arial" w:hAnsi="Arial" w:cs="Arial"/>
          <w:bCs/>
          <w:sz w:val="32"/>
          <w:szCs w:val="32"/>
        </w:rPr>
        <w:t>An essay on exploration of cultural differences in business ethics</w:t>
      </w:r>
    </w:p>
    <w:p w:rsidRPr="00797C70" w:rsidR="00797C70" w:rsidP="00797C70" w:rsidRDefault="00797C70" w14:paraId="4E0CACDE" w14:textId="77777777">
      <w:pPr>
        <w:jc w:val="center"/>
        <w:rPr>
          <w:rFonts w:ascii="Arial" w:hAnsi="Arial" w:cs="Arial"/>
          <w:color w:val="242424"/>
          <w:sz w:val="36"/>
          <w:szCs w:val="36"/>
          <w:shd w:val="clear" w:color="auto" w:fill="FFFFFF"/>
        </w:rPr>
      </w:pPr>
    </w:p>
    <w:p w:rsidRPr="00797C70" w:rsidR="00797C70" w:rsidP="00797C70" w:rsidRDefault="00797C70" w14:paraId="575095FE" w14:textId="77777777">
      <w:pPr>
        <w:jc w:val="center"/>
        <w:rPr>
          <w:rFonts w:ascii="Arial" w:hAnsi="Arial" w:cs="Arial"/>
          <w:color w:val="242424"/>
          <w:sz w:val="36"/>
          <w:szCs w:val="36"/>
          <w:shd w:val="clear" w:color="auto" w:fill="FFFFFF"/>
        </w:rPr>
      </w:pPr>
      <w:r w:rsidRPr="00797C70">
        <w:rPr>
          <w:rFonts w:ascii="Arial" w:hAnsi="Arial" w:cs="Arial"/>
          <w:color w:val="242424"/>
          <w:sz w:val="36"/>
          <w:szCs w:val="36"/>
          <w:shd w:val="clear" w:color="auto" w:fill="FFFFFF"/>
        </w:rPr>
        <w:t>Anna Marie Smith</w:t>
      </w:r>
    </w:p>
    <w:p w:rsidRPr="00797C70" w:rsidR="00797C70" w:rsidP="00427ABE" w:rsidRDefault="00797C70" w14:paraId="499706D7" w14:textId="30278E7C">
      <w:pPr>
        <w:rPr>
          <w:rFonts w:ascii="Arial" w:hAnsi="Arial" w:cs="Arial"/>
          <w:sz w:val="36"/>
          <w:szCs w:val="36"/>
        </w:rPr>
      </w:pPr>
    </w:p>
    <w:p w:rsidRPr="00797C70" w:rsidR="00797C70" w:rsidP="00797C70" w:rsidRDefault="00797C70" w14:paraId="41EE5094" w14:textId="77777777">
      <w:pPr>
        <w:jc w:val="center"/>
        <w:rPr>
          <w:rFonts w:ascii="Arial" w:hAnsi="Arial" w:cs="Arial"/>
          <w:sz w:val="36"/>
          <w:szCs w:val="36"/>
        </w:rPr>
      </w:pPr>
      <w:r w:rsidRPr="00797C70">
        <w:rPr>
          <w:rFonts w:ascii="Arial" w:hAnsi="Arial" w:cs="Arial"/>
          <w:sz w:val="36"/>
          <w:szCs w:val="36"/>
        </w:rPr>
        <w:t>University of Wales Trinity Saint David</w:t>
      </w:r>
    </w:p>
    <w:p w:rsidRPr="00797C70" w:rsidR="00797C70" w:rsidP="00797C70" w:rsidRDefault="00226CED" w14:paraId="6E961BDF" w14:textId="03F25DA5">
      <w:pPr>
        <w:jc w:val="center"/>
        <w:rPr>
          <w:rFonts w:ascii="Arial" w:hAnsi="Arial" w:cs="Arial"/>
          <w:sz w:val="36"/>
          <w:szCs w:val="36"/>
        </w:rPr>
      </w:pPr>
      <w:r>
        <w:rPr>
          <w:rFonts w:ascii="Arial" w:hAnsi="Arial" w:cs="Arial"/>
          <w:sz w:val="36"/>
          <w:szCs w:val="36"/>
        </w:rPr>
        <w:t>1</w:t>
      </w:r>
      <w:r w:rsidRPr="00226CED">
        <w:rPr>
          <w:rFonts w:ascii="Arial" w:hAnsi="Arial" w:cs="Arial"/>
          <w:sz w:val="36"/>
          <w:szCs w:val="36"/>
          <w:vertAlign w:val="superscript"/>
        </w:rPr>
        <w:t>st</w:t>
      </w:r>
      <w:r>
        <w:rPr>
          <w:rFonts w:ascii="Arial" w:hAnsi="Arial" w:cs="Arial"/>
          <w:sz w:val="36"/>
          <w:szCs w:val="36"/>
        </w:rPr>
        <w:t xml:space="preserve"> December</w:t>
      </w:r>
      <w:r w:rsidRPr="00797C70" w:rsidR="00797C70">
        <w:rPr>
          <w:rFonts w:ascii="Arial" w:hAnsi="Arial" w:cs="Arial"/>
          <w:sz w:val="36"/>
          <w:szCs w:val="36"/>
        </w:rPr>
        <w:t xml:space="preserve"> 2025</w:t>
      </w:r>
    </w:p>
    <w:p w:rsidRPr="00797C70" w:rsidR="00797C70" w:rsidP="00797C70" w:rsidRDefault="00797C70" w14:paraId="0FB83F9D" w14:textId="77777777">
      <w:pPr>
        <w:jc w:val="center"/>
        <w:rPr>
          <w:rFonts w:ascii="Arial" w:hAnsi="Arial" w:cs="Arial"/>
          <w:color w:val="242424"/>
          <w:sz w:val="36"/>
          <w:szCs w:val="36"/>
          <w:shd w:val="clear" w:color="auto" w:fill="FFFFFF"/>
        </w:rPr>
      </w:pPr>
    </w:p>
    <w:p w:rsidR="00797C70" w:rsidP="00797C70" w:rsidRDefault="00797C70" w14:paraId="2A6D186B" w14:textId="4FF8FF61">
      <w:pPr>
        <w:jc w:val="center"/>
        <w:rPr>
          <w:rFonts w:ascii="Arial" w:hAnsi="Arial" w:cs="Arial"/>
          <w:b/>
          <w:color w:val="242424"/>
          <w:sz w:val="36"/>
          <w:szCs w:val="36"/>
          <w:shd w:val="clear" w:color="auto" w:fill="FFFFFF"/>
        </w:rPr>
      </w:pPr>
    </w:p>
    <w:p w:rsidRPr="00797C70" w:rsidR="00797C70" w:rsidP="00797C70" w:rsidRDefault="00797C70" w14:paraId="1E6A1D75" w14:textId="77777777">
      <w:pPr>
        <w:jc w:val="center"/>
        <w:rPr>
          <w:rFonts w:ascii="Arial" w:hAnsi="Arial" w:cs="Arial"/>
          <w:b/>
          <w:color w:val="242424"/>
          <w:sz w:val="36"/>
          <w:szCs w:val="36"/>
          <w:shd w:val="clear" w:color="auto" w:fill="FFFFFF"/>
        </w:rPr>
      </w:pPr>
    </w:p>
    <w:p w:rsidRPr="00797C70" w:rsidR="00797C70" w:rsidP="00797C70" w:rsidRDefault="00797C70" w14:paraId="364E850F" w14:textId="77777777">
      <w:pPr>
        <w:jc w:val="center"/>
        <w:rPr>
          <w:rFonts w:ascii="Arial" w:hAnsi="Arial" w:cs="Arial"/>
          <w:b/>
          <w:color w:val="242424"/>
          <w:sz w:val="36"/>
          <w:szCs w:val="36"/>
          <w:shd w:val="clear" w:color="auto" w:fill="FFFFFF"/>
        </w:rPr>
      </w:pPr>
    </w:p>
    <w:p w:rsidRPr="00797C70" w:rsidR="00797C70" w:rsidP="00797C70" w:rsidRDefault="00797C70" w14:paraId="7D534F29" w14:textId="77777777">
      <w:pPr>
        <w:jc w:val="center"/>
        <w:rPr>
          <w:rFonts w:ascii="Arial" w:hAnsi="Arial" w:cs="Arial"/>
          <w:b/>
          <w:color w:val="242424"/>
          <w:sz w:val="48"/>
          <w:szCs w:val="48"/>
          <w:shd w:val="clear" w:color="auto" w:fill="FFFFFF"/>
        </w:rPr>
      </w:pPr>
    </w:p>
    <w:p w:rsidRPr="00797C70" w:rsidR="00797C70" w:rsidP="00797C70" w:rsidRDefault="00797C70" w14:paraId="0010D960" w14:textId="77777777">
      <w:pPr>
        <w:jc w:val="center"/>
        <w:rPr>
          <w:rFonts w:ascii="Arial" w:hAnsi="Arial" w:cs="Arial"/>
          <w:b/>
          <w:color w:val="242424"/>
          <w:sz w:val="48"/>
          <w:szCs w:val="48"/>
          <w:shd w:val="clear" w:color="auto" w:fill="FFFFFF"/>
        </w:rPr>
      </w:pPr>
    </w:p>
    <w:p w:rsidR="00797C70" w:rsidP="00797C70" w:rsidRDefault="00797C70" w14:paraId="216FE68F" w14:textId="77777777">
      <w:pPr>
        <w:jc w:val="center"/>
        <w:rPr>
          <w:rFonts w:ascii="Arial" w:hAnsi="Arial" w:cs="Arial"/>
          <w:color w:val="242424"/>
          <w:sz w:val="48"/>
          <w:szCs w:val="48"/>
          <w:shd w:val="clear" w:color="auto" w:fill="FFFFFF"/>
        </w:rPr>
      </w:pPr>
    </w:p>
    <w:p w:rsidR="00E459E5" w:rsidP="00797C70" w:rsidRDefault="00E459E5" w14:paraId="7B7A88AE" w14:textId="77777777">
      <w:pPr>
        <w:jc w:val="center"/>
        <w:rPr>
          <w:rFonts w:ascii="Arial" w:hAnsi="Arial" w:cs="Arial"/>
          <w:color w:val="242424"/>
          <w:sz w:val="48"/>
          <w:szCs w:val="48"/>
          <w:shd w:val="clear" w:color="auto" w:fill="FFFFFF"/>
        </w:rPr>
      </w:pPr>
    </w:p>
    <w:p w:rsidR="00E459E5" w:rsidP="00797C70" w:rsidRDefault="00E459E5" w14:paraId="26D46239" w14:textId="77777777">
      <w:pPr>
        <w:jc w:val="center"/>
        <w:rPr>
          <w:rFonts w:ascii="Arial" w:hAnsi="Arial" w:cs="Arial"/>
          <w:color w:val="242424"/>
          <w:sz w:val="48"/>
          <w:szCs w:val="48"/>
          <w:shd w:val="clear" w:color="auto" w:fill="FFFFFF"/>
        </w:rPr>
      </w:pPr>
    </w:p>
    <w:p w:rsidR="00E459E5" w:rsidP="008930F3" w:rsidRDefault="00E459E5" w14:paraId="01E36030" w14:textId="77777777">
      <w:pPr>
        <w:rPr>
          <w:rFonts w:ascii="Arial" w:hAnsi="Arial" w:cs="Arial"/>
          <w:color w:val="242424"/>
          <w:sz w:val="24"/>
          <w:szCs w:val="24"/>
          <w:shd w:val="clear" w:color="auto" w:fill="FFFFFF"/>
        </w:rPr>
      </w:pPr>
    </w:p>
    <w:p w:rsidR="00485BC5" w:rsidP="00DB2342" w:rsidRDefault="00485BC5" w14:paraId="7D77D685" w14:textId="77777777">
      <w:pPr>
        <w:spacing w:line="360" w:lineRule="auto"/>
        <w:rPr>
          <w:rFonts w:ascii="Arial" w:hAnsi="Arial" w:cs="Arial"/>
          <w:b/>
          <w:bCs/>
          <w:color w:val="242424"/>
          <w:sz w:val="24"/>
          <w:szCs w:val="24"/>
          <w:shd w:val="clear" w:color="auto" w:fill="FFFFFF"/>
        </w:rPr>
      </w:pPr>
      <w:r>
        <w:rPr>
          <w:rFonts w:ascii="Arial" w:hAnsi="Arial" w:cs="Arial"/>
          <w:b/>
          <w:bCs/>
          <w:color w:val="242424"/>
          <w:sz w:val="24"/>
          <w:szCs w:val="24"/>
          <w:shd w:val="clear" w:color="auto" w:fill="FFFFFF"/>
        </w:rPr>
        <w:t>Abstract</w:t>
      </w:r>
    </w:p>
    <w:p w:rsidRPr="00485BC5" w:rsidR="00485BC5" w:rsidP="00485BC5" w:rsidRDefault="00485BC5" w14:paraId="3F6D0C14" w14:textId="4DB0442C">
      <w:pPr>
        <w:spacing w:after="0" w:line="480" w:lineRule="auto"/>
        <w:rPr>
          <w:rFonts w:ascii="Arial" w:hAnsi="Arial" w:eastAsia="Times New Roman" w:cs="Arial"/>
          <w:sz w:val="24"/>
          <w:szCs w:val="24"/>
          <w:lang w:eastAsia="en-GB"/>
        </w:rPr>
      </w:pPr>
      <w:r w:rsidRPr="3BC510B2" w:rsidR="00485BC5">
        <w:rPr>
          <w:rFonts w:ascii="Arial" w:hAnsi="Arial" w:eastAsia="Times New Roman" w:cs="Arial"/>
          <w:sz w:val="24"/>
          <w:szCs w:val="24"/>
          <w:lang w:eastAsia="en-GB"/>
        </w:rPr>
        <w:t>This essay critically evaluates how business ethics are shaped</w:t>
      </w:r>
      <w:r w:rsidRPr="3BC510B2" w:rsidR="00485BC5">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and constrained</w:t>
      </w:r>
      <w:r w:rsidRPr="3BC510B2" w:rsidR="00485BC5">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 xml:space="preserve">by cultural, political, and social environments across regions, with particular emphasis on Western and Asian practices. Building on class discussions of thinkers such as Kishore Mahbubani, it explores enduring differences in norms (e.g., </w:t>
      </w:r>
      <w:r w:rsidRPr="3BC510B2" w:rsidR="00485BC5">
        <w:rPr>
          <w:rFonts w:ascii="Arial" w:hAnsi="Arial" w:eastAsia="Times New Roman" w:cs="Arial"/>
          <w:i w:val="0"/>
          <w:iCs w:val="0"/>
          <w:sz w:val="24"/>
          <w:szCs w:val="24"/>
          <w:lang w:eastAsia="en-GB"/>
        </w:rPr>
        <w:t>guanxi</w:t>
      </w:r>
      <w:r w:rsidRPr="3BC510B2" w:rsidR="00485BC5">
        <w:rPr>
          <w:rFonts w:ascii="Arial" w:hAnsi="Arial" w:eastAsia="Times New Roman" w:cs="Arial"/>
          <w:sz w:val="24"/>
          <w:szCs w:val="24"/>
          <w:lang w:eastAsia="en-GB"/>
        </w:rPr>
        <w:t xml:space="preserve"> in China, keiretsu networks in Japan, stakeholder expectations in Europe) and how international frameworks (UN Guiding Principles on Business and Human Rights; OECD Guidelines) interact with local sensitivities. Two reflective questions guide the analysis: (1) Is it possible to trade in a global marketplace without compromising ethical principles? (2) Can businesses adopt a compatibilist approach that balances commercial imperatives with environmental responsibilities? Using comparative examples</w:t>
      </w:r>
      <w:r w:rsidRPr="3BC510B2" w:rsidR="00485BC5">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 xml:space="preserve">including UK restrictions on advertising less healthy foods, EU </w:t>
      </w:r>
      <w:r w:rsidRPr="3BC510B2" w:rsidR="00485BC5">
        <w:rPr>
          <w:rFonts w:ascii="Arial" w:hAnsi="Arial" w:eastAsia="Times New Roman" w:cs="Arial"/>
          <w:sz w:val="24"/>
          <w:szCs w:val="24"/>
          <w:lang w:eastAsia="en-GB"/>
        </w:rPr>
        <w:t>human</w:t>
      </w:r>
      <w:r w:rsidRPr="3BC510B2" w:rsidR="296C443C">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rights</w:t>
      </w:r>
      <w:r w:rsidRPr="3BC510B2" w:rsidR="00485BC5">
        <w:rPr>
          <w:rFonts w:ascii="Arial" w:hAnsi="Arial" w:eastAsia="Times New Roman" w:cs="Arial"/>
          <w:sz w:val="24"/>
          <w:szCs w:val="24"/>
          <w:lang w:eastAsia="en-GB"/>
        </w:rPr>
        <w:t xml:space="preserve"> due diligence developments, and Asian relationship</w:t>
      </w:r>
      <w:r w:rsidRPr="3BC510B2" w:rsidR="03B28AB0">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centred ethics</w:t>
      </w:r>
      <w:r w:rsidRPr="3BC510B2" w:rsidR="00485BC5">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the essay argues that ethical “compatibilism” is achievable but requires culturally aware governance, transparent due diligence, and adaptive stakeholder engagement.</w:t>
      </w:r>
    </w:p>
    <w:p w:rsidR="008930F3" w:rsidP="00DB2342" w:rsidRDefault="00883F77" w14:paraId="151C3DAD" w14:textId="0535D6A3">
      <w:pPr>
        <w:spacing w:line="360" w:lineRule="auto"/>
        <w:rPr>
          <w:rFonts w:ascii="Arial" w:hAnsi="Arial" w:cs="Arial"/>
          <w:b/>
          <w:bCs/>
          <w:color w:val="242424"/>
          <w:sz w:val="24"/>
          <w:szCs w:val="24"/>
          <w:shd w:val="clear" w:color="auto" w:fill="FFFFFF"/>
        </w:rPr>
      </w:pPr>
      <w:r w:rsidRPr="00883F77">
        <w:rPr>
          <w:rFonts w:ascii="Arial" w:hAnsi="Arial" w:cs="Arial"/>
          <w:b/>
          <w:bCs/>
          <w:color w:val="242424"/>
          <w:sz w:val="24"/>
          <w:szCs w:val="24"/>
          <w:shd w:val="clear" w:color="auto" w:fill="FFFFFF"/>
        </w:rPr>
        <w:t xml:space="preserve"> </w:t>
      </w:r>
    </w:p>
    <w:p w:rsidR="00FE1797" w:rsidP="00DB2342" w:rsidRDefault="00FE1797" w14:paraId="76231954" w14:textId="77777777">
      <w:pPr>
        <w:spacing w:line="360" w:lineRule="auto"/>
        <w:rPr>
          <w:rFonts w:ascii="Arial" w:hAnsi="Arial" w:cs="Arial"/>
          <w:sz w:val="48"/>
          <w:szCs w:val="48"/>
        </w:rPr>
      </w:pPr>
    </w:p>
    <w:p w:rsidR="00806190" w:rsidP="00DB2342" w:rsidRDefault="00806190" w14:paraId="3AAE5342" w14:textId="3B13032F">
      <w:pPr>
        <w:shd w:val="clear" w:color="auto" w:fill="FFFFFF"/>
        <w:spacing w:after="240" w:line="360" w:lineRule="auto"/>
        <w:rPr>
          <w:rFonts w:ascii="Arial" w:hAnsi="Arial" w:eastAsia="Times New Roman" w:cs="Arial"/>
          <w:b/>
          <w:bCs/>
          <w:color w:val="242424"/>
          <w:sz w:val="24"/>
          <w:szCs w:val="24"/>
          <w:lang w:eastAsia="en-GB"/>
        </w:rPr>
      </w:pPr>
    </w:p>
    <w:p w:rsidR="002C0FA0" w:rsidP="00DB2342" w:rsidRDefault="002C0FA0" w14:paraId="77B409B8" w14:textId="7E4C0DAF">
      <w:pPr>
        <w:spacing w:line="360" w:lineRule="auto"/>
        <w:jc w:val="center"/>
        <w:rPr>
          <w:rFonts w:ascii="Arial" w:hAnsi="Arial" w:cs="Arial"/>
          <w:b/>
          <w:sz w:val="28"/>
          <w:szCs w:val="28"/>
          <w:lang w:eastAsia="en-GB"/>
        </w:rPr>
      </w:pPr>
    </w:p>
    <w:p w:rsidR="00485BC5" w:rsidP="00DB2342" w:rsidRDefault="00485BC5" w14:paraId="31F8332C" w14:textId="77777777">
      <w:pPr>
        <w:spacing w:line="360" w:lineRule="auto"/>
        <w:rPr>
          <w:rFonts w:ascii="Arial" w:hAnsi="Arial" w:cs="Arial"/>
          <w:b/>
          <w:sz w:val="24"/>
          <w:szCs w:val="24"/>
          <w:lang w:eastAsia="en-GB"/>
        </w:rPr>
      </w:pPr>
    </w:p>
    <w:p w:rsidR="3BC510B2" w:rsidP="3BC510B2" w:rsidRDefault="3BC510B2" w14:paraId="5C116BA1" w14:textId="19462C81">
      <w:pPr>
        <w:pStyle w:val="Normal"/>
        <w:spacing w:line="360" w:lineRule="auto"/>
        <w:rPr>
          <w:rFonts w:ascii="Arial" w:hAnsi="Arial" w:cs="Arial"/>
          <w:sz w:val="24"/>
          <w:szCs w:val="24"/>
          <w:lang w:eastAsia="en-GB"/>
        </w:rPr>
      </w:pPr>
    </w:p>
    <w:p w:rsidRPr="00485BC5" w:rsidR="00485BC5" w:rsidP="3BC510B2" w:rsidRDefault="00485BC5" w14:paraId="3A6C1394" w14:textId="43A5AE44">
      <w:pPr>
        <w:pStyle w:val="Normal"/>
        <w:spacing w:line="360" w:lineRule="auto"/>
        <w:rPr>
          <w:rFonts w:ascii="Arial" w:hAnsi="Arial" w:cs="Arial"/>
          <w:sz w:val="24"/>
          <w:szCs w:val="24"/>
          <w:lang w:eastAsia="en-GB"/>
        </w:rPr>
      </w:pPr>
      <w:r w:rsidRPr="3BC510B2" w:rsidR="00485BC5">
        <w:rPr>
          <w:rFonts w:ascii="Arial" w:hAnsi="Arial" w:cs="Arial"/>
          <w:sz w:val="24"/>
          <w:szCs w:val="24"/>
          <w:lang w:eastAsia="en-GB"/>
        </w:rPr>
        <w:t>Contents</w:t>
      </w:r>
    </w:p>
    <w:p w:rsidRPr="00485BC5" w:rsidR="00485BC5" w:rsidP="00485BC5" w:rsidRDefault="00485BC5" w14:paraId="5F37E6F6" w14:textId="410C6265">
      <w:pPr>
        <w:numPr>
          <w:ilvl w:val="0"/>
          <w:numId w:val="26"/>
        </w:numPr>
        <w:spacing w:before="100" w:beforeAutospacing="1" w:after="100" w:afterAutospacing="1" w:line="300" w:lineRule="atLeast"/>
        <w:rPr>
          <w:rFonts w:ascii="Arial" w:hAnsi="Arial" w:eastAsia="Times New Roman" w:cs="Arial"/>
          <w:sz w:val="24"/>
          <w:szCs w:val="24"/>
          <w:lang w:eastAsia="en-GB"/>
        </w:rPr>
      </w:pPr>
      <w:r w:rsidRPr="00485BC5">
        <w:rPr>
          <w:rFonts w:ascii="Arial" w:hAnsi="Arial" w:eastAsia="Times New Roman" w:cs="Arial"/>
          <w:sz w:val="24"/>
          <w:szCs w:val="24"/>
          <w:lang w:eastAsia="en-GB"/>
        </w:rPr>
        <w:t>Introduction</w:t>
      </w:r>
      <w:r w:rsidRPr="00485BC5">
        <w:rPr>
          <w:rFonts w:ascii="Arial" w:hAnsi="Arial" w:eastAsia="Times New Roman" w:cs="Arial"/>
          <w:sz w:val="24"/>
          <w:szCs w:val="24"/>
          <w:lang w:eastAsia="en-GB"/>
        </w:rPr>
        <w:br/>
      </w:r>
      <w:r w:rsidRPr="00485BC5">
        <w:rPr>
          <w:rFonts w:ascii="Arial" w:hAnsi="Arial" w:eastAsia="Times New Roman" w:cs="Arial"/>
          <w:sz w:val="24"/>
          <w:szCs w:val="24"/>
          <w:lang w:eastAsia="en-GB"/>
        </w:rPr>
        <w:t>1.1 Defining Business Ethics Across Cultures</w:t>
      </w:r>
    </w:p>
    <w:p w:rsidRPr="00485BC5" w:rsidR="00485BC5" w:rsidP="3BC510B2" w:rsidRDefault="00485BC5" w14:paraId="7EA44F2B" w14:textId="4C6DFCC4">
      <w:pPr>
        <w:numPr>
          <w:ilvl w:val="0"/>
          <w:numId w:val="26"/>
        </w:numPr>
        <w:spacing w:before="100" w:beforeAutospacing="on" w:after="100" w:afterAutospacing="on" w:line="300" w:lineRule="atLeast"/>
        <w:rPr>
          <w:rFonts w:ascii="Arial" w:hAnsi="Arial" w:eastAsia="Times New Roman" w:cs="Arial"/>
          <w:sz w:val="24"/>
          <w:szCs w:val="24"/>
          <w:lang w:eastAsia="en-GB"/>
        </w:rPr>
      </w:pPr>
      <w:r w:rsidRPr="3BC510B2" w:rsidR="00485BC5">
        <w:rPr>
          <w:rFonts w:ascii="Arial" w:hAnsi="Arial" w:eastAsia="Times New Roman" w:cs="Arial"/>
          <w:sz w:val="24"/>
          <w:szCs w:val="24"/>
          <w:lang w:eastAsia="en-GB"/>
        </w:rPr>
        <w:t>Cultural Foundations and Business Norms</w:t>
      </w:r>
      <w:r>
        <w:br/>
      </w:r>
      <w:r w:rsidRPr="3BC510B2" w:rsidR="00485BC5">
        <w:rPr>
          <w:rFonts w:ascii="Arial" w:hAnsi="Arial" w:eastAsia="Times New Roman" w:cs="Arial"/>
          <w:sz w:val="24"/>
          <w:szCs w:val="24"/>
          <w:lang w:eastAsia="en-GB"/>
        </w:rPr>
        <w:t>2.1 East–West Perspectives: Mahbubani, Hofstede, and Critiques</w:t>
      </w:r>
      <w:r>
        <w:br/>
      </w:r>
      <w:r w:rsidRPr="3BC510B2" w:rsidR="00485BC5">
        <w:rPr>
          <w:rFonts w:ascii="Arial" w:hAnsi="Arial" w:eastAsia="Times New Roman" w:cs="Arial"/>
          <w:sz w:val="24"/>
          <w:szCs w:val="24"/>
          <w:lang w:eastAsia="en-GB"/>
        </w:rPr>
        <w:t xml:space="preserve">2.2 </w:t>
      </w:r>
      <w:r w:rsidRPr="3BC510B2" w:rsidR="00485BC5">
        <w:rPr>
          <w:rFonts w:ascii="Arial" w:hAnsi="Arial" w:eastAsia="Times New Roman" w:cs="Arial"/>
          <w:sz w:val="24"/>
          <w:szCs w:val="24"/>
          <w:lang w:eastAsia="en-GB"/>
        </w:rPr>
        <w:t>Relationship</w:t>
      </w:r>
      <w:r w:rsidRPr="3BC510B2" w:rsidR="701DF867">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Centred</w:t>
      </w:r>
      <w:r w:rsidRPr="3BC510B2" w:rsidR="00485BC5">
        <w:rPr>
          <w:rFonts w:ascii="Arial" w:hAnsi="Arial" w:eastAsia="Times New Roman" w:cs="Arial"/>
          <w:sz w:val="24"/>
          <w:szCs w:val="24"/>
          <w:lang w:eastAsia="en-GB"/>
        </w:rPr>
        <w:t xml:space="preserve"> Ethics: </w:t>
      </w:r>
      <w:r w:rsidRPr="3BC510B2" w:rsidR="00485BC5">
        <w:rPr>
          <w:rFonts w:ascii="Arial" w:hAnsi="Arial" w:eastAsia="Times New Roman" w:cs="Arial"/>
          <w:i w:val="1"/>
          <w:iCs w:val="1"/>
          <w:sz w:val="24"/>
          <w:szCs w:val="24"/>
          <w:lang w:eastAsia="en-GB"/>
        </w:rPr>
        <w:t>Guanxi</w:t>
      </w:r>
      <w:r w:rsidRPr="3BC510B2" w:rsidR="00485BC5">
        <w:rPr>
          <w:rFonts w:ascii="Arial" w:hAnsi="Arial" w:eastAsia="Times New Roman" w:cs="Arial"/>
          <w:sz w:val="24"/>
          <w:szCs w:val="24"/>
          <w:lang w:eastAsia="en-GB"/>
        </w:rPr>
        <w:t xml:space="preserve"> (China) and </w:t>
      </w:r>
      <w:r w:rsidRPr="3BC510B2" w:rsidR="00485BC5">
        <w:rPr>
          <w:rFonts w:ascii="Arial" w:hAnsi="Arial" w:eastAsia="Times New Roman" w:cs="Arial"/>
          <w:i w:val="1"/>
          <w:iCs w:val="1"/>
          <w:sz w:val="24"/>
          <w:szCs w:val="24"/>
          <w:lang w:eastAsia="en-GB"/>
        </w:rPr>
        <w:t>Keiretsu</w:t>
      </w:r>
      <w:r w:rsidRPr="3BC510B2" w:rsidR="00485BC5">
        <w:rPr>
          <w:rFonts w:ascii="Arial" w:hAnsi="Arial" w:eastAsia="Times New Roman" w:cs="Arial"/>
          <w:sz w:val="24"/>
          <w:szCs w:val="24"/>
          <w:lang w:eastAsia="en-GB"/>
        </w:rPr>
        <w:t xml:space="preserve"> (Japan)</w:t>
      </w:r>
    </w:p>
    <w:p w:rsidRPr="00485BC5" w:rsidR="00485BC5" w:rsidP="3BC510B2" w:rsidRDefault="00485BC5" w14:paraId="007E22BB" w14:textId="1D31282B">
      <w:pPr>
        <w:numPr>
          <w:ilvl w:val="0"/>
          <w:numId w:val="26"/>
        </w:numPr>
        <w:spacing w:before="100" w:beforeAutospacing="on" w:after="100" w:afterAutospacing="on" w:line="300" w:lineRule="atLeast"/>
        <w:rPr>
          <w:rFonts w:ascii="Arial" w:hAnsi="Arial" w:eastAsia="Times New Roman" w:cs="Arial"/>
          <w:sz w:val="24"/>
          <w:szCs w:val="24"/>
          <w:lang w:eastAsia="en-GB"/>
        </w:rPr>
      </w:pPr>
      <w:r w:rsidRPr="3BC510B2" w:rsidR="00485BC5">
        <w:rPr>
          <w:rFonts w:ascii="Arial" w:hAnsi="Arial" w:eastAsia="Times New Roman" w:cs="Arial"/>
          <w:sz w:val="24"/>
          <w:szCs w:val="24"/>
          <w:lang w:eastAsia="en-GB"/>
        </w:rPr>
        <w:t>Global Trade Without Ethical Compromise?</w:t>
      </w:r>
      <w:r>
        <w:br/>
      </w:r>
      <w:r w:rsidRPr="3BC510B2" w:rsidR="00485BC5">
        <w:rPr>
          <w:rFonts w:ascii="Arial" w:hAnsi="Arial" w:eastAsia="Times New Roman" w:cs="Arial"/>
          <w:sz w:val="24"/>
          <w:szCs w:val="24"/>
          <w:lang w:eastAsia="en-GB"/>
        </w:rPr>
        <w:t xml:space="preserve">3.1 </w:t>
      </w:r>
      <w:r w:rsidRPr="3BC510B2" w:rsidR="00485BC5">
        <w:rPr>
          <w:rFonts w:ascii="Arial" w:hAnsi="Arial" w:eastAsia="Times New Roman" w:cs="Arial"/>
          <w:sz w:val="24"/>
          <w:szCs w:val="24"/>
          <w:lang w:eastAsia="en-GB"/>
        </w:rPr>
        <w:t>Hyper</w:t>
      </w:r>
      <w:r w:rsidRPr="3BC510B2" w:rsidR="00A146ED">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norms</w:t>
      </w:r>
      <w:r w:rsidRPr="3BC510B2" w:rsidR="00485BC5">
        <w:rPr>
          <w:rFonts w:ascii="Arial" w:hAnsi="Arial" w:eastAsia="Times New Roman" w:cs="Arial"/>
          <w:sz w:val="24"/>
          <w:szCs w:val="24"/>
          <w:lang w:eastAsia="en-GB"/>
        </w:rPr>
        <w:t xml:space="preserve"> and Local Practices</w:t>
      </w:r>
      <w:r>
        <w:br/>
      </w:r>
      <w:r w:rsidRPr="3BC510B2" w:rsidR="00485BC5">
        <w:rPr>
          <w:rFonts w:ascii="Arial" w:hAnsi="Arial" w:eastAsia="Times New Roman" w:cs="Arial"/>
          <w:sz w:val="24"/>
          <w:szCs w:val="24"/>
          <w:lang w:eastAsia="en-GB"/>
        </w:rPr>
        <w:t>3.2 International Frameworks: UNGPs and OECD Guidelines</w:t>
      </w:r>
    </w:p>
    <w:p w:rsidRPr="00485BC5" w:rsidR="00485BC5" w:rsidP="00485BC5" w:rsidRDefault="00485BC5" w14:paraId="02070806" w14:textId="77777777">
      <w:pPr>
        <w:numPr>
          <w:ilvl w:val="0"/>
          <w:numId w:val="26"/>
        </w:numPr>
        <w:spacing w:before="100" w:beforeAutospacing="1" w:after="100" w:afterAutospacing="1" w:line="300" w:lineRule="atLeast"/>
        <w:rPr>
          <w:rFonts w:ascii="Arial" w:hAnsi="Arial" w:eastAsia="Times New Roman" w:cs="Arial"/>
          <w:sz w:val="24"/>
          <w:szCs w:val="24"/>
          <w:lang w:eastAsia="en-GB"/>
        </w:rPr>
      </w:pPr>
      <w:r w:rsidRPr="00485BC5">
        <w:rPr>
          <w:rFonts w:ascii="Arial" w:hAnsi="Arial" w:eastAsia="Times New Roman" w:cs="Arial"/>
          <w:sz w:val="24"/>
          <w:szCs w:val="24"/>
          <w:lang w:eastAsia="en-GB"/>
        </w:rPr>
        <w:t>Compatibilism: Balancing Profit and Planet</w:t>
      </w:r>
      <w:r w:rsidRPr="00485BC5">
        <w:rPr>
          <w:rFonts w:ascii="Arial" w:hAnsi="Arial" w:eastAsia="Times New Roman" w:cs="Arial"/>
          <w:sz w:val="24"/>
          <w:szCs w:val="24"/>
          <w:lang w:eastAsia="en-GB"/>
        </w:rPr>
        <w:br/>
      </w:r>
      <w:r w:rsidRPr="00485BC5">
        <w:rPr>
          <w:rFonts w:ascii="Arial" w:hAnsi="Arial" w:eastAsia="Times New Roman" w:cs="Arial"/>
          <w:sz w:val="24"/>
          <w:szCs w:val="24"/>
          <w:lang w:eastAsia="en-GB"/>
        </w:rPr>
        <w:t>4.1 Science, Climate Emergency, and Corporate Duties</w:t>
      </w:r>
      <w:r w:rsidRPr="00485BC5">
        <w:rPr>
          <w:rFonts w:ascii="Arial" w:hAnsi="Arial" w:eastAsia="Times New Roman" w:cs="Arial"/>
          <w:sz w:val="24"/>
          <w:szCs w:val="24"/>
          <w:lang w:eastAsia="en-GB"/>
        </w:rPr>
        <w:br/>
      </w:r>
      <w:r w:rsidRPr="00485BC5">
        <w:rPr>
          <w:rFonts w:ascii="Arial" w:hAnsi="Arial" w:eastAsia="Times New Roman" w:cs="Arial"/>
          <w:sz w:val="24"/>
          <w:szCs w:val="24"/>
          <w:lang w:eastAsia="en-GB"/>
        </w:rPr>
        <w:t>4.2 Policy Signals: UK HFSS Advertising Restrictions; EU Due Diligence</w:t>
      </w:r>
    </w:p>
    <w:p w:rsidRPr="00485BC5" w:rsidR="00485BC5" w:rsidP="00485BC5" w:rsidRDefault="00485BC5" w14:paraId="62CB8879" w14:textId="77777777">
      <w:pPr>
        <w:numPr>
          <w:ilvl w:val="0"/>
          <w:numId w:val="26"/>
        </w:numPr>
        <w:spacing w:before="100" w:beforeAutospacing="1" w:after="100" w:afterAutospacing="1" w:line="300" w:lineRule="atLeast"/>
        <w:rPr>
          <w:rFonts w:ascii="Arial" w:hAnsi="Arial" w:eastAsia="Times New Roman" w:cs="Arial"/>
          <w:sz w:val="24"/>
          <w:szCs w:val="24"/>
          <w:lang w:eastAsia="en-GB"/>
        </w:rPr>
      </w:pPr>
      <w:r w:rsidRPr="00485BC5">
        <w:rPr>
          <w:rFonts w:ascii="Arial" w:hAnsi="Arial" w:eastAsia="Times New Roman" w:cs="Arial"/>
          <w:sz w:val="24"/>
          <w:szCs w:val="24"/>
          <w:lang w:eastAsia="en-GB"/>
        </w:rPr>
        <w:t>Case Comparisons: Smoking, Gambling, Food, and Human Rights</w:t>
      </w:r>
      <w:r w:rsidRPr="00485BC5">
        <w:rPr>
          <w:rFonts w:ascii="Arial" w:hAnsi="Arial" w:eastAsia="Times New Roman" w:cs="Arial"/>
          <w:sz w:val="24"/>
          <w:szCs w:val="24"/>
          <w:lang w:eastAsia="en-GB"/>
        </w:rPr>
        <w:br/>
      </w:r>
      <w:r w:rsidRPr="00485BC5">
        <w:rPr>
          <w:rFonts w:ascii="Arial" w:hAnsi="Arial" w:eastAsia="Times New Roman" w:cs="Arial"/>
          <w:sz w:val="24"/>
          <w:szCs w:val="24"/>
          <w:lang w:eastAsia="en-GB"/>
        </w:rPr>
        <w:t>5.1 Regulatory Diversity and Cultural Sensitivities</w:t>
      </w:r>
      <w:r w:rsidRPr="00485BC5">
        <w:rPr>
          <w:rFonts w:ascii="Arial" w:hAnsi="Arial" w:eastAsia="Times New Roman" w:cs="Arial"/>
          <w:sz w:val="24"/>
          <w:szCs w:val="24"/>
          <w:lang w:eastAsia="en-GB"/>
        </w:rPr>
        <w:br/>
      </w:r>
      <w:r w:rsidRPr="00485BC5">
        <w:rPr>
          <w:rFonts w:ascii="Arial" w:hAnsi="Arial" w:eastAsia="Times New Roman" w:cs="Arial"/>
          <w:sz w:val="24"/>
          <w:szCs w:val="24"/>
          <w:lang w:eastAsia="en-GB"/>
        </w:rPr>
        <w:t>5.2 Human Rights Due Diligence Laws in Europe (France, Germany)</w:t>
      </w:r>
    </w:p>
    <w:p w:rsidRPr="00485BC5" w:rsidR="00485BC5" w:rsidP="00485BC5" w:rsidRDefault="00485BC5" w14:paraId="353F7B6F" w14:textId="77777777">
      <w:pPr>
        <w:numPr>
          <w:ilvl w:val="0"/>
          <w:numId w:val="26"/>
        </w:numPr>
        <w:spacing w:before="100" w:beforeAutospacing="1" w:after="100" w:afterAutospacing="1" w:line="300" w:lineRule="atLeast"/>
        <w:rPr>
          <w:rFonts w:ascii="Arial" w:hAnsi="Arial" w:eastAsia="Times New Roman" w:cs="Arial"/>
          <w:sz w:val="24"/>
          <w:szCs w:val="24"/>
          <w:lang w:eastAsia="en-GB"/>
        </w:rPr>
      </w:pPr>
      <w:r w:rsidRPr="00485BC5">
        <w:rPr>
          <w:rFonts w:ascii="Arial" w:hAnsi="Arial" w:eastAsia="Times New Roman" w:cs="Arial"/>
          <w:sz w:val="24"/>
          <w:szCs w:val="24"/>
          <w:lang w:eastAsia="en-GB"/>
        </w:rPr>
        <w:t>Discussion: Constraints, Tensions, and Solutions</w:t>
      </w:r>
    </w:p>
    <w:p w:rsidRPr="00485BC5" w:rsidR="00485BC5" w:rsidP="00485BC5" w:rsidRDefault="00485BC5" w14:paraId="5F6F2B03" w14:textId="77777777">
      <w:pPr>
        <w:numPr>
          <w:ilvl w:val="0"/>
          <w:numId w:val="26"/>
        </w:numPr>
        <w:spacing w:before="100" w:beforeAutospacing="1" w:after="100" w:afterAutospacing="1" w:line="300" w:lineRule="atLeast"/>
        <w:rPr>
          <w:rFonts w:ascii="Arial" w:hAnsi="Arial" w:eastAsia="Times New Roman" w:cs="Arial"/>
          <w:sz w:val="24"/>
          <w:szCs w:val="24"/>
          <w:lang w:eastAsia="en-GB"/>
        </w:rPr>
      </w:pPr>
      <w:r w:rsidRPr="00485BC5">
        <w:rPr>
          <w:rFonts w:ascii="Arial" w:hAnsi="Arial" w:eastAsia="Times New Roman" w:cs="Arial"/>
          <w:sz w:val="24"/>
          <w:szCs w:val="24"/>
          <w:lang w:eastAsia="en-GB"/>
        </w:rPr>
        <w:t>Conclusion</w:t>
      </w:r>
    </w:p>
    <w:p w:rsidRPr="00485BC5" w:rsidR="00485BC5" w:rsidP="00485BC5" w:rsidRDefault="00485BC5" w14:paraId="46D1FC30" w14:textId="2C11EC94">
      <w:pPr>
        <w:numPr>
          <w:ilvl w:val="0"/>
          <w:numId w:val="26"/>
        </w:numPr>
        <w:spacing w:before="100" w:beforeAutospacing="1" w:after="100" w:afterAutospacing="1" w:line="300" w:lineRule="atLeast"/>
        <w:rPr>
          <w:rFonts w:ascii="Segoe UI" w:hAnsi="Segoe UI" w:eastAsia="Times New Roman" w:cs="Segoe UI"/>
          <w:sz w:val="21"/>
          <w:szCs w:val="21"/>
          <w:lang w:eastAsia="en-GB"/>
        </w:rPr>
      </w:pPr>
      <w:r w:rsidRPr="00485BC5">
        <w:rPr>
          <w:rFonts w:ascii="Arial" w:hAnsi="Arial" w:eastAsia="Times New Roman" w:cs="Arial"/>
          <w:sz w:val="24"/>
          <w:szCs w:val="24"/>
          <w:lang w:eastAsia="en-GB"/>
        </w:rPr>
        <w:t xml:space="preserve">Reference List </w:t>
      </w:r>
    </w:p>
    <w:p w:rsidR="00485BC5" w:rsidP="00DB2342" w:rsidRDefault="00485BC5" w14:paraId="1F3B1CCF" w14:textId="77777777">
      <w:pPr>
        <w:spacing w:line="360" w:lineRule="auto"/>
        <w:rPr>
          <w:rFonts w:ascii="Arial" w:hAnsi="Arial" w:cs="Arial"/>
          <w:b/>
          <w:sz w:val="24"/>
          <w:szCs w:val="24"/>
          <w:lang w:eastAsia="en-GB"/>
        </w:rPr>
      </w:pPr>
    </w:p>
    <w:p w:rsidR="00485BC5" w:rsidP="00DB2342" w:rsidRDefault="00485BC5" w14:paraId="05988513" w14:textId="77777777">
      <w:pPr>
        <w:spacing w:line="360" w:lineRule="auto"/>
        <w:rPr>
          <w:rFonts w:ascii="Arial" w:hAnsi="Arial" w:cs="Arial"/>
          <w:b/>
          <w:sz w:val="24"/>
          <w:szCs w:val="24"/>
          <w:lang w:eastAsia="en-GB"/>
        </w:rPr>
      </w:pPr>
    </w:p>
    <w:p w:rsidR="00485BC5" w:rsidP="00DB2342" w:rsidRDefault="00485BC5" w14:paraId="776C7010" w14:textId="77777777">
      <w:pPr>
        <w:spacing w:line="360" w:lineRule="auto"/>
        <w:rPr>
          <w:rFonts w:ascii="Arial" w:hAnsi="Arial" w:cs="Arial"/>
          <w:b/>
          <w:sz w:val="24"/>
          <w:szCs w:val="24"/>
          <w:lang w:eastAsia="en-GB"/>
        </w:rPr>
      </w:pPr>
    </w:p>
    <w:p w:rsidR="00485BC5" w:rsidP="00DB2342" w:rsidRDefault="00485BC5" w14:paraId="12F3C5F5" w14:textId="77777777">
      <w:pPr>
        <w:spacing w:line="360" w:lineRule="auto"/>
        <w:rPr>
          <w:rFonts w:ascii="Arial" w:hAnsi="Arial" w:cs="Arial"/>
          <w:b/>
          <w:sz w:val="24"/>
          <w:szCs w:val="24"/>
          <w:lang w:eastAsia="en-GB"/>
        </w:rPr>
      </w:pPr>
    </w:p>
    <w:p w:rsidR="00485BC5" w:rsidP="00DB2342" w:rsidRDefault="00485BC5" w14:paraId="2948F0F7" w14:textId="77777777">
      <w:pPr>
        <w:spacing w:line="360" w:lineRule="auto"/>
        <w:rPr>
          <w:rFonts w:ascii="Arial" w:hAnsi="Arial" w:cs="Arial"/>
          <w:b/>
          <w:sz w:val="24"/>
          <w:szCs w:val="24"/>
          <w:lang w:eastAsia="en-GB"/>
        </w:rPr>
      </w:pPr>
    </w:p>
    <w:p w:rsidR="00485BC5" w:rsidP="00DB2342" w:rsidRDefault="00485BC5" w14:paraId="3509DCA7" w14:textId="77777777">
      <w:pPr>
        <w:spacing w:line="360" w:lineRule="auto"/>
        <w:rPr>
          <w:rFonts w:ascii="Arial" w:hAnsi="Arial" w:cs="Arial"/>
          <w:b/>
          <w:sz w:val="24"/>
          <w:szCs w:val="24"/>
          <w:lang w:eastAsia="en-GB"/>
        </w:rPr>
      </w:pPr>
    </w:p>
    <w:p w:rsidR="00485BC5" w:rsidP="00DB2342" w:rsidRDefault="00485BC5" w14:paraId="27A864C3" w14:textId="77777777">
      <w:pPr>
        <w:spacing w:line="360" w:lineRule="auto"/>
        <w:rPr>
          <w:rFonts w:ascii="Arial" w:hAnsi="Arial" w:cs="Arial"/>
          <w:b/>
          <w:sz w:val="24"/>
          <w:szCs w:val="24"/>
          <w:lang w:eastAsia="en-GB"/>
        </w:rPr>
      </w:pPr>
    </w:p>
    <w:p w:rsidR="00485BC5" w:rsidP="00DB2342" w:rsidRDefault="00485BC5" w14:paraId="4690D0A1" w14:textId="77777777">
      <w:pPr>
        <w:spacing w:line="360" w:lineRule="auto"/>
        <w:rPr>
          <w:rFonts w:ascii="Arial" w:hAnsi="Arial" w:cs="Arial"/>
          <w:b/>
          <w:sz w:val="24"/>
          <w:szCs w:val="24"/>
          <w:lang w:eastAsia="en-GB"/>
        </w:rPr>
      </w:pPr>
    </w:p>
    <w:p w:rsidR="00485BC5" w:rsidP="00DB2342" w:rsidRDefault="00485BC5" w14:paraId="7427355D" w14:textId="77777777">
      <w:pPr>
        <w:spacing w:line="360" w:lineRule="auto"/>
        <w:rPr>
          <w:rFonts w:ascii="Arial" w:hAnsi="Arial" w:cs="Arial"/>
          <w:b/>
          <w:sz w:val="24"/>
          <w:szCs w:val="24"/>
          <w:lang w:eastAsia="en-GB"/>
        </w:rPr>
      </w:pPr>
    </w:p>
    <w:p w:rsidR="00485BC5" w:rsidP="00DB2342" w:rsidRDefault="00485BC5" w14:paraId="208DAC0C" w14:textId="77777777">
      <w:pPr>
        <w:spacing w:line="360" w:lineRule="auto"/>
        <w:rPr>
          <w:rFonts w:ascii="Arial" w:hAnsi="Arial" w:cs="Arial"/>
          <w:b/>
          <w:sz w:val="24"/>
          <w:szCs w:val="24"/>
          <w:lang w:eastAsia="en-GB"/>
        </w:rPr>
      </w:pPr>
    </w:p>
    <w:p w:rsidR="00485BC5" w:rsidP="00DB2342" w:rsidRDefault="00485BC5" w14:paraId="113B35A6" w14:textId="77777777">
      <w:pPr>
        <w:spacing w:line="360" w:lineRule="auto"/>
        <w:rPr>
          <w:rFonts w:ascii="Arial" w:hAnsi="Arial" w:cs="Arial"/>
          <w:b/>
          <w:sz w:val="24"/>
          <w:szCs w:val="24"/>
          <w:lang w:eastAsia="en-GB"/>
        </w:rPr>
      </w:pPr>
    </w:p>
    <w:p w:rsidR="00485BC5" w:rsidP="00DB2342" w:rsidRDefault="00485BC5" w14:paraId="58236195" w14:textId="77777777">
      <w:pPr>
        <w:spacing w:line="360" w:lineRule="auto"/>
        <w:rPr>
          <w:rFonts w:ascii="Arial" w:hAnsi="Arial" w:cs="Arial"/>
          <w:b/>
          <w:sz w:val="24"/>
          <w:szCs w:val="24"/>
          <w:lang w:eastAsia="en-GB"/>
        </w:rPr>
      </w:pPr>
    </w:p>
    <w:p w:rsidR="00485BC5" w:rsidP="00DB2342" w:rsidRDefault="00485BC5" w14:paraId="600309A9" w14:textId="77777777">
      <w:pPr>
        <w:spacing w:line="360" w:lineRule="auto"/>
        <w:rPr>
          <w:rFonts w:ascii="Arial" w:hAnsi="Arial" w:cs="Arial"/>
          <w:b/>
          <w:sz w:val="24"/>
          <w:szCs w:val="24"/>
          <w:lang w:eastAsia="en-GB"/>
        </w:rPr>
      </w:pPr>
    </w:p>
    <w:p w:rsidR="002C0FA0" w:rsidP="00DB2342" w:rsidRDefault="002C0FA0" w14:paraId="46B5F7CC" w14:textId="5ABEB721">
      <w:pPr>
        <w:spacing w:line="360" w:lineRule="auto"/>
        <w:rPr>
          <w:rFonts w:ascii="Arial" w:hAnsi="Arial" w:cs="Arial"/>
          <w:b/>
          <w:sz w:val="24"/>
          <w:szCs w:val="24"/>
          <w:lang w:eastAsia="en-GB"/>
        </w:rPr>
      </w:pPr>
    </w:p>
    <w:p w:rsidRPr="00485BC5" w:rsidR="00485BC5" w:rsidP="00485BC5" w:rsidRDefault="00485BC5" w14:paraId="4125D8E6" w14:textId="77777777">
      <w:pPr>
        <w:rPr>
          <w:rFonts w:ascii="Arial" w:hAnsi="Arial" w:cs="Arial"/>
          <w:b/>
          <w:bCs/>
          <w:sz w:val="24"/>
          <w:szCs w:val="24"/>
          <w:lang w:eastAsia="en-GB"/>
        </w:rPr>
      </w:pPr>
      <w:r w:rsidRPr="00485BC5">
        <w:rPr>
          <w:rFonts w:ascii="Arial" w:hAnsi="Arial" w:cs="Arial"/>
          <w:b/>
          <w:bCs/>
          <w:sz w:val="24"/>
          <w:szCs w:val="24"/>
          <w:lang w:eastAsia="en-GB"/>
        </w:rPr>
        <w:t>1.1 Defining Business Ethics Across Cultures</w:t>
      </w:r>
    </w:p>
    <w:p w:rsidRPr="009D5506" w:rsidR="00485BC5" w:rsidP="005E656D" w:rsidRDefault="00485BC5" w14:paraId="63FEB84F" w14:textId="427A06EF">
      <w:pPr>
        <w:spacing w:line="480" w:lineRule="auto"/>
        <w:rPr>
          <w:rFonts w:ascii="Segoe UI" w:hAnsi="Segoe UI" w:eastAsia="Times New Roman" w:cs="Segoe UI"/>
          <w:sz w:val="21"/>
          <w:szCs w:val="21"/>
          <w:lang w:eastAsia="en-GB"/>
        </w:rPr>
      </w:pPr>
      <w:r w:rsidRPr="3BC510B2" w:rsidR="00485BC5">
        <w:rPr>
          <w:rFonts w:ascii="Arial" w:hAnsi="Arial" w:eastAsia="Times New Roman" w:cs="Arial"/>
          <w:sz w:val="24"/>
          <w:szCs w:val="24"/>
          <w:lang w:eastAsia="en-GB"/>
        </w:rPr>
        <w:t>Business ethics concerns the principles and standards guiding corporate behaviour toward stakeholders, society, and the environment</w:t>
      </w:r>
      <w:r w:rsidRPr="3BC510B2" w:rsidR="009D5506">
        <w:rPr>
          <w:rFonts w:ascii="Arial" w:hAnsi="Arial" w:eastAsia="Times New Roman" w:cs="Arial"/>
          <w:sz w:val="24"/>
          <w:szCs w:val="24"/>
          <w:lang w:eastAsia="en-GB"/>
        </w:rPr>
        <w:t xml:space="preserve"> (Markkula </w:t>
      </w:r>
      <w:r w:rsidRPr="3BC510B2" w:rsidR="009D5506">
        <w:rPr>
          <w:rFonts w:ascii="Arial" w:hAnsi="Arial" w:eastAsia="Times New Roman" w:cs="Arial"/>
          <w:sz w:val="24"/>
          <w:szCs w:val="24"/>
          <w:lang w:eastAsia="en-GB"/>
        </w:rPr>
        <w:t>Center</w:t>
      </w:r>
      <w:r w:rsidRPr="3BC510B2" w:rsidR="009D5506">
        <w:rPr>
          <w:rFonts w:ascii="Arial" w:hAnsi="Arial" w:eastAsia="Times New Roman" w:cs="Arial"/>
          <w:sz w:val="24"/>
          <w:szCs w:val="24"/>
          <w:lang w:eastAsia="en-GB"/>
        </w:rPr>
        <w:t xml:space="preserve"> for Applied </w:t>
      </w:r>
      <w:hyperlink r:id="R93c8a10ba8e5449a">
        <w:r w:rsidRPr="3BC510B2" w:rsidR="009D5506">
          <w:rPr>
            <w:rStyle w:val="Hyperlink"/>
            <w:rFonts w:ascii="Arial" w:hAnsi="Arial" w:eastAsia="Times New Roman" w:cs="Arial"/>
            <w:color w:val="auto"/>
            <w:sz w:val="24"/>
            <w:szCs w:val="24"/>
            <w:u w:val="none"/>
            <w:lang w:eastAsia="en-GB"/>
          </w:rPr>
          <w:t>Ethics</w:t>
        </w:r>
      </w:hyperlink>
      <w:r w:rsidRPr="3BC510B2" w:rsidR="009D5506">
        <w:rPr>
          <w:rFonts w:ascii="Arial" w:hAnsi="Arial" w:eastAsia="Times New Roman" w:cs="Arial"/>
          <w:sz w:val="24"/>
          <w:szCs w:val="24"/>
          <w:lang w:eastAsia="en-GB"/>
        </w:rPr>
        <w:t>, n.d.)</w:t>
      </w:r>
      <w:r w:rsidRPr="3BC510B2" w:rsidR="00485BC5">
        <w:rPr>
          <w:rFonts w:ascii="Arial" w:hAnsi="Arial" w:eastAsia="Times New Roman" w:cs="Arial"/>
          <w:sz w:val="24"/>
          <w:szCs w:val="24"/>
          <w:lang w:eastAsia="en-GB"/>
        </w:rPr>
        <w:t>. In global markets, these standards are perceived through culturally embedded lenses that shape what counts as “normal”</w:t>
      </w:r>
      <w:r w:rsidRPr="3BC510B2" w:rsidR="00485BC5">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 xml:space="preserve">from acceptable </w:t>
      </w:r>
      <w:r w:rsidRPr="3BC510B2" w:rsidR="2EF7E6B9">
        <w:rPr>
          <w:rFonts w:ascii="Arial" w:hAnsi="Arial" w:eastAsia="Times New Roman" w:cs="Arial"/>
          <w:sz w:val="24"/>
          <w:szCs w:val="24"/>
          <w:lang w:eastAsia="en-GB"/>
        </w:rPr>
        <w:t>gift giving</w:t>
      </w:r>
      <w:r w:rsidRPr="3BC510B2" w:rsidR="00485BC5">
        <w:rPr>
          <w:rFonts w:ascii="Arial" w:hAnsi="Arial" w:eastAsia="Times New Roman" w:cs="Arial"/>
          <w:sz w:val="24"/>
          <w:szCs w:val="24"/>
          <w:lang w:eastAsia="en-GB"/>
        </w:rPr>
        <w:t xml:space="preserve"> to the design of governance networks, and from labour practices to environmental stewardship</w:t>
      </w:r>
      <w:r w:rsidRPr="3BC510B2" w:rsidR="001C622D">
        <w:rPr>
          <w:rFonts w:ascii="Arial" w:hAnsi="Arial" w:eastAsia="Times New Roman" w:cs="Arial"/>
          <w:sz w:val="24"/>
          <w:szCs w:val="24"/>
          <w:lang w:eastAsia="en-GB"/>
        </w:rPr>
        <w:t xml:space="preserve"> </w:t>
      </w:r>
      <w:r w:rsidRPr="3BC510B2" w:rsidR="001C622D">
        <w:rPr>
          <w:rFonts w:ascii="Arial" w:hAnsi="Arial" w:eastAsia="Times New Roman" w:cs="Arial"/>
          <w:sz w:val="24"/>
          <w:szCs w:val="24"/>
          <w:lang w:eastAsia="en-GB"/>
        </w:rPr>
        <w:t>(Stahl, Sully de </w:t>
      </w:r>
      <w:r w:rsidRPr="3BC510B2" w:rsidR="001C622D">
        <w:rPr>
          <w:rFonts w:ascii="Arial" w:hAnsi="Arial" w:eastAsia="Times New Roman" w:cs="Arial"/>
          <w:sz w:val="24"/>
          <w:szCs w:val="24"/>
          <w:lang w:eastAsia="en-GB"/>
        </w:rPr>
        <w:t>Luque</w:t>
      </w:r>
      <w:r w:rsidRPr="3BC510B2" w:rsidR="001C622D">
        <w:rPr>
          <w:rFonts w:ascii="Arial" w:hAnsi="Arial" w:eastAsia="Times New Roman" w:cs="Arial"/>
          <w:sz w:val="24"/>
          <w:szCs w:val="24"/>
          <w:lang w:eastAsia="en-GB"/>
        </w:rPr>
        <w:t xml:space="preserve"> &amp; </w:t>
      </w:r>
      <w:r w:rsidRPr="3BC510B2" w:rsidR="001C622D">
        <w:rPr>
          <w:rFonts w:ascii="Arial" w:hAnsi="Arial" w:eastAsia="Times New Roman" w:cs="Arial"/>
          <w:sz w:val="24"/>
          <w:szCs w:val="24"/>
          <w:lang w:eastAsia="en-GB"/>
        </w:rPr>
        <w:t>Miska</w:t>
      </w:r>
      <w:r w:rsidRPr="3BC510B2" w:rsidR="001C622D">
        <w:rPr>
          <w:rFonts w:ascii="Arial" w:hAnsi="Arial" w:eastAsia="Times New Roman" w:cs="Arial"/>
          <w:sz w:val="24"/>
          <w:szCs w:val="24"/>
          <w:lang w:eastAsia="en-GB"/>
        </w:rPr>
        <w:t>, 2024)</w:t>
      </w:r>
      <w:r w:rsidRPr="3BC510B2" w:rsidR="00485BC5">
        <w:rPr>
          <w:rFonts w:ascii="Arial" w:hAnsi="Arial" w:eastAsia="Times New Roman" w:cs="Arial"/>
          <w:sz w:val="24"/>
          <w:szCs w:val="24"/>
          <w:lang w:eastAsia="en-GB"/>
        </w:rPr>
        <w:t xml:space="preserve">. </w:t>
      </w:r>
      <w:r w:rsidRPr="3BC510B2" w:rsidR="32985474">
        <w:rPr>
          <w:rFonts w:ascii="Arial" w:hAnsi="Arial" w:eastAsia="Times New Roman" w:cs="Arial"/>
          <w:sz w:val="24"/>
          <w:szCs w:val="24"/>
          <w:lang w:eastAsia="en-GB"/>
        </w:rPr>
        <w:t>Cross-cultural</w:t>
      </w:r>
      <w:r w:rsidRPr="3BC510B2" w:rsidR="00485BC5">
        <w:rPr>
          <w:rFonts w:ascii="Arial" w:hAnsi="Arial" w:eastAsia="Times New Roman" w:cs="Arial"/>
          <w:sz w:val="24"/>
          <w:szCs w:val="24"/>
          <w:lang w:eastAsia="en-GB"/>
        </w:rPr>
        <w:t xml:space="preserve"> differences </w:t>
      </w:r>
      <w:r w:rsidRPr="3BC510B2" w:rsidR="0093182D">
        <w:rPr>
          <w:rFonts w:ascii="Arial" w:hAnsi="Arial" w:cs="Arial"/>
          <w:sz w:val="24"/>
          <w:szCs w:val="24"/>
        </w:rPr>
        <w:t xml:space="preserve">(Cynthia Vinney, </w:t>
      </w:r>
      <w:hyperlink r:id="Rb5a65255ed034700">
        <w:r w:rsidRPr="3BC510B2" w:rsidR="0093182D">
          <w:rPr>
            <w:rStyle w:val="Hyperlink"/>
            <w:rFonts w:ascii="Arial" w:hAnsi="Arial" w:cs="Arial"/>
            <w:color w:val="auto"/>
            <w:sz w:val="24"/>
            <w:szCs w:val="24"/>
            <w:u w:val="none"/>
          </w:rPr>
          <w:t>2025</w:t>
        </w:r>
      </w:hyperlink>
      <w:r w:rsidRPr="3BC510B2" w:rsidR="0093182D">
        <w:rPr>
          <w:rFonts w:ascii="Arial" w:hAnsi="Arial" w:cs="Arial"/>
          <w:sz w:val="24"/>
          <w:szCs w:val="24"/>
        </w:rPr>
        <w:t>).</w:t>
      </w:r>
      <w:r w:rsidRPr="3BC510B2" w:rsidR="00485BC5">
        <w:rPr>
          <w:rFonts w:ascii="Arial" w:hAnsi="Arial" w:eastAsia="Times New Roman" w:cs="Arial"/>
          <w:sz w:val="24"/>
          <w:szCs w:val="24"/>
          <w:lang w:eastAsia="en-GB"/>
        </w:rPr>
        <w:t>are not merely surface variations; they reflect deeper value systems about authority, community, risk, time, and moral obligation, often described through frameworks like Hofstede’s cultural dimensions (power distance, individualism–collectivism, uncertainty avoidance, etc.), though those frameworks carry known limitations</w:t>
      </w:r>
      <w:r w:rsidRPr="3BC510B2" w:rsidR="0093182D">
        <w:rPr>
          <w:rFonts w:ascii="Arial" w:hAnsi="Arial" w:eastAsia="Times New Roman" w:cs="Arial"/>
          <w:sz w:val="24"/>
          <w:szCs w:val="24"/>
          <w:lang w:eastAsia="en-GB"/>
        </w:rPr>
        <w:t xml:space="preserve"> </w:t>
      </w:r>
      <w:r w:rsidRPr="3BC510B2" w:rsidR="0093182D">
        <w:rPr>
          <w:rFonts w:ascii="Arial" w:hAnsi="Arial" w:eastAsia="Times New Roman" w:cs="Arial"/>
          <w:sz w:val="24"/>
          <w:szCs w:val="24"/>
          <w:lang w:eastAsia="en-GB"/>
        </w:rPr>
        <w:t>(</w:t>
      </w:r>
      <w:r w:rsidRPr="3BC510B2" w:rsidR="0093182D">
        <w:rPr>
          <w:rFonts w:ascii="Arial" w:hAnsi="Arial" w:cs="Arial"/>
          <w:color w:val="374151"/>
          <w:sz w:val="24"/>
          <w:szCs w:val="24"/>
        </w:rPr>
        <w:t xml:space="preserve">Greene, Jim, MFA, </w:t>
      </w:r>
      <w:hyperlink r:id="R68c7367c6949405d">
        <w:r w:rsidRPr="3BC510B2" w:rsidR="0093182D">
          <w:rPr>
            <w:rStyle w:val="Hyperlink"/>
            <w:rFonts w:ascii="Arial" w:hAnsi="Arial" w:cs="Arial"/>
            <w:color w:val="auto"/>
            <w:sz w:val="24"/>
            <w:szCs w:val="24"/>
            <w:u w:val="none"/>
          </w:rPr>
          <w:t>2024</w:t>
        </w:r>
      </w:hyperlink>
      <w:r w:rsidRPr="3BC510B2" w:rsidR="0093182D">
        <w:rPr>
          <w:rFonts w:ascii="Arial" w:hAnsi="Arial" w:cs="Arial"/>
          <w:sz w:val="24"/>
          <w:szCs w:val="24"/>
        </w:rPr>
        <w:t>)</w:t>
      </w:r>
      <w:r w:rsidRPr="3BC510B2" w:rsidR="0093182D">
        <w:rPr>
          <w:rFonts w:ascii="Arial" w:hAnsi="Arial" w:cs="Arial"/>
          <w:sz w:val="24"/>
          <w:szCs w:val="24"/>
        </w:rPr>
        <w:t xml:space="preserve">, (Charlotte Nickerson, </w:t>
      </w:r>
      <w:hyperlink r:id="R68d9d3b7ba92427d">
        <w:r w:rsidRPr="3BC510B2" w:rsidR="0093182D">
          <w:rPr>
            <w:rStyle w:val="Hyperlink"/>
            <w:rFonts w:ascii="Arial" w:hAnsi="Arial" w:cs="Arial"/>
            <w:color w:val="auto"/>
            <w:sz w:val="24"/>
            <w:szCs w:val="24"/>
            <w:u w:val="none"/>
          </w:rPr>
          <w:t>2025</w:t>
        </w:r>
      </w:hyperlink>
      <w:r w:rsidRPr="3BC510B2" w:rsidR="0093182D">
        <w:rPr>
          <w:rFonts w:ascii="Arial" w:hAnsi="Arial" w:cs="Arial"/>
          <w:sz w:val="24"/>
          <w:szCs w:val="24"/>
        </w:rPr>
        <w:t>)</w:t>
      </w:r>
      <w:r w:rsidRPr="3BC510B2" w:rsidR="0093182D">
        <w:rPr>
          <w:rFonts w:ascii="Arial" w:hAnsi="Arial" w:cs="Arial"/>
          <w:sz w:val="24"/>
          <w:szCs w:val="24"/>
        </w:rPr>
        <w:t xml:space="preserve">, </w:t>
      </w:r>
    </w:p>
    <w:p w:rsidRPr="00485BC5" w:rsidR="00485BC5" w:rsidP="00485BC5" w:rsidRDefault="00485BC5" w14:paraId="017F2543" w14:textId="77777777">
      <w:pPr>
        <w:rPr>
          <w:rFonts w:ascii="Arial" w:hAnsi="Arial" w:cs="Arial"/>
          <w:b/>
          <w:bCs/>
          <w:sz w:val="24"/>
          <w:szCs w:val="24"/>
          <w:lang w:eastAsia="en-GB"/>
        </w:rPr>
      </w:pPr>
      <w:r w:rsidRPr="00485BC5">
        <w:rPr>
          <w:rFonts w:ascii="Arial" w:hAnsi="Arial" w:cs="Arial"/>
          <w:b/>
          <w:bCs/>
          <w:sz w:val="24"/>
          <w:szCs w:val="24"/>
          <w:lang w:eastAsia="en-GB"/>
        </w:rPr>
        <w:t>2. Cultural Foundations and Business Norms</w:t>
      </w:r>
    </w:p>
    <w:p w:rsidRPr="00485BC5" w:rsidR="00485BC5" w:rsidP="00485BC5" w:rsidRDefault="00485BC5" w14:paraId="05C529F3" w14:textId="77777777">
      <w:pPr>
        <w:rPr>
          <w:rFonts w:ascii="Arial" w:hAnsi="Arial" w:cs="Arial"/>
          <w:b/>
          <w:bCs/>
          <w:sz w:val="24"/>
          <w:szCs w:val="24"/>
          <w:lang w:eastAsia="en-GB"/>
        </w:rPr>
      </w:pPr>
      <w:r w:rsidRPr="00485BC5">
        <w:rPr>
          <w:rFonts w:ascii="Arial" w:hAnsi="Arial" w:cs="Arial"/>
          <w:b/>
          <w:bCs/>
          <w:sz w:val="24"/>
          <w:szCs w:val="24"/>
          <w:lang w:eastAsia="en-GB"/>
        </w:rPr>
        <w:t>2.1 East–West Perspectives: Mahbubani, Hofstede, and Critiques</w:t>
      </w:r>
    </w:p>
    <w:p w:rsidRPr="0070404B" w:rsidR="0070404B" w:rsidP="00A86373" w:rsidRDefault="00485BC5" w14:paraId="7668E177" w14:textId="37AC57FD">
      <w:pPr>
        <w:spacing w:line="480" w:lineRule="auto"/>
        <w:rPr>
          <w:rFonts w:ascii="Segoe UI" w:hAnsi="Segoe UI" w:eastAsia="Times New Roman" w:cs="Segoe UI"/>
          <w:sz w:val="21"/>
          <w:szCs w:val="21"/>
          <w:lang w:eastAsia="en-GB"/>
        </w:rPr>
      </w:pPr>
      <w:r w:rsidRPr="3BC510B2" w:rsidR="00485BC5">
        <w:rPr>
          <w:rFonts w:ascii="Arial" w:hAnsi="Arial" w:eastAsia="Times New Roman" w:cs="Arial"/>
          <w:sz w:val="24"/>
          <w:szCs w:val="24"/>
          <w:lang w:eastAsia="en-GB"/>
        </w:rPr>
        <w:t xml:space="preserve">Kishore Mahbubani argues that Western universalist assumptions often overlook Asian perspectives and the historic cyclical shifts in global power, contending the </w:t>
      </w:r>
      <w:r w:rsidRPr="3BC510B2" w:rsidR="2F97AB4F">
        <w:rPr>
          <w:rFonts w:ascii="Arial" w:hAnsi="Arial" w:eastAsia="Times New Roman" w:cs="Arial"/>
          <w:sz w:val="24"/>
          <w:szCs w:val="24"/>
          <w:lang w:eastAsia="en-GB"/>
        </w:rPr>
        <w:t>twenty-first</w:t>
      </w:r>
      <w:r w:rsidRPr="3BC510B2" w:rsidR="00485BC5">
        <w:rPr>
          <w:rFonts w:ascii="Arial" w:hAnsi="Arial" w:eastAsia="Times New Roman" w:cs="Arial"/>
          <w:sz w:val="24"/>
          <w:szCs w:val="24"/>
          <w:lang w:eastAsia="en-GB"/>
        </w:rPr>
        <w:t xml:space="preserve"> century will be increasingly “Asian” and requiring mutual learning rather than one</w:t>
      </w:r>
      <w:r w:rsidRPr="3BC510B2" w:rsidR="4559C7A1">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w</w:t>
      </w:r>
      <w:r w:rsidRPr="3BC510B2" w:rsidR="00485BC5">
        <w:rPr>
          <w:rFonts w:ascii="Arial" w:hAnsi="Arial" w:eastAsia="Times New Roman" w:cs="Arial"/>
          <w:sz w:val="24"/>
          <w:szCs w:val="24"/>
          <w:lang w:eastAsia="en-GB"/>
        </w:rPr>
        <w:t>ay norm export</w:t>
      </w:r>
      <w:r w:rsidRPr="3BC510B2" w:rsidR="0070404B">
        <w:rPr>
          <w:rFonts w:ascii="Segoe UI" w:hAnsi="Segoe UI" w:eastAsia="Times New Roman" w:cs="Segoe UI"/>
          <w:sz w:val="21"/>
          <w:szCs w:val="21"/>
          <w:lang w:eastAsia="en-GB"/>
        </w:rPr>
        <w:t xml:space="preserve"> </w:t>
      </w:r>
      <w:r w:rsidRPr="3BC510B2" w:rsidR="0070404B">
        <w:rPr>
          <w:rFonts w:ascii="Arial" w:hAnsi="Arial" w:eastAsia="Times New Roman" w:cs="Arial"/>
          <w:sz w:val="24"/>
          <w:szCs w:val="24"/>
          <w:lang w:eastAsia="en-GB"/>
        </w:rPr>
        <w:t xml:space="preserve">(Mahbubani, </w:t>
      </w:r>
      <w:hyperlink r:id="R738afa2490004b93">
        <w:r w:rsidRPr="3BC510B2" w:rsidR="0070404B">
          <w:rPr>
            <w:rStyle w:val="Hyperlink"/>
            <w:rFonts w:ascii="Arial" w:hAnsi="Arial" w:eastAsia="Times New Roman" w:cs="Arial"/>
            <w:color w:val="auto"/>
            <w:sz w:val="24"/>
            <w:szCs w:val="24"/>
            <w:u w:val="none"/>
            <w:lang w:eastAsia="en-GB"/>
          </w:rPr>
          <w:t>2023</w:t>
        </w:r>
      </w:hyperlink>
      <w:r w:rsidRPr="3BC510B2" w:rsidR="0070404B">
        <w:rPr>
          <w:rFonts w:ascii="Arial" w:hAnsi="Arial" w:eastAsia="Times New Roman" w:cs="Arial"/>
          <w:sz w:val="24"/>
          <w:szCs w:val="24"/>
          <w:lang w:eastAsia="en-GB"/>
        </w:rPr>
        <w:t>)</w:t>
      </w:r>
      <w:r w:rsidRPr="3BC510B2" w:rsidR="00485BC5">
        <w:rPr>
          <w:rFonts w:ascii="Arial" w:hAnsi="Arial" w:eastAsia="Times New Roman" w:cs="Arial"/>
          <w:sz w:val="24"/>
          <w:szCs w:val="24"/>
          <w:lang w:eastAsia="en-GB"/>
        </w:rPr>
        <w:t xml:space="preserve">. His essays highlight </w:t>
      </w:r>
      <w:r w:rsidRPr="3BC510B2" w:rsidR="001B4AD0">
        <w:rPr>
          <w:rFonts w:ascii="Arial" w:hAnsi="Arial" w:eastAsia="Times New Roman" w:cs="Arial"/>
          <w:sz w:val="24"/>
          <w:szCs w:val="24"/>
          <w:lang w:eastAsia="en-GB"/>
        </w:rPr>
        <w:t>th</w:t>
      </w:r>
      <w:r w:rsidRPr="3BC510B2" w:rsidR="001B4AD0">
        <w:rPr>
          <w:rFonts w:ascii="Arial" w:hAnsi="Arial" w:eastAsia="Times New Roman" w:cs="Arial"/>
          <w:sz w:val="24"/>
          <w:szCs w:val="24"/>
          <w:lang w:eastAsia="en-GB"/>
        </w:rPr>
        <w:t>e</w:t>
      </w:r>
      <w:r w:rsidRPr="3BC510B2" w:rsidR="001B4AD0">
        <w:rPr>
          <w:rFonts w:ascii="Arial" w:hAnsi="Arial" w:eastAsia="Times New Roman" w:cs="Arial"/>
          <w:sz w:val="24"/>
          <w:szCs w:val="24"/>
          <w:lang w:eastAsia="en-GB"/>
        </w:rPr>
        <w:t xml:space="preserve"> values</w:t>
      </w:r>
      <w:r w:rsidRPr="3BC510B2" w:rsidR="00485BC5">
        <w:rPr>
          <w:rFonts w:ascii="Arial" w:hAnsi="Arial" w:eastAsia="Times New Roman" w:cs="Arial"/>
          <w:sz w:val="24"/>
          <w:szCs w:val="24"/>
          <w:lang w:eastAsia="en-GB"/>
        </w:rPr>
        <w:t xml:space="preserve"> like social harmony, pragmatic governance, and </w:t>
      </w:r>
      <w:r w:rsidRPr="3BC510B2" w:rsidR="563C1FE2">
        <w:rPr>
          <w:rFonts w:ascii="Arial" w:hAnsi="Arial" w:eastAsia="Times New Roman" w:cs="Arial"/>
          <w:sz w:val="24"/>
          <w:szCs w:val="24"/>
          <w:lang w:eastAsia="en-GB"/>
        </w:rPr>
        <w:t>long-term</w:t>
      </w:r>
      <w:r w:rsidRPr="3BC510B2" w:rsidR="00485BC5">
        <w:rPr>
          <w:rFonts w:ascii="Arial" w:hAnsi="Arial" w:eastAsia="Times New Roman" w:cs="Arial"/>
          <w:sz w:val="24"/>
          <w:szCs w:val="24"/>
          <w:lang w:eastAsia="en-GB"/>
        </w:rPr>
        <w:t xml:space="preserve"> orientation can shape business </w:t>
      </w:r>
      <w:r w:rsidRPr="3BC510B2" w:rsidR="74F7264E">
        <w:rPr>
          <w:rFonts w:ascii="Arial" w:hAnsi="Arial" w:eastAsia="Times New Roman" w:cs="Arial"/>
          <w:sz w:val="24"/>
          <w:szCs w:val="24"/>
          <w:lang w:eastAsia="en-GB"/>
        </w:rPr>
        <w:t>decision-making</w:t>
      </w:r>
      <w:r w:rsidRPr="3BC510B2" w:rsidR="00485BC5">
        <w:rPr>
          <w:rFonts w:ascii="Arial" w:hAnsi="Arial" w:eastAsia="Times New Roman" w:cs="Arial"/>
          <w:sz w:val="24"/>
          <w:szCs w:val="24"/>
          <w:lang w:eastAsia="en-GB"/>
        </w:rPr>
        <w:t xml:space="preserve"> differently than Western emphasis on individual rights and shareholder primacy</w:t>
      </w:r>
      <w:r w:rsidRPr="3BC510B2" w:rsidR="001B4AD0">
        <w:rPr>
          <w:rFonts w:ascii="Arial" w:hAnsi="Arial" w:eastAsia="Times New Roman" w:cs="Arial"/>
          <w:sz w:val="24"/>
          <w:szCs w:val="24"/>
          <w:lang w:eastAsia="en-GB"/>
        </w:rPr>
        <w:t xml:space="preserve"> </w:t>
      </w:r>
      <w:r w:rsidRPr="3BC510B2" w:rsidR="00485BC5">
        <w:rPr>
          <w:rFonts w:ascii="Arial" w:hAnsi="Arial" w:eastAsia="Times New Roman" w:cs="Arial"/>
          <w:sz w:val="24"/>
          <w:szCs w:val="24"/>
          <w:lang w:eastAsia="en-GB"/>
        </w:rPr>
        <w:t xml:space="preserve">an observation resonant with Hofstede’s dimensions (e.g., </w:t>
      </w:r>
      <w:r w:rsidRPr="3BC510B2" w:rsidR="49FDE27E">
        <w:rPr>
          <w:rFonts w:ascii="Arial" w:hAnsi="Arial" w:eastAsia="Times New Roman" w:cs="Arial"/>
          <w:sz w:val="24"/>
          <w:szCs w:val="24"/>
          <w:lang w:eastAsia="en-GB"/>
        </w:rPr>
        <w:t>long-term</w:t>
      </w:r>
      <w:r w:rsidRPr="3BC510B2" w:rsidR="00485BC5">
        <w:rPr>
          <w:rFonts w:ascii="Arial" w:hAnsi="Arial" w:eastAsia="Times New Roman" w:cs="Arial"/>
          <w:sz w:val="24"/>
          <w:szCs w:val="24"/>
          <w:lang w:eastAsia="en-GB"/>
        </w:rPr>
        <w:t xml:space="preserve"> orientation; collectivism) but which also attracts critiques for </w:t>
      </w:r>
      <w:r w:rsidRPr="3BC510B2" w:rsidR="00485BC5">
        <w:rPr>
          <w:rFonts w:ascii="Arial" w:hAnsi="Arial" w:eastAsia="Times New Roman" w:cs="Arial"/>
          <w:sz w:val="24"/>
          <w:szCs w:val="24"/>
          <w:lang w:eastAsia="en-GB"/>
        </w:rPr>
        <w:t>possible oversimplification</w:t>
      </w:r>
      <w:r w:rsidRPr="3BC510B2" w:rsidR="00485BC5">
        <w:rPr>
          <w:rFonts w:ascii="Arial" w:hAnsi="Arial" w:eastAsia="Times New Roman" w:cs="Arial"/>
          <w:sz w:val="24"/>
          <w:szCs w:val="24"/>
          <w:lang w:eastAsia="en-GB"/>
        </w:rPr>
        <w:t xml:space="preserve"> and stereotyping</w:t>
      </w:r>
      <w:r w:rsidRPr="3BC510B2" w:rsidR="0070404B">
        <w:rPr>
          <w:rFonts w:ascii="Arial" w:hAnsi="Arial" w:eastAsia="Times New Roman" w:cs="Arial"/>
          <w:sz w:val="24"/>
          <w:szCs w:val="24"/>
          <w:lang w:eastAsia="en-GB"/>
        </w:rPr>
        <w:t xml:space="preserve"> </w:t>
      </w:r>
      <w:r w:rsidRPr="3BC510B2" w:rsidR="0070404B">
        <w:rPr>
          <w:rFonts w:ascii="Arial" w:hAnsi="Arial" w:eastAsia="Times New Roman" w:cs="Arial"/>
          <w:sz w:val="24"/>
          <w:szCs w:val="24"/>
          <w:lang w:eastAsia="en-GB"/>
        </w:rPr>
        <w:t>(</w:t>
      </w:r>
      <w:r w:rsidRPr="3BC510B2" w:rsidR="0070404B">
        <w:rPr>
          <w:rFonts w:ascii="Arial" w:hAnsi="Arial" w:eastAsia="Times New Roman" w:cs="Arial"/>
          <w:sz w:val="24"/>
          <w:szCs w:val="24"/>
          <w:lang w:eastAsia="en-GB"/>
        </w:rPr>
        <w:t>Krumrey</w:t>
      </w:r>
      <w:r w:rsidRPr="3BC510B2" w:rsidR="1FAB988B">
        <w:rPr>
          <w:rFonts w:ascii="Arial" w:hAnsi="Arial" w:eastAsia="Times New Roman" w:cs="Arial"/>
          <w:sz w:val="24"/>
          <w:szCs w:val="24"/>
          <w:lang w:eastAsia="en-GB"/>
        </w:rPr>
        <w:t xml:space="preserve"> </w:t>
      </w:r>
      <w:r w:rsidRPr="3BC510B2" w:rsidR="0070404B">
        <w:rPr>
          <w:rFonts w:ascii="Arial" w:hAnsi="Arial" w:eastAsia="Times New Roman" w:cs="Arial"/>
          <w:sz w:val="24"/>
          <w:szCs w:val="24"/>
          <w:lang w:eastAsia="en-GB"/>
        </w:rPr>
        <w:t>Fulks</w:t>
      </w:r>
      <w:r w:rsidRPr="3BC510B2" w:rsidR="0070404B">
        <w:rPr>
          <w:rFonts w:ascii="Arial" w:hAnsi="Arial" w:eastAsia="Times New Roman" w:cs="Arial"/>
          <w:sz w:val="24"/>
          <w:szCs w:val="24"/>
          <w:lang w:eastAsia="en-GB"/>
        </w:rPr>
        <w:t xml:space="preserve">, </w:t>
      </w:r>
      <w:hyperlink r:id="R3e1d0d60de90486c">
        <w:r w:rsidRPr="3BC510B2" w:rsidR="0070404B">
          <w:rPr>
            <w:rStyle w:val="Hyperlink"/>
            <w:rFonts w:ascii="Arial" w:hAnsi="Arial" w:eastAsia="Times New Roman" w:cs="Arial"/>
            <w:color w:val="auto"/>
            <w:sz w:val="24"/>
            <w:szCs w:val="24"/>
            <w:u w:val="none"/>
            <w:lang w:eastAsia="en-GB"/>
          </w:rPr>
          <w:t>2022</w:t>
        </w:r>
      </w:hyperlink>
      <w:r w:rsidRPr="3BC510B2" w:rsidR="0070404B">
        <w:rPr>
          <w:rFonts w:ascii="Arial" w:hAnsi="Arial" w:eastAsia="Times New Roman" w:cs="Arial"/>
          <w:sz w:val="24"/>
          <w:szCs w:val="24"/>
          <w:lang w:eastAsia="en-GB"/>
        </w:rPr>
        <w:t>).</w:t>
      </w:r>
    </w:p>
    <w:p w:rsidRPr="0070404B" w:rsidR="001B4AD0" w:rsidP="0070404B" w:rsidRDefault="00485BC5" w14:paraId="01B05F7C" w14:textId="309E8DA3">
      <w:pPr>
        <w:spacing w:line="480" w:lineRule="auto"/>
        <w:rPr>
          <w:rFonts w:ascii="Segoe UI" w:hAnsi="Segoe UI" w:eastAsia="Times New Roman" w:cs="Segoe UI"/>
          <w:sz w:val="21"/>
          <w:szCs w:val="21"/>
          <w:lang w:eastAsia="en-GB"/>
        </w:rPr>
      </w:pPr>
      <w:r w:rsidRPr="00485BC5">
        <w:rPr>
          <w:rFonts w:ascii="Arial" w:hAnsi="Arial" w:eastAsia="Times New Roman" w:cs="Arial"/>
          <w:sz w:val="24"/>
          <w:szCs w:val="24"/>
          <w:lang w:eastAsia="en-GB"/>
        </w:rPr>
        <w:t xml:space="preserve"> </w:t>
      </w:r>
    </w:p>
    <w:p w:rsidRPr="00A86373" w:rsidR="001B4AD0" w:rsidP="3BC510B2" w:rsidRDefault="001B4AD0" w14:paraId="55492E5B" w14:textId="466B088C">
      <w:pPr>
        <w:spacing w:line="480" w:lineRule="auto"/>
        <w:rPr>
          <w:rFonts w:ascii="Segoe UI" w:hAnsi="Segoe UI" w:eastAsia="Times New Roman" w:cs="Segoe UI"/>
          <w:sz w:val="21"/>
          <w:szCs w:val="21"/>
          <w:lang w:eastAsia="en-GB"/>
        </w:rPr>
      </w:pPr>
      <w:r w:rsidRPr="3BC510B2" w:rsidR="001B4AD0">
        <w:rPr>
          <w:rFonts w:ascii="Arial" w:hAnsi="Arial" w:eastAsia="Times New Roman" w:cs="Arial"/>
          <w:sz w:val="24"/>
          <w:szCs w:val="24"/>
          <w:lang w:eastAsia="en-GB"/>
        </w:rPr>
        <w:t xml:space="preserve">In practice, the West’s emphasis on </w:t>
      </w:r>
      <w:r w:rsidRPr="3BC510B2" w:rsidR="001B4AD0">
        <w:rPr>
          <w:rFonts w:ascii="Arial" w:hAnsi="Arial" w:eastAsia="Times New Roman" w:cs="Arial"/>
          <w:sz w:val="24"/>
          <w:szCs w:val="24"/>
          <w:lang w:eastAsia="en-GB"/>
        </w:rPr>
        <w:t>contractualism</w:t>
      </w:r>
      <w:r w:rsidRPr="3BC510B2" w:rsidR="001B4AD0">
        <w:rPr>
          <w:rFonts w:ascii="Arial" w:hAnsi="Arial" w:eastAsia="Times New Roman" w:cs="Arial"/>
          <w:sz w:val="24"/>
          <w:szCs w:val="24"/>
          <w:lang w:eastAsia="en-GB"/>
        </w:rPr>
        <w:t xml:space="preserve"> and individual accountability often meets Asia’s relational ethics and collective obligations</w:t>
      </w:r>
      <w:r w:rsidRPr="3BC510B2" w:rsidR="00A86373">
        <w:rPr>
          <w:rFonts w:ascii="Segoe UI" w:hAnsi="Segoe UI" w:eastAsia="Times New Roman" w:cs="Segoe UI"/>
          <w:sz w:val="21"/>
          <w:szCs w:val="21"/>
          <w:lang w:eastAsia="en-GB"/>
        </w:rPr>
        <w:t xml:space="preserve"> </w:t>
      </w:r>
      <w:r w:rsidRPr="3BC510B2" w:rsidR="00A86373">
        <w:rPr>
          <w:rFonts w:ascii="Arial" w:hAnsi="Arial" w:eastAsia="Times New Roman" w:cs="Arial"/>
          <w:sz w:val="24"/>
          <w:szCs w:val="24"/>
          <w:lang w:eastAsia="en-GB"/>
        </w:rPr>
        <w:t>(</w:t>
      </w:r>
      <w:r w:rsidRPr="3BC510B2" w:rsidR="00A86373">
        <w:rPr>
          <w:rFonts w:ascii="Arial" w:hAnsi="Arial" w:eastAsia="Times New Roman" w:cs="Arial"/>
          <w:sz w:val="24"/>
          <w:szCs w:val="24"/>
          <w:lang w:eastAsia="en-GB"/>
        </w:rPr>
        <w:t>Roehrich</w:t>
      </w:r>
      <w:r w:rsidRPr="3BC510B2" w:rsidR="00A86373">
        <w:rPr>
          <w:rFonts w:ascii="Arial" w:hAnsi="Arial" w:eastAsia="Times New Roman" w:cs="Arial"/>
          <w:sz w:val="24"/>
          <w:szCs w:val="24"/>
          <w:lang w:eastAsia="en-GB"/>
        </w:rPr>
        <w:t xml:space="preserve"> et al., </w:t>
      </w:r>
      <w:hyperlink r:id="R70f97781ad8149cb">
        <w:r w:rsidRPr="3BC510B2" w:rsidR="00A86373">
          <w:rPr>
            <w:rStyle w:val="Hyperlink"/>
            <w:rFonts w:ascii="Arial" w:hAnsi="Arial" w:eastAsia="Times New Roman" w:cs="Arial"/>
            <w:color w:val="auto"/>
            <w:sz w:val="24"/>
            <w:szCs w:val="24"/>
            <w:u w:val="none"/>
            <w:lang w:eastAsia="en-GB"/>
          </w:rPr>
          <w:t>2024</w:t>
        </w:r>
      </w:hyperlink>
      <w:r w:rsidRPr="3BC510B2" w:rsidR="00A86373">
        <w:rPr>
          <w:rFonts w:ascii="Arial" w:hAnsi="Arial" w:eastAsia="Times New Roman" w:cs="Arial"/>
          <w:sz w:val="24"/>
          <w:szCs w:val="24"/>
          <w:lang w:eastAsia="en-GB"/>
        </w:rPr>
        <w:t>)</w:t>
      </w:r>
      <w:r w:rsidRPr="3BC510B2" w:rsidR="001B4AD0">
        <w:rPr>
          <w:rFonts w:ascii="Arial" w:hAnsi="Arial" w:eastAsia="Times New Roman" w:cs="Arial"/>
          <w:sz w:val="24"/>
          <w:szCs w:val="24"/>
          <w:lang w:eastAsia="en-GB"/>
        </w:rPr>
        <w:t xml:space="preserve">. This </w:t>
      </w:r>
      <w:r w:rsidRPr="3BC510B2" w:rsidR="001B4AD0">
        <w:rPr>
          <w:rFonts w:ascii="Arial" w:hAnsi="Arial" w:eastAsia="Times New Roman" w:cs="Arial"/>
          <w:sz w:val="24"/>
          <w:szCs w:val="24"/>
          <w:lang w:eastAsia="en-GB"/>
        </w:rPr>
        <w:t>isn’t</w:t>
      </w:r>
      <w:r w:rsidRPr="3BC510B2" w:rsidR="001B4AD0">
        <w:rPr>
          <w:rFonts w:ascii="Arial" w:hAnsi="Arial" w:eastAsia="Times New Roman" w:cs="Arial"/>
          <w:sz w:val="24"/>
          <w:szCs w:val="24"/>
          <w:lang w:eastAsia="en-GB"/>
        </w:rPr>
        <w:t xml:space="preserve"> a simple di</w:t>
      </w:r>
      <w:r w:rsidRPr="3BC510B2" w:rsidR="08DD97B1">
        <w:rPr>
          <w:rFonts w:ascii="Arial" w:hAnsi="Arial" w:eastAsia="Times New Roman" w:cs="Arial"/>
          <w:sz w:val="24"/>
          <w:szCs w:val="24"/>
          <w:lang w:eastAsia="en-GB"/>
        </w:rPr>
        <w:t>vision</w:t>
      </w:r>
      <w:r w:rsidRPr="3BC510B2" w:rsidR="001B4AD0">
        <w:rPr>
          <w:rFonts w:ascii="Arial" w:hAnsi="Arial" w:eastAsia="Times New Roman" w:cs="Arial"/>
          <w:sz w:val="24"/>
          <w:szCs w:val="24"/>
          <w:lang w:eastAsia="en-GB"/>
        </w:rPr>
        <w:t>; nations vary internally, and global firms routinely hybridi</w:t>
      </w:r>
      <w:r w:rsidRPr="3BC510B2" w:rsidR="001B4AD0">
        <w:rPr>
          <w:rFonts w:ascii="Arial" w:hAnsi="Arial" w:eastAsia="Times New Roman" w:cs="Arial"/>
          <w:sz w:val="24"/>
          <w:szCs w:val="24"/>
          <w:lang w:eastAsia="en-GB"/>
        </w:rPr>
        <w:t>s</w:t>
      </w:r>
      <w:r w:rsidRPr="3BC510B2" w:rsidR="001B4AD0">
        <w:rPr>
          <w:rFonts w:ascii="Arial" w:hAnsi="Arial" w:eastAsia="Times New Roman" w:cs="Arial"/>
          <w:sz w:val="24"/>
          <w:szCs w:val="24"/>
          <w:lang w:eastAsia="en-GB"/>
        </w:rPr>
        <w:t>e practices. Nonetheless, understanding these philosophical baselines helps explain ethical tensions, such as views on facilitation, reciprocity, loyalty to networks, and deference to authority</w:t>
      </w:r>
      <w:r w:rsidRPr="3BC510B2" w:rsidR="007E093A">
        <w:rPr>
          <w:rFonts w:ascii="Arial" w:hAnsi="Arial" w:eastAsia="Times New Roman" w:cs="Arial"/>
          <w:sz w:val="24"/>
          <w:szCs w:val="24"/>
          <w:lang w:eastAsia="en-GB"/>
        </w:rPr>
        <w:t xml:space="preserve"> </w:t>
      </w:r>
      <w:r w:rsidRPr="3BC510B2" w:rsidR="007E093A">
        <w:rPr>
          <w:rFonts w:ascii="Arial" w:hAnsi="Arial" w:eastAsia="Times New Roman" w:cs="Arial"/>
          <w:sz w:val="24"/>
          <w:szCs w:val="24"/>
          <w:lang w:eastAsia="en-GB"/>
        </w:rPr>
        <w:t>(</w:t>
      </w:r>
      <w:r w:rsidRPr="3BC510B2" w:rsidR="007E093A">
        <w:rPr>
          <w:rFonts w:ascii="Arial" w:hAnsi="Arial" w:cs="Arial"/>
          <w:color w:val="374151"/>
          <w:sz w:val="24"/>
          <w:szCs w:val="24"/>
        </w:rPr>
        <w:t xml:space="preserve">Greene, Jim, MFA, </w:t>
      </w:r>
      <w:hyperlink r:id="R5ce3bd0c33ed4892">
        <w:r w:rsidRPr="3BC510B2" w:rsidR="007E093A">
          <w:rPr>
            <w:rStyle w:val="Hyperlink"/>
            <w:rFonts w:ascii="Arial" w:hAnsi="Arial" w:cs="Arial"/>
            <w:color w:val="auto"/>
            <w:sz w:val="24"/>
            <w:szCs w:val="24"/>
            <w:u w:val="none"/>
          </w:rPr>
          <w:t>2024</w:t>
        </w:r>
      </w:hyperlink>
      <w:r w:rsidRPr="3BC510B2" w:rsidR="007E093A">
        <w:rPr>
          <w:rFonts w:ascii="Arial" w:hAnsi="Arial" w:cs="Arial"/>
          <w:sz w:val="24"/>
          <w:szCs w:val="24"/>
        </w:rPr>
        <w:t>)</w:t>
      </w:r>
      <w:r w:rsidRPr="3BC510B2" w:rsidR="007E093A">
        <w:rPr>
          <w:rFonts w:ascii="Arial" w:hAnsi="Arial" w:cs="Arial"/>
          <w:sz w:val="24"/>
          <w:szCs w:val="24"/>
        </w:rPr>
        <w:t>,</w:t>
      </w:r>
    </w:p>
    <w:p w:rsidRPr="001B4AD0" w:rsidR="001B4AD0" w:rsidP="001B4AD0" w:rsidRDefault="001B4AD0" w14:paraId="397D4BD3" w14:textId="585EB94C">
      <w:pPr>
        <w:rPr>
          <w:rFonts w:ascii="Arial" w:hAnsi="Arial" w:cs="Arial"/>
          <w:b w:val="1"/>
          <w:bCs w:val="1"/>
          <w:sz w:val="24"/>
          <w:szCs w:val="24"/>
          <w:lang w:eastAsia="en-GB"/>
        </w:rPr>
      </w:pPr>
      <w:r w:rsidRPr="3BC510B2" w:rsidR="001B4AD0">
        <w:rPr>
          <w:rFonts w:ascii="Arial" w:hAnsi="Arial" w:cs="Arial"/>
          <w:b w:val="1"/>
          <w:bCs w:val="1"/>
          <w:sz w:val="24"/>
          <w:szCs w:val="24"/>
          <w:lang w:eastAsia="en-GB"/>
        </w:rPr>
        <w:t>2.2 Relationship</w:t>
      </w:r>
      <w:r w:rsidRPr="3BC510B2" w:rsidR="02174666">
        <w:rPr>
          <w:rFonts w:ascii="Arial" w:hAnsi="Arial" w:cs="Arial"/>
          <w:b w:val="1"/>
          <w:bCs w:val="1"/>
          <w:sz w:val="24"/>
          <w:szCs w:val="24"/>
          <w:lang w:eastAsia="en-GB"/>
        </w:rPr>
        <w:t xml:space="preserve"> </w:t>
      </w:r>
      <w:r w:rsidRPr="3BC510B2" w:rsidR="001B4AD0">
        <w:rPr>
          <w:rFonts w:ascii="Arial" w:hAnsi="Arial" w:cs="Arial"/>
          <w:b w:val="1"/>
          <w:bCs w:val="1"/>
          <w:sz w:val="24"/>
          <w:szCs w:val="24"/>
          <w:lang w:eastAsia="en-GB"/>
        </w:rPr>
        <w:t>C</w:t>
      </w:r>
      <w:r w:rsidRPr="3BC510B2" w:rsidR="001B4AD0">
        <w:rPr>
          <w:rFonts w:ascii="Arial" w:hAnsi="Arial" w:cs="Arial"/>
          <w:b w:val="1"/>
          <w:bCs w:val="1"/>
          <w:sz w:val="24"/>
          <w:szCs w:val="24"/>
          <w:lang w:eastAsia="en-GB"/>
        </w:rPr>
        <w:t>e</w:t>
      </w:r>
      <w:r w:rsidRPr="3BC510B2" w:rsidR="001B4AD0">
        <w:rPr>
          <w:rFonts w:ascii="Arial" w:hAnsi="Arial" w:cs="Arial"/>
          <w:b w:val="1"/>
          <w:bCs w:val="1"/>
          <w:sz w:val="24"/>
          <w:szCs w:val="24"/>
          <w:lang w:eastAsia="en-GB"/>
        </w:rPr>
        <w:t xml:space="preserve">ntred </w:t>
      </w:r>
      <w:r w:rsidRPr="3BC510B2" w:rsidR="001B4AD0">
        <w:rPr>
          <w:rFonts w:ascii="Arial" w:hAnsi="Arial" w:cs="Arial"/>
          <w:b w:val="1"/>
          <w:bCs w:val="1"/>
          <w:sz w:val="24"/>
          <w:szCs w:val="24"/>
          <w:lang w:eastAsia="en-GB"/>
        </w:rPr>
        <w:t xml:space="preserve">Ethics: </w:t>
      </w:r>
      <w:r w:rsidRPr="3BC510B2" w:rsidR="001B4AD0">
        <w:rPr>
          <w:rFonts w:ascii="Arial" w:hAnsi="Arial" w:cs="Arial"/>
          <w:b w:val="1"/>
          <w:bCs w:val="1"/>
          <w:i w:val="1"/>
          <w:iCs w:val="1"/>
          <w:sz w:val="24"/>
          <w:szCs w:val="24"/>
          <w:lang w:eastAsia="en-GB"/>
        </w:rPr>
        <w:t>Guanxi</w:t>
      </w:r>
      <w:r w:rsidRPr="3BC510B2" w:rsidR="001B4AD0">
        <w:rPr>
          <w:rFonts w:ascii="Arial" w:hAnsi="Arial" w:cs="Arial"/>
          <w:b w:val="1"/>
          <w:bCs w:val="1"/>
          <w:sz w:val="24"/>
          <w:szCs w:val="24"/>
          <w:lang w:eastAsia="en-GB"/>
        </w:rPr>
        <w:t xml:space="preserve"> (China) and </w:t>
      </w:r>
      <w:r w:rsidRPr="3BC510B2" w:rsidR="001B4AD0">
        <w:rPr>
          <w:rFonts w:ascii="Arial" w:hAnsi="Arial" w:cs="Arial"/>
          <w:b w:val="1"/>
          <w:bCs w:val="1"/>
          <w:i w:val="1"/>
          <w:iCs w:val="1"/>
          <w:sz w:val="24"/>
          <w:szCs w:val="24"/>
          <w:lang w:eastAsia="en-GB"/>
        </w:rPr>
        <w:t>Keiretsu</w:t>
      </w:r>
      <w:r w:rsidRPr="3BC510B2" w:rsidR="001B4AD0">
        <w:rPr>
          <w:rFonts w:ascii="Arial" w:hAnsi="Arial" w:cs="Arial"/>
          <w:b w:val="1"/>
          <w:bCs w:val="1"/>
          <w:sz w:val="24"/>
          <w:szCs w:val="24"/>
          <w:lang w:eastAsia="en-GB"/>
        </w:rPr>
        <w:t xml:space="preserve"> (Japan)</w:t>
      </w:r>
    </w:p>
    <w:p w:rsidRPr="00A86373" w:rsidR="001B4AD0" w:rsidP="3BC510B2" w:rsidRDefault="001B4AD0" w14:paraId="16D2B506" w14:textId="12E5D0D1">
      <w:pPr>
        <w:spacing w:line="480" w:lineRule="auto"/>
        <w:rPr>
          <w:rFonts w:ascii="Arial" w:hAnsi="Arial" w:eastAsia="Times New Roman" w:cs="Arial"/>
          <w:sz w:val="24"/>
          <w:szCs w:val="24"/>
          <w:lang w:eastAsia="en-GB"/>
        </w:rPr>
      </w:pPr>
      <w:r w:rsidRPr="3BC510B2" w:rsidR="001B4AD0">
        <w:rPr>
          <w:rFonts w:ascii="Arial" w:hAnsi="Arial" w:eastAsia="Times New Roman" w:cs="Arial"/>
          <w:sz w:val="24"/>
          <w:szCs w:val="24"/>
          <w:lang w:eastAsia="en-GB"/>
        </w:rPr>
        <w:t>In China, guanxi a dense web of personal relationships involving mutual obligations</w:t>
      </w:r>
      <w:r w:rsidRPr="3BC510B2" w:rsidR="001B4AD0">
        <w:rPr>
          <w:rFonts w:ascii="Arial" w:hAnsi="Arial" w:eastAsia="Times New Roman" w:cs="Arial"/>
          <w:sz w:val="24"/>
          <w:szCs w:val="24"/>
          <w:lang w:eastAsia="en-GB"/>
        </w:rPr>
        <w:t xml:space="preserve"> </w:t>
      </w:r>
      <w:r w:rsidRPr="3BC510B2" w:rsidR="001B4AD0">
        <w:rPr>
          <w:rFonts w:ascii="Arial" w:hAnsi="Arial" w:eastAsia="Times New Roman" w:cs="Arial"/>
          <w:sz w:val="24"/>
          <w:szCs w:val="24"/>
          <w:lang w:eastAsia="en-GB"/>
        </w:rPr>
        <w:t>has long underpinned business transactions</w:t>
      </w:r>
      <w:r w:rsidRPr="3BC510B2" w:rsidR="00A86373">
        <w:rPr>
          <w:rFonts w:ascii="Segoe UI" w:hAnsi="Segoe UI" w:eastAsia="Times New Roman" w:cs="Segoe UI"/>
          <w:sz w:val="21"/>
          <w:szCs w:val="21"/>
          <w:lang w:eastAsia="en-GB"/>
        </w:rPr>
        <w:t xml:space="preserve"> </w:t>
      </w:r>
      <w:r w:rsidRPr="3BC510B2" w:rsidR="00A86373">
        <w:rPr>
          <w:rFonts w:ascii="Arial" w:hAnsi="Arial" w:eastAsia="Times New Roman" w:cs="Arial"/>
          <w:sz w:val="24"/>
          <w:szCs w:val="24"/>
          <w:lang w:eastAsia="en-GB"/>
        </w:rPr>
        <w:t xml:space="preserve">(Kenton, </w:t>
      </w:r>
      <w:hyperlink r:id="Re8b7f9827eaa4b41">
        <w:r w:rsidRPr="3BC510B2" w:rsidR="00A86373">
          <w:rPr>
            <w:rStyle w:val="Hyperlink"/>
            <w:rFonts w:ascii="Arial" w:hAnsi="Arial" w:eastAsia="Times New Roman" w:cs="Arial"/>
            <w:color w:val="auto"/>
            <w:sz w:val="24"/>
            <w:szCs w:val="24"/>
            <w:u w:val="none"/>
            <w:lang w:eastAsia="en-GB"/>
          </w:rPr>
          <w:t>2025</w:t>
        </w:r>
      </w:hyperlink>
      <w:r w:rsidRPr="3BC510B2" w:rsidR="00A86373">
        <w:rPr>
          <w:rFonts w:ascii="Arial" w:hAnsi="Arial" w:eastAsia="Times New Roman" w:cs="Arial"/>
          <w:sz w:val="24"/>
          <w:szCs w:val="24"/>
          <w:lang w:eastAsia="en-GB"/>
        </w:rPr>
        <w:t>)</w:t>
      </w:r>
      <w:r w:rsidRPr="3BC510B2" w:rsidR="001B4AD0">
        <w:rPr>
          <w:rFonts w:ascii="Arial" w:hAnsi="Arial" w:eastAsia="Times New Roman" w:cs="Arial"/>
          <w:sz w:val="24"/>
          <w:szCs w:val="24"/>
          <w:lang w:eastAsia="en-GB"/>
        </w:rPr>
        <w:t>. Ethically, guanxi aligns with Confucian virtue ethics (emphasi</w:t>
      </w:r>
      <w:r w:rsidRPr="3BC510B2" w:rsidR="001B4AD0">
        <w:rPr>
          <w:rFonts w:ascii="Arial" w:hAnsi="Arial" w:eastAsia="Times New Roman" w:cs="Arial"/>
          <w:sz w:val="24"/>
          <w:szCs w:val="24"/>
          <w:lang w:eastAsia="en-GB"/>
        </w:rPr>
        <w:t>s</w:t>
      </w:r>
      <w:r w:rsidRPr="3BC510B2" w:rsidR="001B4AD0">
        <w:rPr>
          <w:rFonts w:ascii="Arial" w:hAnsi="Arial" w:eastAsia="Times New Roman" w:cs="Arial"/>
          <w:sz w:val="24"/>
          <w:szCs w:val="24"/>
          <w:lang w:eastAsia="en-GB"/>
        </w:rPr>
        <w:t xml:space="preserve">ing trust, reciprocity, and </w:t>
      </w:r>
      <w:r w:rsidRPr="3BC510B2" w:rsidR="735E40DF">
        <w:rPr>
          <w:rFonts w:ascii="Arial" w:hAnsi="Arial" w:eastAsia="Times New Roman" w:cs="Arial"/>
          <w:sz w:val="24"/>
          <w:szCs w:val="24"/>
          <w:lang w:eastAsia="en-GB"/>
        </w:rPr>
        <w:t>role morality</w:t>
      </w:r>
      <w:r w:rsidRPr="3BC510B2" w:rsidR="001B4AD0">
        <w:rPr>
          <w:rFonts w:ascii="Arial" w:hAnsi="Arial" w:eastAsia="Times New Roman" w:cs="Arial"/>
          <w:sz w:val="24"/>
          <w:szCs w:val="24"/>
          <w:lang w:eastAsia="en-GB"/>
        </w:rPr>
        <w:t>) but can blur into favouritism or corruption when misapplied</w:t>
      </w:r>
      <w:r w:rsidRPr="3BC510B2" w:rsidR="00F405BF">
        <w:rPr>
          <w:rFonts w:ascii="Segoe UI" w:hAnsi="Segoe UI" w:eastAsia="Times New Roman" w:cs="Segoe UI"/>
          <w:sz w:val="21"/>
          <w:szCs w:val="21"/>
          <w:lang w:eastAsia="en-GB"/>
        </w:rPr>
        <w:t xml:space="preserve"> </w:t>
      </w:r>
      <w:r w:rsidRPr="3BC510B2" w:rsidR="00F405BF">
        <w:rPr>
          <w:rFonts w:ascii="Arial" w:hAnsi="Arial" w:eastAsia="Times New Roman" w:cs="Arial"/>
          <w:sz w:val="24"/>
          <w:szCs w:val="24"/>
          <w:lang w:eastAsia="en-GB"/>
        </w:rPr>
        <w:t>(</w:t>
      </w:r>
      <w:r w:rsidRPr="3BC510B2" w:rsidR="00F405BF">
        <w:rPr>
          <w:rFonts w:ascii="Arial" w:hAnsi="Arial" w:eastAsia="Times New Roman" w:cs="Arial"/>
          <w:sz w:val="24"/>
          <w:szCs w:val="24"/>
          <w:lang w:eastAsia="en-GB"/>
        </w:rPr>
        <w:t>Langenberg</w:t>
      </w:r>
      <w:r w:rsidRPr="3BC510B2" w:rsidR="00F405BF">
        <w:rPr>
          <w:rFonts w:ascii="Arial" w:hAnsi="Arial" w:eastAsia="Times New Roman" w:cs="Arial"/>
          <w:sz w:val="24"/>
          <w:szCs w:val="24"/>
          <w:lang w:eastAsia="en-GB"/>
        </w:rPr>
        <w:t xml:space="preserve">, </w:t>
      </w:r>
      <w:hyperlink r:id="R0d1fd6c8bfa84600">
        <w:r w:rsidRPr="3BC510B2" w:rsidR="00F405BF">
          <w:rPr>
            <w:rStyle w:val="Hyperlink"/>
            <w:rFonts w:ascii="Arial" w:hAnsi="Arial" w:eastAsia="Times New Roman" w:cs="Arial"/>
            <w:color w:val="auto"/>
            <w:sz w:val="24"/>
            <w:szCs w:val="24"/>
            <w:u w:val="none"/>
            <w:lang w:eastAsia="en-GB"/>
          </w:rPr>
          <w:t>20</w:t>
        </w:r>
        <w:r w:rsidRPr="3BC510B2" w:rsidR="00CE4DB4">
          <w:rPr>
            <w:rStyle w:val="Hyperlink"/>
            <w:rFonts w:ascii="Arial" w:hAnsi="Arial" w:eastAsia="Times New Roman" w:cs="Arial"/>
            <w:color w:val="auto"/>
            <w:sz w:val="24"/>
            <w:szCs w:val="24"/>
            <w:u w:val="none"/>
            <w:lang w:eastAsia="en-GB"/>
          </w:rPr>
          <w:t>11</w:t>
        </w:r>
      </w:hyperlink>
      <w:r w:rsidRPr="3BC510B2" w:rsidR="00F405BF">
        <w:rPr>
          <w:rFonts w:ascii="Arial" w:hAnsi="Arial" w:eastAsia="Times New Roman" w:cs="Arial"/>
          <w:sz w:val="24"/>
          <w:szCs w:val="24"/>
          <w:lang w:eastAsia="en-GB"/>
        </w:rPr>
        <w:t>)</w:t>
      </w:r>
      <w:r w:rsidRPr="3BC510B2" w:rsidR="001B4AD0">
        <w:rPr>
          <w:rFonts w:ascii="Arial" w:hAnsi="Arial" w:eastAsia="Times New Roman" w:cs="Arial"/>
          <w:sz w:val="24"/>
          <w:szCs w:val="24"/>
          <w:lang w:eastAsia="en-GB"/>
        </w:rPr>
        <w:t xml:space="preserve">. Scholarly analyses differentiate types of guanxi, noting that some forms can be ethically acceptable while others correlate closely with bribery or social harm, calling for </w:t>
      </w:r>
      <w:r w:rsidRPr="3BC510B2" w:rsidR="08384073">
        <w:rPr>
          <w:rFonts w:ascii="Arial" w:hAnsi="Arial" w:eastAsia="Times New Roman" w:cs="Arial"/>
          <w:sz w:val="24"/>
          <w:szCs w:val="24"/>
          <w:lang w:eastAsia="en-GB"/>
        </w:rPr>
        <w:t>a specific</w:t>
      </w:r>
      <w:r w:rsidRPr="3BC510B2" w:rsidR="001B4AD0">
        <w:rPr>
          <w:rFonts w:ascii="Arial" w:hAnsi="Arial" w:eastAsia="Times New Roman" w:cs="Arial"/>
          <w:sz w:val="24"/>
          <w:szCs w:val="24"/>
          <w:lang w:eastAsia="en-GB"/>
        </w:rPr>
        <w:t xml:space="preserve"> evaluation rather than </w:t>
      </w:r>
      <w:r w:rsidRPr="3BC510B2" w:rsidR="50B19FC5">
        <w:rPr>
          <w:rFonts w:ascii="Arial" w:hAnsi="Arial" w:eastAsia="Times New Roman" w:cs="Arial"/>
          <w:sz w:val="24"/>
          <w:szCs w:val="24"/>
          <w:lang w:eastAsia="en-GB"/>
        </w:rPr>
        <w:t>generalised</w:t>
      </w:r>
      <w:r w:rsidRPr="3BC510B2" w:rsidR="50B19FC5">
        <w:rPr>
          <w:rFonts w:ascii="Arial" w:hAnsi="Arial" w:eastAsia="Times New Roman" w:cs="Arial"/>
          <w:sz w:val="24"/>
          <w:szCs w:val="24"/>
          <w:lang w:eastAsia="en-GB"/>
        </w:rPr>
        <w:t xml:space="preserve"> criticism</w:t>
      </w:r>
      <w:r w:rsidRPr="3BC510B2" w:rsidR="001B4AD0">
        <w:rPr>
          <w:rFonts w:ascii="Arial" w:hAnsi="Arial" w:eastAsia="Times New Roman" w:cs="Arial"/>
          <w:sz w:val="24"/>
          <w:szCs w:val="24"/>
          <w:lang w:eastAsia="en-GB"/>
        </w:rPr>
        <w:t>. Recent work continues to assess guanxi through Confucian and utilitarian lenses, finding tensions between relational loyalty and broader social welfare.</w:t>
      </w:r>
    </w:p>
    <w:p w:rsidR="001B4AD0" w:rsidP="001B4AD0" w:rsidRDefault="001B4AD0" w14:paraId="3BE9335D" w14:textId="12CA1571">
      <w:pPr>
        <w:spacing w:after="0" w:line="480" w:lineRule="auto"/>
        <w:rPr>
          <w:rFonts w:ascii="Arial" w:hAnsi="Arial" w:eastAsia="Times New Roman" w:cs="Arial"/>
          <w:sz w:val="24"/>
          <w:szCs w:val="24"/>
          <w:lang w:eastAsia="en-GB"/>
        </w:rPr>
      </w:pPr>
      <w:r w:rsidRPr="001B4AD0" w:rsidR="001B4AD0">
        <w:rPr>
          <w:rFonts w:ascii="Arial" w:hAnsi="Arial" w:eastAsia="Times New Roman" w:cs="Arial"/>
          <w:sz w:val="24"/>
          <w:szCs w:val="24"/>
          <w:lang w:eastAsia="en-GB"/>
        </w:rPr>
        <w:t>Japan’s keiretsu networks</w:t>
      </w:r>
      <w:r w:rsidRPr="00BA42B5" w:rsidR="001B4AD0">
        <w:rPr>
          <w:rFonts w:ascii="Arial" w:hAnsi="Arial" w:eastAsia="Times New Roman" w:cs="Arial"/>
          <w:sz w:val="24"/>
          <w:szCs w:val="24"/>
          <w:lang w:eastAsia="en-GB"/>
        </w:rPr>
        <w:t xml:space="preserve"> </w:t>
      </w:r>
      <w:r w:rsidRPr="001B4AD0" w:rsidR="001B4AD0">
        <w:rPr>
          <w:rFonts w:ascii="Arial" w:hAnsi="Arial" w:eastAsia="Times New Roman" w:cs="Arial"/>
          <w:sz w:val="24"/>
          <w:szCs w:val="24"/>
          <w:lang w:eastAsia="en-GB"/>
        </w:rPr>
        <w:t>historically characteri</w:t>
      </w:r>
      <w:r w:rsidRPr="00BA42B5" w:rsidR="001B4AD0">
        <w:rPr>
          <w:rFonts w:ascii="Arial" w:hAnsi="Arial" w:eastAsia="Times New Roman" w:cs="Arial"/>
          <w:sz w:val="24"/>
          <w:szCs w:val="24"/>
          <w:lang w:eastAsia="en-GB"/>
        </w:rPr>
        <w:t>s</w:t>
      </w:r>
      <w:r w:rsidRPr="001B4AD0" w:rsidR="001B4AD0">
        <w:rPr>
          <w:rFonts w:ascii="Arial" w:hAnsi="Arial" w:eastAsia="Times New Roman" w:cs="Arial"/>
          <w:sz w:val="24"/>
          <w:szCs w:val="24"/>
          <w:lang w:eastAsia="en-GB"/>
        </w:rPr>
        <w:t xml:space="preserve">ed by </w:t>
      </w:r>
      <w:r w:rsidRPr="001B4AD0" w:rsidR="7B7E7648">
        <w:rPr>
          <w:rFonts w:ascii="Arial" w:hAnsi="Arial" w:eastAsia="Times New Roman" w:cs="Arial"/>
          <w:sz w:val="24"/>
          <w:szCs w:val="24"/>
          <w:lang w:eastAsia="en-GB"/>
        </w:rPr>
        <w:t>cross shareholding</w:t>
      </w:r>
      <w:r w:rsidRPr="001B4AD0" w:rsidR="001B4AD0">
        <w:rPr>
          <w:rFonts w:ascii="Arial" w:hAnsi="Arial" w:eastAsia="Times New Roman" w:cs="Arial"/>
          <w:sz w:val="24"/>
          <w:szCs w:val="24"/>
          <w:lang w:eastAsia="en-GB"/>
        </w:rPr>
        <w:t xml:space="preserve">, </w:t>
      </w:r>
      <w:r w:rsidRPr="001B4AD0" w:rsidR="6EB31E93">
        <w:rPr>
          <w:rFonts w:ascii="Arial" w:hAnsi="Arial" w:eastAsia="Times New Roman" w:cs="Arial"/>
          <w:sz w:val="24"/>
          <w:szCs w:val="24"/>
          <w:lang w:eastAsia="en-GB"/>
        </w:rPr>
        <w:noBreakHyphen/>
        <w:t>long-term</w:t>
      </w:r>
      <w:r w:rsidRPr="001B4AD0" w:rsidR="001B4AD0">
        <w:rPr>
          <w:rFonts w:ascii="Arial" w:hAnsi="Arial" w:eastAsia="Times New Roman" w:cs="Arial"/>
          <w:sz w:val="24"/>
          <w:szCs w:val="24"/>
          <w:lang w:eastAsia="en-GB"/>
        </w:rPr>
        <w:noBreakHyphen/>
        <w:t xml:space="preserve"> assembler</w:t>
      </w:r>
      <w:r w:rsidR="001B4AD0">
        <w:rPr>
          <w:rFonts w:ascii="Arial" w:hAnsi="Arial" w:eastAsia="Times New Roman" w:cs="Arial"/>
          <w:sz w:val="24"/>
          <w:szCs w:val="24"/>
          <w:lang w:eastAsia="en-GB"/>
        </w:rPr>
        <w:t xml:space="preserve"> </w:t>
      </w:r>
      <w:r w:rsidRPr="001B4AD0" w:rsidR="001B4AD0">
        <w:rPr>
          <w:rFonts w:ascii="Arial" w:hAnsi="Arial" w:eastAsia="Times New Roman" w:cs="Arial"/>
          <w:sz w:val="24"/>
          <w:szCs w:val="24"/>
          <w:lang w:eastAsia="en-GB"/>
        </w:rPr>
        <w:t>supplier ties, and group banking</w:t>
      </w:r>
      <w:r w:rsidR="001B4AD0">
        <w:rPr>
          <w:rFonts w:ascii="Arial" w:hAnsi="Arial" w:eastAsia="Times New Roman" w:cs="Arial"/>
          <w:sz w:val="24"/>
          <w:szCs w:val="24"/>
          <w:lang w:eastAsia="en-GB"/>
        </w:rPr>
        <w:t xml:space="preserve"> </w:t>
      </w:r>
      <w:r w:rsidRPr="001B4AD0" w:rsidR="001B4AD0">
        <w:rPr>
          <w:rFonts w:ascii="Arial" w:hAnsi="Arial" w:eastAsia="Times New Roman" w:cs="Arial"/>
          <w:sz w:val="24"/>
          <w:szCs w:val="24"/>
          <w:lang w:eastAsia="en-GB"/>
        </w:rPr>
        <w:t xml:space="preserve">reflect cultural preferences for stability, trust, and coordinated governance. While keiretsu </w:t>
      </w:r>
      <w:r w:rsidRPr="001B4AD0" w:rsidR="001B4AD0">
        <w:rPr>
          <w:rFonts w:ascii="Arial" w:hAnsi="Arial" w:eastAsia="Times New Roman" w:cs="Arial"/>
          <w:sz w:val="24"/>
          <w:szCs w:val="24"/>
          <w:lang w:eastAsia="en-GB"/>
        </w:rPr>
        <w:t xml:space="preserve">facilitated</w:t>
      </w:r>
      <w:r w:rsidRPr="001B4AD0" w:rsidR="001B4AD0">
        <w:rPr>
          <w:rFonts w:ascii="Arial" w:hAnsi="Arial" w:eastAsia="Times New Roman" w:cs="Arial"/>
          <w:sz w:val="24"/>
          <w:szCs w:val="24"/>
          <w:lang w:eastAsia="en-GB"/>
        </w:rPr>
        <w:t xml:space="preserve"> innovation and resilience, critics point to potential market barriers and </w:t>
      </w:r>
      <w:r w:rsidRPr="001B4AD0" w:rsidR="79D39F15">
        <w:rPr>
          <w:rFonts w:ascii="Arial" w:hAnsi="Arial" w:eastAsia="Times New Roman" w:cs="Arial"/>
          <w:sz w:val="24"/>
          <w:szCs w:val="24"/>
          <w:lang w:eastAsia="en-GB"/>
        </w:rPr>
        <w:t xml:space="preserve">obsurity</w:t>
      </w:r>
      <w:r w:rsidRPr="001B4AD0" w:rsidR="001B4AD0">
        <w:rPr>
          <w:rFonts w:ascii="Arial" w:hAnsi="Arial" w:eastAsia="Times New Roman" w:cs="Arial"/>
          <w:sz w:val="24"/>
          <w:szCs w:val="24"/>
          <w:lang w:eastAsia="en-GB"/>
        </w:rPr>
        <w:t xml:space="preserve">. Contemporary scholarship documents </w:t>
      </w:r>
      <w:r w:rsidRPr="00BA42B5" w:rsidR="001B4AD0">
        <w:rPr>
          <w:rFonts w:ascii="Arial" w:hAnsi="Arial" w:eastAsia="Times New Roman" w:cs="Arial"/>
          <w:sz w:val="24"/>
          <w:szCs w:val="24"/>
          <w:lang w:eastAsia="en-GB"/>
        </w:rPr>
        <w:t>shift</w:t>
      </w:r>
      <w:r w:rsidRPr="001B4AD0" w:rsidR="001B4AD0">
        <w:rPr>
          <w:rFonts w:ascii="Arial" w:hAnsi="Arial" w:eastAsia="Times New Roman" w:cs="Arial"/>
          <w:sz w:val="24"/>
          <w:szCs w:val="24"/>
          <w:lang w:eastAsia="en-GB"/>
        </w:rPr>
        <w:t xml:space="preserve"> toward more </w:t>
      </w:r>
      <w:r w:rsidRPr="001B4AD0" w:rsidR="63121923">
        <w:rPr>
          <w:rFonts w:ascii="Arial" w:hAnsi="Arial" w:eastAsia="Times New Roman" w:cs="Arial"/>
          <w:sz w:val="24"/>
          <w:szCs w:val="24"/>
          <w:lang w:eastAsia="en-GB"/>
        </w:rPr>
        <w:t xml:space="preserve">arm's length</w:t>
      </w:r>
      <w:r w:rsidRPr="001B4AD0" w:rsidR="001B4AD0">
        <w:rPr>
          <w:rFonts w:ascii="Arial" w:hAnsi="Arial" w:eastAsia="Times New Roman" w:cs="Arial"/>
          <w:sz w:val="24"/>
          <w:szCs w:val="24"/>
          <w:lang w:eastAsia="en-GB"/>
        </w:rPr>
        <w:noBreakHyphen/>
        <w:t xml:space="preserve"> contracting and hierarchical forms in some sectors (e.g., automotive), illustrating adaptive responses to globali</w:t>
      </w:r>
      <w:r w:rsidR="001B4AD0">
        <w:rPr>
          <w:rFonts w:ascii="Arial" w:hAnsi="Arial" w:eastAsia="Times New Roman" w:cs="Arial"/>
          <w:sz w:val="24"/>
          <w:szCs w:val="24"/>
          <w:lang w:eastAsia="en-GB"/>
        </w:rPr>
        <w:t>s</w:t>
      </w:r>
      <w:r w:rsidRPr="001B4AD0" w:rsidR="001B4AD0">
        <w:rPr>
          <w:rFonts w:ascii="Arial" w:hAnsi="Arial" w:eastAsia="Times New Roman" w:cs="Arial"/>
          <w:sz w:val="24"/>
          <w:szCs w:val="24"/>
          <w:lang w:eastAsia="en-GB"/>
        </w:rPr>
        <w:t>ation and competition. Overviews (including accessible explainers) trace keiretsu’s evolution from post</w:t>
      </w:r>
      <w:r w:rsidRPr="001B4AD0" w:rsidR="001B4AD0">
        <w:rPr>
          <w:rFonts w:ascii="Arial" w:hAnsi="Arial" w:eastAsia="Times New Roman" w:cs="Arial"/>
          <w:sz w:val="24"/>
          <w:szCs w:val="24"/>
          <w:lang w:eastAsia="en-GB"/>
        </w:rPr>
        <w:noBreakHyphen/>
        <w:t>war structures to modern adaptations, distinguishing horizontal and vertical forms</w:t>
      </w:r>
      <w:r w:rsidR="007E093A">
        <w:rPr>
          <w:rFonts w:ascii="Arial" w:hAnsi="Arial" w:eastAsia="Times New Roman" w:cs="Arial"/>
          <w:sz w:val="24"/>
          <w:szCs w:val="24"/>
          <w:lang w:eastAsia="en-GB"/>
        </w:rPr>
        <w:t xml:space="preserve"> (</w:t>
      </w:r>
      <w:r w:rsidRPr="007E093A" w:rsidR="007E093A">
        <w:rPr>
          <w:rFonts w:ascii="Arial" w:hAnsi="Arial" w:cs="Arial"/>
          <w:sz w:val="24"/>
          <w:szCs w:val="24"/>
          <w:shd w:val="clear" w:color="auto" w:fill="FFFFFF"/>
        </w:rPr>
        <w:t>Keigo</w:t>
      </w:r>
      <w:r w:rsidRPr="007E093A" w:rsidR="007E093A">
        <w:rPr>
          <w:rFonts w:ascii="Arial" w:hAnsi="Arial" w:cs="Arial"/>
          <w:sz w:val="24"/>
          <w:szCs w:val="24"/>
          <w:shd w:val="clear" w:color="auto" w:fill="FFFFFF"/>
        </w:rPr>
        <w:t xml:space="preserve"> Tajima</w:t>
      </w:r>
      <w:r w:rsidR="007E093A">
        <w:rPr>
          <w:rFonts w:ascii="Arial" w:hAnsi="Arial" w:cs="Arial"/>
          <w:sz w:val="24"/>
          <w:szCs w:val="24"/>
          <w:shd w:val="clear" w:color="auto" w:fill="FFFFFF"/>
        </w:rPr>
        <w:t xml:space="preserve">, </w:t>
      </w:r>
      <w:hyperlink w:history="1" r:id="R40e38f755341447c">
        <w:r w:rsidRPr="00BA42B5" w:rsidR="007E093A">
          <w:rPr>
            <w:rStyle w:val="Hyperlink"/>
            <w:rFonts w:ascii="Arial" w:hAnsi="Arial" w:cs="Arial"/>
            <w:color w:val="auto"/>
            <w:sz w:val="24"/>
            <w:szCs w:val="24"/>
            <w:u w:val="none"/>
            <w:shd w:val="clear" w:color="auto" w:fill="FFFFFF"/>
          </w:rPr>
          <w:t>2024</w:t>
        </w:r>
      </w:hyperlink>
      <w:r w:rsidRPr="00BA42B5" w:rsidR="007E093A">
        <w:rPr>
          <w:rFonts w:ascii="Arial" w:hAnsi="Arial" w:cs="Arial"/>
          <w:sz w:val="24"/>
          <w:szCs w:val="24"/>
          <w:shd w:val="clear" w:color="auto" w:fill="FFFFFF"/>
        </w:rPr>
        <w:t>)</w:t>
      </w:r>
      <w:r w:rsidR="00BA42B5">
        <w:rPr>
          <w:rFonts w:ascii="Arial" w:hAnsi="Arial" w:cs="Arial"/>
          <w:sz w:val="24"/>
          <w:szCs w:val="24"/>
          <w:shd w:val="clear" w:color="auto" w:fill="FFFFFF"/>
        </w:rPr>
        <w:t xml:space="preserve">, (Brian Twomey, </w:t>
      </w:r>
      <w:hyperlink w:history="1" r:id="Rbae436775b8d4184">
        <w:r w:rsidRPr="00BA42B5" w:rsidR="00BA42B5">
          <w:rPr>
            <w:rStyle w:val="Hyperlink"/>
            <w:rFonts w:ascii="Arial" w:hAnsi="Arial" w:cs="Arial"/>
            <w:color w:val="auto"/>
            <w:sz w:val="24"/>
            <w:szCs w:val="24"/>
            <w:u w:val="none"/>
            <w:shd w:val="clear" w:color="auto" w:fill="FFFFFF"/>
          </w:rPr>
          <w:t>2024</w:t>
        </w:r>
      </w:hyperlink>
      <w:r w:rsidRPr="00BA42B5" w:rsidR="00BA42B5">
        <w:rPr>
          <w:rFonts w:ascii="Arial" w:hAnsi="Arial" w:cs="Arial"/>
          <w:sz w:val="24"/>
          <w:szCs w:val="24"/>
          <w:shd w:val="clear" w:color="auto" w:fill="FFFFFF"/>
        </w:rPr>
        <w:t>).</w:t>
      </w:r>
    </w:p>
    <w:p w:rsidRPr="001B4AD0" w:rsidR="001B4AD0" w:rsidP="001B4AD0" w:rsidRDefault="001B4AD0" w14:paraId="115A402B" w14:textId="77777777">
      <w:pPr>
        <w:spacing w:after="0" w:line="480" w:lineRule="auto"/>
        <w:rPr>
          <w:rFonts w:ascii="Arial" w:hAnsi="Arial" w:eastAsia="Times New Roman" w:cs="Arial"/>
          <w:sz w:val="24"/>
          <w:szCs w:val="24"/>
          <w:lang w:eastAsia="en-GB"/>
        </w:rPr>
      </w:pPr>
      <w:r w:rsidRPr="001B4AD0">
        <w:rPr>
          <w:rFonts w:ascii="Arial" w:hAnsi="Arial" w:eastAsia="Times New Roman" w:cs="Arial"/>
          <w:sz w:val="24"/>
          <w:szCs w:val="24"/>
          <w:lang w:eastAsia="en-GB"/>
        </w:rPr>
        <w:t>These relational ethics (guanxi, keiretsu) complicate Western compliance models premised on impersonal rules. Ethical practice, therefore, can’t be divorced from cultural logics: firms must calibrate policies to avoid both ethical relativism and cultural insensitivity.</w:t>
      </w:r>
    </w:p>
    <w:p w:rsidRPr="0093701C" w:rsidR="0093701C" w:rsidP="0093701C" w:rsidRDefault="0093701C" w14:paraId="14B99011" w14:textId="5903BE91">
      <w:pPr>
        <w:rPr>
          <w:rFonts w:ascii="Arial" w:hAnsi="Arial" w:cs="Arial"/>
          <w:b/>
          <w:bCs/>
          <w:sz w:val="24"/>
          <w:szCs w:val="24"/>
          <w:lang w:eastAsia="en-GB"/>
        </w:rPr>
      </w:pPr>
      <w:r w:rsidRPr="0093701C">
        <w:rPr>
          <w:rFonts w:ascii="Arial" w:hAnsi="Arial" w:cs="Arial"/>
          <w:b/>
          <w:bCs/>
          <w:sz w:val="24"/>
          <w:szCs w:val="24"/>
          <w:lang w:eastAsia="en-GB"/>
        </w:rPr>
        <w:t>3. Global Trade Without Ethical Compromise</w:t>
      </w:r>
    </w:p>
    <w:p w:rsidRPr="0093701C" w:rsidR="0093701C" w:rsidP="0093701C" w:rsidRDefault="0093701C" w14:paraId="2DD8890F" w14:textId="727E0341">
      <w:pPr>
        <w:rPr>
          <w:rFonts w:ascii="Arial" w:hAnsi="Arial" w:cs="Arial"/>
          <w:b/>
          <w:bCs/>
          <w:sz w:val="24"/>
          <w:szCs w:val="24"/>
          <w:lang w:eastAsia="en-GB"/>
        </w:rPr>
      </w:pPr>
      <w:r w:rsidRPr="0093701C">
        <w:rPr>
          <w:rFonts w:ascii="Arial" w:hAnsi="Arial" w:cs="Arial"/>
          <w:b/>
          <w:bCs/>
          <w:sz w:val="24"/>
          <w:szCs w:val="24"/>
          <w:lang w:eastAsia="en-GB"/>
        </w:rPr>
        <w:t>3.1 Hyper norms and Local Practices</w:t>
      </w:r>
    </w:p>
    <w:p w:rsidRPr="005C71E3" w:rsidR="005C71E3" w:rsidP="005C71E3" w:rsidRDefault="0093701C" w14:paraId="37AF0D66" w14:textId="6DC77E1A">
      <w:pPr>
        <w:spacing w:line="480" w:lineRule="auto"/>
        <w:rPr>
          <w:rFonts w:ascii="Segoe UI" w:hAnsi="Segoe UI" w:eastAsia="Times New Roman" w:cs="Segoe UI"/>
          <w:sz w:val="21"/>
          <w:szCs w:val="21"/>
          <w:lang w:eastAsia="en-GB"/>
        </w:rPr>
      </w:pPr>
      <w:r w:rsidRPr="3BC510B2" w:rsidR="0093701C">
        <w:rPr>
          <w:rFonts w:ascii="Arial" w:hAnsi="Arial" w:eastAsia="Times New Roman" w:cs="Arial"/>
          <w:sz w:val="24"/>
          <w:szCs w:val="24"/>
          <w:lang w:eastAsia="en-GB"/>
        </w:rPr>
        <w:t xml:space="preserve">A central question is whether global commerce can </w:t>
      </w:r>
      <w:r w:rsidRPr="3BC510B2" w:rsidR="0093701C">
        <w:rPr>
          <w:rFonts w:ascii="Arial" w:hAnsi="Arial" w:eastAsia="Times New Roman" w:cs="Arial"/>
          <w:sz w:val="24"/>
          <w:szCs w:val="24"/>
          <w:lang w:eastAsia="en-GB"/>
        </w:rPr>
        <w:t>proceed</w:t>
      </w:r>
      <w:r w:rsidRPr="3BC510B2" w:rsidR="0093701C">
        <w:rPr>
          <w:rFonts w:ascii="Arial" w:hAnsi="Arial" w:eastAsia="Times New Roman" w:cs="Arial"/>
          <w:sz w:val="24"/>
          <w:szCs w:val="24"/>
          <w:lang w:eastAsia="en-GB"/>
        </w:rPr>
        <w:t xml:space="preserve"> without compromising ethics amid divergent local norms. One approach is to recogni</w:t>
      </w:r>
      <w:r w:rsidRPr="3BC510B2" w:rsidR="0093701C">
        <w:rPr>
          <w:rFonts w:ascii="Arial" w:hAnsi="Arial" w:eastAsia="Times New Roman" w:cs="Arial"/>
          <w:sz w:val="24"/>
          <w:szCs w:val="24"/>
          <w:lang w:eastAsia="en-GB"/>
        </w:rPr>
        <w:t>s</w:t>
      </w:r>
      <w:r w:rsidRPr="3BC510B2" w:rsidR="0093701C">
        <w:rPr>
          <w:rFonts w:ascii="Arial" w:hAnsi="Arial" w:eastAsia="Times New Roman" w:cs="Arial"/>
          <w:sz w:val="24"/>
          <w:szCs w:val="24"/>
          <w:lang w:eastAsia="en-GB"/>
        </w:rPr>
        <w:t>e “hyper norms”</w:t>
      </w:r>
      <w:r w:rsidRPr="3BC510B2" w:rsidR="0093701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widely accepted fundamental principles (e.g., respect for human rights, freedom from forced labour)</w:t>
      </w:r>
      <w:r w:rsidRPr="3BC510B2" w:rsidR="0093701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that set boundary conditions for acceptable local practices. In China, for instance, certain guanxi forms may be culturally expected, but when reciprocity shades into bribery or exclusionary collusion, they violate hyper norms and international anti</w:t>
      </w:r>
      <w:r w:rsidRPr="3BC510B2" w:rsidR="0093701C">
        <w:rPr>
          <w:rFonts w:ascii="Arial" w:hAnsi="Arial" w:eastAsia="Times New Roman" w:cs="Arial"/>
          <w:sz w:val="24"/>
          <w:szCs w:val="24"/>
          <w:lang w:eastAsia="en-GB"/>
        </w:rPr>
        <w:t>corruption standards</w:t>
      </w:r>
      <w:r w:rsidRPr="3BC510B2" w:rsidR="005B375F">
        <w:rPr>
          <w:rFonts w:ascii="Arial" w:hAnsi="Arial" w:eastAsia="Times New Roman" w:cs="Arial"/>
          <w:sz w:val="24"/>
          <w:szCs w:val="24"/>
          <w:lang w:eastAsia="en-GB"/>
        </w:rPr>
        <w:t xml:space="preserve"> </w:t>
      </w:r>
      <w:r w:rsidRPr="3BC510B2" w:rsidR="00CE4DB4">
        <w:rPr>
          <w:rFonts w:ascii="Arial" w:hAnsi="Arial" w:eastAsia="Times New Roman" w:cs="Arial"/>
          <w:sz w:val="24"/>
          <w:szCs w:val="24"/>
          <w:lang w:eastAsia="en-GB"/>
        </w:rPr>
        <w:t xml:space="preserve">(TRACE International, </w:t>
      </w:r>
      <w:hyperlink r:id="Reb2b133543794876">
        <w:r w:rsidRPr="3BC510B2" w:rsidR="00CE4DB4">
          <w:rPr>
            <w:rStyle w:val="Hyperlink"/>
            <w:rFonts w:ascii="Arial" w:hAnsi="Arial" w:eastAsia="Times New Roman" w:cs="Arial"/>
            <w:color w:val="auto"/>
            <w:sz w:val="24"/>
            <w:szCs w:val="24"/>
            <w:u w:val="none"/>
            <w:lang w:eastAsia="en-GB"/>
          </w:rPr>
          <w:t>2020</w:t>
        </w:r>
      </w:hyperlink>
      <w:r w:rsidRPr="3BC510B2" w:rsidR="00CE4DB4">
        <w:rPr>
          <w:rFonts w:ascii="Arial" w:hAnsi="Arial" w:eastAsia="Times New Roman" w:cs="Arial"/>
          <w:sz w:val="24"/>
          <w:szCs w:val="24"/>
          <w:lang w:eastAsia="en-GB"/>
        </w:rPr>
        <w:t>)</w:t>
      </w:r>
      <w:r w:rsidRPr="3BC510B2" w:rsidR="005B375F">
        <w:rPr>
          <w:rFonts w:ascii="Arial" w:hAnsi="Arial" w:eastAsia="Times New Roman" w:cs="Arial"/>
          <w:sz w:val="24"/>
          <w:szCs w:val="24"/>
          <w:lang w:eastAsia="en-GB"/>
        </w:rPr>
        <w:t>.</w:t>
      </w:r>
      <w:r w:rsidRPr="3BC510B2" w:rsidR="001406D2">
        <w:rPr>
          <w:rFonts w:ascii="Segoe UI" w:hAnsi="Segoe UI" w:eastAsia="Times New Roman" w:cs="Segoe UI"/>
          <w:sz w:val="21"/>
          <w:szCs w:val="21"/>
          <w:lang w:eastAsia="en-GB"/>
        </w:rPr>
        <w:t xml:space="preserve"> </w:t>
      </w:r>
      <w:r w:rsidRPr="3BC510B2" w:rsidR="0093701C">
        <w:rPr>
          <w:rFonts w:ascii="Arial" w:hAnsi="Arial" w:eastAsia="Times New Roman" w:cs="Arial"/>
          <w:sz w:val="24"/>
          <w:szCs w:val="24"/>
          <w:lang w:eastAsia="en-GB"/>
        </w:rPr>
        <w:t xml:space="preserve">Scholars advocate particularistic analysis to distinguish ethically permissible </w:t>
      </w:r>
      <w:r w:rsidRPr="3BC510B2" w:rsidR="635EAF6A">
        <w:rPr>
          <w:rFonts w:ascii="Arial" w:hAnsi="Arial" w:eastAsia="Times New Roman" w:cs="Arial"/>
          <w:sz w:val="24"/>
          <w:szCs w:val="24"/>
          <w:lang w:eastAsia="en-GB"/>
        </w:rPr>
        <w:t>relationship building</w:t>
      </w:r>
      <w:r w:rsidRPr="3BC510B2" w:rsidR="0093701C">
        <w:rPr>
          <w:rFonts w:ascii="Arial" w:hAnsi="Arial" w:eastAsia="Times New Roman" w:cs="Arial"/>
          <w:sz w:val="24"/>
          <w:szCs w:val="24"/>
          <w:lang w:eastAsia="en-GB"/>
        </w:rPr>
        <w:t xml:space="preserve"> from practices that undermine fairness and social welfare</w:t>
      </w:r>
      <w:r w:rsidRPr="3BC510B2" w:rsidR="005C71E3">
        <w:rPr>
          <w:rFonts w:ascii="Segoe UI" w:hAnsi="Segoe UI" w:eastAsia="Times New Roman" w:cs="Segoe UI"/>
          <w:sz w:val="21"/>
          <w:szCs w:val="21"/>
          <w:lang w:eastAsia="en-GB"/>
        </w:rPr>
        <w:t xml:space="preserve"> </w:t>
      </w:r>
      <w:r w:rsidRPr="3BC510B2" w:rsidR="005C71E3">
        <w:rPr>
          <w:rFonts w:ascii="Arial" w:hAnsi="Arial" w:eastAsia="Times New Roman" w:cs="Arial"/>
          <w:sz w:val="24"/>
          <w:szCs w:val="24"/>
          <w:lang w:eastAsia="en-GB"/>
        </w:rPr>
        <w:t>(</w:t>
      </w:r>
      <w:r w:rsidRPr="3BC510B2" w:rsidR="005C71E3">
        <w:rPr>
          <w:rFonts w:ascii="Arial" w:hAnsi="Arial" w:eastAsia="Times New Roman" w:cs="Arial"/>
          <w:sz w:val="24"/>
          <w:szCs w:val="24"/>
          <w:lang w:eastAsia="en-GB"/>
        </w:rPr>
        <w:t>Dunfee</w:t>
      </w:r>
      <w:r w:rsidRPr="3BC510B2" w:rsidR="005C71E3">
        <w:rPr>
          <w:rFonts w:ascii="Arial" w:hAnsi="Arial" w:eastAsia="Times New Roman" w:cs="Arial"/>
          <w:sz w:val="24"/>
          <w:szCs w:val="24"/>
          <w:lang w:eastAsia="en-GB"/>
        </w:rPr>
        <w:t xml:space="preserve"> &amp; Warren, </w:t>
      </w:r>
      <w:hyperlink r:id="R81a9c3ce300c45f6">
        <w:r w:rsidRPr="3BC510B2" w:rsidR="005C71E3">
          <w:rPr>
            <w:rStyle w:val="Hyperlink"/>
            <w:rFonts w:ascii="Arial" w:hAnsi="Arial" w:eastAsia="Times New Roman" w:cs="Arial"/>
            <w:color w:val="auto"/>
            <w:sz w:val="24"/>
            <w:szCs w:val="24"/>
            <w:u w:val="none"/>
            <w:lang w:eastAsia="en-GB"/>
          </w:rPr>
          <w:t>2001</w:t>
        </w:r>
      </w:hyperlink>
      <w:r w:rsidRPr="3BC510B2" w:rsidR="005C71E3">
        <w:rPr>
          <w:rFonts w:ascii="Arial" w:hAnsi="Arial" w:eastAsia="Times New Roman" w:cs="Arial"/>
          <w:sz w:val="24"/>
          <w:szCs w:val="24"/>
          <w:lang w:eastAsia="en-GB"/>
        </w:rPr>
        <w:t>).</w:t>
      </w:r>
      <w:r w:rsidRPr="3BC510B2" w:rsidR="005C71E3">
        <w:rPr>
          <w:rFonts w:ascii="Segoe UI" w:hAnsi="Segoe UI" w:eastAsia="Times New Roman" w:cs="Segoe UI"/>
          <w:sz w:val="21"/>
          <w:szCs w:val="21"/>
          <w:lang w:eastAsia="en-GB"/>
        </w:rPr>
        <w:t xml:space="preserve"> </w:t>
      </w:r>
    </w:p>
    <w:p w:rsidRPr="001406D2" w:rsidR="0093701C" w:rsidP="001406D2" w:rsidRDefault="0093701C" w14:paraId="670ED6B8" w14:textId="51A1C2B8">
      <w:pPr>
        <w:spacing w:line="480" w:lineRule="auto"/>
        <w:rPr>
          <w:rFonts w:ascii="Segoe UI" w:hAnsi="Segoe UI" w:eastAsia="Times New Roman" w:cs="Segoe UI"/>
          <w:sz w:val="21"/>
          <w:szCs w:val="21"/>
          <w:lang w:eastAsia="en-GB"/>
        </w:rPr>
      </w:pPr>
    </w:p>
    <w:p w:rsidRPr="0093701C" w:rsidR="0093701C" w:rsidP="0093701C" w:rsidRDefault="0093701C" w14:paraId="5AA5328C" w14:textId="77777777">
      <w:pPr>
        <w:spacing w:before="100" w:beforeAutospacing="1" w:after="100" w:afterAutospacing="1" w:line="300" w:lineRule="atLeast"/>
        <w:outlineLvl w:val="3"/>
        <w:rPr>
          <w:rFonts w:ascii="Segoe UI" w:hAnsi="Segoe UI" w:eastAsia="Times New Roman" w:cs="Segoe UI"/>
          <w:b/>
          <w:bCs/>
          <w:sz w:val="24"/>
          <w:szCs w:val="24"/>
          <w:lang w:eastAsia="en-GB"/>
        </w:rPr>
      </w:pPr>
      <w:r w:rsidRPr="0093701C">
        <w:rPr>
          <w:rFonts w:ascii="Segoe UI" w:hAnsi="Segoe UI" w:eastAsia="Times New Roman" w:cs="Segoe UI"/>
          <w:b/>
          <w:bCs/>
          <w:sz w:val="24"/>
          <w:szCs w:val="24"/>
          <w:lang w:eastAsia="en-GB"/>
        </w:rPr>
        <w:t>3.2 International Frameworks: UNGPs and OECD Guidelines</w:t>
      </w:r>
    </w:p>
    <w:p w:rsidR="0093701C" w:rsidP="3BC510B2" w:rsidRDefault="0093701C" w14:paraId="0E9107D8" w14:textId="16A90F4F">
      <w:pPr>
        <w:spacing w:before="100" w:beforeAutospacing="on" w:after="100" w:afterAutospacing="on" w:line="480" w:lineRule="auto"/>
        <w:rPr>
          <w:rFonts w:ascii="Arial" w:hAnsi="Arial" w:eastAsia="Times New Roman" w:cs="Arial"/>
          <w:sz w:val="24"/>
          <w:szCs w:val="24"/>
          <w:lang w:eastAsia="en-GB"/>
        </w:rPr>
      </w:pPr>
      <w:r w:rsidRPr="3BC510B2" w:rsidR="0093701C">
        <w:rPr>
          <w:rFonts w:ascii="Arial" w:hAnsi="Arial" w:eastAsia="Times New Roman" w:cs="Arial"/>
          <w:sz w:val="24"/>
          <w:szCs w:val="24"/>
          <w:lang w:eastAsia="en-GB"/>
        </w:rPr>
        <w:t>Two global frameworks provide guidance. The UN Guiding Principles on Business and Human Rights (UNGPs)</w:t>
      </w:r>
      <w:r w:rsidRPr="3BC510B2" w:rsidR="0093701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endorsed by the UN Human Rights Council in 2011</w:t>
      </w:r>
      <w:r w:rsidRPr="3BC510B2" w:rsidR="0093701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establish</w:t>
      </w:r>
      <w:r w:rsidRPr="3BC510B2" w:rsidR="0093701C">
        <w:rPr>
          <w:rFonts w:ascii="Arial" w:hAnsi="Arial" w:eastAsia="Times New Roman" w:cs="Arial"/>
          <w:sz w:val="24"/>
          <w:szCs w:val="24"/>
          <w:lang w:eastAsia="en-GB"/>
        </w:rPr>
        <w:t xml:space="preserve"> three pillars: the state duty to protect, corporate responsibility to respect human rights, and access to remedy. They apply to all enterprises and emphasi</w:t>
      </w:r>
      <w:r w:rsidRPr="3BC510B2" w:rsidR="0093701C">
        <w:rPr>
          <w:rFonts w:ascii="Arial" w:hAnsi="Arial" w:eastAsia="Times New Roman" w:cs="Arial"/>
          <w:sz w:val="24"/>
          <w:szCs w:val="24"/>
          <w:lang w:eastAsia="en-GB"/>
        </w:rPr>
        <w:t>s</w:t>
      </w:r>
      <w:r w:rsidRPr="3BC510B2" w:rsidR="0093701C">
        <w:rPr>
          <w:rFonts w:ascii="Arial" w:hAnsi="Arial" w:eastAsia="Times New Roman" w:cs="Arial"/>
          <w:sz w:val="24"/>
          <w:szCs w:val="24"/>
          <w:lang w:eastAsia="en-GB"/>
        </w:rPr>
        <w:t xml:space="preserve">e due diligence and stakeholder engagement, without creating new legal obligations but </w:t>
      </w:r>
      <w:r w:rsidRPr="3BC510B2" w:rsidR="0093701C">
        <w:rPr>
          <w:rFonts w:ascii="Arial" w:hAnsi="Arial" w:eastAsia="Times New Roman" w:cs="Arial"/>
          <w:sz w:val="24"/>
          <w:szCs w:val="24"/>
          <w:lang w:eastAsia="en-GB"/>
        </w:rPr>
        <w:t>consolidating</w:t>
      </w:r>
      <w:r w:rsidRPr="3BC510B2" w:rsidR="0093701C">
        <w:rPr>
          <w:rFonts w:ascii="Arial" w:hAnsi="Arial" w:eastAsia="Times New Roman" w:cs="Arial"/>
          <w:sz w:val="24"/>
          <w:szCs w:val="24"/>
          <w:lang w:eastAsia="en-GB"/>
        </w:rPr>
        <w:t xml:space="preserve"> standards. The OECD Guidelines for Multinational Enterprises (updated in 2023) expand recommendations on climate alignment, biodiversity, corruption, lobbying, and technology/data due diligence, supported by National Contact Points for practical implementation. Collectively, these frameworks enable firms to trade globally while setting </w:t>
      </w:r>
      <w:r w:rsidRPr="3BC510B2" w:rsidR="53EE8572">
        <w:rPr>
          <w:rFonts w:ascii="Arial" w:hAnsi="Arial" w:eastAsia="Times New Roman" w:cs="Arial"/>
          <w:sz w:val="24"/>
          <w:szCs w:val="24"/>
          <w:lang w:eastAsia="en-GB"/>
        </w:rPr>
        <w:t>non-negotiable</w:t>
      </w:r>
      <w:r w:rsidRPr="3BC510B2" w:rsidR="0093701C">
        <w:rPr>
          <w:rFonts w:ascii="Arial" w:hAnsi="Arial" w:eastAsia="Times New Roman" w:cs="Arial"/>
          <w:sz w:val="24"/>
          <w:szCs w:val="24"/>
          <w:lang w:eastAsia="en-GB"/>
        </w:rPr>
        <w:t xml:space="preserve"> ethical baselines</w:t>
      </w:r>
      <w:r w:rsidRPr="3BC510B2" w:rsidR="0093701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helping to reconcile local practices with global expectations</w:t>
      </w:r>
      <w:r w:rsidRPr="3BC510B2" w:rsidR="0008440F">
        <w:rPr>
          <w:rFonts w:ascii="Arial" w:hAnsi="Arial" w:eastAsia="Times New Roman" w:cs="Arial"/>
          <w:sz w:val="24"/>
          <w:szCs w:val="24"/>
          <w:lang w:eastAsia="en-GB"/>
        </w:rPr>
        <w:t xml:space="preserve"> (OECD, </w:t>
      </w:r>
      <w:hyperlink r:id="Re2605a9416994b0e">
        <w:r w:rsidRPr="3BC510B2" w:rsidR="0008440F">
          <w:rPr>
            <w:rStyle w:val="Hyperlink"/>
            <w:rFonts w:ascii="Arial" w:hAnsi="Arial" w:eastAsia="Times New Roman" w:cs="Arial"/>
            <w:color w:val="auto"/>
            <w:sz w:val="24"/>
            <w:szCs w:val="24"/>
            <w:u w:val="none"/>
            <w:lang w:eastAsia="en-GB"/>
          </w:rPr>
          <w:t>2023</w:t>
        </w:r>
      </w:hyperlink>
      <w:r w:rsidRPr="3BC510B2" w:rsidR="0008440F">
        <w:rPr>
          <w:rFonts w:ascii="Arial" w:hAnsi="Arial" w:eastAsia="Times New Roman" w:cs="Arial"/>
          <w:sz w:val="24"/>
          <w:szCs w:val="24"/>
          <w:lang w:eastAsia="en-GB"/>
        </w:rPr>
        <w:t>)</w:t>
      </w:r>
      <w:r w:rsidRPr="3BC510B2" w:rsidR="0008440F">
        <w:rPr>
          <w:rFonts w:ascii="Arial" w:hAnsi="Arial" w:eastAsia="Times New Roman" w:cs="Arial"/>
          <w:sz w:val="24"/>
          <w:szCs w:val="24"/>
          <w:lang w:eastAsia="en-GB"/>
        </w:rPr>
        <w:t xml:space="preserve">, (OECD guidelines, </w:t>
      </w:r>
      <w:hyperlink r:id="Re40865fbc6e74a95">
        <w:r w:rsidRPr="3BC510B2" w:rsidR="0008440F">
          <w:rPr>
            <w:rStyle w:val="Hyperlink"/>
            <w:rFonts w:ascii="Arial" w:hAnsi="Arial" w:eastAsia="Times New Roman" w:cs="Arial"/>
            <w:color w:val="auto"/>
            <w:sz w:val="24"/>
            <w:szCs w:val="24"/>
            <w:u w:val="none"/>
            <w:lang w:eastAsia="en-GB"/>
          </w:rPr>
          <w:t>2023</w:t>
        </w:r>
      </w:hyperlink>
      <w:r w:rsidRPr="3BC510B2" w:rsidR="0008440F">
        <w:rPr>
          <w:rFonts w:ascii="Arial" w:hAnsi="Arial" w:eastAsia="Times New Roman" w:cs="Arial"/>
          <w:sz w:val="24"/>
          <w:szCs w:val="24"/>
          <w:lang w:eastAsia="en-GB"/>
        </w:rPr>
        <w:t>)</w:t>
      </w:r>
      <w:r w:rsidRPr="3BC510B2" w:rsidR="0008440F">
        <w:rPr>
          <w:rFonts w:ascii="Arial" w:hAnsi="Arial" w:eastAsia="Times New Roman" w:cs="Arial"/>
          <w:sz w:val="24"/>
          <w:szCs w:val="24"/>
          <w:lang w:eastAsia="en-GB"/>
        </w:rPr>
        <w:t xml:space="preserve">, (European commission, </w:t>
      </w:r>
      <w:hyperlink r:id="R5c19ae1ae0a040fa">
        <w:r w:rsidRPr="3BC510B2" w:rsidR="0008440F">
          <w:rPr>
            <w:rStyle w:val="Hyperlink"/>
            <w:rFonts w:ascii="Arial" w:hAnsi="Arial" w:eastAsia="Times New Roman" w:cs="Arial"/>
            <w:color w:val="auto"/>
            <w:sz w:val="24"/>
            <w:szCs w:val="24"/>
            <w:u w:val="none"/>
            <w:lang w:eastAsia="en-GB"/>
          </w:rPr>
          <w:t>2024</w:t>
        </w:r>
      </w:hyperlink>
      <w:r w:rsidRPr="3BC510B2" w:rsidR="0008440F">
        <w:rPr>
          <w:rFonts w:ascii="Arial" w:hAnsi="Arial" w:eastAsia="Times New Roman" w:cs="Arial"/>
          <w:sz w:val="24"/>
          <w:szCs w:val="24"/>
          <w:lang w:eastAsia="en-GB"/>
        </w:rPr>
        <w:t>).</w:t>
      </w:r>
    </w:p>
    <w:p w:rsidRPr="0093701C" w:rsidR="0093701C" w:rsidP="0093701C" w:rsidRDefault="0093701C" w14:paraId="05DA4606" w14:textId="77777777">
      <w:pPr>
        <w:spacing w:before="100" w:beforeAutospacing="1" w:after="100" w:afterAutospacing="1" w:line="300" w:lineRule="atLeast"/>
        <w:outlineLvl w:val="2"/>
        <w:rPr>
          <w:rFonts w:ascii="Segoe UI" w:hAnsi="Segoe UI" w:eastAsia="Times New Roman" w:cs="Segoe UI"/>
          <w:b/>
          <w:bCs/>
          <w:sz w:val="27"/>
          <w:szCs w:val="27"/>
          <w:lang w:eastAsia="en-GB"/>
        </w:rPr>
      </w:pPr>
      <w:r w:rsidRPr="0093701C">
        <w:rPr>
          <w:rFonts w:ascii="Segoe UI" w:hAnsi="Segoe UI" w:eastAsia="Times New Roman" w:cs="Segoe UI"/>
          <w:b/>
          <w:bCs/>
          <w:sz w:val="27"/>
          <w:szCs w:val="27"/>
          <w:lang w:eastAsia="en-GB"/>
        </w:rPr>
        <w:t>4. Compatibilism: Balancing Profit and Planet</w:t>
      </w:r>
    </w:p>
    <w:p w:rsidRPr="0093701C" w:rsidR="0093701C" w:rsidP="0093701C" w:rsidRDefault="0093701C" w14:paraId="21BCF6E0" w14:textId="77777777">
      <w:pPr>
        <w:rPr>
          <w:rFonts w:ascii="Arial" w:hAnsi="Arial" w:cs="Arial"/>
          <w:b/>
          <w:bCs/>
          <w:sz w:val="24"/>
          <w:szCs w:val="24"/>
          <w:lang w:eastAsia="en-GB"/>
        </w:rPr>
      </w:pPr>
      <w:r w:rsidRPr="0093701C">
        <w:rPr>
          <w:rFonts w:ascii="Arial" w:hAnsi="Arial" w:cs="Arial"/>
          <w:b/>
          <w:bCs/>
          <w:sz w:val="24"/>
          <w:szCs w:val="24"/>
          <w:lang w:eastAsia="en-GB"/>
        </w:rPr>
        <w:t>4.1 Science, Climate Emergency, and Corporate Duties</w:t>
      </w:r>
    </w:p>
    <w:p w:rsidR="0093701C" w:rsidP="3BC510B2" w:rsidRDefault="0093701C" w14:paraId="6957A6AB" w14:textId="2BBB5128">
      <w:pPr>
        <w:spacing w:before="100" w:beforeAutospacing="on" w:after="100" w:afterAutospacing="on" w:line="480" w:lineRule="auto"/>
        <w:rPr>
          <w:rFonts w:ascii="Arial" w:hAnsi="Arial" w:eastAsia="Times New Roman" w:cs="Arial"/>
          <w:sz w:val="24"/>
          <w:szCs w:val="24"/>
          <w:lang w:eastAsia="en-GB"/>
        </w:rPr>
      </w:pPr>
      <w:r w:rsidRPr="3BC510B2" w:rsidR="0093701C">
        <w:rPr>
          <w:rFonts w:ascii="Arial" w:hAnsi="Arial" w:eastAsia="Times New Roman" w:cs="Arial"/>
          <w:sz w:val="24"/>
          <w:szCs w:val="24"/>
          <w:lang w:eastAsia="en-GB"/>
        </w:rPr>
        <w:t xml:space="preserve">Scientific consensus (e.g., IPCC assessments) attributes ongoing climate change to human activities; the ethical question is whether businesses should care beyond compliance. Under both UNGPs and OECD RBC guidance, firms are expected to conduct </w:t>
      </w:r>
      <w:r w:rsidRPr="3BC510B2" w:rsidR="7A2D57DD">
        <w:rPr>
          <w:rFonts w:ascii="Arial" w:hAnsi="Arial" w:eastAsia="Times New Roman" w:cs="Arial"/>
          <w:sz w:val="24"/>
          <w:szCs w:val="24"/>
          <w:lang w:eastAsia="en-GB"/>
        </w:rPr>
        <w:t>risk based</w:t>
      </w:r>
      <w:r w:rsidRPr="3BC510B2" w:rsidR="0093701C">
        <w:rPr>
          <w:rFonts w:ascii="Arial" w:hAnsi="Arial" w:eastAsia="Times New Roman" w:cs="Arial"/>
          <w:sz w:val="24"/>
          <w:szCs w:val="24"/>
          <w:lang w:eastAsia="en-GB"/>
        </w:rPr>
        <w:t xml:space="preserve"> due diligence on environmental impacts, </w:t>
      </w:r>
      <w:r w:rsidRPr="3BC510B2" w:rsidR="0093701C">
        <w:rPr>
          <w:rFonts w:ascii="Arial" w:hAnsi="Arial" w:eastAsia="Times New Roman" w:cs="Arial"/>
          <w:sz w:val="24"/>
          <w:szCs w:val="24"/>
          <w:lang w:eastAsia="en-GB"/>
        </w:rPr>
        <w:t>disclose</w:t>
      </w:r>
      <w:r w:rsidRPr="3BC510B2" w:rsidR="0093701C">
        <w:rPr>
          <w:rFonts w:ascii="Arial" w:hAnsi="Arial" w:eastAsia="Times New Roman" w:cs="Arial"/>
          <w:sz w:val="24"/>
          <w:szCs w:val="24"/>
          <w:lang w:eastAsia="en-GB"/>
        </w:rPr>
        <w:t xml:space="preserve"> responsibly, and align strategies with internationally agreed climate goals. Emerging EU law (Corporate Sustainability Due Diligence Directive, </w:t>
      </w:r>
      <w:r w:rsidRPr="3BC510B2" w:rsidR="0093701C">
        <w:rPr>
          <w:rFonts w:ascii="Arial" w:hAnsi="Arial" w:eastAsia="Times New Roman" w:cs="Arial"/>
          <w:i w:val="1"/>
          <w:iCs w:val="1"/>
          <w:sz w:val="24"/>
          <w:szCs w:val="24"/>
          <w:lang w:eastAsia="en-GB"/>
        </w:rPr>
        <w:t>CSDDD</w:t>
      </w:r>
      <w:r w:rsidRPr="3BC510B2" w:rsidR="0093701C">
        <w:rPr>
          <w:rFonts w:ascii="Arial" w:hAnsi="Arial" w:eastAsia="Times New Roman" w:cs="Arial"/>
          <w:sz w:val="24"/>
          <w:szCs w:val="24"/>
          <w:lang w:eastAsia="en-GB"/>
        </w:rPr>
        <w:t xml:space="preserve">) </w:t>
      </w:r>
      <w:r w:rsidRPr="3BC510B2" w:rsidR="00CC0C1A">
        <w:rPr>
          <w:rFonts w:ascii="Arial" w:hAnsi="Arial" w:eastAsia="Times New Roman" w:cs="Arial"/>
          <w:sz w:val="24"/>
          <w:szCs w:val="24"/>
          <w:lang w:eastAsia="en-GB"/>
        </w:rPr>
        <w:t>(</w:t>
      </w:r>
      <w:hyperlink r:id="R7ec84f37f72d412c">
        <w:r w:rsidRPr="3BC510B2" w:rsidR="00CC0C1A">
          <w:rPr>
            <w:rFonts w:ascii="Arial" w:hAnsi="Arial" w:cs="Arial"/>
            <w:sz w:val="24"/>
            <w:szCs w:val="24"/>
          </w:rPr>
          <w:t xml:space="preserve">Michael R. </w:t>
        </w:r>
        <w:r w:rsidRPr="3BC510B2" w:rsidR="00CC0C1A">
          <w:rPr>
            <w:rFonts w:ascii="Arial" w:hAnsi="Arial" w:cs="Arial"/>
            <w:sz w:val="24"/>
            <w:szCs w:val="24"/>
          </w:rPr>
          <w:t>Littenberg</w:t>
        </w:r>
      </w:hyperlink>
      <w:r w:rsidRPr="3BC510B2" w:rsidR="00CC0C1A">
        <w:rPr>
          <w:rFonts w:ascii="Arial" w:hAnsi="Arial" w:cs="Arial"/>
          <w:sz w:val="24"/>
          <w:szCs w:val="24"/>
        </w:rPr>
        <w:t>, </w:t>
      </w:r>
      <w:hyperlink r:id="Rc4df480d66d8453d">
        <w:r w:rsidRPr="3BC510B2" w:rsidR="00CC0C1A">
          <w:rPr>
            <w:rFonts w:ascii="Arial" w:hAnsi="Arial" w:cs="Arial"/>
            <w:sz w:val="24"/>
            <w:szCs w:val="24"/>
          </w:rPr>
          <w:t>Marc Rotter</w:t>
        </w:r>
      </w:hyperlink>
      <w:r w:rsidRPr="3BC510B2" w:rsidR="00CC0C1A">
        <w:rPr>
          <w:rFonts w:ascii="Arial" w:hAnsi="Arial" w:cs="Arial"/>
          <w:sz w:val="24"/>
          <w:szCs w:val="24"/>
        </w:rPr>
        <w:t>, </w:t>
      </w:r>
      <w:hyperlink r:id="R85b2015cec5a4f10">
        <w:r w:rsidRPr="3BC510B2" w:rsidR="00CC0C1A">
          <w:rPr>
            <w:rFonts w:ascii="Arial" w:hAnsi="Arial" w:cs="Arial"/>
            <w:sz w:val="24"/>
            <w:szCs w:val="24"/>
          </w:rPr>
          <w:t>Samantha Elliott</w:t>
        </w:r>
      </w:hyperlink>
      <w:r w:rsidRPr="3BC510B2" w:rsidR="00CC0C1A">
        <w:rPr>
          <w:rFonts w:ascii="Arial" w:hAnsi="Arial" w:cs="Arial"/>
          <w:sz w:val="24"/>
          <w:szCs w:val="24"/>
        </w:rPr>
        <w:t>, </w:t>
      </w:r>
      <w:hyperlink r:id="R81e6c5ec9b564fda">
        <w:r w:rsidRPr="3BC510B2" w:rsidR="00CC0C1A">
          <w:rPr>
            <w:rFonts w:ascii="Arial" w:hAnsi="Arial" w:cs="Arial"/>
            <w:sz w:val="24"/>
            <w:szCs w:val="24"/>
          </w:rPr>
          <w:t>Kelley R. Murphy</w:t>
        </w:r>
      </w:hyperlink>
      <w:r w:rsidRPr="3BC510B2" w:rsidR="00CC0C1A">
        <w:rPr>
          <w:rFonts w:ascii="Arial" w:hAnsi="Arial" w:cs="Arial"/>
          <w:sz w:val="24"/>
          <w:szCs w:val="24"/>
        </w:rPr>
        <w:t>, </w:t>
      </w:r>
      <w:hyperlink r:id="Ra93f6a54beb24581">
        <w:r w:rsidRPr="3BC510B2" w:rsidR="00CC0C1A">
          <w:rPr>
            <w:rFonts w:ascii="Arial" w:hAnsi="Arial" w:cs="Arial"/>
            <w:sz w:val="24"/>
            <w:szCs w:val="24"/>
          </w:rPr>
          <w:t xml:space="preserve">Peter </w:t>
        </w:r>
        <w:r w:rsidRPr="3BC510B2" w:rsidR="00CC0C1A">
          <w:rPr>
            <w:rFonts w:ascii="Arial" w:hAnsi="Arial" w:cs="Arial"/>
            <w:sz w:val="24"/>
            <w:szCs w:val="24"/>
          </w:rPr>
          <w:t>Witschi</w:t>
        </w:r>
      </w:hyperlink>
      <w:r w:rsidRPr="3BC510B2" w:rsidR="00CC0C1A">
        <w:rPr>
          <w:rFonts w:ascii="Arial" w:hAnsi="Arial" w:cs="Arial"/>
          <w:sz w:val="24"/>
          <w:szCs w:val="24"/>
        </w:rPr>
        <w:t xml:space="preserve">, </w:t>
      </w:r>
      <w:hyperlink r:id="R22170805e5a249ca">
        <w:r w:rsidRPr="3BC510B2" w:rsidR="00CC0C1A">
          <w:rPr>
            <w:rStyle w:val="Hyperlink"/>
            <w:rFonts w:ascii="Arial" w:hAnsi="Arial" w:cs="Arial"/>
            <w:color w:val="auto"/>
            <w:sz w:val="24"/>
            <w:szCs w:val="24"/>
            <w:u w:val="none"/>
          </w:rPr>
          <w:t>2025</w:t>
        </w:r>
      </w:hyperlink>
      <w:r w:rsidRPr="3BC510B2" w:rsidR="00CC0C1A">
        <w:rPr>
          <w:rFonts w:ascii="Arial" w:hAnsi="Arial" w:cs="Arial"/>
          <w:sz w:val="24"/>
          <w:szCs w:val="24"/>
        </w:rPr>
        <w:t xml:space="preserve">) </w:t>
      </w:r>
      <w:r w:rsidRPr="3BC510B2" w:rsidR="0093701C">
        <w:rPr>
          <w:rFonts w:ascii="Arial" w:hAnsi="Arial" w:eastAsia="Times New Roman" w:cs="Arial"/>
          <w:sz w:val="24"/>
          <w:szCs w:val="24"/>
          <w:lang w:eastAsia="en-GB"/>
        </w:rPr>
        <w:t>originally contemplated mandatory climate transition plans but is being “simplified”</w:t>
      </w:r>
      <w:r w:rsidRPr="3BC510B2" w:rsidR="0093701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 xml:space="preserve">reflecting political debates about proportionality and competitiveness while preserving core </w:t>
      </w:r>
      <w:r w:rsidRPr="3BC510B2" w:rsidR="32489553">
        <w:rPr>
          <w:rFonts w:ascii="Arial" w:hAnsi="Arial" w:eastAsia="Times New Roman" w:cs="Arial"/>
          <w:sz w:val="24"/>
          <w:szCs w:val="24"/>
          <w:lang w:eastAsia="en-GB"/>
        </w:rPr>
        <w:t>due diligence</w:t>
      </w:r>
      <w:r w:rsidRPr="3BC510B2" w:rsidR="0093701C">
        <w:rPr>
          <w:rFonts w:ascii="Arial" w:hAnsi="Arial" w:eastAsia="Times New Roman" w:cs="Arial"/>
          <w:sz w:val="24"/>
          <w:szCs w:val="24"/>
          <w:lang w:eastAsia="en-GB"/>
        </w:rPr>
        <w:t xml:space="preserve"> expectations for </w:t>
      </w:r>
      <w:r w:rsidRPr="3BC510B2" w:rsidR="0093701C">
        <w:rPr>
          <w:rFonts w:ascii="Arial" w:hAnsi="Arial" w:eastAsia="Times New Roman" w:cs="Arial"/>
          <w:sz w:val="24"/>
          <w:szCs w:val="24"/>
          <w:lang w:eastAsia="en-GB"/>
        </w:rPr>
        <w:t>very large</w:t>
      </w:r>
      <w:r w:rsidRPr="3BC510B2" w:rsidR="0093701C">
        <w:rPr>
          <w:rFonts w:ascii="Arial" w:hAnsi="Arial" w:eastAsia="Times New Roman" w:cs="Arial"/>
          <w:sz w:val="24"/>
          <w:szCs w:val="24"/>
          <w:lang w:eastAsia="en-GB"/>
        </w:rPr>
        <w:t xml:space="preserve"> companies. Even with scope adjustments, the direction of travel </w:t>
      </w:r>
      <w:r w:rsidRPr="3BC510B2" w:rsidR="536EEE50">
        <w:rPr>
          <w:rFonts w:ascii="Arial" w:hAnsi="Arial" w:eastAsia="Times New Roman" w:cs="Arial"/>
          <w:sz w:val="24"/>
          <w:szCs w:val="24"/>
          <w:lang w:eastAsia="en-GB"/>
        </w:rPr>
        <w:t>remains</w:t>
      </w:r>
      <w:r w:rsidRPr="3BC510B2" w:rsidR="0774150C">
        <w:rPr>
          <w:rFonts w:ascii="Arial" w:hAnsi="Arial" w:eastAsia="Times New Roman" w:cs="Arial"/>
          <w:sz w:val="24"/>
          <w:szCs w:val="24"/>
          <w:lang w:eastAsia="en-GB"/>
        </w:rPr>
        <w:t>;</w:t>
      </w:r>
      <w:r w:rsidRPr="3BC510B2" w:rsidR="0774150C">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 xml:space="preserve">companies are encouraged or </w:t>
      </w:r>
      <w:r w:rsidRPr="3BC510B2" w:rsidR="0093701C">
        <w:rPr>
          <w:rFonts w:ascii="Arial" w:hAnsi="Arial" w:eastAsia="Times New Roman" w:cs="Arial"/>
          <w:sz w:val="24"/>
          <w:szCs w:val="24"/>
          <w:lang w:eastAsia="en-GB"/>
        </w:rPr>
        <w:t>required</w:t>
      </w:r>
      <w:r w:rsidRPr="3BC510B2" w:rsidR="0093701C">
        <w:rPr>
          <w:rFonts w:ascii="Arial" w:hAnsi="Arial" w:eastAsia="Times New Roman" w:cs="Arial"/>
          <w:sz w:val="24"/>
          <w:szCs w:val="24"/>
          <w:lang w:eastAsia="en-GB"/>
        </w:rPr>
        <w:t xml:space="preserve"> to integrate environmental responsibilities into business models. </w:t>
      </w:r>
    </w:p>
    <w:p w:rsidRPr="0093701C" w:rsidR="0093701C" w:rsidP="0093701C" w:rsidRDefault="0093701C" w14:paraId="468DA138" w14:textId="77777777">
      <w:pPr>
        <w:rPr>
          <w:rFonts w:ascii="Arial" w:hAnsi="Arial" w:cs="Arial"/>
          <w:b/>
          <w:bCs/>
          <w:sz w:val="24"/>
          <w:szCs w:val="24"/>
          <w:lang w:eastAsia="en-GB"/>
        </w:rPr>
      </w:pPr>
      <w:r w:rsidRPr="0093701C">
        <w:rPr>
          <w:rFonts w:ascii="Arial" w:hAnsi="Arial" w:cs="Arial"/>
          <w:b/>
          <w:bCs/>
          <w:sz w:val="24"/>
          <w:szCs w:val="24"/>
          <w:lang w:eastAsia="en-GB"/>
        </w:rPr>
        <w:t>4.2 Policy Signals: UK HFSS Advertising Restrictions; EU Due Diligence</w:t>
      </w:r>
    </w:p>
    <w:p w:rsidR="0093701C" w:rsidP="3BC510B2" w:rsidRDefault="0093701C" w14:paraId="426ECEF7" w14:textId="73336479">
      <w:pPr>
        <w:spacing w:before="100" w:beforeAutospacing="on" w:after="100" w:afterAutospacing="on" w:line="480" w:lineRule="auto"/>
        <w:rPr>
          <w:rFonts w:ascii="Arial" w:hAnsi="Arial" w:eastAsia="Times New Roman" w:cs="Arial"/>
          <w:sz w:val="24"/>
          <w:szCs w:val="24"/>
          <w:lang w:eastAsia="en-GB"/>
        </w:rPr>
      </w:pPr>
      <w:r w:rsidRPr="3BC510B2" w:rsidR="0093701C">
        <w:rPr>
          <w:rFonts w:ascii="Arial" w:hAnsi="Arial" w:eastAsia="Times New Roman" w:cs="Arial"/>
          <w:sz w:val="24"/>
          <w:szCs w:val="24"/>
          <w:lang w:eastAsia="en-GB"/>
        </w:rPr>
        <w:t xml:space="preserve">A compatibilist stance appears in </w:t>
      </w:r>
      <w:r w:rsidRPr="3BC510B2" w:rsidR="525C258F">
        <w:rPr>
          <w:rFonts w:ascii="Arial" w:hAnsi="Arial" w:eastAsia="Times New Roman" w:cs="Arial"/>
          <w:sz w:val="24"/>
          <w:szCs w:val="24"/>
          <w:lang w:eastAsia="en-GB"/>
        </w:rPr>
        <w:t>public health</w:t>
      </w:r>
      <w:r w:rsidRPr="3BC510B2" w:rsidR="0093701C">
        <w:rPr>
          <w:rFonts w:ascii="Arial" w:hAnsi="Arial" w:eastAsia="Times New Roman" w:cs="Arial"/>
          <w:sz w:val="24"/>
          <w:szCs w:val="24"/>
          <w:lang w:eastAsia="en-GB"/>
        </w:rPr>
        <w:t xml:space="preserve"> regulation intersecting corporate marketing. The UK is moving to restrict advertising of less healthy food and drink (HFSS) with a 9pm watershed on TV and a total </w:t>
      </w:r>
      <w:r w:rsidRPr="3BC510B2" w:rsidR="215AA481">
        <w:rPr>
          <w:rFonts w:ascii="Arial" w:hAnsi="Arial" w:eastAsia="Times New Roman" w:cs="Arial"/>
          <w:sz w:val="24"/>
          <w:szCs w:val="24"/>
          <w:lang w:eastAsia="en-GB"/>
        </w:rPr>
        <w:t>paid online</w:t>
      </w:r>
      <w:r w:rsidRPr="3BC510B2" w:rsidR="0093701C">
        <w:rPr>
          <w:rFonts w:ascii="Arial" w:hAnsi="Arial" w:eastAsia="Times New Roman" w:cs="Arial"/>
          <w:sz w:val="24"/>
          <w:szCs w:val="24"/>
          <w:lang w:eastAsia="en-GB"/>
        </w:rPr>
        <w:t xml:space="preserve"> ban, seeking to reduce children’s exposure and encourage healthier markets</w:t>
      </w:r>
      <w:r w:rsidRPr="3BC510B2" w:rsidR="007B2E87">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after prior in</w:t>
      </w:r>
      <w:r w:rsidRPr="3BC510B2" w:rsidR="0093701C">
        <w:rPr>
          <w:rFonts w:ascii="Arial" w:hAnsi="Arial" w:eastAsia="Times New Roman" w:cs="Arial"/>
          <w:sz w:val="24"/>
          <w:szCs w:val="24"/>
          <w:lang w:eastAsia="en-GB"/>
        </w:rPr>
        <w:t>store placement restrictions were introduced in England in 2022</w:t>
      </w:r>
      <w:r w:rsidRPr="3BC510B2" w:rsidR="7E127EE6">
        <w:rPr>
          <w:rFonts w:ascii="Arial" w:hAnsi="Arial" w:eastAsia="Times New Roman" w:cs="Arial"/>
          <w:sz w:val="24"/>
          <w:szCs w:val="24"/>
          <w:lang w:eastAsia="en-GB"/>
        </w:rPr>
        <w:t xml:space="preserve"> </w:t>
      </w:r>
      <w:r w:rsidRPr="3BC510B2" w:rsidR="00CC0C1A">
        <w:rPr>
          <w:rFonts w:ascii="Arial" w:hAnsi="Arial" w:eastAsia="Times New Roman" w:cs="Arial"/>
          <w:sz w:val="24"/>
          <w:szCs w:val="24"/>
          <w:lang w:eastAsia="en-GB"/>
        </w:rPr>
        <w:t xml:space="preserve">(Gov.uk, </w:t>
      </w:r>
      <w:hyperlink r:id="Rb0d68e9919754fa5">
        <w:r w:rsidRPr="3BC510B2" w:rsidR="00CC0C1A">
          <w:rPr>
            <w:rStyle w:val="Hyperlink"/>
            <w:rFonts w:ascii="Arial" w:hAnsi="Arial" w:eastAsia="Times New Roman" w:cs="Arial"/>
            <w:color w:val="auto"/>
            <w:sz w:val="24"/>
            <w:szCs w:val="24"/>
            <w:u w:val="none"/>
            <w:lang w:eastAsia="en-GB"/>
          </w:rPr>
          <w:t>2024</w:t>
        </w:r>
      </w:hyperlink>
      <w:r w:rsidRPr="3BC510B2" w:rsidR="00CC0C1A">
        <w:rPr>
          <w:rFonts w:ascii="Arial" w:hAnsi="Arial" w:eastAsia="Times New Roman" w:cs="Arial"/>
          <w:sz w:val="24"/>
          <w:szCs w:val="24"/>
          <w:lang w:eastAsia="en-GB"/>
        </w:rPr>
        <w:t>)</w:t>
      </w:r>
      <w:r w:rsidRPr="3BC510B2" w:rsidR="0093701C">
        <w:rPr>
          <w:rFonts w:ascii="Arial" w:hAnsi="Arial" w:eastAsia="Times New Roman" w:cs="Arial"/>
          <w:sz w:val="24"/>
          <w:szCs w:val="24"/>
          <w:lang w:eastAsia="en-GB"/>
        </w:rPr>
        <w:t>. The latest timetable sets the advertising rules to come into force UK</w:t>
      </w:r>
      <w:r w:rsidRPr="3BC510B2" w:rsidR="074A79AF">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wide on 5 January 2026, with voluntary compliance from October 2025 while brand</w:t>
      </w:r>
      <w:r w:rsidRPr="3BC510B2" w:rsidR="0826A5A9">
        <w:rPr>
          <w:rFonts w:ascii="Arial" w:hAnsi="Arial" w:eastAsia="Times New Roman" w:cs="Arial"/>
          <w:sz w:val="24"/>
          <w:szCs w:val="24"/>
          <w:lang w:eastAsia="en-GB"/>
        </w:rPr>
        <w:t xml:space="preserve"> </w:t>
      </w:r>
      <w:r w:rsidRPr="3BC510B2" w:rsidR="0093701C">
        <w:rPr>
          <w:rFonts w:ascii="Arial" w:hAnsi="Arial" w:eastAsia="Times New Roman" w:cs="Arial"/>
          <w:sz w:val="24"/>
          <w:szCs w:val="24"/>
          <w:lang w:eastAsia="en-GB"/>
        </w:rPr>
        <w:t>only advertising exemptions are clarified</w:t>
      </w:r>
      <w:r w:rsidRPr="3BC510B2" w:rsidR="005C4C47">
        <w:rPr>
          <w:rFonts w:ascii="Arial" w:hAnsi="Arial" w:eastAsia="Times New Roman" w:cs="Arial"/>
          <w:sz w:val="24"/>
          <w:szCs w:val="24"/>
          <w:lang w:eastAsia="en-GB"/>
        </w:rPr>
        <w:t xml:space="preserve"> (Iona Silverman, </w:t>
      </w:r>
      <w:hyperlink r:id="R72b5646822674e93">
        <w:r w:rsidRPr="3BC510B2" w:rsidR="005C4C47">
          <w:rPr>
            <w:rStyle w:val="Hyperlink"/>
            <w:rFonts w:ascii="Arial" w:hAnsi="Arial" w:eastAsia="Times New Roman" w:cs="Arial"/>
            <w:color w:val="auto"/>
            <w:sz w:val="24"/>
            <w:szCs w:val="24"/>
            <w:u w:val="none"/>
            <w:lang w:eastAsia="en-GB"/>
          </w:rPr>
          <w:t>2025</w:t>
        </w:r>
      </w:hyperlink>
      <w:r w:rsidRPr="3BC510B2" w:rsidR="005C4C47">
        <w:rPr>
          <w:rFonts w:ascii="Arial" w:hAnsi="Arial" w:eastAsia="Times New Roman" w:cs="Arial"/>
          <w:sz w:val="24"/>
          <w:szCs w:val="24"/>
          <w:lang w:eastAsia="en-GB"/>
        </w:rPr>
        <w:t>)</w:t>
      </w:r>
      <w:r w:rsidRPr="3BC510B2" w:rsidR="0093701C">
        <w:rPr>
          <w:rFonts w:ascii="Arial" w:hAnsi="Arial" w:eastAsia="Times New Roman" w:cs="Arial"/>
          <w:sz w:val="24"/>
          <w:szCs w:val="24"/>
          <w:lang w:eastAsia="en-GB"/>
        </w:rPr>
        <w:t>. This illustrates an ethical recalibration of profit motives with social outcomes, where business creativity and reformulation can coexist with public health priorities</w:t>
      </w:r>
      <w:r w:rsidRPr="3BC510B2" w:rsidR="00CC0C1A">
        <w:rPr>
          <w:rFonts w:ascii="Arial" w:hAnsi="Arial" w:eastAsia="Times New Roman" w:cs="Arial"/>
          <w:sz w:val="24"/>
          <w:szCs w:val="24"/>
          <w:lang w:eastAsia="en-GB"/>
        </w:rPr>
        <w:t xml:space="preserve"> (Communications Act, </w:t>
      </w:r>
      <w:hyperlink r:id="Rcb85749b62c84f82">
        <w:r w:rsidRPr="3BC510B2" w:rsidR="00CC0C1A">
          <w:rPr>
            <w:rStyle w:val="Hyperlink"/>
            <w:rFonts w:ascii="Arial" w:hAnsi="Arial" w:eastAsia="Times New Roman" w:cs="Arial"/>
            <w:color w:val="auto"/>
            <w:sz w:val="24"/>
            <w:szCs w:val="24"/>
            <w:u w:val="none"/>
            <w:lang w:eastAsia="en-GB"/>
          </w:rPr>
          <w:t>2023</w:t>
        </w:r>
      </w:hyperlink>
      <w:r w:rsidRPr="3BC510B2" w:rsidR="00CC0C1A">
        <w:rPr>
          <w:rFonts w:ascii="Arial" w:hAnsi="Arial" w:eastAsia="Times New Roman" w:cs="Arial"/>
          <w:sz w:val="24"/>
          <w:szCs w:val="24"/>
          <w:lang w:eastAsia="en-GB"/>
        </w:rPr>
        <w:t>).</w:t>
      </w:r>
    </w:p>
    <w:p w:rsidRPr="005C71E3" w:rsidR="007B2E87" w:rsidP="00D3620F" w:rsidRDefault="007B2E87" w14:paraId="7C6E8584" w14:textId="03030976">
      <w:pPr>
        <w:spacing w:line="480" w:lineRule="auto"/>
        <w:rPr>
          <w:rFonts w:ascii="Segoe UI" w:hAnsi="Segoe UI" w:eastAsia="Times New Roman" w:cs="Segoe UI"/>
          <w:sz w:val="21"/>
          <w:szCs w:val="21"/>
          <w:lang w:eastAsia="en-GB"/>
        </w:rPr>
      </w:pPr>
      <w:r w:rsidRPr="3BC510B2" w:rsidR="007B2E87">
        <w:rPr>
          <w:rFonts w:ascii="Arial" w:hAnsi="Arial" w:eastAsia="Times New Roman" w:cs="Arial"/>
          <w:sz w:val="24"/>
          <w:szCs w:val="24"/>
          <w:lang w:eastAsia="en-GB"/>
        </w:rPr>
        <w:t xml:space="preserve">In the EU, a political agreement (December 2025) between Council and Parliament proposes to simplify CSRD/CSDDD obligations, raise thresholds (e.g., due diligence scope to firms with &gt;5,000 employees and €1.5bn turnover), and adjust </w:t>
      </w:r>
      <w:r w:rsidRPr="3BC510B2" w:rsidR="72F111DE">
        <w:rPr>
          <w:rFonts w:ascii="Arial" w:hAnsi="Arial" w:eastAsia="Times New Roman" w:cs="Arial"/>
          <w:sz w:val="24"/>
          <w:szCs w:val="24"/>
          <w:lang w:eastAsia="en-GB"/>
        </w:rPr>
        <w:t>climate plan</w:t>
      </w:r>
      <w:r w:rsidRPr="3BC510B2" w:rsidR="007B2E87">
        <w:rPr>
          <w:rFonts w:ascii="Arial" w:hAnsi="Arial" w:eastAsia="Times New Roman" w:cs="Arial"/>
          <w:sz w:val="24"/>
          <w:szCs w:val="24"/>
          <w:lang w:eastAsia="en-GB"/>
        </w:rPr>
        <w:t xml:space="preserve"> requirements, while keeping penalties and </w:t>
      </w:r>
      <w:r w:rsidRPr="3BC510B2" w:rsidR="16B6A889">
        <w:rPr>
          <w:rFonts w:ascii="Arial" w:hAnsi="Arial" w:eastAsia="Times New Roman" w:cs="Arial"/>
          <w:sz w:val="24"/>
          <w:szCs w:val="24"/>
          <w:lang w:eastAsia="en-GB"/>
        </w:rPr>
        <w:t>due diligence</w:t>
      </w:r>
      <w:r w:rsidRPr="3BC510B2" w:rsidR="007B2E87">
        <w:rPr>
          <w:rFonts w:ascii="Arial" w:hAnsi="Arial" w:eastAsia="Times New Roman" w:cs="Arial"/>
          <w:sz w:val="24"/>
          <w:szCs w:val="24"/>
          <w:lang w:eastAsia="en-GB"/>
        </w:rPr>
        <w:t xml:space="preserve"> duties intact for firms most capable of influencing value chains</w:t>
      </w:r>
      <w:r w:rsidRPr="3BC510B2" w:rsidR="005C71E3">
        <w:rPr>
          <w:rFonts w:ascii="Arial" w:hAnsi="Arial" w:eastAsia="Times New Roman" w:cs="Arial"/>
          <w:sz w:val="24"/>
          <w:szCs w:val="24"/>
          <w:lang w:eastAsia="en-GB"/>
        </w:rPr>
        <w:t xml:space="preserve"> </w:t>
      </w:r>
      <w:r w:rsidRPr="3BC510B2" w:rsidR="005C71E3">
        <w:rPr>
          <w:rFonts w:ascii="Arial" w:hAnsi="Arial" w:eastAsia="Times New Roman" w:cs="Arial"/>
          <w:sz w:val="24"/>
          <w:szCs w:val="24"/>
          <w:lang w:eastAsia="en-GB"/>
        </w:rPr>
        <w:t xml:space="preserve">(Council of the European Union, </w:t>
      </w:r>
      <w:hyperlink r:id="R07a2b03898e7497c">
        <w:r w:rsidRPr="3BC510B2" w:rsidR="005C71E3">
          <w:rPr>
            <w:rStyle w:val="Hyperlink"/>
            <w:rFonts w:ascii="Arial" w:hAnsi="Arial" w:eastAsia="Times New Roman" w:cs="Arial"/>
            <w:color w:val="auto"/>
            <w:sz w:val="24"/>
            <w:szCs w:val="24"/>
            <w:u w:val="none"/>
            <w:lang w:eastAsia="en-GB"/>
          </w:rPr>
          <w:t>2025</w:t>
        </w:r>
      </w:hyperlink>
      <w:r w:rsidRPr="3BC510B2" w:rsidR="005C71E3">
        <w:rPr>
          <w:rFonts w:ascii="Arial" w:hAnsi="Arial" w:eastAsia="Times New Roman" w:cs="Arial"/>
          <w:sz w:val="24"/>
          <w:szCs w:val="24"/>
          <w:lang w:eastAsia="en-GB"/>
        </w:rPr>
        <w:t>)</w:t>
      </w:r>
      <w:r w:rsidRPr="3BC510B2" w:rsidR="00D3620F">
        <w:rPr>
          <w:rFonts w:ascii="Arial" w:hAnsi="Arial" w:eastAsia="Times New Roman" w:cs="Arial"/>
          <w:sz w:val="24"/>
          <w:szCs w:val="24"/>
          <w:lang w:eastAsia="en-GB"/>
        </w:rPr>
        <w:t>,</w:t>
      </w:r>
      <w:r w:rsidRPr="3BC510B2" w:rsidR="005C71E3">
        <w:rPr>
          <w:rFonts w:ascii="Segoe UI" w:hAnsi="Segoe UI" w:eastAsia="Times New Roman" w:cs="Segoe UI"/>
          <w:sz w:val="21"/>
          <w:szCs w:val="21"/>
          <w:lang w:eastAsia="en-GB"/>
        </w:rPr>
        <w:t xml:space="preserve"> </w:t>
      </w:r>
      <w:r w:rsidRPr="3BC510B2" w:rsidR="005C71E3">
        <w:rPr>
          <w:rFonts w:ascii="Arial" w:hAnsi="Arial" w:eastAsia="Times New Roman" w:cs="Arial"/>
          <w:sz w:val="24"/>
          <w:szCs w:val="24"/>
          <w:lang w:eastAsia="en-GB"/>
        </w:rPr>
        <w:t xml:space="preserve">(Johnson, </w:t>
      </w:r>
      <w:hyperlink r:id="Rfe712bc538b64a80">
        <w:r w:rsidRPr="3BC510B2" w:rsidR="005C71E3">
          <w:rPr>
            <w:rStyle w:val="Hyperlink"/>
            <w:rFonts w:ascii="Arial" w:hAnsi="Arial" w:eastAsia="Times New Roman" w:cs="Arial"/>
            <w:color w:val="auto"/>
            <w:sz w:val="24"/>
            <w:szCs w:val="24"/>
            <w:u w:val="none"/>
            <w:lang w:eastAsia="en-GB"/>
          </w:rPr>
          <w:t>2025</w:t>
        </w:r>
      </w:hyperlink>
      <w:r w:rsidRPr="3BC510B2" w:rsidR="005C71E3">
        <w:rPr>
          <w:rFonts w:ascii="Arial" w:hAnsi="Arial" w:eastAsia="Times New Roman" w:cs="Arial"/>
          <w:sz w:val="24"/>
          <w:szCs w:val="24"/>
          <w:lang w:eastAsia="en-GB"/>
        </w:rPr>
        <w:t>)</w:t>
      </w:r>
      <w:r w:rsidRPr="3BC510B2" w:rsidR="007B2E87">
        <w:rPr>
          <w:rFonts w:ascii="Arial" w:hAnsi="Arial" w:eastAsia="Times New Roman" w:cs="Arial"/>
          <w:sz w:val="24"/>
          <w:szCs w:val="24"/>
          <w:lang w:eastAsia="en-GB"/>
        </w:rPr>
        <w:t xml:space="preserve">. The European Commission’s portal and ESRS simplification aim to make compliance more usable while preserving accountability. From an ethical standpoint, these policy signals suggest compatibilism is </w:t>
      </w:r>
      <w:r w:rsidRPr="3BC510B2" w:rsidR="007B2E87">
        <w:rPr>
          <w:rFonts w:ascii="Arial" w:hAnsi="Arial" w:eastAsia="Times New Roman" w:cs="Arial"/>
          <w:sz w:val="24"/>
          <w:szCs w:val="24"/>
          <w:lang w:eastAsia="en-GB"/>
        </w:rPr>
        <w:t>feasible</w:t>
      </w:r>
      <w:r w:rsidRPr="3BC510B2" w:rsidR="007B2E87">
        <w:rPr>
          <w:rFonts w:ascii="Arial" w:hAnsi="Arial" w:eastAsia="Times New Roman" w:cs="Arial"/>
          <w:sz w:val="24"/>
          <w:szCs w:val="24"/>
          <w:lang w:eastAsia="en-GB"/>
        </w:rPr>
        <w:t>: regulatory guardrails can incentivi</w:t>
      </w:r>
      <w:r w:rsidRPr="3BC510B2" w:rsidR="007B2E87">
        <w:rPr>
          <w:rFonts w:ascii="Arial" w:hAnsi="Arial" w:eastAsia="Times New Roman" w:cs="Arial"/>
          <w:sz w:val="24"/>
          <w:szCs w:val="24"/>
          <w:lang w:eastAsia="en-GB"/>
        </w:rPr>
        <w:t>s</w:t>
      </w:r>
      <w:r w:rsidRPr="3BC510B2" w:rsidR="007B2E87">
        <w:rPr>
          <w:rFonts w:ascii="Arial" w:hAnsi="Arial" w:eastAsia="Times New Roman" w:cs="Arial"/>
          <w:sz w:val="24"/>
          <w:szCs w:val="24"/>
          <w:lang w:eastAsia="en-GB"/>
        </w:rPr>
        <w:t>e better corporate behaviour without negating profitability</w:t>
      </w:r>
      <w:r w:rsidRPr="3BC510B2" w:rsidR="005C4C47">
        <w:rPr>
          <w:rFonts w:ascii="Arial" w:hAnsi="Arial" w:eastAsia="Times New Roman" w:cs="Arial"/>
          <w:sz w:val="24"/>
          <w:szCs w:val="24"/>
          <w:lang w:eastAsia="en-GB"/>
        </w:rPr>
        <w:t xml:space="preserve"> (European Council Union, </w:t>
      </w:r>
      <w:hyperlink r:id="R813328193a664da5">
        <w:r w:rsidRPr="3BC510B2" w:rsidR="005C4C47">
          <w:rPr>
            <w:rStyle w:val="Hyperlink"/>
            <w:rFonts w:ascii="Arial" w:hAnsi="Arial" w:eastAsia="Times New Roman" w:cs="Arial"/>
            <w:color w:val="auto"/>
            <w:sz w:val="24"/>
            <w:szCs w:val="24"/>
            <w:u w:val="none"/>
            <w:lang w:eastAsia="en-GB"/>
          </w:rPr>
          <w:t>2025</w:t>
        </w:r>
      </w:hyperlink>
      <w:r w:rsidRPr="3BC510B2" w:rsidR="005C4C47">
        <w:rPr>
          <w:rFonts w:ascii="Arial" w:hAnsi="Arial" w:eastAsia="Times New Roman" w:cs="Arial"/>
          <w:sz w:val="24"/>
          <w:szCs w:val="24"/>
          <w:lang w:eastAsia="en-GB"/>
        </w:rPr>
        <w:t>).</w:t>
      </w:r>
    </w:p>
    <w:p w:rsidRPr="007B2E87" w:rsidR="007B2E87" w:rsidP="007B2E87" w:rsidRDefault="007B2E87" w14:paraId="0151789A" w14:textId="77777777">
      <w:pPr>
        <w:rPr>
          <w:rFonts w:ascii="Arial" w:hAnsi="Arial" w:cs="Arial"/>
          <w:b/>
          <w:bCs/>
          <w:sz w:val="24"/>
          <w:szCs w:val="24"/>
          <w:lang w:eastAsia="en-GB"/>
        </w:rPr>
      </w:pPr>
      <w:r w:rsidRPr="007B2E87">
        <w:rPr>
          <w:rFonts w:ascii="Arial" w:hAnsi="Arial" w:cs="Arial"/>
          <w:b/>
          <w:bCs/>
          <w:sz w:val="24"/>
          <w:szCs w:val="24"/>
          <w:lang w:eastAsia="en-GB"/>
        </w:rPr>
        <w:t>5. Case Comparisons: Smoking, Gambling, Food, and Human Rights</w:t>
      </w:r>
    </w:p>
    <w:p w:rsidRPr="007B2E87" w:rsidR="007B2E87" w:rsidP="007B2E87" w:rsidRDefault="007B2E87" w14:paraId="2D8C4ABE" w14:textId="77777777">
      <w:pPr>
        <w:rPr>
          <w:rFonts w:ascii="Arial" w:hAnsi="Arial" w:cs="Arial"/>
          <w:b/>
          <w:bCs/>
          <w:sz w:val="24"/>
          <w:szCs w:val="24"/>
          <w:lang w:eastAsia="en-GB"/>
        </w:rPr>
      </w:pPr>
      <w:r w:rsidRPr="007B2E87">
        <w:rPr>
          <w:rFonts w:ascii="Arial" w:hAnsi="Arial" w:cs="Arial"/>
          <w:b/>
          <w:bCs/>
          <w:sz w:val="24"/>
          <w:szCs w:val="24"/>
          <w:lang w:eastAsia="en-GB"/>
        </w:rPr>
        <w:t>5.1 Regulatory Diversity and Cultural Sensitivities</w:t>
      </w:r>
    </w:p>
    <w:p w:rsidRPr="007B2E87" w:rsidR="007B2E87" w:rsidP="003B6FB1" w:rsidRDefault="007B2E87" w14:paraId="7A1C2799" w14:textId="08175D6C">
      <w:pPr>
        <w:spacing w:line="480" w:lineRule="auto"/>
        <w:rPr>
          <w:rFonts w:ascii="Segoe UI" w:hAnsi="Segoe UI" w:eastAsia="Times New Roman" w:cs="Segoe UI"/>
          <w:sz w:val="21"/>
          <w:szCs w:val="21"/>
          <w:lang w:eastAsia="en-GB"/>
        </w:rPr>
      </w:pPr>
      <w:r w:rsidRPr="007B2E87">
        <w:rPr>
          <w:rFonts w:ascii="Arial" w:hAnsi="Arial" w:eastAsia="Times New Roman" w:cs="Arial"/>
          <w:sz w:val="24"/>
          <w:szCs w:val="24"/>
          <w:lang w:eastAsia="en-GB"/>
        </w:rPr>
        <w:t>Approaches to smoking, gambling, and public health marketing vary across cultures. Japan’s indoor smoking rules were tightened around 2020 with phased restrictions to protect public health, yet cultural norms around hospitality and small venues required tailored implementation</w:t>
      </w:r>
      <w:r w:rsidRPr="00D3620F" w:rsidR="00D3620F">
        <w:rPr>
          <w:rFonts w:ascii="Segoe UI" w:hAnsi="Segoe UI" w:eastAsia="Times New Roman" w:cs="Segoe UI"/>
          <w:sz w:val="21"/>
          <w:szCs w:val="21"/>
          <w:lang w:eastAsia="en-GB"/>
        </w:rPr>
        <w:t xml:space="preserve"> </w:t>
      </w:r>
      <w:r w:rsidRPr="00784C2B" w:rsidR="00D3620F">
        <w:rPr>
          <w:rFonts w:ascii="Arial" w:hAnsi="Arial" w:eastAsia="Times New Roman" w:cs="Arial"/>
          <w:sz w:val="24"/>
          <w:szCs w:val="24"/>
          <w:lang w:eastAsia="en-GB"/>
        </w:rPr>
        <w:t>(</w:t>
      </w:r>
      <w:proofErr w:type="spellStart"/>
      <w:r w:rsidRPr="00784C2B" w:rsidR="00D3620F">
        <w:rPr>
          <w:rFonts w:ascii="Arial" w:hAnsi="Arial" w:eastAsia="Times New Roman" w:cs="Arial"/>
          <w:sz w:val="24"/>
          <w:szCs w:val="24"/>
          <w:lang w:eastAsia="en-GB"/>
        </w:rPr>
        <w:t>Togawa</w:t>
      </w:r>
      <w:proofErr w:type="spellEnd"/>
      <w:r w:rsidRPr="00784C2B" w:rsidR="00D3620F">
        <w:rPr>
          <w:rFonts w:ascii="Arial" w:hAnsi="Arial" w:eastAsia="Times New Roman" w:cs="Arial"/>
          <w:sz w:val="24"/>
          <w:szCs w:val="24"/>
          <w:lang w:eastAsia="en-GB"/>
        </w:rPr>
        <w:t xml:space="preserve"> et al., </w:t>
      </w:r>
      <w:hyperlink w:history="1" r:id="rId41">
        <w:r w:rsidRPr="00784C2B" w:rsidR="00D3620F">
          <w:rPr>
            <w:rStyle w:val="Hyperlink"/>
            <w:rFonts w:ascii="Arial" w:hAnsi="Arial" w:eastAsia="Times New Roman" w:cs="Arial"/>
            <w:color w:val="auto"/>
            <w:sz w:val="24"/>
            <w:szCs w:val="24"/>
            <w:u w:val="none"/>
            <w:lang w:eastAsia="en-GB"/>
          </w:rPr>
          <w:t>2024</w:t>
        </w:r>
      </w:hyperlink>
      <w:r w:rsidRPr="00784C2B" w:rsidR="00D3620F">
        <w:rPr>
          <w:rFonts w:ascii="Arial" w:hAnsi="Arial" w:eastAsia="Times New Roman" w:cs="Arial"/>
          <w:sz w:val="24"/>
          <w:szCs w:val="24"/>
          <w:lang w:eastAsia="en-GB"/>
        </w:rPr>
        <w:t>)</w:t>
      </w:r>
      <w:r w:rsidR="00784C2B">
        <w:rPr>
          <w:rFonts w:ascii="Arial" w:hAnsi="Arial" w:eastAsia="Times New Roman" w:cs="Arial"/>
          <w:sz w:val="24"/>
          <w:szCs w:val="24"/>
          <w:lang w:eastAsia="en-GB"/>
        </w:rPr>
        <w:t>,</w:t>
      </w:r>
      <w:r w:rsidRPr="00784C2B" w:rsidR="00784C2B">
        <w:rPr>
          <w:rFonts w:ascii="Segoe UI" w:hAnsi="Segoe UI" w:eastAsia="Times New Roman" w:cs="Segoe UI"/>
          <w:sz w:val="21"/>
          <w:szCs w:val="21"/>
          <w:lang w:eastAsia="en-GB"/>
        </w:rPr>
        <w:t xml:space="preserve"> </w:t>
      </w:r>
      <w:r w:rsidRPr="00784C2B" w:rsidR="00784C2B">
        <w:rPr>
          <w:rFonts w:ascii="Arial" w:hAnsi="Arial" w:eastAsia="Times New Roman" w:cs="Arial"/>
          <w:sz w:val="24"/>
          <w:szCs w:val="24"/>
          <w:lang w:eastAsia="en-GB"/>
        </w:rPr>
        <w:t xml:space="preserve">(Kataoka et al., </w:t>
      </w:r>
      <w:hyperlink w:history="1" r:id="rId42">
        <w:r w:rsidRPr="00784C2B" w:rsidR="00784C2B">
          <w:rPr>
            <w:rStyle w:val="Hyperlink"/>
            <w:rFonts w:ascii="Arial" w:hAnsi="Arial" w:eastAsia="Times New Roman" w:cs="Arial"/>
            <w:color w:val="auto"/>
            <w:sz w:val="24"/>
            <w:szCs w:val="24"/>
            <w:u w:val="none"/>
            <w:lang w:eastAsia="en-GB"/>
          </w:rPr>
          <w:t>2024</w:t>
        </w:r>
      </w:hyperlink>
      <w:r w:rsidRPr="00784C2B" w:rsidR="00784C2B">
        <w:rPr>
          <w:rFonts w:ascii="Arial" w:hAnsi="Arial" w:eastAsia="Times New Roman" w:cs="Arial"/>
          <w:sz w:val="24"/>
          <w:szCs w:val="24"/>
          <w:lang w:eastAsia="en-GB"/>
        </w:rPr>
        <w:t>)</w:t>
      </w:r>
      <w:r w:rsidRPr="007B2E87">
        <w:rPr>
          <w:rFonts w:ascii="Arial" w:hAnsi="Arial" w:eastAsia="Times New Roman" w:cs="Arial"/>
          <w:sz w:val="24"/>
          <w:szCs w:val="24"/>
          <w:lang w:eastAsia="en-GB"/>
        </w:rPr>
        <w:t>. (Illustrative: Japan’s incremental enforcement in hospitality settings reported in contemporary overviews.) Similarly, gambling policies diverge</w:t>
      </w:r>
      <w:r w:rsidRPr="0010185F" w:rsidR="00E36A66">
        <w:rPr>
          <w:rFonts w:ascii="Arial" w:hAnsi="Arial" w:eastAsia="Times New Roman" w:cs="Arial"/>
          <w:sz w:val="24"/>
          <w:szCs w:val="24"/>
          <w:lang w:eastAsia="en-GB"/>
        </w:rPr>
        <w:t xml:space="preserve"> </w:t>
      </w:r>
      <w:r w:rsidRPr="007B2E87">
        <w:rPr>
          <w:rFonts w:ascii="Arial" w:hAnsi="Arial" w:eastAsia="Times New Roman" w:cs="Arial"/>
          <w:sz w:val="24"/>
          <w:szCs w:val="24"/>
          <w:lang w:eastAsia="en-GB"/>
        </w:rPr>
        <w:t>Macau’s regulated casino economy contrasts with stricter controls on mainland China</w:t>
      </w:r>
      <w:r w:rsidR="00E36A66">
        <w:rPr>
          <w:rFonts w:ascii="Arial" w:hAnsi="Arial" w:eastAsia="Times New Roman" w:cs="Arial"/>
          <w:sz w:val="24"/>
          <w:szCs w:val="24"/>
          <w:lang w:eastAsia="en-GB"/>
        </w:rPr>
        <w:t xml:space="preserve"> </w:t>
      </w:r>
      <w:r w:rsidRPr="007B2E87">
        <w:rPr>
          <w:rFonts w:ascii="Arial" w:hAnsi="Arial" w:eastAsia="Times New Roman" w:cs="Arial"/>
          <w:sz w:val="24"/>
          <w:szCs w:val="24"/>
          <w:lang w:eastAsia="en-GB"/>
        </w:rPr>
        <w:t>showing how political structures and social values shape the ethical acceptability of certain industries. While details vary, the common thread is contextual ethics: local authorities balance economic benefits, cultural tolerance, and harm mitigation</w:t>
      </w:r>
      <w:r w:rsidRPr="0010185F" w:rsidR="0010185F">
        <w:rPr>
          <w:rFonts w:ascii="Segoe UI" w:hAnsi="Segoe UI" w:eastAsia="Times New Roman" w:cs="Segoe UI"/>
          <w:sz w:val="21"/>
          <w:szCs w:val="21"/>
          <w:lang w:eastAsia="en-GB"/>
        </w:rPr>
        <w:t xml:space="preserve"> </w:t>
      </w:r>
      <w:r w:rsidRPr="0010185F" w:rsidR="0010185F">
        <w:rPr>
          <w:rFonts w:ascii="Arial" w:hAnsi="Arial" w:eastAsia="Times New Roman" w:cs="Arial"/>
          <w:sz w:val="24"/>
          <w:szCs w:val="24"/>
          <w:lang w:eastAsia="en-GB"/>
        </w:rPr>
        <w:t>(</w:t>
      </w:r>
      <w:proofErr w:type="spellStart"/>
      <w:r w:rsidRPr="0010185F" w:rsidR="0010185F">
        <w:rPr>
          <w:rFonts w:ascii="Arial" w:hAnsi="Arial" w:eastAsia="Times New Roman" w:cs="Arial"/>
          <w:sz w:val="24"/>
          <w:szCs w:val="24"/>
          <w:lang w:eastAsia="en-GB"/>
        </w:rPr>
        <w:t>Pavlof</w:t>
      </w:r>
      <w:proofErr w:type="spellEnd"/>
      <w:r w:rsidRPr="0010185F" w:rsidR="0010185F">
        <w:rPr>
          <w:rFonts w:ascii="Arial" w:hAnsi="Arial" w:eastAsia="Times New Roman" w:cs="Arial"/>
          <w:sz w:val="24"/>
          <w:szCs w:val="24"/>
          <w:lang w:eastAsia="en-GB"/>
        </w:rPr>
        <w:t xml:space="preserve">, </w:t>
      </w:r>
      <w:hyperlink w:history="1" r:id="rId43">
        <w:r w:rsidRPr="0010185F" w:rsidR="0010185F">
          <w:rPr>
            <w:rStyle w:val="Hyperlink"/>
            <w:rFonts w:ascii="Arial" w:hAnsi="Arial" w:eastAsia="Times New Roman" w:cs="Arial"/>
            <w:color w:val="auto"/>
            <w:sz w:val="24"/>
            <w:szCs w:val="24"/>
            <w:u w:val="none"/>
            <w:lang w:eastAsia="en-GB"/>
          </w:rPr>
          <w:t>2025</w:t>
        </w:r>
      </w:hyperlink>
      <w:r w:rsidRPr="0010185F" w:rsidR="0010185F">
        <w:rPr>
          <w:rFonts w:ascii="Arial" w:hAnsi="Arial" w:eastAsia="Times New Roman" w:cs="Arial"/>
          <w:sz w:val="24"/>
          <w:szCs w:val="24"/>
          <w:lang w:eastAsia="en-GB"/>
        </w:rPr>
        <w:t xml:space="preserve">), (U.S. Department of State, </w:t>
      </w:r>
      <w:hyperlink w:history="1" r:id="rId44">
        <w:r w:rsidRPr="0010185F" w:rsidR="0010185F">
          <w:rPr>
            <w:rStyle w:val="Hyperlink"/>
            <w:rFonts w:ascii="Arial" w:hAnsi="Arial" w:eastAsia="Times New Roman" w:cs="Arial"/>
            <w:color w:val="auto"/>
            <w:sz w:val="24"/>
            <w:szCs w:val="24"/>
            <w:u w:val="none"/>
            <w:lang w:eastAsia="en-GB"/>
          </w:rPr>
          <w:t>2025</w:t>
        </w:r>
      </w:hyperlink>
      <w:r w:rsidRPr="0010185F" w:rsidR="0010185F">
        <w:rPr>
          <w:rFonts w:ascii="Arial" w:hAnsi="Arial" w:eastAsia="Times New Roman" w:cs="Arial"/>
          <w:sz w:val="24"/>
          <w:szCs w:val="24"/>
          <w:lang w:eastAsia="en-GB"/>
        </w:rPr>
        <w:t>).</w:t>
      </w:r>
      <w:r w:rsidRPr="007B2E87">
        <w:rPr>
          <w:rFonts w:ascii="Arial" w:hAnsi="Arial" w:eastAsia="Times New Roman" w:cs="Arial"/>
          <w:sz w:val="24"/>
          <w:szCs w:val="24"/>
          <w:lang w:eastAsia="en-GB"/>
        </w:rPr>
        <w:t>.</w:t>
      </w:r>
    </w:p>
    <w:p w:rsidRPr="003B6FB1" w:rsidR="007B2E87" w:rsidP="003B6FB1" w:rsidRDefault="007B2E87" w14:paraId="2528165A" w14:textId="63EF4817">
      <w:pPr>
        <w:spacing w:line="480" w:lineRule="auto"/>
        <w:rPr>
          <w:rFonts w:ascii="Segoe UI" w:hAnsi="Segoe UI" w:eastAsia="Times New Roman" w:cs="Segoe UI"/>
          <w:sz w:val="21"/>
          <w:szCs w:val="21"/>
          <w:lang w:eastAsia="en-GB"/>
        </w:rPr>
      </w:pPr>
      <w:r w:rsidRPr="3BC510B2" w:rsidR="007B2E87">
        <w:rPr>
          <w:rFonts w:ascii="Arial" w:hAnsi="Arial" w:eastAsia="Times New Roman" w:cs="Arial"/>
          <w:sz w:val="24"/>
          <w:szCs w:val="24"/>
          <w:lang w:eastAsia="en-GB"/>
        </w:rPr>
        <w:t>In the UK, the HFSS restrictions reflect shifting societal expectations around corporate responsibility for obesity</w:t>
      </w:r>
      <w:r w:rsidRPr="3BC510B2" w:rsidR="003B6FB1">
        <w:rPr>
          <w:rFonts w:ascii="Arial" w:hAnsi="Arial" w:eastAsia="Times New Roman" w:cs="Arial"/>
          <w:sz w:val="24"/>
          <w:szCs w:val="24"/>
          <w:lang w:eastAsia="en-GB"/>
        </w:rPr>
        <w:t xml:space="preserve"> </w:t>
      </w:r>
      <w:r w:rsidRPr="3BC510B2" w:rsidR="003B6FB1">
        <w:rPr>
          <w:rFonts w:ascii="Arial" w:hAnsi="Arial" w:eastAsia="Times New Roman" w:cs="Arial"/>
          <w:sz w:val="24"/>
          <w:szCs w:val="24"/>
          <w:lang w:eastAsia="en-GB"/>
        </w:rPr>
        <w:t xml:space="preserve">(Department of Health &amp; Social Care, </w:t>
      </w:r>
      <w:hyperlink r:id="R1c1d180e59994992">
        <w:r w:rsidRPr="3BC510B2" w:rsidR="003B6FB1">
          <w:rPr>
            <w:rStyle w:val="Hyperlink"/>
            <w:rFonts w:ascii="Arial" w:hAnsi="Arial" w:eastAsia="Times New Roman" w:cs="Arial"/>
            <w:color w:val="auto"/>
            <w:sz w:val="24"/>
            <w:szCs w:val="24"/>
            <w:u w:val="none"/>
            <w:lang w:eastAsia="en-GB"/>
          </w:rPr>
          <w:t>2023</w:t>
        </w:r>
      </w:hyperlink>
      <w:r w:rsidRPr="3BC510B2" w:rsidR="003B6FB1">
        <w:rPr>
          <w:rFonts w:ascii="Arial" w:hAnsi="Arial" w:eastAsia="Times New Roman" w:cs="Arial"/>
          <w:sz w:val="24"/>
          <w:szCs w:val="24"/>
          <w:lang w:eastAsia="en-GB"/>
        </w:rPr>
        <w:t>)</w:t>
      </w:r>
      <w:r w:rsidRPr="3BC510B2" w:rsidR="003B6FB1">
        <w:rPr>
          <w:rFonts w:ascii="Arial" w:hAnsi="Arial" w:eastAsia="Times New Roman" w:cs="Arial"/>
          <w:sz w:val="24"/>
          <w:szCs w:val="24"/>
          <w:lang w:eastAsia="en-GB"/>
        </w:rPr>
        <w:t>,</w:t>
      </w:r>
      <w:r w:rsidRPr="3BC510B2" w:rsidR="003B6FB1">
        <w:rPr>
          <w:rFonts w:ascii="Segoe UI" w:hAnsi="Segoe UI" w:eastAsia="Times New Roman" w:cs="Segoe UI"/>
          <w:sz w:val="21"/>
          <w:szCs w:val="21"/>
          <w:lang w:eastAsia="en-GB"/>
        </w:rPr>
        <w:t xml:space="preserve"> </w:t>
      </w:r>
      <w:r w:rsidRPr="3BC510B2" w:rsidR="003B6FB1">
        <w:rPr>
          <w:rFonts w:ascii="Arial" w:hAnsi="Arial" w:eastAsia="Times New Roman" w:cs="Arial"/>
          <w:sz w:val="24"/>
          <w:szCs w:val="24"/>
          <w:lang w:eastAsia="en-GB"/>
        </w:rPr>
        <w:t xml:space="preserve">(NIHR Evidence, </w:t>
      </w:r>
      <w:hyperlink r:id="R194fbfac21ca4075">
        <w:r w:rsidRPr="3BC510B2" w:rsidR="003B6FB1">
          <w:rPr>
            <w:rStyle w:val="Hyperlink"/>
            <w:rFonts w:ascii="Arial" w:hAnsi="Arial" w:eastAsia="Times New Roman" w:cs="Arial"/>
            <w:color w:val="auto"/>
            <w:sz w:val="24"/>
            <w:szCs w:val="24"/>
            <w:u w:val="none"/>
            <w:lang w:eastAsia="en-GB"/>
          </w:rPr>
          <w:t>2022</w:t>
        </w:r>
      </w:hyperlink>
      <w:r w:rsidRPr="3BC510B2" w:rsidR="003B6FB1">
        <w:rPr>
          <w:rFonts w:ascii="Arial" w:hAnsi="Arial" w:eastAsia="Times New Roman" w:cs="Arial"/>
          <w:sz w:val="24"/>
          <w:szCs w:val="24"/>
          <w:lang w:eastAsia="en-GB"/>
        </w:rPr>
        <w:t>)</w:t>
      </w:r>
      <w:r w:rsidRPr="3BC510B2" w:rsidR="007B2E87">
        <w:rPr>
          <w:rFonts w:ascii="Arial" w:hAnsi="Arial" w:eastAsia="Times New Roman" w:cs="Arial"/>
          <w:sz w:val="24"/>
          <w:szCs w:val="24"/>
          <w:lang w:eastAsia="en-GB"/>
        </w:rPr>
        <w:t>, echoing earlier sugar tax reformulation incentives and London’s transport advertising limits. Government communications emphasi</w:t>
      </w:r>
      <w:r w:rsidRPr="3BC510B2" w:rsidR="00E36A66">
        <w:rPr>
          <w:rFonts w:ascii="Arial" w:hAnsi="Arial" w:eastAsia="Times New Roman" w:cs="Arial"/>
          <w:sz w:val="24"/>
          <w:szCs w:val="24"/>
          <w:lang w:eastAsia="en-GB"/>
        </w:rPr>
        <w:t>s</w:t>
      </w:r>
      <w:r w:rsidRPr="3BC510B2" w:rsidR="007B2E87">
        <w:rPr>
          <w:rFonts w:ascii="Arial" w:hAnsi="Arial" w:eastAsia="Times New Roman" w:cs="Arial"/>
          <w:sz w:val="24"/>
          <w:szCs w:val="24"/>
          <w:lang w:eastAsia="en-GB"/>
        </w:rPr>
        <w:t xml:space="preserve">e reduced calorie exposure and </w:t>
      </w:r>
      <w:r w:rsidRPr="3BC510B2" w:rsidR="007B2E87">
        <w:rPr>
          <w:rFonts w:ascii="Arial" w:hAnsi="Arial" w:eastAsia="Times New Roman" w:cs="Arial"/>
          <w:sz w:val="24"/>
          <w:szCs w:val="24"/>
          <w:lang w:eastAsia="en-GB"/>
        </w:rPr>
        <w:t>anticipated</w:t>
      </w:r>
      <w:r w:rsidRPr="3BC510B2" w:rsidR="007B2E87">
        <w:rPr>
          <w:rFonts w:ascii="Arial" w:hAnsi="Arial" w:eastAsia="Times New Roman" w:cs="Arial"/>
          <w:sz w:val="24"/>
          <w:szCs w:val="24"/>
          <w:lang w:eastAsia="en-GB"/>
        </w:rPr>
        <w:t xml:space="preserve"> health benefits, while civil society debates the pace and breadth of change. Stakeholders raise concerns about delays and </w:t>
      </w:r>
      <w:r w:rsidRPr="3BC510B2" w:rsidR="359B4983">
        <w:rPr>
          <w:rFonts w:ascii="Arial" w:hAnsi="Arial" w:eastAsia="Times New Roman" w:cs="Arial"/>
          <w:sz w:val="24"/>
          <w:szCs w:val="24"/>
          <w:lang w:eastAsia="en-GB"/>
        </w:rPr>
        <w:t>brand advertising</w:t>
      </w:r>
      <w:r w:rsidRPr="3BC510B2" w:rsidR="007B2E87">
        <w:rPr>
          <w:rFonts w:ascii="Arial" w:hAnsi="Arial" w:eastAsia="Times New Roman" w:cs="Arial"/>
          <w:sz w:val="24"/>
          <w:szCs w:val="24"/>
          <w:lang w:eastAsia="en-GB"/>
        </w:rPr>
        <w:t xml:space="preserve"> loopholes, underscoring tensions between industry lobbying and </w:t>
      </w:r>
      <w:r w:rsidRPr="3BC510B2" w:rsidR="58446407">
        <w:rPr>
          <w:rFonts w:ascii="Arial" w:hAnsi="Arial" w:eastAsia="Times New Roman" w:cs="Arial"/>
          <w:sz w:val="24"/>
          <w:szCs w:val="24"/>
          <w:lang w:eastAsia="en-GB"/>
        </w:rPr>
        <w:t>public health</w:t>
      </w:r>
      <w:r w:rsidRPr="3BC510B2" w:rsidR="007B2E87">
        <w:rPr>
          <w:rFonts w:ascii="Arial" w:hAnsi="Arial" w:eastAsia="Times New Roman" w:cs="Arial"/>
          <w:sz w:val="24"/>
          <w:szCs w:val="24"/>
          <w:lang w:eastAsia="en-GB"/>
        </w:rPr>
        <w:t xml:space="preserve"> goals</w:t>
      </w:r>
      <w:r w:rsidRPr="3BC510B2" w:rsidR="005C4C47">
        <w:rPr>
          <w:rFonts w:ascii="Arial" w:hAnsi="Arial" w:eastAsia="Times New Roman" w:cs="Arial"/>
          <w:sz w:val="24"/>
          <w:szCs w:val="24"/>
          <w:lang w:eastAsia="en-GB"/>
        </w:rPr>
        <w:t xml:space="preserve"> (Gov.uk, </w:t>
      </w:r>
      <w:hyperlink r:id="R25b88be039e84c23">
        <w:r w:rsidRPr="3BC510B2" w:rsidR="005C4C47">
          <w:rPr>
            <w:rStyle w:val="Hyperlink"/>
            <w:rFonts w:ascii="Arial" w:hAnsi="Arial" w:eastAsia="Times New Roman" w:cs="Arial"/>
            <w:color w:val="auto"/>
            <w:sz w:val="24"/>
            <w:szCs w:val="24"/>
            <w:u w:val="none"/>
            <w:lang w:eastAsia="en-GB"/>
          </w:rPr>
          <w:t>2025</w:t>
        </w:r>
      </w:hyperlink>
      <w:r w:rsidRPr="3BC510B2" w:rsidR="005C4C47">
        <w:rPr>
          <w:rFonts w:ascii="Arial" w:hAnsi="Arial" w:eastAsia="Times New Roman" w:cs="Arial"/>
          <w:sz w:val="24"/>
          <w:szCs w:val="24"/>
          <w:lang w:eastAsia="en-GB"/>
        </w:rPr>
        <w:t>)</w:t>
      </w:r>
      <w:r w:rsidRPr="3BC510B2" w:rsidR="005C4C47">
        <w:rPr>
          <w:rFonts w:ascii="Arial" w:hAnsi="Arial" w:eastAsia="Times New Roman" w:cs="Arial"/>
          <w:sz w:val="24"/>
          <w:szCs w:val="24"/>
          <w:lang w:eastAsia="en-GB"/>
        </w:rPr>
        <w:t xml:space="preserve">, (Sustain, </w:t>
      </w:r>
      <w:hyperlink r:id="R852328a0f56340f1">
        <w:r w:rsidRPr="3BC510B2" w:rsidR="005C4C47">
          <w:rPr>
            <w:rStyle w:val="Hyperlink"/>
            <w:rFonts w:ascii="Arial" w:hAnsi="Arial" w:eastAsia="Times New Roman" w:cs="Arial"/>
            <w:color w:val="auto"/>
            <w:sz w:val="24"/>
            <w:szCs w:val="24"/>
            <w:u w:val="none"/>
            <w:lang w:eastAsia="en-GB"/>
          </w:rPr>
          <w:t>2025</w:t>
        </w:r>
      </w:hyperlink>
      <w:r w:rsidRPr="3BC510B2" w:rsidR="005C4C47">
        <w:rPr>
          <w:rFonts w:ascii="Arial" w:hAnsi="Arial" w:eastAsia="Times New Roman" w:cs="Arial"/>
          <w:sz w:val="24"/>
          <w:szCs w:val="24"/>
          <w:lang w:eastAsia="en-GB"/>
        </w:rPr>
        <w:t>).</w:t>
      </w:r>
    </w:p>
    <w:p w:rsidRPr="00E36A66" w:rsidR="00E36A66" w:rsidP="3BC510B2" w:rsidRDefault="00E36A66" w14:paraId="69876E02" w14:textId="77777777">
      <w:pPr>
        <w:rPr>
          <w:rFonts w:ascii="Arial" w:hAnsi="Arial" w:cs="Arial"/>
          <w:b w:val="1"/>
          <w:bCs w:val="1"/>
          <w:sz w:val="24"/>
          <w:szCs w:val="24"/>
          <w:lang w:eastAsia="en-GB"/>
        </w:rPr>
      </w:pPr>
      <w:r w:rsidRPr="3BC510B2" w:rsidR="00E36A66">
        <w:rPr>
          <w:rFonts w:ascii="Arial" w:hAnsi="Arial" w:cs="Arial"/>
          <w:b w:val="1"/>
          <w:bCs w:val="1"/>
          <w:sz w:val="24"/>
          <w:szCs w:val="24"/>
          <w:lang w:eastAsia="en-GB"/>
        </w:rPr>
        <w:t>5.2 Human Rights Due Diligence Laws in Europe (France, Germany)</w:t>
      </w:r>
    </w:p>
    <w:p w:rsidRPr="0003588F" w:rsidR="00E36A66" w:rsidP="0003588F" w:rsidRDefault="00E36A66" w14:paraId="0B942735" w14:textId="46DEB262">
      <w:pPr>
        <w:spacing w:line="480" w:lineRule="auto"/>
        <w:rPr>
          <w:rFonts w:ascii="Arial" w:hAnsi="Arial" w:eastAsia="Times New Roman" w:cs="Arial"/>
          <w:sz w:val="21"/>
          <w:szCs w:val="21"/>
          <w:lang w:eastAsia="en-GB"/>
        </w:rPr>
      </w:pPr>
      <w:r w:rsidRPr="3BC510B2" w:rsidR="00E36A66">
        <w:rPr>
          <w:rFonts w:ascii="Arial" w:hAnsi="Arial" w:eastAsia="Times New Roman" w:cs="Arial"/>
          <w:sz w:val="24"/>
          <w:szCs w:val="24"/>
          <w:lang w:eastAsia="en-GB"/>
        </w:rPr>
        <w:t xml:space="preserve">Beyond </w:t>
      </w:r>
      <w:r w:rsidRPr="3BC510B2" w:rsidR="080A5174">
        <w:rPr>
          <w:rFonts w:ascii="Arial" w:hAnsi="Arial" w:eastAsia="Times New Roman" w:cs="Arial"/>
          <w:sz w:val="24"/>
          <w:szCs w:val="24"/>
          <w:lang w:eastAsia="en-GB"/>
        </w:rPr>
        <w:t>EU level</w:t>
      </w:r>
      <w:r w:rsidRPr="3BC510B2" w:rsidR="00E36A66">
        <w:rPr>
          <w:rFonts w:ascii="Arial" w:hAnsi="Arial" w:eastAsia="Times New Roman" w:cs="Arial"/>
          <w:sz w:val="24"/>
          <w:szCs w:val="24"/>
          <w:lang w:eastAsia="en-GB"/>
        </w:rPr>
        <w:t xml:space="preserve"> directives, </w:t>
      </w:r>
      <w:r w:rsidRPr="3BC510B2" w:rsidR="3A15B2F0">
        <w:rPr>
          <w:rFonts w:ascii="Arial" w:hAnsi="Arial" w:eastAsia="Times New Roman" w:cs="Arial"/>
          <w:sz w:val="24"/>
          <w:szCs w:val="24"/>
          <w:lang w:eastAsia="en-GB"/>
        </w:rPr>
        <w:t>member state</w:t>
      </w:r>
      <w:r w:rsidRPr="3BC510B2" w:rsidR="00E36A66">
        <w:rPr>
          <w:rFonts w:ascii="Arial" w:hAnsi="Arial" w:eastAsia="Times New Roman" w:cs="Arial"/>
          <w:sz w:val="24"/>
          <w:szCs w:val="24"/>
          <w:lang w:eastAsia="en-GB"/>
        </w:rPr>
        <w:t xml:space="preserve"> laws already mandate due diligence. France’s Duty of Vigilance Law (</w:t>
      </w:r>
      <w:r w:rsidRPr="3BC510B2" w:rsidR="00083CAF">
        <w:rPr>
          <w:rFonts w:ascii="Arial" w:hAnsi="Arial" w:eastAsia="Times New Roman" w:cs="Arial"/>
          <w:sz w:val="24"/>
          <w:szCs w:val="24"/>
          <w:lang w:eastAsia="en-GB"/>
        </w:rPr>
        <w:t>DG Tresor,</w:t>
      </w:r>
      <w:hyperlink r:id="R543fd73047954cd6">
        <w:r w:rsidRPr="3BC510B2" w:rsidR="00E36A66">
          <w:rPr>
            <w:rStyle w:val="Hyperlink"/>
            <w:rFonts w:ascii="Arial" w:hAnsi="Arial" w:eastAsia="Times New Roman" w:cs="Arial"/>
            <w:color w:val="auto"/>
            <w:sz w:val="24"/>
            <w:szCs w:val="24"/>
            <w:u w:val="none"/>
            <w:lang w:eastAsia="en-GB"/>
          </w:rPr>
          <w:t>2017</w:t>
        </w:r>
      </w:hyperlink>
      <w:r w:rsidRPr="3BC510B2" w:rsidR="00E36A66">
        <w:rPr>
          <w:rFonts w:ascii="Arial" w:hAnsi="Arial" w:eastAsia="Times New Roman" w:cs="Arial"/>
          <w:sz w:val="24"/>
          <w:szCs w:val="24"/>
          <w:lang w:eastAsia="en-GB"/>
        </w:rPr>
        <w:t xml:space="preserve">) requires </w:t>
      </w:r>
      <w:r w:rsidRPr="3BC510B2" w:rsidR="00E36A66">
        <w:rPr>
          <w:rFonts w:ascii="Arial" w:hAnsi="Arial" w:eastAsia="Times New Roman" w:cs="Arial"/>
          <w:sz w:val="24"/>
          <w:szCs w:val="24"/>
          <w:lang w:eastAsia="en-GB"/>
        </w:rPr>
        <w:t>very large</w:t>
      </w:r>
      <w:r w:rsidRPr="3BC510B2" w:rsidR="00E36A66">
        <w:rPr>
          <w:rFonts w:ascii="Arial" w:hAnsi="Arial" w:eastAsia="Times New Roman" w:cs="Arial"/>
          <w:sz w:val="24"/>
          <w:szCs w:val="24"/>
          <w:lang w:eastAsia="en-GB"/>
        </w:rPr>
        <w:t xml:space="preserve"> companies to publish vigilance plans </w:t>
      </w:r>
      <w:r w:rsidRPr="3BC510B2" w:rsidR="00E36A66">
        <w:rPr>
          <w:rFonts w:ascii="Arial" w:hAnsi="Arial" w:eastAsia="Times New Roman" w:cs="Arial"/>
          <w:sz w:val="24"/>
          <w:szCs w:val="24"/>
          <w:lang w:eastAsia="en-GB"/>
        </w:rPr>
        <w:t>identifying</w:t>
      </w:r>
      <w:r w:rsidRPr="3BC510B2" w:rsidR="00E36A66">
        <w:rPr>
          <w:rFonts w:ascii="Arial" w:hAnsi="Arial" w:eastAsia="Times New Roman" w:cs="Arial"/>
          <w:sz w:val="24"/>
          <w:szCs w:val="24"/>
          <w:lang w:eastAsia="en-GB"/>
        </w:rPr>
        <w:t xml:space="preserve"> and preventing severe human rights and environmental impacts across operations, subsidiaries, and </w:t>
      </w:r>
      <w:r w:rsidRPr="3BC510B2" w:rsidR="00E36A66">
        <w:rPr>
          <w:rFonts w:ascii="Arial" w:hAnsi="Arial" w:eastAsia="Times New Roman" w:cs="Arial"/>
          <w:sz w:val="24"/>
          <w:szCs w:val="24"/>
          <w:lang w:eastAsia="en-GB"/>
        </w:rPr>
        <w:t>established</w:t>
      </w:r>
      <w:r w:rsidRPr="3BC510B2" w:rsidR="00E36A66">
        <w:rPr>
          <w:rFonts w:ascii="Arial" w:hAnsi="Arial" w:eastAsia="Times New Roman" w:cs="Arial"/>
          <w:sz w:val="24"/>
          <w:szCs w:val="24"/>
          <w:lang w:eastAsia="en-GB"/>
        </w:rPr>
        <w:t xml:space="preserve"> suppliers, enforced through civil mechanisms and court orders. Legal analyses discuss constitutional adjustments (e.g., removal of large fines) and landmark judicial decisions that clarified expectations on risk mapping and effectiveness assessment</w:t>
      </w:r>
      <w:r w:rsidRPr="3BC510B2" w:rsidR="00E36A66">
        <w:rPr>
          <w:rFonts w:ascii="Arial" w:hAnsi="Arial" w:eastAsia="Times New Roman" w:cs="Arial"/>
          <w:sz w:val="24"/>
          <w:szCs w:val="24"/>
          <w:lang w:eastAsia="en-GB"/>
        </w:rPr>
        <w:t xml:space="preserve"> </w:t>
      </w:r>
      <w:r w:rsidRPr="3BC510B2" w:rsidR="00E36A66">
        <w:rPr>
          <w:rFonts w:ascii="Arial" w:hAnsi="Arial" w:eastAsia="Times New Roman" w:cs="Arial"/>
          <w:sz w:val="24"/>
          <w:szCs w:val="24"/>
          <w:lang w:eastAsia="en-GB"/>
        </w:rPr>
        <w:t>signalling real accountability. Germany’s Supply Chain Due Diligence Act (</w:t>
      </w:r>
      <w:r w:rsidRPr="3BC510B2" w:rsidR="00E36A66">
        <w:rPr>
          <w:rFonts w:ascii="Arial" w:hAnsi="Arial" w:eastAsia="Times New Roman" w:cs="Arial"/>
          <w:sz w:val="24"/>
          <w:szCs w:val="24"/>
          <w:lang w:eastAsia="en-GB"/>
        </w:rPr>
        <w:t>Lieferkettengesetz</w:t>
      </w:r>
      <w:r w:rsidRPr="3BC510B2" w:rsidR="00E36A66">
        <w:rPr>
          <w:rFonts w:ascii="Arial" w:hAnsi="Arial" w:eastAsia="Times New Roman" w:cs="Arial"/>
          <w:b w:val="1"/>
          <w:bCs w:val="1"/>
          <w:sz w:val="24"/>
          <w:szCs w:val="24"/>
          <w:lang w:eastAsia="en-GB"/>
        </w:rPr>
        <w:t>)</w:t>
      </w:r>
      <w:r w:rsidRPr="3BC510B2" w:rsidR="00E36A66">
        <w:rPr>
          <w:rFonts w:ascii="Arial" w:hAnsi="Arial" w:eastAsia="Times New Roman" w:cs="Arial"/>
          <w:sz w:val="24"/>
          <w:szCs w:val="24"/>
          <w:lang w:eastAsia="en-GB"/>
        </w:rPr>
        <w:t xml:space="preserve"> (in force from </w:t>
      </w:r>
      <w:hyperlink r:id="R65e8289c1c404f98">
        <w:r w:rsidRPr="3BC510B2" w:rsidR="00E36A66">
          <w:rPr>
            <w:rStyle w:val="Hyperlink"/>
            <w:rFonts w:ascii="Arial" w:hAnsi="Arial" w:eastAsia="Times New Roman" w:cs="Arial"/>
            <w:color w:val="auto"/>
            <w:sz w:val="24"/>
            <w:szCs w:val="24"/>
            <w:u w:val="none"/>
            <w:lang w:eastAsia="en-GB"/>
          </w:rPr>
          <w:t>2023</w:t>
        </w:r>
      </w:hyperlink>
      <w:r w:rsidRPr="3BC510B2" w:rsidR="00E36A66">
        <w:rPr>
          <w:rFonts w:ascii="Arial" w:hAnsi="Arial" w:eastAsia="Times New Roman" w:cs="Arial"/>
          <w:sz w:val="24"/>
          <w:szCs w:val="24"/>
          <w:lang w:eastAsia="en-GB"/>
        </w:rPr>
        <w:t>) similarly requires risk analysis and mitigation across supply chains</w:t>
      </w:r>
      <w:r w:rsidRPr="3BC510B2" w:rsidR="0003588F">
        <w:rPr>
          <w:rFonts w:ascii="Arial" w:hAnsi="Arial" w:eastAsia="Times New Roman" w:cs="Arial"/>
          <w:sz w:val="21"/>
          <w:szCs w:val="21"/>
          <w:lang w:eastAsia="en-GB"/>
        </w:rPr>
        <w:t xml:space="preserve"> </w:t>
      </w:r>
      <w:r w:rsidRPr="3BC510B2" w:rsidR="0003588F">
        <w:rPr>
          <w:rFonts w:ascii="Arial" w:hAnsi="Arial" w:eastAsia="Times New Roman" w:cs="Arial"/>
          <w:sz w:val="24"/>
          <w:szCs w:val="24"/>
          <w:lang w:eastAsia="en-GB"/>
        </w:rPr>
        <w:t>(Federal Ministry of Labour and Social Affairs, 2023</w:t>
      </w:r>
      <w:r w:rsidRPr="3BC510B2" w:rsidR="0003588F">
        <w:rPr>
          <w:rFonts w:ascii="Arial" w:hAnsi="Arial" w:eastAsia="Times New Roman" w:cs="Arial"/>
          <w:sz w:val="21"/>
          <w:szCs w:val="21"/>
          <w:lang w:eastAsia="en-GB"/>
        </w:rPr>
        <w:t>)</w:t>
      </w:r>
      <w:r w:rsidRPr="3BC510B2" w:rsidR="00E36A66">
        <w:rPr>
          <w:rFonts w:ascii="Arial" w:hAnsi="Arial" w:eastAsia="Times New Roman" w:cs="Arial"/>
          <w:sz w:val="24"/>
          <w:szCs w:val="24"/>
          <w:lang w:eastAsia="en-GB"/>
        </w:rPr>
        <w:t xml:space="preserve">. Together, these national regimes </w:t>
      </w:r>
      <w:r w:rsidRPr="3BC510B2" w:rsidR="00E36A66">
        <w:rPr>
          <w:rFonts w:ascii="Arial" w:hAnsi="Arial" w:eastAsia="Times New Roman" w:cs="Arial"/>
          <w:sz w:val="24"/>
          <w:szCs w:val="24"/>
          <w:lang w:eastAsia="en-GB"/>
        </w:rPr>
        <w:t>demonstrate</w:t>
      </w:r>
      <w:r w:rsidRPr="3BC510B2" w:rsidR="00E36A66">
        <w:rPr>
          <w:rFonts w:ascii="Arial" w:hAnsi="Arial" w:eastAsia="Times New Roman" w:cs="Arial"/>
          <w:sz w:val="24"/>
          <w:szCs w:val="24"/>
          <w:lang w:eastAsia="en-GB"/>
        </w:rPr>
        <w:t xml:space="preserve"> how Europe’s political environment constrains business practices and elevates </w:t>
      </w:r>
      <w:r w:rsidRPr="3BC510B2" w:rsidR="791ED518">
        <w:rPr>
          <w:rFonts w:ascii="Arial" w:hAnsi="Arial" w:eastAsia="Times New Roman" w:cs="Arial"/>
          <w:sz w:val="24"/>
          <w:szCs w:val="24"/>
          <w:lang w:eastAsia="en-GB"/>
        </w:rPr>
        <w:t>human rights</w:t>
      </w:r>
      <w:r w:rsidRPr="3BC510B2" w:rsidR="00E36A66">
        <w:rPr>
          <w:rFonts w:ascii="Arial" w:hAnsi="Arial" w:eastAsia="Times New Roman" w:cs="Arial"/>
          <w:sz w:val="24"/>
          <w:szCs w:val="24"/>
          <w:lang w:eastAsia="en-GB"/>
        </w:rPr>
        <w:t xml:space="preserve"> </w:t>
      </w:r>
      <w:r w:rsidRPr="3BC510B2" w:rsidR="44767741">
        <w:rPr>
          <w:rFonts w:ascii="Arial" w:hAnsi="Arial" w:eastAsia="Times New Roman" w:cs="Arial"/>
          <w:sz w:val="24"/>
          <w:szCs w:val="24"/>
          <w:lang w:eastAsia="en-GB"/>
        </w:rPr>
        <w:t>relevance</w:t>
      </w:r>
      <w:r w:rsidRPr="3BC510B2" w:rsidR="00E36A66">
        <w:rPr>
          <w:rFonts w:ascii="Arial" w:hAnsi="Arial" w:eastAsia="Times New Roman" w:cs="Arial"/>
          <w:sz w:val="24"/>
          <w:szCs w:val="24"/>
          <w:lang w:eastAsia="en-GB"/>
        </w:rPr>
        <w:t xml:space="preserve"> within global operations</w:t>
      </w:r>
      <w:r w:rsidRPr="3BC510B2" w:rsidR="00E36A66">
        <w:rPr>
          <w:rFonts w:ascii="Arial" w:hAnsi="Arial" w:eastAsia="Times New Roman" w:cs="Arial"/>
          <w:sz w:val="24"/>
          <w:szCs w:val="24"/>
          <w:lang w:eastAsia="en-GB"/>
        </w:rPr>
        <w:t xml:space="preserve"> </w:t>
      </w:r>
      <w:r w:rsidRPr="3BC510B2" w:rsidR="00E36A66">
        <w:rPr>
          <w:rFonts w:ascii="Arial" w:hAnsi="Arial" w:eastAsia="Times New Roman" w:cs="Arial"/>
          <w:sz w:val="24"/>
          <w:szCs w:val="24"/>
          <w:lang w:eastAsia="en-GB"/>
        </w:rPr>
        <w:t>an ethical trend aligning with UNGPs’ pillars.</w:t>
      </w:r>
      <w:r w:rsidRPr="3BC510B2" w:rsidR="00E36A66">
        <w:rPr>
          <w:rFonts w:ascii="Arial" w:hAnsi="Arial" w:eastAsia="Times New Roman" w:cs="Arial"/>
          <w:sz w:val="21"/>
          <w:szCs w:val="21"/>
          <w:lang w:eastAsia="en-GB"/>
        </w:rPr>
        <w:t xml:space="preserve"> </w:t>
      </w:r>
    </w:p>
    <w:p w:rsidRPr="00E36A66" w:rsidR="00E36A66" w:rsidP="00E36A66" w:rsidRDefault="00E36A66" w14:paraId="1F5EF7F7" w14:textId="77777777">
      <w:pPr>
        <w:rPr>
          <w:rFonts w:ascii="Arial" w:hAnsi="Arial" w:cs="Arial"/>
          <w:b/>
          <w:bCs/>
          <w:sz w:val="24"/>
          <w:szCs w:val="24"/>
          <w:lang w:eastAsia="en-GB"/>
        </w:rPr>
      </w:pPr>
      <w:r w:rsidRPr="00E36A66">
        <w:rPr>
          <w:rFonts w:ascii="Arial" w:hAnsi="Arial" w:cs="Arial"/>
          <w:b/>
          <w:bCs/>
          <w:sz w:val="24"/>
          <w:szCs w:val="24"/>
          <w:lang w:eastAsia="en-GB"/>
        </w:rPr>
        <w:t>6. Discussion: Constraints, Tensions, and Solutions</w:t>
      </w:r>
    </w:p>
    <w:p w:rsidR="00E36A66" w:rsidP="3BC510B2" w:rsidRDefault="00E36A66" w14:paraId="195B85D8" w14:textId="53759850">
      <w:pPr>
        <w:spacing w:before="100" w:beforeAutospacing="on" w:after="100" w:afterAutospacing="on" w:line="480" w:lineRule="auto"/>
        <w:rPr>
          <w:rFonts w:ascii="Arial" w:hAnsi="Arial" w:eastAsia="Times New Roman" w:cs="Arial"/>
          <w:sz w:val="24"/>
          <w:szCs w:val="24"/>
          <w:lang w:eastAsia="en-GB"/>
        </w:rPr>
      </w:pPr>
      <w:r w:rsidRPr="3BC510B2" w:rsidR="00E36A66">
        <w:rPr>
          <w:rFonts w:ascii="Arial" w:hAnsi="Arial" w:eastAsia="Times New Roman" w:cs="Arial"/>
          <w:b w:val="1"/>
          <w:bCs w:val="1"/>
          <w:sz w:val="24"/>
          <w:szCs w:val="24"/>
          <w:lang w:eastAsia="en-GB"/>
        </w:rPr>
        <w:t>Constraints</w:t>
      </w:r>
      <w:r w:rsidRPr="3BC510B2" w:rsidR="00E36A66">
        <w:rPr>
          <w:rFonts w:ascii="Arial" w:hAnsi="Arial" w:eastAsia="Times New Roman" w:cs="Arial"/>
          <w:b w:val="1"/>
          <w:bCs w:val="1"/>
          <w:sz w:val="24"/>
          <w:szCs w:val="24"/>
          <w:lang w:eastAsia="en-GB"/>
        </w:rPr>
        <w:t xml:space="preserve"> -</w:t>
      </w:r>
      <w:r w:rsidRPr="3BC510B2" w:rsidR="00E36A66">
        <w:rPr>
          <w:rFonts w:ascii="Arial" w:hAnsi="Arial" w:eastAsia="Times New Roman" w:cs="Arial"/>
          <w:sz w:val="24"/>
          <w:szCs w:val="24"/>
          <w:lang w:eastAsia="en-GB"/>
        </w:rPr>
        <w:t xml:space="preserve"> Businesses are constrained by cultural expectations (e.g., reciprocities in </w:t>
      </w:r>
      <w:r w:rsidRPr="3BC510B2" w:rsidR="00E36A66">
        <w:rPr>
          <w:rFonts w:ascii="Arial" w:hAnsi="Arial" w:eastAsia="Times New Roman" w:cs="Arial"/>
          <w:i w:val="0"/>
          <w:iCs w:val="0"/>
          <w:sz w:val="24"/>
          <w:szCs w:val="24"/>
          <w:lang w:eastAsia="en-GB"/>
        </w:rPr>
        <w:t>guanxi,</w:t>
      </w:r>
      <w:r w:rsidRPr="3BC510B2" w:rsidR="00E36A66">
        <w:rPr>
          <w:rFonts w:ascii="Arial" w:hAnsi="Arial" w:eastAsia="Times New Roman" w:cs="Arial"/>
          <w:sz w:val="24"/>
          <w:szCs w:val="24"/>
          <w:lang w:eastAsia="en-GB"/>
        </w:rPr>
        <w:t xml:space="preserve"> trust in keiretsu), political systems (e.g., regulatory activism in EU health and sustainability; differing approaches to civil liability), and social demands (public health, climate action). These constraints can produce ethical tensions when local norms conflict with global standards</w:t>
      </w:r>
      <w:r w:rsidRPr="3BC510B2" w:rsidR="00E36A66">
        <w:rPr>
          <w:rFonts w:ascii="Arial" w:hAnsi="Arial" w:eastAsia="Times New Roman" w:cs="Arial"/>
          <w:sz w:val="24"/>
          <w:szCs w:val="24"/>
          <w:lang w:eastAsia="en-GB"/>
        </w:rPr>
        <w:t xml:space="preserve"> </w:t>
      </w:r>
      <w:r w:rsidRPr="3BC510B2" w:rsidR="00E36A66">
        <w:rPr>
          <w:rFonts w:ascii="Arial" w:hAnsi="Arial" w:eastAsia="Times New Roman" w:cs="Arial"/>
          <w:sz w:val="24"/>
          <w:szCs w:val="24"/>
          <w:lang w:eastAsia="en-GB"/>
        </w:rPr>
        <w:t xml:space="preserve">such as </w:t>
      </w:r>
      <w:r w:rsidRPr="3BC510B2" w:rsidR="5D4DF2F8">
        <w:rPr>
          <w:rFonts w:ascii="Arial" w:hAnsi="Arial" w:eastAsia="Times New Roman" w:cs="Arial"/>
          <w:sz w:val="24"/>
          <w:szCs w:val="24"/>
          <w:lang w:eastAsia="en-GB"/>
        </w:rPr>
        <w:t>gift giving</w:t>
      </w:r>
      <w:r w:rsidRPr="3BC510B2" w:rsidR="00E36A66">
        <w:rPr>
          <w:rFonts w:ascii="Arial" w:hAnsi="Arial" w:eastAsia="Times New Roman" w:cs="Arial"/>
          <w:sz w:val="24"/>
          <w:szCs w:val="24"/>
          <w:lang w:eastAsia="en-GB"/>
        </w:rPr>
        <w:t xml:space="preserve"> versus anti</w:t>
      </w:r>
      <w:r w:rsidRPr="3BC510B2" w:rsidR="00E36A66">
        <w:rPr>
          <w:rFonts w:ascii="Arial" w:hAnsi="Arial" w:eastAsia="Times New Roman" w:cs="Arial"/>
          <w:sz w:val="24"/>
          <w:szCs w:val="24"/>
          <w:lang w:eastAsia="en-GB"/>
        </w:rPr>
        <w:t xml:space="preserve">corruption, or </w:t>
      </w:r>
      <w:r w:rsidRPr="3BC510B2" w:rsidR="07985972">
        <w:rPr>
          <w:rFonts w:ascii="Arial" w:hAnsi="Arial" w:eastAsia="Times New Roman" w:cs="Arial"/>
          <w:sz w:val="24"/>
          <w:szCs w:val="24"/>
          <w:lang w:eastAsia="en-GB"/>
        </w:rPr>
        <w:t>profit maxim</w:t>
      </w:r>
      <w:r w:rsidRPr="3BC510B2" w:rsidR="2EF9DE1C">
        <w:rPr>
          <w:rFonts w:ascii="Arial" w:hAnsi="Arial" w:eastAsia="Times New Roman" w:cs="Arial"/>
          <w:sz w:val="24"/>
          <w:szCs w:val="24"/>
          <w:lang w:eastAsia="en-GB"/>
        </w:rPr>
        <w:t>is</w:t>
      </w:r>
      <w:r w:rsidRPr="3BC510B2" w:rsidR="07985972">
        <w:rPr>
          <w:rFonts w:ascii="Arial" w:hAnsi="Arial" w:eastAsia="Times New Roman" w:cs="Arial"/>
          <w:sz w:val="24"/>
          <w:szCs w:val="24"/>
          <w:lang w:eastAsia="en-GB"/>
        </w:rPr>
        <w:t>ing</w:t>
      </w:r>
      <w:r w:rsidRPr="3BC510B2" w:rsidR="00E36A66">
        <w:rPr>
          <w:rFonts w:ascii="Arial" w:hAnsi="Arial" w:eastAsia="Times New Roman" w:cs="Arial"/>
          <w:sz w:val="24"/>
          <w:szCs w:val="24"/>
          <w:lang w:eastAsia="en-GB"/>
        </w:rPr>
        <w:t xml:space="preserve"> advertising versus child health protections.</w:t>
      </w:r>
    </w:p>
    <w:p w:rsidR="00E36A66" w:rsidP="00BE53FA" w:rsidRDefault="00E36A66" w14:paraId="61BE691C" w14:textId="0F1BA68B">
      <w:pPr>
        <w:spacing w:after="0" w:line="480" w:lineRule="auto"/>
        <w:rPr>
          <w:rFonts w:ascii="Arial" w:hAnsi="Arial" w:eastAsia="Times New Roman" w:cs="Arial"/>
          <w:sz w:val="24"/>
          <w:szCs w:val="24"/>
          <w:lang w:eastAsia="en-GB"/>
        </w:rPr>
      </w:pPr>
      <w:r w:rsidRPr="3BC510B2" w:rsidR="00E36A66">
        <w:rPr>
          <w:rFonts w:ascii="Arial" w:hAnsi="Arial" w:eastAsia="Times New Roman" w:cs="Arial"/>
          <w:b w:val="1"/>
          <w:bCs w:val="1"/>
          <w:sz w:val="24"/>
          <w:szCs w:val="24"/>
          <w:lang w:eastAsia="en-GB"/>
        </w:rPr>
        <w:t>Tensions</w:t>
      </w:r>
      <w:r w:rsidRPr="3BC510B2" w:rsidR="00E36A66">
        <w:rPr>
          <w:rFonts w:ascii="Arial" w:hAnsi="Arial" w:eastAsia="Times New Roman" w:cs="Arial"/>
          <w:b w:val="1"/>
          <w:bCs w:val="1"/>
          <w:sz w:val="24"/>
          <w:szCs w:val="24"/>
          <w:lang w:eastAsia="en-GB"/>
        </w:rPr>
        <w:t xml:space="preserve"> -</w:t>
      </w:r>
      <w:r w:rsidRPr="3BC510B2" w:rsidR="00E36A66">
        <w:rPr>
          <w:rFonts w:ascii="Arial" w:hAnsi="Arial" w:eastAsia="Times New Roman" w:cs="Arial"/>
          <w:sz w:val="24"/>
          <w:szCs w:val="24"/>
          <w:lang w:eastAsia="en-GB"/>
        </w:rPr>
        <w:t xml:space="preserve"> Industry responses</w:t>
      </w:r>
      <w:r w:rsidRPr="3BC510B2" w:rsidR="00E36A66">
        <w:rPr>
          <w:rFonts w:ascii="Arial" w:hAnsi="Arial" w:eastAsia="Times New Roman" w:cs="Arial"/>
          <w:sz w:val="24"/>
          <w:szCs w:val="24"/>
          <w:lang w:eastAsia="en-GB"/>
        </w:rPr>
        <w:t xml:space="preserve"> </w:t>
      </w:r>
      <w:r w:rsidRPr="3BC510B2" w:rsidR="00E36A66">
        <w:rPr>
          <w:rFonts w:ascii="Arial" w:hAnsi="Arial" w:eastAsia="Times New Roman" w:cs="Arial"/>
          <w:sz w:val="24"/>
          <w:szCs w:val="24"/>
          <w:lang w:eastAsia="en-GB"/>
        </w:rPr>
        <w:t>e.g., lobbying for delayed implementation or exemptions</w:t>
      </w:r>
      <w:r w:rsidRPr="3BC510B2" w:rsidR="00E36A66">
        <w:rPr>
          <w:rFonts w:ascii="Arial" w:hAnsi="Arial" w:eastAsia="Times New Roman" w:cs="Arial"/>
          <w:sz w:val="24"/>
          <w:szCs w:val="24"/>
          <w:lang w:eastAsia="en-GB"/>
        </w:rPr>
        <w:t xml:space="preserve"> </w:t>
      </w:r>
      <w:r w:rsidRPr="3BC510B2" w:rsidR="00E36A66">
        <w:rPr>
          <w:rFonts w:ascii="Arial" w:hAnsi="Arial" w:eastAsia="Times New Roman" w:cs="Arial"/>
          <w:sz w:val="24"/>
          <w:szCs w:val="24"/>
          <w:lang w:eastAsia="en-GB"/>
        </w:rPr>
        <w:t xml:space="preserve">illustrate how economic actors negotiate ethical obligations. UK HFSS timing changes and brand exemptions sparked debate between </w:t>
      </w:r>
      <w:r w:rsidRPr="3BC510B2" w:rsidR="11526C18">
        <w:rPr>
          <w:rFonts w:ascii="Arial" w:hAnsi="Arial" w:eastAsia="Times New Roman" w:cs="Arial"/>
          <w:sz w:val="24"/>
          <w:szCs w:val="24"/>
          <w:lang w:eastAsia="en-GB"/>
        </w:rPr>
        <w:t>public health</w:t>
      </w:r>
      <w:r w:rsidRPr="3BC510B2" w:rsidR="00E36A66">
        <w:rPr>
          <w:rFonts w:ascii="Arial" w:hAnsi="Arial" w:eastAsia="Times New Roman" w:cs="Arial"/>
          <w:sz w:val="24"/>
          <w:szCs w:val="24"/>
          <w:lang w:eastAsia="en-GB"/>
        </w:rPr>
        <w:t xml:space="preserve"> advocates and industry bodies, embodying the balance between practicality and moral urgency. Within the EU, raising thresholds in CSRD/CSDDD aims to reduce burdens on smaller firms while concentrating </w:t>
      </w:r>
      <w:r w:rsidRPr="3BC510B2" w:rsidR="12E87323">
        <w:rPr>
          <w:rFonts w:ascii="Arial" w:hAnsi="Arial" w:eastAsia="Times New Roman" w:cs="Arial"/>
          <w:sz w:val="24"/>
          <w:szCs w:val="24"/>
          <w:lang w:eastAsia="en-GB"/>
        </w:rPr>
        <w:t>due diligence</w:t>
      </w:r>
      <w:r w:rsidRPr="3BC510B2" w:rsidR="00E36A66">
        <w:rPr>
          <w:rFonts w:ascii="Arial" w:hAnsi="Arial" w:eastAsia="Times New Roman" w:cs="Arial"/>
          <w:sz w:val="24"/>
          <w:szCs w:val="24"/>
          <w:lang w:eastAsia="en-GB"/>
        </w:rPr>
        <w:t xml:space="preserve"> duties where leverage is greatest; critics worry that narrowing scope could leave many impacts unaddressed. </w:t>
      </w:r>
    </w:p>
    <w:p w:rsidR="3BC510B2" w:rsidP="3BC510B2" w:rsidRDefault="3BC510B2" w14:paraId="033F3B48" w14:textId="2F2A4DBC">
      <w:pPr>
        <w:spacing w:after="0" w:line="300" w:lineRule="atLeast"/>
        <w:rPr>
          <w:rFonts w:ascii="Arial" w:hAnsi="Arial" w:eastAsia="Times New Roman" w:cs="Arial"/>
          <w:b w:val="1"/>
          <w:bCs w:val="1"/>
          <w:sz w:val="24"/>
          <w:szCs w:val="24"/>
          <w:lang w:eastAsia="en-GB"/>
        </w:rPr>
      </w:pPr>
    </w:p>
    <w:p w:rsidR="3BC510B2" w:rsidP="3BC510B2" w:rsidRDefault="3BC510B2" w14:paraId="28C73D0E" w14:textId="594579D8">
      <w:pPr>
        <w:spacing w:after="0" w:line="300" w:lineRule="atLeast"/>
        <w:rPr>
          <w:rFonts w:ascii="Arial" w:hAnsi="Arial" w:eastAsia="Times New Roman" w:cs="Arial"/>
          <w:b w:val="1"/>
          <w:bCs w:val="1"/>
          <w:sz w:val="24"/>
          <w:szCs w:val="24"/>
          <w:lang w:eastAsia="en-GB"/>
        </w:rPr>
      </w:pPr>
    </w:p>
    <w:p w:rsidR="3BC510B2" w:rsidP="3BC510B2" w:rsidRDefault="3BC510B2" w14:paraId="07AF9481" w14:textId="7BF8168F">
      <w:pPr>
        <w:spacing w:after="0" w:line="300" w:lineRule="atLeast"/>
        <w:rPr>
          <w:rFonts w:ascii="Arial" w:hAnsi="Arial" w:eastAsia="Times New Roman" w:cs="Arial"/>
          <w:b w:val="1"/>
          <w:bCs w:val="1"/>
          <w:sz w:val="24"/>
          <w:szCs w:val="24"/>
          <w:lang w:eastAsia="en-GB"/>
        </w:rPr>
      </w:pPr>
    </w:p>
    <w:p w:rsidR="3BC510B2" w:rsidP="3BC510B2" w:rsidRDefault="3BC510B2" w14:paraId="4580B3A2" w14:textId="32489E30">
      <w:pPr>
        <w:spacing w:after="0" w:line="300" w:lineRule="atLeast"/>
        <w:rPr>
          <w:rFonts w:ascii="Arial" w:hAnsi="Arial" w:eastAsia="Times New Roman" w:cs="Arial"/>
          <w:b w:val="1"/>
          <w:bCs w:val="1"/>
          <w:sz w:val="24"/>
          <w:szCs w:val="24"/>
          <w:lang w:eastAsia="en-GB"/>
        </w:rPr>
      </w:pPr>
    </w:p>
    <w:p w:rsidR="3BC510B2" w:rsidP="3BC510B2" w:rsidRDefault="3BC510B2" w14:paraId="0DE5E09E" w14:textId="30D97D7E">
      <w:pPr>
        <w:spacing w:after="0" w:line="300" w:lineRule="atLeast"/>
        <w:rPr>
          <w:rFonts w:ascii="Arial" w:hAnsi="Arial" w:eastAsia="Times New Roman" w:cs="Arial"/>
          <w:b w:val="1"/>
          <w:bCs w:val="1"/>
          <w:sz w:val="24"/>
          <w:szCs w:val="24"/>
          <w:lang w:eastAsia="en-GB"/>
        </w:rPr>
      </w:pPr>
    </w:p>
    <w:p w:rsidR="00BE53FA" w:rsidP="00BE53FA" w:rsidRDefault="00BE53FA" w14:paraId="0D17C7F6" w14:textId="44E3AA0F">
      <w:pPr>
        <w:spacing w:after="0" w:line="300" w:lineRule="atLeast"/>
        <w:rPr>
          <w:rFonts w:ascii="Arial" w:hAnsi="Arial" w:eastAsia="Times New Roman" w:cs="Arial"/>
          <w:b/>
          <w:bCs/>
          <w:sz w:val="24"/>
          <w:szCs w:val="24"/>
          <w:lang w:eastAsia="en-GB"/>
        </w:rPr>
      </w:pPr>
      <w:r w:rsidRPr="00BE53FA">
        <w:rPr>
          <w:rFonts w:ascii="Arial" w:hAnsi="Arial" w:eastAsia="Times New Roman" w:cs="Arial"/>
          <w:b/>
          <w:bCs/>
          <w:sz w:val="24"/>
          <w:szCs w:val="24"/>
          <w:lang w:eastAsia="en-GB"/>
        </w:rPr>
        <w:t>Solutions</w:t>
      </w:r>
      <w:r>
        <w:rPr>
          <w:rFonts w:ascii="Arial" w:hAnsi="Arial" w:eastAsia="Times New Roman" w:cs="Arial"/>
          <w:b/>
          <w:bCs/>
          <w:sz w:val="24"/>
          <w:szCs w:val="24"/>
          <w:lang w:eastAsia="en-GB"/>
        </w:rPr>
        <w:t xml:space="preserve"> - </w:t>
      </w:r>
      <w:r w:rsidRPr="00BE53FA">
        <w:rPr>
          <w:rFonts w:ascii="Arial" w:hAnsi="Arial" w:eastAsia="Times New Roman" w:cs="Arial"/>
          <w:b/>
          <w:bCs/>
          <w:sz w:val="24"/>
          <w:szCs w:val="24"/>
          <w:lang w:eastAsia="en-GB"/>
        </w:rPr>
        <w:t>A Compatibilist Pathway</w:t>
      </w:r>
    </w:p>
    <w:p w:rsidR="00BE53FA" w:rsidP="00BE53FA" w:rsidRDefault="00BE53FA" w14:paraId="6CFFEA7F" w14:textId="77777777">
      <w:pPr>
        <w:spacing w:after="0" w:line="300" w:lineRule="atLeast"/>
        <w:rPr>
          <w:rFonts w:ascii="Arial" w:hAnsi="Arial" w:eastAsia="Times New Roman" w:cs="Arial"/>
          <w:b/>
          <w:bCs/>
          <w:sz w:val="24"/>
          <w:szCs w:val="24"/>
          <w:lang w:eastAsia="en-GB"/>
        </w:rPr>
      </w:pPr>
    </w:p>
    <w:p w:rsidRPr="00BE53FA" w:rsidR="00BE53FA" w:rsidP="009D5506" w:rsidRDefault="00BE53FA" w14:paraId="32E63078" w14:textId="42676B65">
      <w:pPr>
        <w:pStyle w:val="ListParagraph"/>
        <w:numPr>
          <w:ilvl w:val="0"/>
          <w:numId w:val="28"/>
        </w:numPr>
        <w:spacing w:after="0" w:line="480" w:lineRule="auto"/>
        <w:rPr>
          <w:rFonts w:ascii="Arial" w:hAnsi="Arial" w:eastAsia="Times New Roman" w:cs="Arial"/>
          <w:sz w:val="24"/>
          <w:szCs w:val="24"/>
          <w:lang w:eastAsia="en-GB"/>
        </w:rPr>
      </w:pPr>
      <w:r w:rsidRPr="3BC510B2" w:rsidR="00BE53FA">
        <w:rPr>
          <w:rFonts w:ascii="Arial" w:hAnsi="Arial" w:eastAsia="Times New Roman" w:cs="Arial"/>
          <w:b w:val="1"/>
          <w:bCs w:val="1"/>
          <w:sz w:val="24"/>
          <w:szCs w:val="24"/>
          <w:lang w:eastAsia="en-GB"/>
        </w:rPr>
        <w:t>Adopt hyper</w:t>
      </w:r>
      <w:r w:rsidRPr="3BC510B2" w:rsidR="00BE53FA">
        <w:rPr>
          <w:rFonts w:ascii="Arial" w:hAnsi="Arial" w:eastAsia="Times New Roman" w:cs="Arial"/>
          <w:b w:val="1"/>
          <w:bCs w:val="1"/>
          <w:sz w:val="24"/>
          <w:szCs w:val="24"/>
          <w:lang w:eastAsia="en-GB"/>
        </w:rPr>
        <w:t xml:space="preserve"> </w:t>
      </w:r>
      <w:r w:rsidRPr="3BC510B2" w:rsidR="00BE53FA">
        <w:rPr>
          <w:rFonts w:ascii="Arial" w:hAnsi="Arial" w:eastAsia="Times New Roman" w:cs="Arial"/>
          <w:b w:val="1"/>
          <w:bCs w:val="1"/>
          <w:sz w:val="24"/>
          <w:szCs w:val="24"/>
          <w:lang w:eastAsia="en-GB"/>
        </w:rPr>
        <w:t xml:space="preserve">norms as </w:t>
      </w:r>
      <w:r w:rsidRPr="3BC510B2" w:rsidR="01949009">
        <w:rPr>
          <w:rFonts w:ascii="Arial" w:hAnsi="Arial" w:eastAsia="Times New Roman" w:cs="Arial"/>
          <w:b w:val="1"/>
          <w:bCs w:val="1"/>
          <w:sz w:val="24"/>
          <w:szCs w:val="24"/>
          <w:lang w:eastAsia="en-GB"/>
        </w:rPr>
        <w:t>non-negotiable</w:t>
      </w:r>
      <w:r w:rsidRPr="3BC510B2" w:rsidR="00BE53FA">
        <w:rPr>
          <w:rFonts w:ascii="Arial" w:hAnsi="Arial" w:eastAsia="Times New Roman" w:cs="Arial"/>
          <w:sz w:val="24"/>
          <w:szCs w:val="24"/>
          <w:lang w:eastAsia="en-GB"/>
        </w:rPr>
        <w:t xml:space="preserve"> (UNGPs, OECD RBC) while </w:t>
      </w:r>
      <w:r w:rsidRPr="3BC510B2" w:rsidR="00BE53FA">
        <w:rPr>
          <w:rFonts w:ascii="Arial" w:hAnsi="Arial" w:eastAsia="Times New Roman" w:cs="Arial"/>
          <w:sz w:val="24"/>
          <w:szCs w:val="24"/>
          <w:lang w:eastAsia="en-GB"/>
        </w:rPr>
        <w:t>permitting</w:t>
      </w:r>
      <w:r w:rsidRPr="3BC510B2" w:rsidR="00BE53FA">
        <w:rPr>
          <w:rFonts w:ascii="Arial" w:hAnsi="Arial" w:eastAsia="Times New Roman" w:cs="Arial"/>
          <w:sz w:val="24"/>
          <w:szCs w:val="24"/>
          <w:lang w:eastAsia="en-GB"/>
        </w:rPr>
        <w:t xml:space="preserve"> culturally compatible practices within those bounds</w:t>
      </w:r>
      <w:r w:rsidRPr="3BC510B2" w:rsidR="00BE53FA">
        <w:rPr>
          <w:rFonts w:ascii="Arial" w:hAnsi="Arial" w:eastAsia="Times New Roman" w:cs="Arial"/>
          <w:sz w:val="24"/>
          <w:szCs w:val="24"/>
          <w:lang w:eastAsia="en-GB"/>
        </w:rPr>
        <w:t xml:space="preserve"> </w:t>
      </w:r>
      <w:r w:rsidRPr="3BC510B2" w:rsidR="00BE53FA">
        <w:rPr>
          <w:rFonts w:ascii="Arial" w:hAnsi="Arial" w:eastAsia="Times New Roman" w:cs="Arial"/>
          <w:sz w:val="24"/>
          <w:szCs w:val="24"/>
          <w:lang w:eastAsia="en-GB"/>
        </w:rPr>
        <w:t xml:space="preserve">e.g., </w:t>
      </w:r>
      <w:r w:rsidRPr="3BC510B2" w:rsidR="52B1540E">
        <w:rPr>
          <w:rFonts w:ascii="Arial" w:hAnsi="Arial" w:eastAsia="Times New Roman" w:cs="Arial"/>
          <w:sz w:val="24"/>
          <w:szCs w:val="24"/>
          <w:lang w:eastAsia="en-GB"/>
        </w:rPr>
        <w:t>relationship building</w:t>
      </w:r>
      <w:r w:rsidRPr="3BC510B2" w:rsidR="00BE53FA">
        <w:rPr>
          <w:rFonts w:ascii="Arial" w:hAnsi="Arial" w:eastAsia="Times New Roman" w:cs="Arial"/>
          <w:sz w:val="24"/>
          <w:szCs w:val="24"/>
          <w:lang w:eastAsia="en-GB"/>
        </w:rPr>
        <w:t xml:space="preserve"> that </w:t>
      </w:r>
      <w:r w:rsidRPr="3BC510B2" w:rsidR="00BE53FA">
        <w:rPr>
          <w:rFonts w:ascii="Arial" w:hAnsi="Arial" w:eastAsia="Times New Roman" w:cs="Arial"/>
          <w:sz w:val="24"/>
          <w:szCs w:val="24"/>
          <w:lang w:eastAsia="en-GB"/>
        </w:rPr>
        <w:t>doesn’t</w:t>
      </w:r>
      <w:r w:rsidRPr="3BC510B2" w:rsidR="00BE53FA">
        <w:rPr>
          <w:rFonts w:ascii="Arial" w:hAnsi="Arial" w:eastAsia="Times New Roman" w:cs="Arial"/>
          <w:sz w:val="24"/>
          <w:szCs w:val="24"/>
          <w:lang w:eastAsia="en-GB"/>
        </w:rPr>
        <w:t xml:space="preserve"> impair fairness or violate anti</w:t>
      </w:r>
      <w:r w:rsidRPr="3BC510B2" w:rsidR="00BE53FA">
        <w:rPr>
          <w:rFonts w:ascii="Arial" w:hAnsi="Arial" w:eastAsia="Times New Roman" w:cs="Arial"/>
          <w:sz w:val="24"/>
          <w:szCs w:val="24"/>
          <w:lang w:eastAsia="en-GB"/>
        </w:rPr>
        <w:t>corruption.</w:t>
      </w:r>
    </w:p>
    <w:p w:rsidRPr="00BE53FA" w:rsidR="00BE53FA" w:rsidP="009D5506" w:rsidRDefault="00BE53FA" w14:paraId="530874EE" w14:textId="5F7D96A2">
      <w:pPr>
        <w:pStyle w:val="ListParagraph"/>
        <w:numPr>
          <w:ilvl w:val="0"/>
          <w:numId w:val="28"/>
        </w:numPr>
        <w:spacing w:after="0" w:line="480" w:lineRule="auto"/>
        <w:rPr>
          <w:rFonts w:ascii="Arial" w:hAnsi="Arial" w:eastAsia="Times New Roman" w:cs="Arial"/>
          <w:sz w:val="24"/>
          <w:szCs w:val="24"/>
          <w:lang w:eastAsia="en-GB"/>
        </w:rPr>
      </w:pPr>
      <w:r w:rsidRPr="3BC510B2" w:rsidR="499152E0">
        <w:rPr>
          <w:rFonts w:ascii="Arial" w:hAnsi="Arial" w:eastAsia="Times New Roman" w:cs="Arial"/>
          <w:b w:val="1"/>
          <w:bCs w:val="1"/>
          <w:sz w:val="24"/>
          <w:szCs w:val="24"/>
          <w:lang w:eastAsia="en-GB"/>
        </w:rPr>
        <w:t>Risk based</w:t>
      </w:r>
      <w:r w:rsidRPr="3BC510B2" w:rsidR="00BE53FA">
        <w:rPr>
          <w:rFonts w:ascii="Arial" w:hAnsi="Arial" w:eastAsia="Times New Roman" w:cs="Arial"/>
          <w:b w:val="1"/>
          <w:bCs w:val="1"/>
          <w:sz w:val="24"/>
          <w:szCs w:val="24"/>
          <w:lang w:eastAsia="en-GB"/>
        </w:rPr>
        <w:t xml:space="preserve"> due diligence and transparent reporting,</w:t>
      </w:r>
      <w:r w:rsidRPr="3BC510B2" w:rsidR="00BE53FA">
        <w:rPr>
          <w:rFonts w:ascii="Arial" w:hAnsi="Arial" w:eastAsia="Times New Roman" w:cs="Arial"/>
          <w:sz w:val="24"/>
          <w:szCs w:val="24"/>
          <w:lang w:eastAsia="en-GB"/>
        </w:rPr>
        <w:t xml:space="preserve"> focusing on </w:t>
      </w:r>
      <w:r w:rsidRPr="3BC510B2" w:rsidR="71E48A2E">
        <w:rPr>
          <w:rFonts w:ascii="Arial" w:hAnsi="Arial" w:eastAsia="Times New Roman" w:cs="Arial"/>
          <w:sz w:val="24"/>
          <w:szCs w:val="24"/>
          <w:lang w:eastAsia="en-GB"/>
        </w:rPr>
        <w:t>highest impact</w:t>
      </w:r>
      <w:r w:rsidRPr="3BC510B2" w:rsidR="00BE53FA">
        <w:rPr>
          <w:rFonts w:ascii="Arial" w:hAnsi="Arial" w:eastAsia="Times New Roman" w:cs="Arial"/>
          <w:sz w:val="24"/>
          <w:szCs w:val="24"/>
          <w:lang w:eastAsia="en-GB"/>
        </w:rPr>
        <w:t xml:space="preserve"> areas and iteratively improving processes (as envisaged by the OECD update and EU simplification agenda).</w:t>
      </w:r>
    </w:p>
    <w:p w:rsidRPr="00BE53FA" w:rsidR="00BE53FA" w:rsidP="009D5506" w:rsidRDefault="00BE53FA" w14:paraId="564DB58E" w14:textId="7D11573C">
      <w:pPr>
        <w:pStyle w:val="ListParagraph"/>
        <w:numPr>
          <w:ilvl w:val="0"/>
          <w:numId w:val="28"/>
        </w:numPr>
        <w:spacing w:after="0" w:line="480" w:lineRule="auto"/>
        <w:rPr>
          <w:rFonts w:ascii="Segoe UI" w:hAnsi="Segoe UI" w:eastAsia="Times New Roman" w:cs="Segoe UI"/>
          <w:sz w:val="21"/>
          <w:szCs w:val="21"/>
          <w:lang w:eastAsia="en-GB"/>
        </w:rPr>
      </w:pPr>
      <w:r w:rsidRPr="3BC510B2" w:rsidR="00BE53FA">
        <w:rPr>
          <w:rFonts w:ascii="Arial" w:hAnsi="Arial" w:eastAsia="Times New Roman" w:cs="Arial"/>
          <w:b w:val="1"/>
          <w:bCs w:val="1"/>
          <w:sz w:val="24"/>
          <w:szCs w:val="24"/>
          <w:lang w:eastAsia="en-GB"/>
        </w:rPr>
        <w:t>Stakeholder engagement across cultures,</w:t>
      </w:r>
      <w:r w:rsidRPr="3BC510B2" w:rsidR="00BE53FA">
        <w:rPr>
          <w:rFonts w:ascii="Arial" w:hAnsi="Arial" w:eastAsia="Times New Roman" w:cs="Arial"/>
          <w:sz w:val="24"/>
          <w:szCs w:val="24"/>
          <w:lang w:eastAsia="en-GB"/>
        </w:rPr>
        <w:t xml:space="preserve"> including local communities, suppliers, and workers, to surface </w:t>
      </w:r>
      <w:r w:rsidRPr="3BC510B2" w:rsidR="09196793">
        <w:rPr>
          <w:rFonts w:ascii="Arial" w:hAnsi="Arial" w:eastAsia="Times New Roman" w:cs="Arial"/>
          <w:sz w:val="24"/>
          <w:szCs w:val="24"/>
          <w:lang w:eastAsia="en-GB"/>
        </w:rPr>
        <w:t>context specific</w:t>
      </w:r>
      <w:r w:rsidRPr="3BC510B2" w:rsidR="00BE53FA">
        <w:rPr>
          <w:rFonts w:ascii="Arial" w:hAnsi="Arial" w:eastAsia="Times New Roman" w:cs="Arial"/>
          <w:sz w:val="24"/>
          <w:szCs w:val="24"/>
          <w:lang w:eastAsia="en-GB"/>
        </w:rPr>
        <w:t xml:space="preserve"> risks and solutions</w:t>
      </w:r>
      <w:r w:rsidRPr="3BC510B2" w:rsidR="00BE53FA">
        <w:rPr>
          <w:rFonts w:ascii="Arial" w:hAnsi="Arial" w:eastAsia="Times New Roman" w:cs="Arial"/>
          <w:sz w:val="24"/>
          <w:szCs w:val="24"/>
          <w:lang w:eastAsia="en-GB"/>
        </w:rPr>
        <w:t xml:space="preserve"> </w:t>
      </w:r>
      <w:r w:rsidRPr="3BC510B2" w:rsidR="00BE53FA">
        <w:rPr>
          <w:rFonts w:ascii="Arial" w:hAnsi="Arial" w:eastAsia="Times New Roman" w:cs="Arial"/>
          <w:sz w:val="24"/>
          <w:szCs w:val="24"/>
          <w:lang w:eastAsia="en-GB"/>
        </w:rPr>
        <w:t>echoing UNGPs’ emphasis on remedy and participation</w:t>
      </w:r>
      <w:r w:rsidRPr="3BC510B2" w:rsidR="00BE53FA">
        <w:rPr>
          <w:rFonts w:ascii="Segoe UI" w:hAnsi="Segoe UI" w:eastAsia="Times New Roman" w:cs="Segoe UI"/>
          <w:sz w:val="21"/>
          <w:szCs w:val="21"/>
          <w:lang w:eastAsia="en-GB"/>
        </w:rPr>
        <w:t>.</w:t>
      </w:r>
    </w:p>
    <w:p w:rsidRPr="00C23991" w:rsidR="00C23991" w:rsidP="009D5506" w:rsidRDefault="00C23991" w14:paraId="74797C33" w14:textId="0E50754C">
      <w:pPr>
        <w:pStyle w:val="ListParagraph"/>
        <w:numPr>
          <w:ilvl w:val="0"/>
          <w:numId w:val="28"/>
        </w:numPr>
        <w:spacing w:after="0" w:line="480" w:lineRule="auto"/>
        <w:rPr>
          <w:rFonts w:ascii="Arial" w:hAnsi="Arial" w:eastAsia="Times New Roman" w:cs="Arial"/>
          <w:sz w:val="24"/>
          <w:szCs w:val="24"/>
          <w:lang w:eastAsia="en-GB"/>
        </w:rPr>
      </w:pPr>
      <w:r w:rsidRPr="3BC510B2" w:rsidR="4E193EF5">
        <w:rPr>
          <w:rFonts w:ascii="Arial" w:hAnsi="Arial" w:eastAsia="Times New Roman" w:cs="Arial"/>
          <w:b w:val="1"/>
          <w:bCs w:val="1"/>
          <w:sz w:val="24"/>
          <w:szCs w:val="24"/>
          <w:lang w:eastAsia="en-GB"/>
        </w:rPr>
        <w:t>Policy aligned</w:t>
      </w:r>
      <w:r w:rsidRPr="3BC510B2" w:rsidR="00C23991">
        <w:rPr>
          <w:rFonts w:ascii="Arial" w:hAnsi="Arial" w:eastAsia="Times New Roman" w:cs="Arial"/>
          <w:b w:val="1"/>
          <w:bCs w:val="1"/>
          <w:sz w:val="24"/>
          <w:szCs w:val="24"/>
          <w:lang w:eastAsia="en-GB"/>
        </w:rPr>
        <w:t xml:space="preserve"> innovation,</w:t>
      </w:r>
      <w:r w:rsidRPr="3BC510B2" w:rsidR="00C23991">
        <w:rPr>
          <w:rFonts w:ascii="Arial" w:hAnsi="Arial" w:eastAsia="Times New Roman" w:cs="Arial"/>
          <w:sz w:val="24"/>
          <w:szCs w:val="24"/>
          <w:lang w:eastAsia="en-GB"/>
        </w:rPr>
        <w:t xml:space="preserve"> e.g., reformulation and healthier product portfolios under HFSS regimes, </w:t>
      </w:r>
      <w:r w:rsidRPr="3BC510B2" w:rsidR="00C23991">
        <w:rPr>
          <w:rFonts w:ascii="Arial" w:hAnsi="Arial" w:eastAsia="Times New Roman" w:cs="Arial"/>
          <w:sz w:val="24"/>
          <w:szCs w:val="24"/>
          <w:lang w:eastAsia="en-GB"/>
        </w:rPr>
        <w:t>demonstrating</w:t>
      </w:r>
      <w:r w:rsidRPr="3BC510B2" w:rsidR="00C23991">
        <w:rPr>
          <w:rFonts w:ascii="Arial" w:hAnsi="Arial" w:eastAsia="Times New Roman" w:cs="Arial"/>
          <w:sz w:val="24"/>
          <w:szCs w:val="24"/>
          <w:lang w:eastAsia="en-GB"/>
        </w:rPr>
        <w:t xml:space="preserve"> that ethical constraints can stimulate competitive advantage rather than merely impose costs.</w:t>
      </w:r>
    </w:p>
    <w:p w:rsidRPr="00C23991" w:rsidR="00C23991" w:rsidP="009D5506" w:rsidRDefault="00C23991" w14:paraId="415B8F33" w14:textId="14FA43F4">
      <w:pPr>
        <w:pStyle w:val="ListParagraph"/>
        <w:numPr>
          <w:ilvl w:val="0"/>
          <w:numId w:val="28"/>
        </w:numPr>
        <w:spacing w:after="0" w:line="480" w:lineRule="auto"/>
        <w:rPr>
          <w:rFonts w:ascii="Arial" w:hAnsi="Arial" w:eastAsia="Times New Roman" w:cs="Arial"/>
          <w:sz w:val="24"/>
          <w:szCs w:val="24"/>
          <w:lang w:eastAsia="en-GB"/>
        </w:rPr>
      </w:pPr>
      <w:r w:rsidRPr="3BC510B2" w:rsidR="00C23991">
        <w:rPr>
          <w:rFonts w:ascii="Arial" w:hAnsi="Arial" w:eastAsia="Times New Roman" w:cs="Arial"/>
          <w:b w:val="1"/>
          <w:bCs w:val="1"/>
          <w:sz w:val="24"/>
          <w:szCs w:val="24"/>
          <w:lang w:eastAsia="en-GB"/>
        </w:rPr>
        <w:t>Governance that respects relational ethics,</w:t>
      </w:r>
      <w:r w:rsidRPr="3BC510B2" w:rsidR="00C23991">
        <w:rPr>
          <w:rFonts w:ascii="Arial" w:hAnsi="Arial" w:eastAsia="Times New Roman" w:cs="Arial"/>
          <w:sz w:val="24"/>
          <w:szCs w:val="24"/>
          <w:lang w:eastAsia="en-GB"/>
        </w:rPr>
        <w:t xml:space="preserve"> incorporating </w:t>
      </w:r>
      <w:r w:rsidRPr="3BC510B2" w:rsidR="601B9070">
        <w:rPr>
          <w:rFonts w:ascii="Arial" w:hAnsi="Arial" w:eastAsia="Times New Roman" w:cs="Arial"/>
          <w:sz w:val="24"/>
          <w:szCs w:val="24"/>
          <w:lang w:eastAsia="en-GB"/>
        </w:rPr>
        <w:t>trust building</w:t>
      </w:r>
      <w:r w:rsidRPr="3BC510B2" w:rsidR="00C23991">
        <w:rPr>
          <w:rFonts w:ascii="Arial" w:hAnsi="Arial" w:eastAsia="Times New Roman" w:cs="Arial"/>
          <w:sz w:val="24"/>
          <w:szCs w:val="24"/>
          <w:lang w:eastAsia="en-GB"/>
        </w:rPr>
        <w:t xml:space="preserve"> in supplier management (learned from keiretsu) without compromising transparency or market access.</w:t>
      </w:r>
    </w:p>
    <w:p w:rsidR="00BE53FA" w:rsidP="009D5506" w:rsidRDefault="00BE53FA" w14:paraId="13A54DCA" w14:textId="4D223EEF">
      <w:pPr>
        <w:pStyle w:val="ListParagraph"/>
        <w:spacing w:after="0" w:line="480" w:lineRule="auto"/>
        <w:rPr>
          <w:rFonts w:ascii="Arial" w:hAnsi="Arial" w:eastAsia="Times New Roman" w:cs="Arial"/>
          <w:b/>
          <w:bCs/>
          <w:sz w:val="24"/>
          <w:szCs w:val="24"/>
          <w:lang w:eastAsia="en-GB"/>
        </w:rPr>
      </w:pPr>
    </w:p>
    <w:p w:rsidRPr="00C23991" w:rsidR="00C23991" w:rsidP="009D5506" w:rsidRDefault="00C23991" w14:paraId="3C15E602" w14:textId="5D9B3493">
      <w:pPr>
        <w:spacing w:after="0" w:line="480" w:lineRule="auto"/>
        <w:rPr>
          <w:rFonts w:ascii="Arial" w:hAnsi="Arial" w:eastAsia="Times New Roman" w:cs="Arial"/>
          <w:sz w:val="24"/>
          <w:szCs w:val="24"/>
          <w:lang w:eastAsia="en-GB"/>
        </w:rPr>
      </w:pPr>
      <w:r w:rsidRPr="00C23991">
        <w:rPr>
          <w:rFonts w:ascii="Arial" w:hAnsi="Arial" w:eastAsia="Times New Roman" w:cs="Arial"/>
          <w:sz w:val="24"/>
          <w:szCs w:val="24"/>
          <w:lang w:eastAsia="en-GB"/>
        </w:rPr>
        <w:t>These strategies suggest that “trading globally without ethical compromise” is not only possible but strategically advantageous</w:t>
      </w:r>
      <w:r>
        <w:rPr>
          <w:rFonts w:ascii="Arial" w:hAnsi="Arial" w:eastAsia="Times New Roman" w:cs="Arial"/>
          <w:sz w:val="24"/>
          <w:szCs w:val="24"/>
          <w:lang w:eastAsia="en-GB"/>
        </w:rPr>
        <w:t xml:space="preserve"> </w:t>
      </w:r>
      <w:r w:rsidRPr="00C23991">
        <w:rPr>
          <w:rFonts w:ascii="Arial" w:hAnsi="Arial" w:eastAsia="Times New Roman" w:cs="Arial"/>
          <w:sz w:val="24"/>
          <w:szCs w:val="24"/>
          <w:lang w:eastAsia="en-GB"/>
        </w:rPr>
        <w:t>provided firms internali</w:t>
      </w:r>
      <w:r>
        <w:rPr>
          <w:rFonts w:ascii="Arial" w:hAnsi="Arial" w:eastAsia="Times New Roman" w:cs="Arial"/>
          <w:sz w:val="24"/>
          <w:szCs w:val="24"/>
          <w:lang w:eastAsia="en-GB"/>
        </w:rPr>
        <w:t>s</w:t>
      </w:r>
      <w:r w:rsidRPr="00C23991">
        <w:rPr>
          <w:rFonts w:ascii="Arial" w:hAnsi="Arial" w:eastAsia="Times New Roman" w:cs="Arial"/>
          <w:sz w:val="24"/>
          <w:szCs w:val="24"/>
          <w:lang w:eastAsia="en-GB"/>
        </w:rPr>
        <w:t>e global standards and local cultural knowledge.</w:t>
      </w:r>
    </w:p>
    <w:p w:rsidR="00C23991" w:rsidP="009D5506" w:rsidRDefault="00C23991" w14:paraId="35D53B74" w14:textId="263CE59D">
      <w:pPr>
        <w:pStyle w:val="ListParagraph"/>
        <w:spacing w:after="0" w:line="480" w:lineRule="auto"/>
        <w:ind w:left="0"/>
        <w:rPr>
          <w:rFonts w:ascii="Arial" w:hAnsi="Arial" w:eastAsia="Times New Roman" w:cs="Arial"/>
          <w:b/>
          <w:bCs/>
          <w:sz w:val="24"/>
          <w:szCs w:val="24"/>
          <w:lang w:eastAsia="en-GB"/>
        </w:rPr>
      </w:pPr>
    </w:p>
    <w:p w:rsidR="00C23991" w:rsidP="009D5506" w:rsidRDefault="00C23991" w14:paraId="09417555" w14:textId="2F3EE152">
      <w:pPr>
        <w:pStyle w:val="ListParagraph"/>
        <w:spacing w:after="0" w:line="480" w:lineRule="auto"/>
        <w:ind w:left="0"/>
        <w:rPr>
          <w:rFonts w:ascii="Arial" w:hAnsi="Arial" w:eastAsia="Times New Roman" w:cs="Arial"/>
          <w:b/>
          <w:bCs/>
          <w:sz w:val="24"/>
          <w:szCs w:val="24"/>
          <w:lang w:eastAsia="en-GB"/>
        </w:rPr>
      </w:pPr>
    </w:p>
    <w:p w:rsidR="3BC510B2" w:rsidP="3BC510B2" w:rsidRDefault="3BC510B2" w14:paraId="168B1769" w14:textId="083D7090">
      <w:pPr>
        <w:pStyle w:val="ListParagraph"/>
        <w:spacing w:after="0" w:line="480" w:lineRule="auto"/>
        <w:ind w:left="0"/>
        <w:rPr>
          <w:rFonts w:ascii="Arial" w:hAnsi="Arial" w:eastAsia="Times New Roman" w:cs="Arial"/>
          <w:b w:val="1"/>
          <w:bCs w:val="1"/>
          <w:sz w:val="24"/>
          <w:szCs w:val="24"/>
          <w:lang w:eastAsia="en-GB"/>
        </w:rPr>
      </w:pPr>
    </w:p>
    <w:p w:rsidR="3BC510B2" w:rsidP="3BC510B2" w:rsidRDefault="3BC510B2" w14:paraId="15D19E3B" w14:textId="19F46548">
      <w:pPr>
        <w:pStyle w:val="ListParagraph"/>
        <w:spacing w:after="0" w:line="480" w:lineRule="auto"/>
        <w:ind w:left="0"/>
        <w:rPr>
          <w:rFonts w:ascii="Arial" w:hAnsi="Arial" w:eastAsia="Times New Roman" w:cs="Arial"/>
          <w:b w:val="1"/>
          <w:bCs w:val="1"/>
          <w:sz w:val="24"/>
          <w:szCs w:val="24"/>
          <w:lang w:eastAsia="en-GB"/>
        </w:rPr>
      </w:pPr>
    </w:p>
    <w:p w:rsidR="00C23991" w:rsidP="009D5506" w:rsidRDefault="00C23991" w14:paraId="1A56DD69" w14:textId="5E6CDF40">
      <w:pPr>
        <w:pStyle w:val="ListParagraph"/>
        <w:spacing w:after="0" w:line="480" w:lineRule="auto"/>
        <w:ind w:left="0"/>
        <w:rPr>
          <w:rFonts w:ascii="Arial" w:hAnsi="Arial" w:eastAsia="Times New Roman" w:cs="Arial"/>
          <w:b/>
          <w:bCs/>
          <w:sz w:val="24"/>
          <w:szCs w:val="24"/>
          <w:lang w:eastAsia="en-GB"/>
        </w:rPr>
      </w:pPr>
      <w:r>
        <w:rPr>
          <w:rFonts w:ascii="Arial" w:hAnsi="Arial" w:eastAsia="Times New Roman" w:cs="Arial"/>
          <w:b/>
          <w:bCs/>
          <w:sz w:val="24"/>
          <w:szCs w:val="24"/>
          <w:lang w:eastAsia="en-GB"/>
        </w:rPr>
        <w:t>Conclusion</w:t>
      </w:r>
    </w:p>
    <w:p w:rsidRPr="00C23991" w:rsidR="00C23991" w:rsidP="009D5506" w:rsidRDefault="00C23991" w14:paraId="4E78E7CD" w14:textId="69CC5E11">
      <w:pPr>
        <w:pStyle w:val="NormalWeb"/>
        <w:spacing w:line="480" w:lineRule="auto"/>
        <w:rPr>
          <w:rFonts w:ascii="Arial" w:hAnsi="Arial" w:cs="Arial"/>
        </w:rPr>
      </w:pPr>
      <w:r w:rsidRPr="3BC510B2" w:rsidR="00C23991">
        <w:rPr>
          <w:rFonts w:ascii="Arial" w:hAnsi="Arial" w:cs="Arial"/>
        </w:rPr>
        <w:t xml:space="preserve">Cultural differences in business ethics, as illuminated by Mahbubani’s East–West dialogues and by practices like </w:t>
      </w:r>
      <w:r w:rsidRPr="3BC510B2" w:rsidR="00C23991">
        <w:rPr>
          <w:rStyle w:val="Emphasis"/>
          <w:rFonts w:ascii="Arial" w:hAnsi="Arial" w:cs="Arial"/>
          <w:i w:val="0"/>
          <w:iCs w:val="0"/>
        </w:rPr>
        <w:t>guanxi</w:t>
      </w:r>
      <w:r w:rsidRPr="3BC510B2" w:rsidR="00C23991">
        <w:rPr>
          <w:rFonts w:ascii="Arial" w:hAnsi="Arial" w:cs="Arial"/>
        </w:rPr>
        <w:t xml:space="preserve"> and </w:t>
      </w:r>
      <w:r w:rsidRPr="3BC510B2" w:rsidR="00C23991">
        <w:rPr>
          <w:rStyle w:val="Emphasis"/>
          <w:rFonts w:ascii="Arial" w:hAnsi="Arial" w:cs="Arial"/>
          <w:i w:val="0"/>
          <w:iCs w:val="0"/>
        </w:rPr>
        <w:t>keiretsu</w:t>
      </w:r>
      <w:r w:rsidRPr="3BC510B2" w:rsidR="00C23991">
        <w:rPr>
          <w:rFonts w:ascii="Arial" w:hAnsi="Arial" w:cs="Arial"/>
        </w:rPr>
        <w:t>, reveal that ethics are lived within relational, political, and social contexts rather than abstract universals. Yet global hyper</w:t>
      </w:r>
      <w:r w:rsidRPr="3BC510B2" w:rsidR="00C23991">
        <w:rPr>
          <w:rFonts w:ascii="Arial" w:hAnsi="Arial" w:cs="Arial"/>
        </w:rPr>
        <w:t xml:space="preserve"> </w:t>
      </w:r>
      <w:r w:rsidRPr="3BC510B2" w:rsidR="00C23991">
        <w:rPr>
          <w:rFonts w:ascii="Arial" w:hAnsi="Arial" w:cs="Arial"/>
        </w:rPr>
        <w:t>norms</w:t>
      </w:r>
      <w:r w:rsidRPr="3BC510B2" w:rsidR="00C23991">
        <w:rPr>
          <w:rFonts w:ascii="Arial" w:hAnsi="Arial" w:cs="Arial"/>
        </w:rPr>
        <w:t xml:space="preserve"> </w:t>
      </w:r>
      <w:r w:rsidRPr="3BC510B2" w:rsidR="00C23991">
        <w:rPr>
          <w:rFonts w:ascii="Arial" w:hAnsi="Arial" w:cs="Arial"/>
        </w:rPr>
        <w:t>human rights, anti</w:t>
      </w:r>
      <w:r w:rsidRPr="3BC510B2" w:rsidR="00C23991">
        <w:rPr>
          <w:rFonts w:ascii="Arial" w:hAnsi="Arial" w:cs="Arial"/>
        </w:rPr>
        <w:t>corruption, environmental responsibility</w:t>
      </w:r>
      <w:r w:rsidRPr="3BC510B2" w:rsidR="00C23991">
        <w:rPr>
          <w:rFonts w:ascii="Arial" w:hAnsi="Arial" w:cs="Arial"/>
        </w:rPr>
        <w:t xml:space="preserve"> </w:t>
      </w:r>
      <w:r w:rsidRPr="3BC510B2" w:rsidR="00C23991">
        <w:rPr>
          <w:rFonts w:ascii="Arial" w:hAnsi="Arial" w:cs="Arial"/>
        </w:rPr>
        <w:t xml:space="preserve">anchor a shared baseline. The UNGPs and OECD Guidelines articulate this baseline, while evolving UK and EU policies </w:t>
      </w:r>
      <w:r w:rsidRPr="3BC510B2" w:rsidR="00C23991">
        <w:rPr>
          <w:rFonts w:ascii="Arial" w:hAnsi="Arial" w:cs="Arial"/>
        </w:rPr>
        <w:t>demonstrate</w:t>
      </w:r>
      <w:r w:rsidRPr="3BC510B2" w:rsidR="00C23991">
        <w:rPr>
          <w:rFonts w:ascii="Arial" w:hAnsi="Arial" w:cs="Arial"/>
        </w:rPr>
        <w:t xml:space="preserve"> compatibilist governance: steering markets toward public health and sustainability without </w:t>
      </w:r>
      <w:r w:rsidRPr="3BC510B2" w:rsidR="0C357EB5">
        <w:rPr>
          <w:rFonts w:ascii="Arial" w:hAnsi="Arial" w:cs="Arial"/>
        </w:rPr>
        <w:t>denying</w:t>
      </w:r>
      <w:r w:rsidRPr="3BC510B2" w:rsidR="00C23991">
        <w:rPr>
          <w:rFonts w:ascii="Arial" w:hAnsi="Arial" w:cs="Arial"/>
        </w:rPr>
        <w:t xml:space="preserve"> commercial viability. The answer to </w:t>
      </w:r>
      <w:r w:rsidRPr="3BC510B2" w:rsidR="00C23991">
        <w:rPr>
          <w:rStyle w:val="Strong"/>
          <w:rFonts w:ascii="Arial" w:hAnsi="Arial" w:cs="Arial"/>
        </w:rPr>
        <w:t>Q1</w:t>
      </w:r>
      <w:r w:rsidRPr="3BC510B2" w:rsidR="00C23991">
        <w:rPr>
          <w:rFonts w:ascii="Arial" w:hAnsi="Arial" w:cs="Arial"/>
        </w:rPr>
        <w:t xml:space="preserve"> (“trade without ethical compromise?”) is conditionally yes</w:t>
      </w:r>
      <w:r w:rsidRPr="3BC510B2" w:rsidR="00C23991">
        <w:rPr>
          <w:rFonts w:ascii="Arial" w:hAnsi="Arial" w:cs="Arial"/>
        </w:rPr>
        <w:t xml:space="preserve"> </w:t>
      </w:r>
      <w:r w:rsidRPr="3BC510B2" w:rsidR="00C23991">
        <w:rPr>
          <w:rFonts w:ascii="Arial" w:hAnsi="Arial" w:cs="Arial"/>
        </w:rPr>
        <w:t xml:space="preserve">if firms embed due diligence, transparency, and stakeholder engagement. The answer to </w:t>
      </w:r>
      <w:r w:rsidRPr="3BC510B2" w:rsidR="00C23991">
        <w:rPr>
          <w:rStyle w:val="Strong"/>
          <w:rFonts w:ascii="Arial" w:hAnsi="Arial" w:cs="Arial"/>
        </w:rPr>
        <w:t>Q2</w:t>
      </w:r>
      <w:r w:rsidRPr="3BC510B2" w:rsidR="00C23991">
        <w:rPr>
          <w:rFonts w:ascii="Arial" w:hAnsi="Arial" w:cs="Arial"/>
        </w:rPr>
        <w:t xml:space="preserve"> (“compatibilism between business and environment?”) is also yes</w:t>
      </w:r>
      <w:r w:rsidRPr="3BC510B2" w:rsidR="00C23991">
        <w:rPr>
          <w:rFonts w:ascii="Arial" w:hAnsi="Arial" w:cs="Arial"/>
        </w:rPr>
        <w:t xml:space="preserve"> </w:t>
      </w:r>
      <w:r w:rsidRPr="3BC510B2" w:rsidR="00C23991">
        <w:rPr>
          <w:rFonts w:ascii="Arial" w:hAnsi="Arial" w:cs="Arial"/>
        </w:rPr>
        <w:t>if policy incentives, cultural fluency, and corporate innovation align.</w:t>
      </w:r>
    </w:p>
    <w:p w:rsidRPr="00C23991" w:rsidR="00C23991" w:rsidP="009D5506" w:rsidRDefault="00C23991" w14:paraId="0F619451" w14:textId="21B15FA7">
      <w:pPr>
        <w:pStyle w:val="NormalWeb"/>
        <w:spacing w:line="480" w:lineRule="auto"/>
        <w:rPr>
          <w:rFonts w:ascii="Arial" w:hAnsi="Arial" w:cs="Arial"/>
        </w:rPr>
      </w:pPr>
      <w:r w:rsidRPr="3BC510B2" w:rsidR="00C23991">
        <w:rPr>
          <w:rFonts w:ascii="Arial" w:hAnsi="Arial" w:cs="Arial"/>
        </w:rPr>
        <w:t>In sum</w:t>
      </w:r>
      <w:r w:rsidRPr="3BC510B2" w:rsidR="51FC51B8">
        <w:rPr>
          <w:rFonts w:ascii="Arial" w:hAnsi="Arial" w:cs="Arial"/>
        </w:rPr>
        <w:t>mary</w:t>
      </w:r>
      <w:r w:rsidRPr="3BC510B2" w:rsidR="00C23991">
        <w:rPr>
          <w:rFonts w:ascii="Arial" w:hAnsi="Arial" w:cs="Arial"/>
        </w:rPr>
        <w:t>, navigating complex ethical tensions requires humility (learning across cultures), discipline (</w:t>
      </w:r>
      <w:r w:rsidRPr="3BC510B2" w:rsidR="3369930B">
        <w:rPr>
          <w:rFonts w:ascii="Arial" w:hAnsi="Arial" w:cs="Arial"/>
        </w:rPr>
        <w:t>risk based</w:t>
      </w:r>
      <w:r w:rsidRPr="3BC510B2" w:rsidR="00C23991">
        <w:rPr>
          <w:rFonts w:ascii="Arial" w:hAnsi="Arial" w:cs="Arial"/>
        </w:rPr>
        <w:t xml:space="preserve"> due diligence), and creativity (solutions that meet both local sensitivities and global standards). Businesses that embrace th</w:t>
      </w:r>
      <w:r w:rsidRPr="3BC510B2" w:rsidR="58AEE6EA">
        <w:rPr>
          <w:rFonts w:ascii="Arial" w:hAnsi="Arial" w:cs="Arial"/>
        </w:rPr>
        <w:t>ese three</w:t>
      </w:r>
      <w:r w:rsidRPr="3BC510B2" w:rsidR="00C23991">
        <w:rPr>
          <w:rFonts w:ascii="Arial" w:hAnsi="Arial" w:cs="Arial"/>
        </w:rPr>
        <w:t xml:space="preserve"> </w:t>
      </w:r>
      <w:r w:rsidRPr="3BC510B2" w:rsidR="00C23991">
        <w:rPr>
          <w:rFonts w:ascii="Arial" w:hAnsi="Arial" w:cs="Arial"/>
        </w:rPr>
        <w:t xml:space="preserve">will be better equipped to </w:t>
      </w:r>
      <w:r w:rsidRPr="3BC510B2" w:rsidR="00C23991">
        <w:rPr>
          <w:rFonts w:ascii="Arial" w:hAnsi="Arial" w:cs="Arial"/>
        </w:rPr>
        <w:t>operate</w:t>
      </w:r>
      <w:r w:rsidRPr="3BC510B2" w:rsidR="00C23991">
        <w:rPr>
          <w:rFonts w:ascii="Arial" w:hAnsi="Arial" w:cs="Arial"/>
        </w:rPr>
        <w:t xml:space="preserve"> ethically and competitively in a pluralistic world.</w:t>
      </w:r>
    </w:p>
    <w:p w:rsidRPr="00BE53FA" w:rsidR="00C23991" w:rsidP="00C23991" w:rsidRDefault="00C23991" w14:paraId="04650770" w14:textId="77777777">
      <w:pPr>
        <w:pStyle w:val="ListParagraph"/>
        <w:spacing w:after="0" w:line="300" w:lineRule="atLeast"/>
        <w:ind w:left="0"/>
        <w:rPr>
          <w:rFonts w:ascii="Arial" w:hAnsi="Arial" w:eastAsia="Times New Roman" w:cs="Arial"/>
          <w:b/>
          <w:bCs/>
          <w:sz w:val="24"/>
          <w:szCs w:val="24"/>
          <w:lang w:eastAsia="en-GB"/>
        </w:rPr>
      </w:pPr>
    </w:p>
    <w:p w:rsidR="3BC510B2" w:rsidP="3BC510B2" w:rsidRDefault="3BC510B2" w14:paraId="051B9B12" w14:textId="130D498E">
      <w:pPr>
        <w:spacing w:after="0" w:line="480" w:lineRule="auto"/>
        <w:rPr>
          <w:rFonts w:ascii="Arial" w:hAnsi="Arial" w:eastAsia="Times New Roman" w:cs="Arial"/>
          <w:sz w:val="24"/>
          <w:szCs w:val="24"/>
          <w:lang w:eastAsia="en-GB"/>
        </w:rPr>
      </w:pPr>
    </w:p>
    <w:p w:rsidR="3BC510B2" w:rsidP="3BC510B2" w:rsidRDefault="3BC510B2" w14:paraId="509C90DF" w14:textId="67A386CC">
      <w:pPr>
        <w:spacing w:after="0" w:line="480" w:lineRule="auto"/>
        <w:rPr>
          <w:rFonts w:ascii="Arial" w:hAnsi="Arial" w:eastAsia="Times New Roman" w:cs="Arial"/>
          <w:sz w:val="24"/>
          <w:szCs w:val="24"/>
          <w:lang w:eastAsia="en-GB"/>
        </w:rPr>
      </w:pPr>
    </w:p>
    <w:p w:rsidR="3BC510B2" w:rsidP="3BC510B2" w:rsidRDefault="3BC510B2" w14:paraId="3D32EE23" w14:textId="1FE30BA6">
      <w:pPr>
        <w:spacing w:after="0" w:line="480" w:lineRule="auto"/>
        <w:rPr>
          <w:rFonts w:ascii="Arial" w:hAnsi="Arial" w:eastAsia="Times New Roman" w:cs="Arial"/>
          <w:sz w:val="24"/>
          <w:szCs w:val="24"/>
          <w:lang w:eastAsia="en-GB"/>
        </w:rPr>
      </w:pPr>
    </w:p>
    <w:p w:rsidR="3BC510B2" w:rsidP="3BC510B2" w:rsidRDefault="3BC510B2" w14:paraId="3B427B93" w14:textId="281EA88D">
      <w:pPr>
        <w:spacing w:after="0" w:line="480" w:lineRule="auto"/>
        <w:rPr>
          <w:rFonts w:ascii="Arial" w:hAnsi="Arial" w:eastAsia="Times New Roman" w:cs="Arial"/>
          <w:sz w:val="24"/>
          <w:szCs w:val="24"/>
          <w:lang w:eastAsia="en-GB"/>
        </w:rPr>
      </w:pPr>
    </w:p>
    <w:p w:rsidR="3BC510B2" w:rsidP="3BC510B2" w:rsidRDefault="3BC510B2" w14:paraId="0AF55E90" w14:textId="209F207C">
      <w:pPr>
        <w:spacing w:after="0" w:line="480" w:lineRule="auto"/>
        <w:rPr>
          <w:rFonts w:ascii="Arial" w:hAnsi="Arial" w:eastAsia="Times New Roman" w:cs="Arial"/>
          <w:sz w:val="24"/>
          <w:szCs w:val="24"/>
          <w:lang w:eastAsia="en-GB"/>
        </w:rPr>
      </w:pPr>
    </w:p>
    <w:p w:rsidR="3BC510B2" w:rsidP="3BC510B2" w:rsidRDefault="3BC510B2" w14:paraId="7DCA734A" w14:textId="4ACF9290">
      <w:pPr>
        <w:spacing w:after="0" w:line="480" w:lineRule="auto"/>
        <w:rPr>
          <w:rFonts w:ascii="Arial" w:hAnsi="Arial" w:eastAsia="Times New Roman" w:cs="Arial"/>
          <w:sz w:val="24"/>
          <w:szCs w:val="24"/>
          <w:lang w:eastAsia="en-GB"/>
        </w:rPr>
      </w:pPr>
    </w:p>
    <w:p w:rsidR="00BE53FA" w:rsidP="00BE53FA" w:rsidRDefault="0093182D" w14:paraId="256D856D" w14:textId="02BCCE7E">
      <w:pPr>
        <w:spacing w:after="0" w:line="480" w:lineRule="auto"/>
        <w:rPr>
          <w:rFonts w:ascii="Arial" w:hAnsi="Arial" w:eastAsia="Times New Roman" w:cs="Arial"/>
          <w:sz w:val="24"/>
          <w:szCs w:val="24"/>
          <w:lang w:eastAsia="en-GB"/>
        </w:rPr>
      </w:pPr>
      <w:r w:rsidRPr="3BC510B2" w:rsidR="0093182D">
        <w:rPr>
          <w:rFonts w:ascii="Arial" w:hAnsi="Arial" w:eastAsia="Times New Roman" w:cs="Arial"/>
          <w:sz w:val="24"/>
          <w:szCs w:val="24"/>
          <w:lang w:eastAsia="en-GB"/>
        </w:rPr>
        <w:t xml:space="preserve">References </w:t>
      </w:r>
    </w:p>
    <w:p w:rsidR="7F5A38A7" w:rsidP="3BC510B2" w:rsidRDefault="7F5A38A7" w14:paraId="66D0177B" w14:textId="5868F6D5">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Greene, J. (2024) ‘Hofstede's cultural dimensions theory’, </w:t>
      </w:r>
      <w:r w:rsidRPr="3BC510B2" w:rsidR="7F5A38A7">
        <w:rPr>
          <w:rFonts w:ascii="Arial" w:hAnsi="Arial" w:eastAsia="Arial" w:cs="Arial"/>
          <w:b w:val="0"/>
          <w:bCs w:val="0"/>
          <w:i w:val="1"/>
          <w:iCs w:val="1"/>
          <w:noProof w:val="0"/>
          <w:color w:val="auto"/>
          <w:sz w:val="24"/>
          <w:szCs w:val="24"/>
          <w:u w:val="none"/>
          <w:lang w:val="en-GB"/>
        </w:rPr>
        <w:t>EBSCO Research Starters</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3ea03129b4454f18">
        <w:r w:rsidRPr="3BC510B2" w:rsidR="7F5A38A7">
          <w:rPr>
            <w:rStyle w:val="Hyperlink"/>
            <w:rFonts w:ascii="Arial" w:hAnsi="Arial" w:eastAsia="Arial" w:cs="Arial"/>
            <w:b w:val="0"/>
            <w:bCs w:val="0"/>
            <w:i w:val="0"/>
            <w:iCs w:val="0"/>
            <w:noProof w:val="0"/>
            <w:color w:val="auto"/>
            <w:sz w:val="24"/>
            <w:szCs w:val="24"/>
            <w:u w:val="none"/>
            <w:lang w:val="en-GB"/>
          </w:rPr>
          <w:t>https://www.ebsco.com/research-starters/business-and-management/hofstedes-cultural-dimensions-theory</w:t>
        </w:r>
      </w:hyperlink>
      <w:r w:rsidRPr="3BC510B2" w:rsidR="7F5A38A7">
        <w:rPr>
          <w:rFonts w:ascii="Arial" w:hAnsi="Arial" w:eastAsia="Arial" w:cs="Arial"/>
          <w:b w:val="0"/>
          <w:bCs w:val="0"/>
          <w:i w:val="0"/>
          <w:iCs w:val="0"/>
          <w:noProof w:val="0"/>
          <w:color w:val="auto"/>
          <w:sz w:val="24"/>
          <w:szCs w:val="24"/>
          <w:u w:val="none"/>
          <w:lang w:val="en-GB"/>
        </w:rPr>
        <w:t xml:space="preserve"> (Accessed: 1</w:t>
      </w:r>
      <w:r w:rsidRPr="3BC510B2" w:rsidR="56931DF5">
        <w:rPr>
          <w:rFonts w:ascii="Arial" w:hAnsi="Arial" w:eastAsia="Arial" w:cs="Arial"/>
          <w:b w:val="0"/>
          <w:bCs w:val="0"/>
          <w:i w:val="0"/>
          <w:iCs w:val="0"/>
          <w:noProof w:val="0"/>
          <w:color w:val="auto"/>
          <w:sz w:val="24"/>
          <w:szCs w:val="24"/>
          <w:u w:val="none"/>
          <w:lang w:val="en-GB"/>
        </w:rPr>
        <w:t>0</w:t>
      </w:r>
      <w:r w:rsidRPr="3BC510B2" w:rsidR="7F5A38A7">
        <w:rPr>
          <w:rFonts w:ascii="Arial" w:hAnsi="Arial" w:eastAsia="Arial" w:cs="Arial"/>
          <w:b w:val="0"/>
          <w:bCs w:val="0"/>
          <w:i w:val="0"/>
          <w:iCs w:val="0"/>
          <w:noProof w:val="0"/>
          <w:color w:val="auto"/>
          <w:sz w:val="24"/>
          <w:szCs w:val="24"/>
          <w:u w:val="none"/>
          <w:lang w:val="en-GB"/>
        </w:rPr>
        <w:t xml:space="preserve"> December 2025).</w:t>
      </w:r>
    </w:p>
    <w:p w:rsidR="7F5A38A7" w:rsidP="3BC510B2" w:rsidRDefault="7F5A38A7" w14:paraId="30668E1B" w14:textId="66711CF2">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Nickerson, C. (2025) ‘Hofstede’s Cultural Dimensions Theory’, </w:t>
      </w:r>
      <w:r w:rsidRPr="3BC510B2" w:rsidR="7F5A38A7">
        <w:rPr>
          <w:rFonts w:ascii="Arial" w:hAnsi="Arial" w:eastAsia="Arial" w:cs="Arial"/>
          <w:b w:val="0"/>
          <w:bCs w:val="0"/>
          <w:i w:val="1"/>
          <w:iCs w:val="1"/>
          <w:noProof w:val="0"/>
          <w:color w:val="auto"/>
          <w:sz w:val="24"/>
          <w:szCs w:val="24"/>
          <w:u w:val="none"/>
          <w:lang w:val="en-GB"/>
        </w:rPr>
        <w:t>Simply Psychology</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29a7b3c5d42f4b99">
        <w:r w:rsidRPr="3BC510B2" w:rsidR="7F5A38A7">
          <w:rPr>
            <w:rStyle w:val="Hyperlink"/>
            <w:rFonts w:ascii="Arial" w:hAnsi="Arial" w:eastAsia="Arial" w:cs="Arial"/>
            <w:b w:val="0"/>
            <w:bCs w:val="0"/>
            <w:i w:val="0"/>
            <w:iCs w:val="0"/>
            <w:noProof w:val="0"/>
            <w:color w:val="auto"/>
            <w:sz w:val="24"/>
            <w:szCs w:val="24"/>
            <w:u w:val="none"/>
            <w:lang w:val="en-GB"/>
          </w:rPr>
          <w:t>https://www.simplypsychology.org/hofstedes-cultural-dimensions-theory.html</w:t>
        </w:r>
      </w:hyperlink>
      <w:r w:rsidRPr="3BC510B2" w:rsidR="7F5A38A7">
        <w:rPr>
          <w:rFonts w:ascii="Arial" w:hAnsi="Arial" w:eastAsia="Arial" w:cs="Arial"/>
          <w:b w:val="0"/>
          <w:bCs w:val="0"/>
          <w:i w:val="0"/>
          <w:iCs w:val="0"/>
          <w:noProof w:val="0"/>
          <w:color w:val="auto"/>
          <w:sz w:val="24"/>
          <w:szCs w:val="24"/>
          <w:u w:val="none"/>
          <w:lang w:val="en-GB"/>
        </w:rPr>
        <w:t xml:space="preserve"> (Accessed: 1</w:t>
      </w:r>
      <w:r w:rsidRPr="3BC510B2" w:rsidR="32EFCFAE">
        <w:rPr>
          <w:rFonts w:ascii="Arial" w:hAnsi="Arial" w:eastAsia="Arial" w:cs="Arial"/>
          <w:b w:val="0"/>
          <w:bCs w:val="0"/>
          <w:i w:val="0"/>
          <w:iCs w:val="0"/>
          <w:noProof w:val="0"/>
          <w:color w:val="auto"/>
          <w:sz w:val="24"/>
          <w:szCs w:val="24"/>
          <w:u w:val="none"/>
          <w:lang w:val="en-GB"/>
        </w:rPr>
        <w:t>0</w:t>
      </w:r>
      <w:r w:rsidRPr="3BC510B2" w:rsidR="7F5A38A7">
        <w:rPr>
          <w:rFonts w:ascii="Arial" w:hAnsi="Arial" w:eastAsia="Arial" w:cs="Arial"/>
          <w:b w:val="0"/>
          <w:bCs w:val="0"/>
          <w:i w:val="0"/>
          <w:iCs w:val="0"/>
          <w:noProof w:val="0"/>
          <w:color w:val="auto"/>
          <w:sz w:val="24"/>
          <w:szCs w:val="24"/>
          <w:u w:val="none"/>
          <w:lang w:val="en-GB"/>
        </w:rPr>
        <w:t xml:space="preserve"> December 2025).</w:t>
      </w:r>
    </w:p>
    <w:p w:rsidR="7F5A38A7" w:rsidP="3BC510B2" w:rsidRDefault="7F5A38A7" w14:paraId="2A184A39" w14:textId="5ECCBFB2">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Vinney, C. (2025) ‘Hofstede's Six Cultural Dimensions—and Why They Matter’, </w:t>
      </w:r>
      <w:r w:rsidRPr="3BC510B2" w:rsidR="7F5A38A7">
        <w:rPr>
          <w:rFonts w:ascii="Arial" w:hAnsi="Arial" w:eastAsia="Arial" w:cs="Arial"/>
          <w:b w:val="0"/>
          <w:bCs w:val="0"/>
          <w:i w:val="1"/>
          <w:iCs w:val="1"/>
          <w:noProof w:val="0"/>
          <w:color w:val="auto"/>
          <w:sz w:val="24"/>
          <w:szCs w:val="24"/>
          <w:u w:val="none"/>
          <w:lang w:val="en-GB"/>
        </w:rPr>
        <w:t>Verywell</w:t>
      </w:r>
      <w:r w:rsidRPr="3BC510B2" w:rsidR="7F5A38A7">
        <w:rPr>
          <w:rFonts w:ascii="Arial" w:hAnsi="Arial" w:eastAsia="Arial" w:cs="Arial"/>
          <w:b w:val="0"/>
          <w:bCs w:val="0"/>
          <w:i w:val="1"/>
          <w:iCs w:val="1"/>
          <w:noProof w:val="0"/>
          <w:color w:val="auto"/>
          <w:sz w:val="24"/>
          <w:szCs w:val="24"/>
          <w:u w:val="none"/>
          <w:lang w:val="en-GB"/>
        </w:rPr>
        <w:t xml:space="preserve"> Mind</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cc6c271b09714e34">
        <w:r w:rsidRPr="3BC510B2" w:rsidR="7F5A38A7">
          <w:rPr>
            <w:rStyle w:val="Hyperlink"/>
            <w:rFonts w:ascii="Arial" w:hAnsi="Arial" w:eastAsia="Arial" w:cs="Arial"/>
            <w:b w:val="0"/>
            <w:bCs w:val="0"/>
            <w:i w:val="0"/>
            <w:iCs w:val="0"/>
            <w:noProof w:val="0"/>
            <w:color w:val="auto"/>
            <w:sz w:val="24"/>
            <w:szCs w:val="24"/>
            <w:u w:val="none"/>
            <w:lang w:val="en-GB"/>
          </w:rPr>
          <w:t>https://www.verywellmind.com/hofstedes-cultural-dimensions-8583990</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79E05EC3" w14:textId="60003516">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Tajima, K. (2024) ‘Keiretsu: Japanese Business Groups, Corporate Structure &amp; Benefits’, </w:t>
      </w:r>
      <w:r w:rsidRPr="3BC510B2" w:rsidR="7F5A38A7">
        <w:rPr>
          <w:rFonts w:ascii="Arial" w:hAnsi="Arial" w:eastAsia="Arial" w:cs="Arial"/>
          <w:b w:val="0"/>
          <w:bCs w:val="0"/>
          <w:i w:val="1"/>
          <w:iCs w:val="1"/>
          <w:noProof w:val="0"/>
          <w:color w:val="auto"/>
          <w:sz w:val="24"/>
          <w:szCs w:val="24"/>
          <w:u w:val="none"/>
          <w:lang w:val="en-GB"/>
        </w:rPr>
        <w:t>Britannica Money</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3ebf86a2ab2d4954">
        <w:r w:rsidRPr="3BC510B2" w:rsidR="7F5A38A7">
          <w:rPr>
            <w:rStyle w:val="Hyperlink"/>
            <w:rFonts w:ascii="Arial" w:hAnsi="Arial" w:eastAsia="Arial" w:cs="Arial"/>
            <w:b w:val="0"/>
            <w:bCs w:val="0"/>
            <w:i w:val="0"/>
            <w:iCs w:val="0"/>
            <w:noProof w:val="0"/>
            <w:color w:val="auto"/>
            <w:sz w:val="24"/>
            <w:szCs w:val="24"/>
            <w:u w:val="none"/>
            <w:lang w:val="en-GB"/>
          </w:rPr>
          <w:t>https://www.britannica.com/money/keiretsu</w:t>
        </w:r>
      </w:hyperlink>
      <w:r w:rsidRPr="3BC510B2" w:rsidR="7F5A38A7">
        <w:rPr>
          <w:rFonts w:ascii="Arial" w:hAnsi="Arial" w:eastAsia="Arial" w:cs="Arial"/>
          <w:b w:val="0"/>
          <w:bCs w:val="0"/>
          <w:i w:val="0"/>
          <w:iCs w:val="0"/>
          <w:noProof w:val="0"/>
          <w:color w:val="auto"/>
          <w:sz w:val="24"/>
          <w:szCs w:val="24"/>
          <w:u w:val="none"/>
          <w:lang w:val="en-GB"/>
        </w:rPr>
        <w:t xml:space="preserve"> (Accessed: </w:t>
      </w:r>
      <w:r w:rsidRPr="3BC510B2" w:rsidR="19C76B15">
        <w:rPr>
          <w:rFonts w:ascii="Arial" w:hAnsi="Arial" w:eastAsia="Arial" w:cs="Arial"/>
          <w:b w:val="0"/>
          <w:bCs w:val="0"/>
          <w:i w:val="0"/>
          <w:iCs w:val="0"/>
          <w:noProof w:val="0"/>
          <w:color w:val="auto"/>
          <w:sz w:val="24"/>
          <w:szCs w:val="24"/>
          <w:u w:val="none"/>
          <w:lang w:val="en-GB"/>
        </w:rPr>
        <w:t>9</w:t>
      </w:r>
      <w:r w:rsidRPr="3BC510B2" w:rsidR="7F5A38A7">
        <w:rPr>
          <w:rFonts w:ascii="Arial" w:hAnsi="Arial" w:eastAsia="Arial" w:cs="Arial"/>
          <w:b w:val="0"/>
          <w:bCs w:val="0"/>
          <w:i w:val="0"/>
          <w:iCs w:val="0"/>
          <w:noProof w:val="0"/>
          <w:color w:val="auto"/>
          <w:sz w:val="24"/>
          <w:szCs w:val="24"/>
          <w:u w:val="none"/>
          <w:lang w:val="en-GB"/>
        </w:rPr>
        <w:t xml:space="preserve"> December 2025).</w:t>
      </w:r>
    </w:p>
    <w:p w:rsidR="7F5A38A7" w:rsidP="3BC510B2" w:rsidRDefault="7F5A38A7" w14:paraId="6964044C" w14:textId="7EC860CF">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Twomey, B. (2024) ‘Understanding Japanese Keiretsu’, </w:t>
      </w:r>
      <w:r w:rsidRPr="3BC510B2" w:rsidR="7F5A38A7">
        <w:rPr>
          <w:rFonts w:ascii="Arial" w:hAnsi="Arial" w:eastAsia="Arial" w:cs="Arial"/>
          <w:b w:val="0"/>
          <w:bCs w:val="0"/>
          <w:i w:val="1"/>
          <w:iCs w:val="1"/>
          <w:noProof w:val="0"/>
          <w:color w:val="auto"/>
          <w:sz w:val="24"/>
          <w:szCs w:val="24"/>
          <w:u w:val="none"/>
          <w:lang w:val="en-GB"/>
        </w:rPr>
        <w:t>Investopedia</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8c71964a5a934304">
        <w:r w:rsidRPr="3BC510B2" w:rsidR="7F5A38A7">
          <w:rPr>
            <w:rStyle w:val="Hyperlink"/>
            <w:rFonts w:ascii="Arial" w:hAnsi="Arial" w:eastAsia="Arial" w:cs="Arial"/>
            <w:b w:val="0"/>
            <w:bCs w:val="0"/>
            <w:i w:val="0"/>
            <w:iCs w:val="0"/>
            <w:noProof w:val="0"/>
            <w:color w:val="auto"/>
            <w:sz w:val="24"/>
            <w:szCs w:val="24"/>
            <w:u w:val="none"/>
            <w:lang w:val="en-GB"/>
          </w:rPr>
          <w:t>https://www.investopedia.com/articles/economics/09/japanese-keiretsu.asp</w:t>
        </w:r>
      </w:hyperlink>
      <w:r w:rsidRPr="3BC510B2" w:rsidR="7F5A38A7">
        <w:rPr>
          <w:rFonts w:ascii="Arial" w:hAnsi="Arial" w:eastAsia="Arial" w:cs="Arial"/>
          <w:b w:val="0"/>
          <w:bCs w:val="0"/>
          <w:i w:val="0"/>
          <w:iCs w:val="0"/>
          <w:noProof w:val="0"/>
          <w:color w:val="auto"/>
          <w:sz w:val="24"/>
          <w:szCs w:val="24"/>
          <w:u w:val="none"/>
          <w:lang w:val="en-GB"/>
        </w:rPr>
        <w:t xml:space="preserve"> (Accessed: </w:t>
      </w:r>
      <w:r w:rsidRPr="3BC510B2" w:rsidR="1F0ED74A">
        <w:rPr>
          <w:rFonts w:ascii="Arial" w:hAnsi="Arial" w:eastAsia="Arial" w:cs="Arial"/>
          <w:b w:val="0"/>
          <w:bCs w:val="0"/>
          <w:i w:val="0"/>
          <w:iCs w:val="0"/>
          <w:noProof w:val="0"/>
          <w:color w:val="auto"/>
          <w:sz w:val="24"/>
          <w:szCs w:val="24"/>
          <w:u w:val="none"/>
          <w:lang w:val="en-GB"/>
        </w:rPr>
        <w:t>9</w:t>
      </w:r>
      <w:r w:rsidRPr="3BC510B2" w:rsidR="7F5A38A7">
        <w:rPr>
          <w:rFonts w:ascii="Arial" w:hAnsi="Arial" w:eastAsia="Arial" w:cs="Arial"/>
          <w:b w:val="0"/>
          <w:bCs w:val="0"/>
          <w:i w:val="0"/>
          <w:iCs w:val="0"/>
          <w:noProof w:val="0"/>
          <w:color w:val="auto"/>
          <w:sz w:val="24"/>
          <w:szCs w:val="24"/>
          <w:u w:val="none"/>
          <w:lang w:val="en-GB"/>
        </w:rPr>
        <w:t xml:space="preserve"> December 2025).</w:t>
      </w:r>
    </w:p>
    <w:p w:rsidR="7F5A38A7" w:rsidP="3BC510B2" w:rsidRDefault="7F5A38A7" w14:paraId="4218BE13" w14:textId="7DC39889">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OECD (2023) </w:t>
      </w:r>
      <w:r w:rsidRPr="3BC510B2" w:rsidR="7F5A38A7">
        <w:rPr>
          <w:rFonts w:ascii="Arial" w:hAnsi="Arial" w:eastAsia="Arial" w:cs="Arial"/>
          <w:b w:val="0"/>
          <w:bCs w:val="0"/>
          <w:i w:val="1"/>
          <w:iCs w:val="1"/>
          <w:noProof w:val="0"/>
          <w:color w:val="auto"/>
          <w:sz w:val="24"/>
          <w:szCs w:val="24"/>
          <w:u w:val="none"/>
          <w:lang w:val="en-GB"/>
        </w:rPr>
        <w:t>OECD Guidelines for Multinational Enterprises on Responsible Business Conduct</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8c0dacc35d2a4826">
        <w:r w:rsidRPr="3BC510B2" w:rsidR="7F5A38A7">
          <w:rPr>
            <w:rStyle w:val="Hyperlink"/>
            <w:rFonts w:ascii="Arial" w:hAnsi="Arial" w:eastAsia="Arial" w:cs="Arial"/>
            <w:b w:val="0"/>
            <w:bCs w:val="0"/>
            <w:i w:val="0"/>
            <w:iCs w:val="0"/>
            <w:noProof w:val="0"/>
            <w:color w:val="auto"/>
            <w:sz w:val="24"/>
            <w:szCs w:val="24"/>
            <w:u w:val="none"/>
            <w:lang w:val="en-GB"/>
          </w:rPr>
          <w:t>https://www.oecd.org/content/dam/oecd/en/publications/reports/2023/06/oecd-guidelines-for-multinational-enterprises-on-responsible-business-conduct_a0b49990/81f92357-en.pdf</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5730D0B2" w14:textId="72870CED">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European Commission (2024) ‘Corporate sustainability due diligence’, </w:t>
      </w:r>
      <w:r w:rsidRPr="3BC510B2" w:rsidR="7F5A38A7">
        <w:rPr>
          <w:rFonts w:ascii="Arial" w:hAnsi="Arial" w:eastAsia="Arial" w:cs="Arial"/>
          <w:b w:val="0"/>
          <w:bCs w:val="0"/>
          <w:i w:val="1"/>
          <w:iCs w:val="1"/>
          <w:noProof w:val="0"/>
          <w:color w:val="auto"/>
          <w:sz w:val="24"/>
          <w:szCs w:val="24"/>
          <w:u w:val="none"/>
          <w:lang w:val="en-GB"/>
        </w:rPr>
        <w:t>European Commission</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5ed29dfee4ac4b4c">
        <w:r w:rsidRPr="3BC510B2" w:rsidR="7F5A38A7">
          <w:rPr>
            <w:rStyle w:val="Hyperlink"/>
            <w:rFonts w:ascii="Arial" w:hAnsi="Arial" w:eastAsia="Arial" w:cs="Arial"/>
            <w:b w:val="0"/>
            <w:bCs w:val="0"/>
            <w:i w:val="0"/>
            <w:iCs w:val="0"/>
            <w:noProof w:val="0"/>
            <w:color w:val="auto"/>
            <w:sz w:val="24"/>
            <w:szCs w:val="24"/>
            <w:u w:val="none"/>
            <w:lang w:val="en-GB"/>
          </w:rPr>
          <w:t>https://commission.europa.eu/business-economy-euro/doing-business-eu/sustainability-due-diligence-responsible-business/corporate-sustainability-due-diligence_en</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622E25BF" w14:textId="3E4DEBC7">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Littenberg</w:t>
      </w:r>
      <w:r w:rsidRPr="3BC510B2" w:rsidR="7F5A38A7">
        <w:rPr>
          <w:rFonts w:ascii="Arial" w:hAnsi="Arial" w:eastAsia="Arial" w:cs="Arial"/>
          <w:b w:val="0"/>
          <w:bCs w:val="0"/>
          <w:i w:val="0"/>
          <w:iCs w:val="0"/>
          <w:noProof w:val="0"/>
          <w:color w:val="auto"/>
          <w:sz w:val="24"/>
          <w:szCs w:val="24"/>
          <w:u w:val="none"/>
          <w:lang w:val="en-GB"/>
        </w:rPr>
        <w:t xml:space="preserve">, M.R., Rotter, M., Elliott, S., Murphy, K.R. &amp; Witschi, P. (2025) ‘Political Agreement on the CSRD/CSDDD Omnibus Reached – 15 Key Details to Know’, </w:t>
      </w:r>
      <w:r w:rsidRPr="3BC510B2" w:rsidR="7F5A38A7">
        <w:rPr>
          <w:rFonts w:ascii="Arial" w:hAnsi="Arial" w:eastAsia="Arial" w:cs="Arial"/>
          <w:b w:val="0"/>
          <w:bCs w:val="0"/>
          <w:i w:val="1"/>
          <w:iCs w:val="1"/>
          <w:noProof w:val="0"/>
          <w:color w:val="auto"/>
          <w:sz w:val="24"/>
          <w:szCs w:val="24"/>
          <w:u w:val="none"/>
          <w:lang w:val="en-GB"/>
        </w:rPr>
        <w:t>Ropes &amp; Gray LLP</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b1332e2c29f646f1">
        <w:r w:rsidRPr="3BC510B2" w:rsidR="7F5A38A7">
          <w:rPr>
            <w:rStyle w:val="Hyperlink"/>
            <w:rFonts w:ascii="Arial" w:hAnsi="Arial" w:eastAsia="Arial" w:cs="Arial"/>
            <w:b w:val="0"/>
            <w:bCs w:val="0"/>
            <w:i w:val="0"/>
            <w:iCs w:val="0"/>
            <w:noProof w:val="0"/>
            <w:color w:val="auto"/>
            <w:sz w:val="24"/>
            <w:szCs w:val="24"/>
            <w:u w:val="none"/>
            <w:lang w:val="en-GB"/>
          </w:rPr>
          <w:t>https://www.ropesgray.com/en/insights/viewpoints/102lx77/political-agreement-on-the-csrd-csddd-omnibus-reached-15-key-details-to-know</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0A413F10" w14:textId="1CDCE441">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Gov.uk (2024) ‘Less healthy food or drink: advertising and promotions restrictions’, </w:t>
      </w:r>
      <w:r w:rsidRPr="3BC510B2" w:rsidR="7F5A38A7">
        <w:rPr>
          <w:rFonts w:ascii="Arial" w:hAnsi="Arial" w:eastAsia="Arial" w:cs="Arial"/>
          <w:b w:val="0"/>
          <w:bCs w:val="0"/>
          <w:i w:val="1"/>
          <w:iCs w:val="1"/>
          <w:noProof w:val="0"/>
          <w:color w:val="auto"/>
          <w:sz w:val="24"/>
          <w:szCs w:val="24"/>
          <w:u w:val="none"/>
          <w:lang w:val="en-GB"/>
        </w:rPr>
        <w:t>GOV.UK</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90d5ffc949584848">
        <w:r w:rsidRPr="3BC510B2" w:rsidR="7F5A38A7">
          <w:rPr>
            <w:rStyle w:val="Hyperlink"/>
            <w:rFonts w:ascii="Arial" w:hAnsi="Arial" w:eastAsia="Arial" w:cs="Arial"/>
            <w:b w:val="0"/>
            <w:bCs w:val="0"/>
            <w:i w:val="0"/>
            <w:iCs w:val="0"/>
            <w:noProof w:val="0"/>
            <w:color w:val="auto"/>
            <w:sz w:val="24"/>
            <w:szCs w:val="24"/>
            <w:u w:val="none"/>
            <w:lang w:val="en-GB"/>
          </w:rPr>
          <w:t>https://www.gov.uk/government/collections/less-healthy-food-or-drink-advertising-and-promotions-restrictions</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59895F24" w14:textId="09815D9E">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UK Government (2025) ‘The Communications Act 2003 (Restrictions on the Advertising of Less Healthy Food) (Effective Date) (Amendment) Regulations 2025’, </w:t>
      </w:r>
      <w:r w:rsidRPr="3BC510B2" w:rsidR="7F5A38A7">
        <w:rPr>
          <w:rFonts w:ascii="Arial" w:hAnsi="Arial" w:eastAsia="Arial" w:cs="Arial"/>
          <w:b w:val="0"/>
          <w:bCs w:val="0"/>
          <w:i w:val="1"/>
          <w:iCs w:val="1"/>
          <w:noProof w:val="0"/>
          <w:color w:val="auto"/>
          <w:sz w:val="24"/>
          <w:szCs w:val="24"/>
          <w:u w:val="none"/>
          <w:lang w:val="en-GB"/>
        </w:rPr>
        <w:t>Legislation.gov.uk</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f148bee3407e449c">
        <w:r w:rsidRPr="3BC510B2" w:rsidR="7F5A38A7">
          <w:rPr>
            <w:rStyle w:val="Hyperlink"/>
            <w:rFonts w:ascii="Arial" w:hAnsi="Arial" w:eastAsia="Arial" w:cs="Arial"/>
            <w:b w:val="0"/>
            <w:bCs w:val="0"/>
            <w:i w:val="0"/>
            <w:iCs w:val="0"/>
            <w:noProof w:val="0"/>
            <w:color w:val="auto"/>
            <w:sz w:val="24"/>
            <w:szCs w:val="24"/>
            <w:u w:val="none"/>
            <w:lang w:val="en-GB"/>
          </w:rPr>
          <w:t>https://www.legislation.gov.uk/uksi/2025/641/pdfs/uksiem_20250641_en_001.pdf</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7AAF281E" w14:textId="77D95BAB">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Silverman, I. (2025) ‘New ASA Clarifications on Advertising Restrictions for Less Healthy Foods’, </w:t>
      </w:r>
      <w:r w:rsidRPr="3BC510B2" w:rsidR="7F5A38A7">
        <w:rPr>
          <w:rFonts w:ascii="Arial" w:hAnsi="Arial" w:eastAsia="Arial" w:cs="Arial"/>
          <w:b w:val="0"/>
          <w:bCs w:val="0"/>
          <w:i w:val="1"/>
          <w:iCs w:val="1"/>
          <w:noProof w:val="0"/>
          <w:color w:val="auto"/>
          <w:sz w:val="24"/>
          <w:szCs w:val="24"/>
          <w:u w:val="none"/>
          <w:lang w:val="en-GB"/>
        </w:rPr>
        <w:t>Freeths</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cdc222d9991b4ecd">
        <w:r w:rsidRPr="3BC510B2" w:rsidR="7F5A38A7">
          <w:rPr>
            <w:rStyle w:val="Hyperlink"/>
            <w:rFonts w:ascii="Arial" w:hAnsi="Arial" w:eastAsia="Arial" w:cs="Arial"/>
            <w:b w:val="0"/>
            <w:bCs w:val="0"/>
            <w:i w:val="0"/>
            <w:iCs w:val="0"/>
            <w:noProof w:val="0"/>
            <w:color w:val="auto"/>
            <w:sz w:val="24"/>
            <w:szCs w:val="24"/>
            <w:u w:val="none"/>
            <w:lang w:val="en-GB"/>
          </w:rPr>
          <w:t>https://www.freeths.co.uk/insights-events/legal-articles/2025/new-asa-clarifications-on-advertising-restrictions-for-less-healthy-foods/</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5B2067CE" w14:textId="089E6FCF">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Council of the European Union (2025) ‘Council and Parliament strike a deal to simplify sustainability reporting and due diligence requirements and boost EU competitiveness’, </w:t>
      </w:r>
      <w:r w:rsidRPr="3BC510B2" w:rsidR="7F5A38A7">
        <w:rPr>
          <w:rFonts w:ascii="Arial" w:hAnsi="Arial" w:eastAsia="Arial" w:cs="Arial"/>
          <w:b w:val="0"/>
          <w:bCs w:val="0"/>
          <w:i w:val="1"/>
          <w:iCs w:val="1"/>
          <w:noProof w:val="0"/>
          <w:color w:val="auto"/>
          <w:sz w:val="24"/>
          <w:szCs w:val="24"/>
          <w:u w:val="none"/>
          <w:lang w:val="en-GB"/>
        </w:rPr>
        <w:t>Consilium</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34025f8ff48f44d1">
        <w:r w:rsidRPr="3BC510B2" w:rsidR="7F5A38A7">
          <w:rPr>
            <w:rStyle w:val="Hyperlink"/>
            <w:rFonts w:ascii="Arial" w:hAnsi="Arial" w:eastAsia="Arial" w:cs="Arial"/>
            <w:b w:val="0"/>
            <w:bCs w:val="0"/>
            <w:i w:val="0"/>
            <w:iCs w:val="0"/>
            <w:noProof w:val="0"/>
            <w:color w:val="auto"/>
            <w:sz w:val="24"/>
            <w:szCs w:val="24"/>
            <w:u w:val="none"/>
            <w:lang w:val="en-GB"/>
          </w:rPr>
          <w:t>https://www.consilium.europa.eu/en/press/press-releases/2025/12/09/council-and-parliament-strike-a-deal-to-simplify-sustainability-reporting-and-due-diligence-requirements-and-boost-eu-competitiveness/</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01DB3182" w14:textId="2B5AA33A">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Gov.uk (2025) ‘Junk food ad ban legislation progresses to curb childhood obesity’, </w:t>
      </w:r>
      <w:r w:rsidRPr="3BC510B2" w:rsidR="7F5A38A7">
        <w:rPr>
          <w:rFonts w:ascii="Arial" w:hAnsi="Arial" w:eastAsia="Arial" w:cs="Arial"/>
          <w:b w:val="0"/>
          <w:bCs w:val="0"/>
          <w:i w:val="1"/>
          <w:iCs w:val="1"/>
          <w:noProof w:val="0"/>
          <w:color w:val="auto"/>
          <w:sz w:val="24"/>
          <w:szCs w:val="24"/>
          <w:u w:val="none"/>
          <w:lang w:val="en-GB"/>
        </w:rPr>
        <w:t>GOV.UK</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7506da0bdab44d45">
        <w:r w:rsidRPr="3BC510B2" w:rsidR="7F5A38A7">
          <w:rPr>
            <w:rStyle w:val="Hyperlink"/>
            <w:rFonts w:ascii="Arial" w:hAnsi="Arial" w:eastAsia="Arial" w:cs="Arial"/>
            <w:b w:val="0"/>
            <w:bCs w:val="0"/>
            <w:i w:val="0"/>
            <w:iCs w:val="0"/>
            <w:noProof w:val="0"/>
            <w:color w:val="auto"/>
            <w:sz w:val="24"/>
            <w:szCs w:val="24"/>
            <w:u w:val="none"/>
            <w:lang w:val="en-GB"/>
          </w:rPr>
          <w:t>https://www.gov.uk/government/news/junk-food-ad-ban-legislation-progresses-to-curb-childhood-obesity</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23F9B0C3" w14:textId="3B7BDE46">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Sustain (2025) ‘UK Government bows to industry: delaying TV and online advertising restrictions again’, </w:t>
      </w:r>
      <w:r w:rsidRPr="3BC510B2" w:rsidR="7F5A38A7">
        <w:rPr>
          <w:rFonts w:ascii="Arial" w:hAnsi="Arial" w:eastAsia="Arial" w:cs="Arial"/>
          <w:b w:val="0"/>
          <w:bCs w:val="0"/>
          <w:i w:val="1"/>
          <w:iCs w:val="1"/>
          <w:noProof w:val="0"/>
          <w:color w:val="auto"/>
          <w:sz w:val="24"/>
          <w:szCs w:val="24"/>
          <w:u w:val="none"/>
          <w:lang w:val="en-GB"/>
        </w:rPr>
        <w:t>Sustain</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ea95b2d10a3c47e4">
        <w:r w:rsidRPr="3BC510B2" w:rsidR="7F5A38A7">
          <w:rPr>
            <w:rStyle w:val="Hyperlink"/>
            <w:rFonts w:ascii="Arial" w:hAnsi="Arial" w:eastAsia="Arial" w:cs="Arial"/>
            <w:b w:val="0"/>
            <w:bCs w:val="0"/>
            <w:i w:val="0"/>
            <w:iCs w:val="0"/>
            <w:noProof w:val="0"/>
            <w:color w:val="auto"/>
            <w:sz w:val="24"/>
            <w:szCs w:val="24"/>
            <w:u w:val="none"/>
            <w:lang w:val="en-GB"/>
          </w:rPr>
          <w:t>https://www.sustainweb.org/news/may25-tv-online-advertising-restrictions-delayed/</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7F5A38A7" w:rsidP="3BC510B2" w:rsidRDefault="7F5A38A7" w14:paraId="72B713B5" w14:textId="487D58E2">
      <w:pPr>
        <w:pStyle w:val="Normal"/>
        <w:spacing w:before="210" w:beforeAutospacing="off" w:after="210" w:afterAutospacing="off" w:line="300" w:lineRule="auto"/>
        <w:rPr>
          <w:rFonts w:ascii="Arial" w:hAnsi="Arial" w:eastAsia="Arial" w:cs="Arial"/>
          <w:b w:val="0"/>
          <w:bCs w:val="0"/>
          <w:i w:val="0"/>
          <w:iCs w:val="0"/>
          <w:noProof w:val="0"/>
          <w:color w:val="auto"/>
          <w:sz w:val="24"/>
          <w:szCs w:val="24"/>
          <w:u w:val="none"/>
          <w:lang w:val="en-GB"/>
        </w:rPr>
      </w:pPr>
      <w:r w:rsidRPr="3BC510B2" w:rsidR="7F5A38A7">
        <w:rPr>
          <w:rFonts w:ascii="Arial" w:hAnsi="Arial" w:eastAsia="Arial" w:cs="Arial"/>
          <w:b w:val="0"/>
          <w:bCs w:val="0"/>
          <w:i w:val="0"/>
          <w:iCs w:val="0"/>
          <w:noProof w:val="0"/>
          <w:color w:val="auto"/>
          <w:sz w:val="24"/>
          <w:szCs w:val="24"/>
          <w:u w:val="none"/>
          <w:lang w:val="en-GB"/>
        </w:rPr>
        <w:t xml:space="preserve">Markkula </w:t>
      </w:r>
      <w:r w:rsidRPr="3BC510B2" w:rsidR="7F5A38A7">
        <w:rPr>
          <w:rFonts w:ascii="Arial" w:hAnsi="Arial" w:eastAsia="Arial" w:cs="Arial"/>
          <w:b w:val="0"/>
          <w:bCs w:val="0"/>
          <w:i w:val="0"/>
          <w:iCs w:val="0"/>
          <w:noProof w:val="0"/>
          <w:color w:val="auto"/>
          <w:sz w:val="24"/>
          <w:szCs w:val="24"/>
          <w:u w:val="none"/>
          <w:lang w:val="en-GB"/>
        </w:rPr>
        <w:t>Center</w:t>
      </w:r>
      <w:r w:rsidRPr="3BC510B2" w:rsidR="7F5A38A7">
        <w:rPr>
          <w:rFonts w:ascii="Arial" w:hAnsi="Arial" w:eastAsia="Arial" w:cs="Arial"/>
          <w:b w:val="0"/>
          <w:bCs w:val="0"/>
          <w:i w:val="0"/>
          <w:iCs w:val="0"/>
          <w:noProof w:val="0"/>
          <w:color w:val="auto"/>
          <w:sz w:val="24"/>
          <w:szCs w:val="24"/>
          <w:u w:val="none"/>
          <w:lang w:val="en-GB"/>
        </w:rPr>
        <w:t xml:space="preserve"> for Applied Ethics (n.d.) ‘What is Business Ethics?</w:t>
      </w:r>
      <w:r w:rsidRPr="3BC510B2" w:rsidR="7F5A38A7">
        <w:rPr>
          <w:rFonts w:ascii="Arial" w:hAnsi="Arial" w:eastAsia="Arial" w:cs="Arial"/>
          <w:b w:val="0"/>
          <w:bCs w:val="0"/>
          <w:i w:val="0"/>
          <w:iCs w:val="0"/>
          <w:noProof w:val="0"/>
          <w:color w:val="auto"/>
          <w:sz w:val="24"/>
          <w:szCs w:val="24"/>
          <w:u w:val="none"/>
          <w:lang w:val="en-GB"/>
        </w:rPr>
        <w:t>’,</w:t>
      </w:r>
      <w:r w:rsidRPr="3BC510B2" w:rsidR="7F5A38A7">
        <w:rPr>
          <w:rFonts w:ascii="Arial" w:hAnsi="Arial" w:eastAsia="Arial" w:cs="Arial"/>
          <w:b w:val="0"/>
          <w:bCs w:val="0"/>
          <w:i w:val="0"/>
          <w:iCs w:val="0"/>
          <w:noProof w:val="0"/>
          <w:color w:val="auto"/>
          <w:sz w:val="24"/>
          <w:szCs w:val="24"/>
          <w:u w:val="none"/>
          <w:lang w:val="en-GB"/>
        </w:rPr>
        <w:t xml:space="preserve"> </w:t>
      </w:r>
      <w:r w:rsidRPr="3BC510B2" w:rsidR="7F5A38A7">
        <w:rPr>
          <w:rFonts w:ascii="Arial" w:hAnsi="Arial" w:eastAsia="Arial" w:cs="Arial"/>
          <w:b w:val="0"/>
          <w:bCs w:val="0"/>
          <w:i w:val="1"/>
          <w:iCs w:val="1"/>
          <w:noProof w:val="0"/>
          <w:color w:val="auto"/>
          <w:sz w:val="24"/>
          <w:szCs w:val="24"/>
          <w:u w:val="none"/>
          <w:lang w:val="en-GB"/>
        </w:rPr>
        <w:t xml:space="preserve">Markkula </w:t>
      </w:r>
      <w:r w:rsidRPr="3BC510B2" w:rsidR="7F5A38A7">
        <w:rPr>
          <w:rFonts w:ascii="Arial" w:hAnsi="Arial" w:eastAsia="Arial" w:cs="Arial"/>
          <w:b w:val="0"/>
          <w:bCs w:val="0"/>
          <w:i w:val="1"/>
          <w:iCs w:val="1"/>
          <w:noProof w:val="0"/>
          <w:color w:val="auto"/>
          <w:sz w:val="24"/>
          <w:szCs w:val="24"/>
          <w:u w:val="none"/>
          <w:lang w:val="en-GB"/>
        </w:rPr>
        <w:t>Center</w:t>
      </w:r>
      <w:r w:rsidRPr="3BC510B2" w:rsidR="7F5A38A7">
        <w:rPr>
          <w:rFonts w:ascii="Arial" w:hAnsi="Arial" w:eastAsia="Arial" w:cs="Arial"/>
          <w:b w:val="0"/>
          <w:bCs w:val="0"/>
          <w:i w:val="1"/>
          <w:iCs w:val="1"/>
          <w:noProof w:val="0"/>
          <w:color w:val="auto"/>
          <w:sz w:val="24"/>
          <w:szCs w:val="24"/>
          <w:u w:val="none"/>
          <w:lang w:val="en-GB"/>
        </w:rPr>
        <w:t xml:space="preserve"> for Applied Ethics</w:t>
      </w:r>
      <w:r w:rsidRPr="3BC510B2" w:rsidR="7F5A38A7">
        <w:rPr>
          <w:rFonts w:ascii="Arial" w:hAnsi="Arial" w:eastAsia="Arial" w:cs="Arial"/>
          <w:b w:val="0"/>
          <w:bCs w:val="0"/>
          <w:i w:val="0"/>
          <w:iCs w:val="0"/>
          <w:noProof w:val="0"/>
          <w:color w:val="auto"/>
          <w:sz w:val="24"/>
          <w:szCs w:val="24"/>
          <w:u w:val="none"/>
          <w:lang w:val="en-GB"/>
        </w:rPr>
        <w:t xml:space="preserve">. Available at: </w:t>
      </w:r>
      <w:hyperlink r:id="Rd0400a72ad4b43f4">
        <w:r w:rsidRPr="3BC510B2" w:rsidR="7F5A38A7">
          <w:rPr>
            <w:rStyle w:val="Hyperlink"/>
            <w:rFonts w:ascii="Arial" w:hAnsi="Arial" w:eastAsia="Arial" w:cs="Arial"/>
            <w:b w:val="0"/>
            <w:bCs w:val="0"/>
            <w:i w:val="0"/>
            <w:iCs w:val="0"/>
            <w:noProof w:val="0"/>
            <w:color w:val="auto"/>
            <w:sz w:val="24"/>
            <w:szCs w:val="24"/>
            <w:u w:val="none"/>
            <w:lang w:val="en-GB"/>
          </w:rPr>
          <w:t>https://www.scu.edu/ethics/focus-areas/business-ethics/resources/what-is-business-ethics/</w:t>
        </w:r>
      </w:hyperlink>
      <w:r w:rsidRPr="3BC510B2" w:rsidR="7F5A38A7">
        <w:rPr>
          <w:rFonts w:ascii="Arial" w:hAnsi="Arial" w:eastAsia="Arial" w:cs="Arial"/>
          <w:b w:val="0"/>
          <w:bCs w:val="0"/>
          <w:i w:val="0"/>
          <w:iCs w:val="0"/>
          <w:noProof w:val="0"/>
          <w:color w:val="auto"/>
          <w:sz w:val="24"/>
          <w:szCs w:val="24"/>
          <w:u w:val="none"/>
          <w:lang w:val="en-GB"/>
        </w:rPr>
        <w:t xml:space="preserve"> (Accessed: 11 December 2025).</w:t>
      </w:r>
    </w:p>
    <w:p w:rsidR="3BC510B2" w:rsidP="3BC510B2" w:rsidRDefault="3BC510B2" w14:paraId="1D30B97B" w14:textId="38374766">
      <w:pPr>
        <w:spacing w:after="0" w:line="300" w:lineRule="atLeast"/>
        <w:rPr>
          <w:rFonts w:ascii="Segoe UI" w:hAnsi="Segoe UI" w:eastAsia="Times New Roman" w:cs="Segoe UI"/>
          <w:sz w:val="21"/>
          <w:szCs w:val="21"/>
          <w:lang w:eastAsia="en-GB"/>
        </w:rPr>
      </w:pPr>
    </w:p>
    <w:p w:rsidR="3BC510B2" w:rsidP="3BC510B2" w:rsidRDefault="3BC510B2" w14:paraId="439A43B6" w14:textId="49692AE2">
      <w:pPr>
        <w:spacing w:after="0" w:line="300" w:lineRule="atLeast"/>
        <w:rPr>
          <w:rFonts w:ascii="Segoe UI" w:hAnsi="Segoe UI" w:eastAsia="Times New Roman" w:cs="Segoe UI"/>
          <w:sz w:val="21"/>
          <w:szCs w:val="21"/>
          <w:lang w:eastAsia="en-GB"/>
        </w:rPr>
      </w:pPr>
    </w:p>
    <w:p w:rsidR="3BC510B2" w:rsidP="3BC510B2" w:rsidRDefault="3BC510B2" w14:paraId="15EE1EB2" w14:textId="1B93A74E">
      <w:pPr>
        <w:spacing w:after="0" w:line="300" w:lineRule="atLeast"/>
        <w:rPr>
          <w:rFonts w:ascii="Segoe UI" w:hAnsi="Segoe UI" w:eastAsia="Times New Roman" w:cs="Segoe UI"/>
          <w:sz w:val="21"/>
          <w:szCs w:val="21"/>
          <w:lang w:eastAsia="en-GB"/>
        </w:rPr>
      </w:pPr>
    </w:p>
    <w:p w:rsidR="001C622D" w:rsidP="001C622D" w:rsidRDefault="001C622D" w14:paraId="01A39BC3" w14:textId="4BF05BC7">
      <w:pPr>
        <w:spacing w:after="0" w:line="300" w:lineRule="atLeast"/>
      </w:pPr>
      <w:r w:rsidRPr="001C622D">
        <w:rPr>
          <w:rFonts w:ascii="Segoe UI" w:hAnsi="Segoe UI" w:eastAsia="Times New Roman" w:cs="Segoe UI"/>
          <w:sz w:val="21"/>
          <w:szCs w:val="21"/>
          <w:lang w:eastAsia="en-GB"/>
        </w:rPr>
        <w:t>Stahl, G.K., Sully de </w:t>
      </w:r>
      <w:proofErr w:type="spellStart"/>
      <w:r w:rsidRPr="001C622D">
        <w:rPr>
          <w:rFonts w:ascii="Segoe UI" w:hAnsi="Segoe UI" w:eastAsia="Times New Roman" w:cs="Segoe UI"/>
          <w:sz w:val="21"/>
          <w:szCs w:val="21"/>
          <w:lang w:eastAsia="en-GB"/>
        </w:rPr>
        <w:t>Luque</w:t>
      </w:r>
      <w:proofErr w:type="spellEnd"/>
      <w:r w:rsidRPr="001C622D">
        <w:rPr>
          <w:rFonts w:ascii="Segoe UI" w:hAnsi="Segoe UI" w:eastAsia="Times New Roman" w:cs="Segoe UI"/>
          <w:sz w:val="21"/>
          <w:szCs w:val="21"/>
          <w:lang w:eastAsia="en-GB"/>
        </w:rPr>
        <w:t xml:space="preserve">, M. &amp; </w:t>
      </w:r>
      <w:proofErr w:type="spellStart"/>
      <w:r w:rsidRPr="001C622D">
        <w:rPr>
          <w:rFonts w:ascii="Segoe UI" w:hAnsi="Segoe UI" w:eastAsia="Times New Roman" w:cs="Segoe UI"/>
          <w:sz w:val="21"/>
          <w:szCs w:val="21"/>
          <w:lang w:eastAsia="en-GB"/>
        </w:rPr>
        <w:t>Miska</w:t>
      </w:r>
      <w:proofErr w:type="spellEnd"/>
      <w:r w:rsidRPr="001C622D">
        <w:rPr>
          <w:rFonts w:ascii="Segoe UI" w:hAnsi="Segoe UI" w:eastAsia="Times New Roman" w:cs="Segoe UI"/>
          <w:sz w:val="21"/>
          <w:szCs w:val="21"/>
          <w:lang w:eastAsia="en-GB"/>
        </w:rPr>
        <w:t xml:space="preserve">, C. (2024) ‘Culture and Corporate Social Responsibility and Sustainability’, in </w:t>
      </w:r>
      <w:r w:rsidRPr="001C622D">
        <w:rPr>
          <w:rFonts w:ascii="Segoe UI" w:hAnsi="Segoe UI" w:eastAsia="Times New Roman" w:cs="Segoe UI"/>
          <w:i/>
          <w:iCs/>
          <w:sz w:val="21"/>
          <w:szCs w:val="21"/>
          <w:lang w:eastAsia="en-GB"/>
        </w:rPr>
        <w:t>The Oxford Handbook of Cross</w:t>
      </w:r>
      <w:r w:rsidRPr="001C622D">
        <w:rPr>
          <w:rFonts w:ascii="Segoe UI" w:hAnsi="Segoe UI" w:eastAsia="Times New Roman" w:cs="Segoe UI"/>
          <w:i/>
          <w:iCs/>
          <w:sz w:val="21"/>
          <w:szCs w:val="21"/>
          <w:lang w:eastAsia="en-GB"/>
        </w:rPr>
        <w:noBreakHyphen/>
        <w:t xml:space="preserve">Cultural Organizational </w:t>
      </w:r>
      <w:proofErr w:type="spellStart"/>
      <w:r w:rsidRPr="001C622D">
        <w:rPr>
          <w:rFonts w:ascii="Segoe UI" w:hAnsi="Segoe UI" w:eastAsia="Times New Roman" w:cs="Segoe UI"/>
          <w:i/>
          <w:iCs/>
          <w:sz w:val="21"/>
          <w:szCs w:val="21"/>
          <w:lang w:eastAsia="en-GB"/>
        </w:rPr>
        <w:t>Behavior</w:t>
      </w:r>
      <w:proofErr w:type="spellEnd"/>
      <w:r w:rsidRPr="001C622D">
        <w:rPr>
          <w:rFonts w:ascii="Segoe UI" w:hAnsi="Segoe UI" w:eastAsia="Times New Roman" w:cs="Segoe UI"/>
          <w:sz w:val="21"/>
          <w:szCs w:val="21"/>
          <w:lang w:eastAsia="en-GB"/>
        </w:rPr>
        <w:t>. Oxford: Oxford University Press, pp. 690–717.</w:t>
      </w:r>
      <w:r w:rsidRPr="005E656D" w:rsidR="005E656D">
        <w:t xml:space="preserve"> </w:t>
      </w:r>
      <w:hyperlink w:history="1" r:id="rId67">
        <w:r w:rsidRPr="005E656D" w:rsidR="005E656D">
          <w:rPr>
            <w:color w:val="0000FF"/>
            <w:u w:val="single"/>
          </w:rPr>
          <w:t>436608639.pdf</w:t>
        </w:r>
      </w:hyperlink>
    </w:p>
    <w:p w:rsidRPr="001C622D" w:rsidR="0070404B" w:rsidP="001C622D" w:rsidRDefault="0070404B" w14:paraId="5EFDBB5B" w14:textId="77777777">
      <w:pPr>
        <w:spacing w:after="0" w:line="300" w:lineRule="atLeast"/>
        <w:rPr>
          <w:rFonts w:ascii="Segoe UI" w:hAnsi="Segoe UI" w:eastAsia="Times New Roman" w:cs="Segoe UI"/>
          <w:sz w:val="21"/>
          <w:szCs w:val="21"/>
          <w:lang w:eastAsia="en-GB"/>
        </w:rPr>
      </w:pPr>
    </w:p>
    <w:p w:rsidR="0070404B" w:rsidP="0070404B" w:rsidRDefault="0070404B" w14:paraId="6597337D" w14:textId="38744E9D">
      <w:pPr>
        <w:spacing w:after="0" w:line="300" w:lineRule="atLeast"/>
        <w:rPr>
          <w:rFonts w:ascii="Segoe UI" w:hAnsi="Segoe UI" w:eastAsia="Times New Roman" w:cs="Segoe UI"/>
          <w:sz w:val="21"/>
          <w:szCs w:val="21"/>
          <w:lang w:eastAsia="en-GB"/>
        </w:rPr>
      </w:pPr>
      <w:r w:rsidRPr="0070404B">
        <w:rPr>
          <w:rFonts w:ascii="Segoe UI" w:hAnsi="Segoe UI" w:eastAsia="Times New Roman" w:cs="Segoe UI"/>
          <w:sz w:val="21"/>
          <w:szCs w:val="21"/>
          <w:lang w:eastAsia="en-GB"/>
        </w:rPr>
        <w:t xml:space="preserve">Zhao, M. (2023) </w:t>
      </w:r>
      <w:r w:rsidRPr="0070404B">
        <w:rPr>
          <w:rFonts w:ascii="Segoe UI" w:hAnsi="Segoe UI" w:eastAsia="Times New Roman" w:cs="Segoe UI"/>
          <w:i/>
          <w:iCs/>
          <w:sz w:val="21"/>
          <w:szCs w:val="21"/>
          <w:lang w:eastAsia="en-GB"/>
        </w:rPr>
        <w:t>Kishore Mahbubani: Asia is rising even as the West tries to ignore it</w:t>
      </w:r>
      <w:r w:rsidRPr="0070404B">
        <w:rPr>
          <w:rFonts w:ascii="Segoe UI" w:hAnsi="Segoe UI" w:eastAsia="Times New Roman" w:cs="Segoe UI"/>
          <w:sz w:val="21"/>
          <w:szCs w:val="21"/>
          <w:lang w:eastAsia="en-GB"/>
        </w:rPr>
        <w:t>, China Daily, 18 July. Available at: https://global.chinadaily.com.cn/a/202307/18/WS64b638c1a31035260b8170fa.html (Accessed: 11 December 2025).</w:t>
      </w:r>
    </w:p>
    <w:p w:rsidR="0070404B" w:rsidP="0070404B" w:rsidRDefault="0070404B" w14:paraId="3B28CF70" w14:textId="6EDC213B">
      <w:pPr>
        <w:spacing w:after="0" w:line="300" w:lineRule="atLeast"/>
        <w:rPr>
          <w:rFonts w:ascii="Segoe UI" w:hAnsi="Segoe UI" w:eastAsia="Times New Roman" w:cs="Segoe UI"/>
          <w:sz w:val="21"/>
          <w:szCs w:val="21"/>
          <w:lang w:eastAsia="en-GB"/>
        </w:rPr>
      </w:pPr>
      <w:r w:rsidRPr="0070404B">
        <w:rPr>
          <w:rFonts w:ascii="Segoe UI" w:hAnsi="Segoe UI" w:eastAsia="Times New Roman" w:cs="Segoe UI"/>
          <w:sz w:val="21"/>
          <w:szCs w:val="21"/>
          <w:lang w:eastAsia="en-GB"/>
        </w:rPr>
        <w:t>https://mlpp.pressbooks.pub/interculturalcommunicationcompetence/chapter/appendix-b-critique-of-hofsteds-theory/ (Accessed: 11 December 2025)</w:t>
      </w:r>
    </w:p>
    <w:p w:rsidRPr="0070404B" w:rsidR="00A86373" w:rsidP="0070404B" w:rsidRDefault="00A86373" w14:paraId="0DF3B997" w14:textId="77777777">
      <w:pPr>
        <w:spacing w:after="0" w:line="300" w:lineRule="atLeast"/>
        <w:rPr>
          <w:rFonts w:ascii="Segoe UI" w:hAnsi="Segoe UI" w:eastAsia="Times New Roman" w:cs="Segoe UI"/>
          <w:sz w:val="21"/>
          <w:szCs w:val="21"/>
          <w:lang w:eastAsia="en-GB"/>
        </w:rPr>
      </w:pPr>
    </w:p>
    <w:p w:rsidR="00A86373" w:rsidP="00A86373" w:rsidRDefault="00A86373" w14:paraId="42DDBDA9" w14:textId="23302DC4">
      <w:pPr>
        <w:spacing w:after="0" w:line="300" w:lineRule="atLeast"/>
        <w:rPr>
          <w:rFonts w:ascii="Segoe UI" w:hAnsi="Segoe UI" w:eastAsia="Times New Roman" w:cs="Segoe UI"/>
          <w:sz w:val="21"/>
          <w:szCs w:val="21"/>
          <w:lang w:eastAsia="en-GB"/>
        </w:rPr>
      </w:pPr>
      <w:proofErr w:type="spellStart"/>
      <w:r w:rsidRPr="00A86373">
        <w:rPr>
          <w:rFonts w:ascii="Segoe UI" w:hAnsi="Segoe UI" w:eastAsia="Times New Roman" w:cs="Segoe UI"/>
          <w:sz w:val="21"/>
          <w:szCs w:val="21"/>
          <w:lang w:eastAsia="en-GB"/>
        </w:rPr>
        <w:t>Roehrich</w:t>
      </w:r>
      <w:proofErr w:type="spellEnd"/>
      <w:r w:rsidRPr="00A86373">
        <w:rPr>
          <w:rFonts w:ascii="Segoe UI" w:hAnsi="Segoe UI" w:eastAsia="Times New Roman" w:cs="Segoe UI"/>
          <w:sz w:val="21"/>
          <w:szCs w:val="21"/>
          <w:lang w:eastAsia="en-GB"/>
        </w:rPr>
        <w:t xml:space="preserve">, J.K., </w:t>
      </w:r>
      <w:proofErr w:type="spellStart"/>
      <w:r w:rsidRPr="00A86373">
        <w:rPr>
          <w:rFonts w:ascii="Segoe UI" w:hAnsi="Segoe UI" w:eastAsia="Times New Roman" w:cs="Segoe UI"/>
          <w:sz w:val="21"/>
          <w:szCs w:val="21"/>
          <w:lang w:eastAsia="en-GB"/>
        </w:rPr>
        <w:t>Sarafan</w:t>
      </w:r>
      <w:proofErr w:type="spellEnd"/>
      <w:r w:rsidRPr="00A86373">
        <w:rPr>
          <w:rFonts w:ascii="Segoe UI" w:hAnsi="Segoe UI" w:eastAsia="Times New Roman" w:cs="Segoe UI"/>
          <w:sz w:val="21"/>
          <w:szCs w:val="21"/>
          <w:lang w:eastAsia="en-GB"/>
        </w:rPr>
        <w:t xml:space="preserve">, M., Squire, B., Lawson, B. &amp; </w:t>
      </w:r>
      <w:proofErr w:type="spellStart"/>
      <w:r w:rsidRPr="00A86373">
        <w:rPr>
          <w:rFonts w:ascii="Segoe UI" w:hAnsi="Segoe UI" w:eastAsia="Times New Roman" w:cs="Segoe UI"/>
          <w:sz w:val="21"/>
          <w:szCs w:val="21"/>
          <w:lang w:eastAsia="en-GB"/>
        </w:rPr>
        <w:t>Bouazzaoui</w:t>
      </w:r>
      <w:proofErr w:type="spellEnd"/>
      <w:r w:rsidRPr="00A86373">
        <w:rPr>
          <w:rFonts w:ascii="Segoe UI" w:hAnsi="Segoe UI" w:eastAsia="Times New Roman" w:cs="Segoe UI"/>
          <w:sz w:val="21"/>
          <w:szCs w:val="21"/>
          <w:lang w:eastAsia="en-GB"/>
        </w:rPr>
        <w:t xml:space="preserve">, M. (2024) ‘Conflict and contract use in cross-cultural buyer–supplier relationships: The role of cultural context’, </w:t>
      </w:r>
      <w:r w:rsidRPr="00A86373">
        <w:rPr>
          <w:rFonts w:ascii="Segoe UI" w:hAnsi="Segoe UI" w:eastAsia="Times New Roman" w:cs="Segoe UI"/>
          <w:i/>
          <w:iCs/>
          <w:sz w:val="21"/>
          <w:szCs w:val="21"/>
          <w:lang w:eastAsia="en-GB"/>
        </w:rPr>
        <w:t>Production and Operations Management</w:t>
      </w:r>
      <w:r w:rsidRPr="00A86373">
        <w:rPr>
          <w:rFonts w:ascii="Segoe UI" w:hAnsi="Segoe UI" w:eastAsia="Times New Roman" w:cs="Segoe UI"/>
          <w:sz w:val="21"/>
          <w:szCs w:val="21"/>
          <w:lang w:eastAsia="en-GB"/>
        </w:rPr>
        <w:t>, 34(5), pp. 974–992. Available at: https://journals.sagepub.com/doi/pdf/10.1177/10591478241265481 (Accessed: 11 December 2025)</w:t>
      </w:r>
    </w:p>
    <w:p w:rsidRPr="00A86373" w:rsidR="002E3792" w:rsidP="00A86373" w:rsidRDefault="002E3792" w14:paraId="0A587D5E" w14:textId="77777777">
      <w:pPr>
        <w:spacing w:after="0" w:line="300" w:lineRule="atLeast"/>
        <w:rPr>
          <w:rFonts w:ascii="Segoe UI" w:hAnsi="Segoe UI" w:eastAsia="Times New Roman" w:cs="Segoe UI"/>
          <w:sz w:val="21"/>
          <w:szCs w:val="21"/>
          <w:lang w:eastAsia="en-GB"/>
        </w:rPr>
      </w:pPr>
    </w:p>
    <w:p w:rsidR="00CE4DB4" w:rsidP="005B375F" w:rsidRDefault="00F405BF" w14:paraId="4A5F5325" w14:textId="14BB5EE2">
      <w:pPr>
        <w:spacing w:after="0" w:line="300" w:lineRule="atLeast"/>
        <w:rPr>
          <w:rFonts w:ascii="Segoe UI" w:hAnsi="Segoe UI" w:eastAsia="Times New Roman" w:cs="Segoe UI"/>
          <w:sz w:val="21"/>
          <w:szCs w:val="21"/>
          <w:lang w:eastAsia="en-GB"/>
        </w:rPr>
      </w:pPr>
      <w:r w:rsidRPr="00F405BF">
        <w:rPr>
          <w:rFonts w:ascii="Segoe UI" w:hAnsi="Segoe UI" w:eastAsia="Times New Roman" w:cs="Segoe UI"/>
          <w:sz w:val="21"/>
          <w:szCs w:val="21"/>
          <w:lang w:eastAsia="en-GB"/>
        </w:rPr>
        <w:t xml:space="preserve">Kenton, W. (2025) ‘Understanding Guanxi: History, Meaning, and Business Impact’, </w:t>
      </w:r>
      <w:r w:rsidRPr="00F405BF">
        <w:rPr>
          <w:rFonts w:ascii="Segoe UI" w:hAnsi="Segoe UI" w:eastAsia="Times New Roman" w:cs="Segoe UI"/>
          <w:i/>
          <w:iCs/>
          <w:sz w:val="21"/>
          <w:szCs w:val="21"/>
          <w:lang w:eastAsia="en-GB"/>
        </w:rPr>
        <w:t>Investopedia</w:t>
      </w:r>
      <w:r w:rsidRPr="00F405BF">
        <w:rPr>
          <w:rFonts w:ascii="Segoe UI" w:hAnsi="Segoe UI" w:eastAsia="Times New Roman" w:cs="Segoe UI"/>
          <w:sz w:val="21"/>
          <w:szCs w:val="21"/>
          <w:lang w:eastAsia="en-GB"/>
        </w:rPr>
        <w:t>, 15 November. Available at: https://www.investopedia.com/terms/g/guanxi.asp (Accessed: 12 December 2025).</w:t>
      </w:r>
    </w:p>
    <w:p w:rsidR="002E3792" w:rsidP="005B375F" w:rsidRDefault="002E3792" w14:paraId="7333BEEB" w14:textId="77777777">
      <w:pPr>
        <w:spacing w:after="0" w:line="300" w:lineRule="atLeast"/>
        <w:rPr>
          <w:rFonts w:ascii="Segoe UI" w:hAnsi="Segoe UI" w:eastAsia="Times New Roman" w:cs="Segoe UI"/>
          <w:sz w:val="21"/>
          <w:szCs w:val="21"/>
          <w:lang w:eastAsia="en-GB"/>
        </w:rPr>
      </w:pPr>
    </w:p>
    <w:p w:rsidR="00F405BF" w:rsidP="005B375F" w:rsidRDefault="00F405BF" w14:paraId="22C96BAA" w14:textId="0789F211">
      <w:pPr>
        <w:spacing w:line="300" w:lineRule="atLeast"/>
        <w:rPr>
          <w:rFonts w:ascii="Segoe UI" w:hAnsi="Segoe UI" w:eastAsia="Times New Roman" w:cs="Segoe UI"/>
          <w:sz w:val="21"/>
          <w:szCs w:val="21"/>
          <w:lang w:eastAsia="en-GB"/>
        </w:rPr>
      </w:pPr>
      <w:proofErr w:type="spellStart"/>
      <w:r w:rsidRPr="00F405BF">
        <w:rPr>
          <w:rFonts w:ascii="Segoe UI" w:hAnsi="Segoe UI" w:eastAsia="Times New Roman" w:cs="Segoe UI"/>
          <w:sz w:val="21"/>
          <w:szCs w:val="21"/>
          <w:lang w:eastAsia="en-GB"/>
        </w:rPr>
        <w:t>Langenberg</w:t>
      </w:r>
      <w:proofErr w:type="spellEnd"/>
      <w:r w:rsidRPr="00F405BF">
        <w:rPr>
          <w:rFonts w:ascii="Segoe UI" w:hAnsi="Segoe UI" w:eastAsia="Times New Roman" w:cs="Segoe UI"/>
          <w:sz w:val="21"/>
          <w:szCs w:val="21"/>
          <w:lang w:eastAsia="en-GB"/>
        </w:rPr>
        <w:t xml:space="preserve">, E.A. (2011) </w:t>
      </w:r>
      <w:r w:rsidRPr="00F405BF">
        <w:rPr>
          <w:rFonts w:ascii="Segoe UI" w:hAnsi="Segoe UI" w:eastAsia="Times New Roman" w:cs="Segoe UI"/>
          <w:i/>
          <w:iCs/>
          <w:sz w:val="21"/>
          <w:szCs w:val="21"/>
          <w:lang w:eastAsia="en-GB"/>
        </w:rPr>
        <w:t>Chinese Guanxi and Business Ethics</w:t>
      </w:r>
      <w:r w:rsidRPr="00F405BF">
        <w:rPr>
          <w:rFonts w:ascii="Segoe UI" w:hAnsi="Segoe UI" w:eastAsia="Times New Roman" w:cs="Segoe UI"/>
          <w:sz w:val="21"/>
          <w:szCs w:val="21"/>
          <w:lang w:eastAsia="en-GB"/>
        </w:rPr>
        <w:t>. Dordrecht: Springer.</w:t>
      </w:r>
      <w:r w:rsidR="005B375F">
        <w:rPr>
          <w:rFonts w:ascii="Segoe UI" w:hAnsi="Segoe UI" w:eastAsia="Times New Roman" w:cs="Segoe UI"/>
          <w:sz w:val="21"/>
          <w:szCs w:val="21"/>
          <w:lang w:eastAsia="en-GB"/>
        </w:rPr>
        <w:t xml:space="preserve"> </w:t>
      </w:r>
      <w:r w:rsidRPr="00F405BF">
        <w:rPr>
          <w:rFonts w:ascii="Segoe UI" w:hAnsi="Segoe UI" w:eastAsia="Times New Roman" w:cs="Segoe UI"/>
          <w:sz w:val="21"/>
          <w:szCs w:val="21"/>
          <w:lang w:eastAsia="en-GB"/>
        </w:rPr>
        <w:t>(Accessed: 12 December 2025)</w:t>
      </w:r>
    </w:p>
    <w:p w:rsidR="005B375F" w:rsidP="005B375F" w:rsidRDefault="005B375F" w14:paraId="70444CC2" w14:textId="4A4960CB">
      <w:pPr>
        <w:spacing w:after="0" w:line="300" w:lineRule="atLeast"/>
        <w:rPr>
          <w:rFonts w:ascii="Segoe UI" w:hAnsi="Segoe UI" w:eastAsia="Times New Roman" w:cs="Segoe UI"/>
          <w:sz w:val="21"/>
          <w:szCs w:val="21"/>
          <w:lang w:eastAsia="en-GB"/>
        </w:rPr>
      </w:pPr>
      <w:r w:rsidRPr="005B375F">
        <w:rPr>
          <w:rFonts w:ascii="Segoe UI" w:hAnsi="Segoe UI" w:eastAsia="Times New Roman" w:cs="Segoe UI"/>
          <w:sz w:val="21"/>
          <w:szCs w:val="21"/>
          <w:lang w:eastAsia="en-GB"/>
        </w:rPr>
        <w:t xml:space="preserve">TRACE International (2020) </w:t>
      </w:r>
      <w:r w:rsidRPr="005B375F">
        <w:rPr>
          <w:rFonts w:ascii="Segoe UI" w:hAnsi="Segoe UI" w:eastAsia="Times New Roman" w:cs="Segoe UI"/>
          <w:i/>
          <w:iCs/>
          <w:sz w:val="21"/>
          <w:szCs w:val="21"/>
          <w:lang w:eastAsia="en-GB"/>
        </w:rPr>
        <w:t>‘You scratch my back and I’ll scratch yours: Guanxi and Bribery’</w:t>
      </w:r>
      <w:r w:rsidRPr="005B375F">
        <w:rPr>
          <w:rFonts w:ascii="Segoe UI" w:hAnsi="Segoe UI" w:eastAsia="Times New Roman" w:cs="Segoe UI"/>
          <w:sz w:val="21"/>
          <w:szCs w:val="21"/>
          <w:lang w:eastAsia="en-GB"/>
        </w:rPr>
        <w:t>, TRACE International. Available at: https://anticor.world/en/main/news_page/you_scratch_my_back_and_ill_scratch_yours_guanxi_and_bribery (Accessed: 12 December 2025)</w:t>
      </w:r>
    </w:p>
    <w:p w:rsidRPr="005B375F" w:rsidR="005C71E3" w:rsidP="005B375F" w:rsidRDefault="005C71E3" w14:paraId="7C131EFD" w14:textId="77777777">
      <w:pPr>
        <w:spacing w:after="0" w:line="300" w:lineRule="atLeast"/>
        <w:rPr>
          <w:rFonts w:ascii="Segoe UI" w:hAnsi="Segoe UI" w:eastAsia="Times New Roman" w:cs="Segoe UI"/>
          <w:sz w:val="21"/>
          <w:szCs w:val="21"/>
          <w:lang w:eastAsia="en-GB"/>
        </w:rPr>
      </w:pPr>
    </w:p>
    <w:p w:rsidR="005C71E3" w:rsidP="005C71E3" w:rsidRDefault="005C71E3" w14:paraId="7AE80D82" w14:textId="0B9BA050">
      <w:pPr>
        <w:spacing w:after="0" w:line="300" w:lineRule="atLeast"/>
        <w:rPr>
          <w:rFonts w:ascii="Segoe UI" w:hAnsi="Segoe UI" w:eastAsia="Times New Roman" w:cs="Segoe UI"/>
          <w:sz w:val="21"/>
          <w:szCs w:val="21"/>
          <w:lang w:eastAsia="en-GB"/>
        </w:rPr>
      </w:pPr>
      <w:proofErr w:type="spellStart"/>
      <w:r w:rsidRPr="005C71E3">
        <w:rPr>
          <w:rFonts w:ascii="Segoe UI" w:hAnsi="Segoe UI" w:eastAsia="Times New Roman" w:cs="Segoe UI"/>
          <w:sz w:val="21"/>
          <w:szCs w:val="21"/>
          <w:lang w:eastAsia="en-GB"/>
        </w:rPr>
        <w:t>Dunfee</w:t>
      </w:r>
      <w:proofErr w:type="spellEnd"/>
      <w:r w:rsidRPr="005C71E3">
        <w:rPr>
          <w:rFonts w:ascii="Segoe UI" w:hAnsi="Segoe UI" w:eastAsia="Times New Roman" w:cs="Segoe UI"/>
          <w:sz w:val="21"/>
          <w:szCs w:val="21"/>
          <w:lang w:eastAsia="en-GB"/>
        </w:rPr>
        <w:t xml:space="preserve">, T.W. &amp; Warren, D.E. (2001) ‘Is guanxi ethical? A normative analysis of doing business in China’, </w:t>
      </w:r>
      <w:r w:rsidRPr="005C71E3">
        <w:rPr>
          <w:rFonts w:ascii="Segoe UI" w:hAnsi="Segoe UI" w:eastAsia="Times New Roman" w:cs="Segoe UI"/>
          <w:i/>
          <w:iCs/>
          <w:sz w:val="21"/>
          <w:szCs w:val="21"/>
          <w:lang w:eastAsia="en-GB"/>
        </w:rPr>
        <w:t>Journal of Business Ethics</w:t>
      </w:r>
      <w:r w:rsidRPr="005C71E3">
        <w:rPr>
          <w:rFonts w:ascii="Segoe UI" w:hAnsi="Segoe UI" w:eastAsia="Times New Roman" w:cs="Segoe UI"/>
          <w:sz w:val="21"/>
          <w:szCs w:val="21"/>
          <w:lang w:eastAsia="en-GB"/>
        </w:rPr>
        <w:t>, 32(3), pp. 191–204. Available at: https://www.jstor.org/stable/25074568 (Accessed: 12 December 2025)</w:t>
      </w:r>
    </w:p>
    <w:p w:rsidRPr="005C71E3" w:rsidR="005C71E3" w:rsidP="005C71E3" w:rsidRDefault="005C71E3" w14:paraId="6C61C6F2" w14:textId="77777777">
      <w:pPr>
        <w:spacing w:after="0" w:line="300" w:lineRule="atLeast"/>
        <w:rPr>
          <w:rFonts w:ascii="Segoe UI" w:hAnsi="Segoe UI" w:eastAsia="Times New Roman" w:cs="Segoe UI"/>
          <w:sz w:val="21"/>
          <w:szCs w:val="21"/>
          <w:lang w:eastAsia="en-GB"/>
        </w:rPr>
      </w:pPr>
    </w:p>
    <w:p w:rsidR="005C71E3" w:rsidP="005C71E3" w:rsidRDefault="005C71E3" w14:paraId="659A384E" w14:textId="1AE9D92B">
      <w:pPr>
        <w:spacing w:after="0" w:line="300" w:lineRule="atLeast"/>
        <w:rPr>
          <w:rFonts w:ascii="Segoe UI" w:hAnsi="Segoe UI" w:eastAsia="Times New Roman" w:cs="Segoe UI"/>
          <w:sz w:val="21"/>
          <w:szCs w:val="21"/>
          <w:lang w:eastAsia="en-GB"/>
        </w:rPr>
      </w:pPr>
      <w:r w:rsidRPr="005C71E3">
        <w:rPr>
          <w:rFonts w:ascii="Segoe UI" w:hAnsi="Segoe UI" w:eastAsia="Times New Roman" w:cs="Segoe UI"/>
          <w:sz w:val="21"/>
          <w:szCs w:val="21"/>
          <w:lang w:eastAsia="en-GB"/>
        </w:rPr>
        <w:t xml:space="preserve">Council of the European Union (2025) </w:t>
      </w:r>
      <w:r w:rsidRPr="005C71E3">
        <w:rPr>
          <w:rFonts w:ascii="Segoe UI" w:hAnsi="Segoe UI" w:eastAsia="Times New Roman" w:cs="Segoe UI"/>
          <w:i/>
          <w:iCs/>
          <w:sz w:val="21"/>
          <w:szCs w:val="21"/>
          <w:lang w:eastAsia="en-GB"/>
        </w:rPr>
        <w:t>Council and Parliament strike a deal to simplify sustainability reporting and due diligence requirements and boost EU competitiveness</w:t>
      </w:r>
      <w:r w:rsidRPr="005C71E3">
        <w:rPr>
          <w:rFonts w:ascii="Segoe UI" w:hAnsi="Segoe UI" w:eastAsia="Times New Roman" w:cs="Segoe UI"/>
          <w:sz w:val="21"/>
          <w:szCs w:val="21"/>
          <w:lang w:eastAsia="en-GB"/>
        </w:rPr>
        <w:t>, press release, 9 December. Available at: https://www.consilium.europa.eu/en/press/press-releases/2025/12/09/council-and-parliament-strike-a-deal-to-simplify-sustainability-reporting-and-due-diligence-requirements-and-boost-eu-competitiveness/ (Accessed: 12 December 2025)</w:t>
      </w:r>
    </w:p>
    <w:p w:rsidRPr="005C71E3" w:rsidR="00D3620F" w:rsidP="005C71E3" w:rsidRDefault="00D3620F" w14:paraId="183D0CFB" w14:textId="77777777">
      <w:pPr>
        <w:spacing w:after="0" w:line="300" w:lineRule="atLeast"/>
        <w:rPr>
          <w:rFonts w:ascii="Segoe UI" w:hAnsi="Segoe UI" w:eastAsia="Times New Roman" w:cs="Segoe UI"/>
          <w:sz w:val="21"/>
          <w:szCs w:val="21"/>
          <w:lang w:eastAsia="en-GB"/>
        </w:rPr>
      </w:pPr>
    </w:p>
    <w:p w:rsidRPr="00D3620F" w:rsidR="00D3620F" w:rsidP="00D3620F" w:rsidRDefault="00D3620F" w14:paraId="2684F170" w14:textId="77777777">
      <w:pPr>
        <w:spacing w:after="0" w:line="300" w:lineRule="atLeast"/>
        <w:rPr>
          <w:rFonts w:ascii="Segoe UI" w:hAnsi="Segoe UI" w:eastAsia="Times New Roman" w:cs="Segoe UI"/>
          <w:sz w:val="21"/>
          <w:szCs w:val="21"/>
          <w:lang w:eastAsia="en-GB"/>
        </w:rPr>
      </w:pPr>
      <w:r w:rsidRPr="00D3620F">
        <w:rPr>
          <w:rFonts w:ascii="Segoe UI" w:hAnsi="Segoe UI" w:eastAsia="Times New Roman" w:cs="Segoe UI"/>
          <w:sz w:val="21"/>
          <w:szCs w:val="21"/>
          <w:lang w:eastAsia="en-GB"/>
        </w:rPr>
        <w:t xml:space="preserve">Johnson, L. (2025) ‘EU legislators reach agreement to simplify sustainability reporting’, </w:t>
      </w:r>
      <w:r w:rsidRPr="00D3620F">
        <w:rPr>
          <w:rFonts w:ascii="Segoe UI" w:hAnsi="Segoe UI" w:eastAsia="Times New Roman" w:cs="Segoe UI"/>
          <w:i/>
          <w:iCs/>
          <w:sz w:val="21"/>
          <w:szCs w:val="21"/>
          <w:lang w:eastAsia="en-GB"/>
        </w:rPr>
        <w:t>ESG Dive</w:t>
      </w:r>
      <w:r w:rsidRPr="00D3620F">
        <w:rPr>
          <w:rFonts w:ascii="Segoe UI" w:hAnsi="Segoe UI" w:eastAsia="Times New Roman" w:cs="Segoe UI"/>
          <w:sz w:val="21"/>
          <w:szCs w:val="21"/>
          <w:lang w:eastAsia="en-GB"/>
        </w:rPr>
        <w:t>, 9 December. Available at: https://www.esgdive.com/news/european-parliament-council-reach-agreement-simplify-scope-csrd-csddd-omnibus-eu/807430/ (Accessed: 12 December 2025)</w:t>
      </w:r>
    </w:p>
    <w:p w:rsidR="00CE4DB4" w:rsidP="00F405BF" w:rsidRDefault="00CE4DB4" w14:paraId="1FDCE3D1" w14:textId="781C975F">
      <w:pPr>
        <w:spacing w:after="0" w:line="300" w:lineRule="atLeast"/>
        <w:rPr>
          <w:rFonts w:ascii="Segoe UI" w:hAnsi="Segoe UI" w:eastAsia="Times New Roman" w:cs="Segoe UI"/>
          <w:sz w:val="21"/>
          <w:szCs w:val="21"/>
          <w:lang w:eastAsia="en-GB"/>
        </w:rPr>
      </w:pPr>
    </w:p>
    <w:p w:rsidRPr="00784C2B" w:rsidR="00784C2B" w:rsidP="00784C2B" w:rsidRDefault="00784C2B" w14:paraId="500C7570" w14:textId="77777777">
      <w:pPr>
        <w:spacing w:after="0" w:line="300" w:lineRule="atLeast"/>
        <w:rPr>
          <w:rFonts w:ascii="Segoe UI" w:hAnsi="Segoe UI" w:eastAsia="Times New Roman" w:cs="Segoe UI"/>
          <w:sz w:val="21"/>
          <w:szCs w:val="21"/>
          <w:lang w:eastAsia="en-GB"/>
        </w:rPr>
      </w:pPr>
      <w:proofErr w:type="spellStart"/>
      <w:r w:rsidRPr="00784C2B">
        <w:rPr>
          <w:rFonts w:ascii="Segoe UI" w:hAnsi="Segoe UI" w:eastAsia="Times New Roman" w:cs="Segoe UI"/>
          <w:sz w:val="21"/>
          <w:szCs w:val="21"/>
          <w:lang w:eastAsia="en-GB"/>
        </w:rPr>
        <w:t>Togawa</w:t>
      </w:r>
      <w:proofErr w:type="spellEnd"/>
      <w:r w:rsidRPr="00784C2B">
        <w:rPr>
          <w:rFonts w:ascii="Segoe UI" w:hAnsi="Segoe UI" w:eastAsia="Times New Roman" w:cs="Segoe UI"/>
          <w:sz w:val="21"/>
          <w:szCs w:val="21"/>
          <w:lang w:eastAsia="en-GB"/>
        </w:rPr>
        <w:t>, K., Fong, G. T., Quah, A. C. K., et al. (2024) ‘Impacts of revised smoke</w:t>
      </w:r>
      <w:r w:rsidRPr="00784C2B">
        <w:rPr>
          <w:rFonts w:ascii="Segoe UI" w:hAnsi="Segoe UI" w:eastAsia="Times New Roman" w:cs="Segoe UI"/>
          <w:sz w:val="21"/>
          <w:szCs w:val="21"/>
          <w:lang w:eastAsia="en-GB"/>
        </w:rPr>
        <w:noBreakHyphen/>
        <w:t xml:space="preserve">free regulations under the 2020 Japan Health Promotion Act on cigarette smoking and heated tobacco product use in indoor public places and homes’, </w:t>
      </w:r>
      <w:r w:rsidRPr="00784C2B">
        <w:rPr>
          <w:rFonts w:ascii="Segoe UI" w:hAnsi="Segoe UI" w:eastAsia="Times New Roman" w:cs="Segoe UI"/>
          <w:i/>
          <w:iCs/>
          <w:sz w:val="21"/>
          <w:szCs w:val="21"/>
          <w:lang w:eastAsia="en-GB"/>
        </w:rPr>
        <w:t>Tobacco Control</w:t>
      </w:r>
      <w:r w:rsidRPr="00784C2B">
        <w:rPr>
          <w:rFonts w:ascii="Segoe UI" w:hAnsi="Segoe UI" w:eastAsia="Times New Roman" w:cs="Segoe UI"/>
          <w:sz w:val="21"/>
          <w:szCs w:val="21"/>
          <w:lang w:eastAsia="en-GB"/>
        </w:rPr>
        <w:t>, [</w:t>
      </w:r>
      <w:proofErr w:type="spellStart"/>
      <w:r w:rsidRPr="00784C2B">
        <w:rPr>
          <w:rFonts w:ascii="Segoe UI" w:hAnsi="Segoe UI" w:eastAsia="Times New Roman" w:cs="Segoe UI"/>
          <w:sz w:val="21"/>
          <w:szCs w:val="21"/>
          <w:lang w:eastAsia="en-GB"/>
        </w:rPr>
        <w:t>Epub</w:t>
      </w:r>
      <w:proofErr w:type="spellEnd"/>
      <w:r w:rsidRPr="00784C2B">
        <w:rPr>
          <w:rFonts w:ascii="Segoe UI" w:hAnsi="Segoe UI" w:eastAsia="Times New Roman" w:cs="Segoe UI"/>
          <w:sz w:val="21"/>
          <w:szCs w:val="21"/>
          <w:lang w:eastAsia="en-GB"/>
        </w:rPr>
        <w:t xml:space="preserve"> ahead of print]. Available at: https://tobaccocontrol.bmj.com/content/tobaccocontrol/early/2024/10/17/tc-2024-058697.full.pdf (Accessed: 12 December 2025)</w:t>
      </w:r>
    </w:p>
    <w:p w:rsidR="00CE4DB4" w:rsidP="00F405BF" w:rsidRDefault="00CE4DB4" w14:paraId="7BE81E87" w14:textId="6EE0EA71">
      <w:pPr>
        <w:spacing w:after="0" w:line="300" w:lineRule="atLeast"/>
        <w:rPr>
          <w:rFonts w:ascii="Segoe UI" w:hAnsi="Segoe UI" w:eastAsia="Times New Roman" w:cs="Segoe UI"/>
          <w:sz w:val="21"/>
          <w:szCs w:val="21"/>
          <w:lang w:eastAsia="en-GB"/>
        </w:rPr>
      </w:pPr>
    </w:p>
    <w:p w:rsidR="00784C2B" w:rsidP="00784C2B" w:rsidRDefault="00784C2B" w14:paraId="35643A91" w14:textId="359A30FE">
      <w:pPr>
        <w:spacing w:after="0" w:line="300" w:lineRule="atLeast"/>
        <w:rPr>
          <w:rFonts w:ascii="Segoe UI" w:hAnsi="Segoe UI" w:eastAsia="Times New Roman" w:cs="Segoe UI"/>
          <w:sz w:val="21"/>
          <w:szCs w:val="21"/>
          <w:lang w:eastAsia="en-GB"/>
        </w:rPr>
      </w:pPr>
      <w:r w:rsidRPr="00784C2B">
        <w:rPr>
          <w:rFonts w:ascii="Segoe UI" w:hAnsi="Segoe UI" w:eastAsia="Times New Roman" w:cs="Segoe UI"/>
          <w:sz w:val="21"/>
          <w:szCs w:val="21"/>
          <w:lang w:eastAsia="en-GB"/>
        </w:rPr>
        <w:t xml:space="preserve">Kataoka, A., </w:t>
      </w:r>
      <w:proofErr w:type="spellStart"/>
      <w:r w:rsidRPr="00784C2B">
        <w:rPr>
          <w:rFonts w:ascii="Segoe UI" w:hAnsi="Segoe UI" w:eastAsia="Times New Roman" w:cs="Segoe UI"/>
          <w:sz w:val="21"/>
          <w:szCs w:val="21"/>
          <w:lang w:eastAsia="en-GB"/>
        </w:rPr>
        <w:t>Muraki</w:t>
      </w:r>
      <w:proofErr w:type="spellEnd"/>
      <w:r w:rsidRPr="00784C2B">
        <w:rPr>
          <w:rFonts w:ascii="Segoe UI" w:hAnsi="Segoe UI" w:eastAsia="Times New Roman" w:cs="Segoe UI"/>
          <w:sz w:val="21"/>
          <w:szCs w:val="21"/>
          <w:lang w:eastAsia="en-GB"/>
        </w:rPr>
        <w:t>, I., Nakamura, M. &amp; Ito, Y. (2024) ‘How much progress has been made toward a smoke</w:t>
      </w:r>
      <w:r w:rsidRPr="00784C2B">
        <w:rPr>
          <w:rFonts w:ascii="Segoe UI" w:hAnsi="Segoe UI" w:eastAsia="Times New Roman" w:cs="Segoe UI"/>
          <w:sz w:val="21"/>
          <w:szCs w:val="21"/>
          <w:lang w:eastAsia="en-GB"/>
        </w:rPr>
        <w:noBreakHyphen/>
        <w:t xml:space="preserve">free environment in the restaurants and bars of Japan? Limitations of partial bans and their enforcement’, </w:t>
      </w:r>
      <w:r w:rsidRPr="00784C2B">
        <w:rPr>
          <w:rFonts w:ascii="Segoe UI" w:hAnsi="Segoe UI" w:eastAsia="Times New Roman" w:cs="Segoe UI"/>
          <w:i/>
          <w:iCs/>
          <w:sz w:val="21"/>
          <w:szCs w:val="21"/>
          <w:lang w:eastAsia="en-GB"/>
        </w:rPr>
        <w:t>BMC Public Health</w:t>
      </w:r>
      <w:r w:rsidRPr="00784C2B">
        <w:rPr>
          <w:rFonts w:ascii="Segoe UI" w:hAnsi="Segoe UI" w:eastAsia="Times New Roman" w:cs="Segoe UI"/>
          <w:sz w:val="21"/>
          <w:szCs w:val="21"/>
          <w:lang w:eastAsia="en-GB"/>
        </w:rPr>
        <w:t>, 24, 20765. Available at: https://link.springer.com/content/pdf/10.1186/s12889-024-20765-6.pdf (Accessed: 12 December 2025)</w:t>
      </w:r>
    </w:p>
    <w:p w:rsidRPr="00784C2B" w:rsidR="0010185F" w:rsidP="00784C2B" w:rsidRDefault="0010185F" w14:paraId="7756570A" w14:textId="77777777">
      <w:pPr>
        <w:spacing w:after="0" w:line="300" w:lineRule="atLeast"/>
        <w:rPr>
          <w:rFonts w:ascii="Segoe UI" w:hAnsi="Segoe UI" w:eastAsia="Times New Roman" w:cs="Segoe UI"/>
          <w:sz w:val="21"/>
          <w:szCs w:val="21"/>
          <w:lang w:eastAsia="en-GB"/>
        </w:rPr>
      </w:pPr>
    </w:p>
    <w:p w:rsidRPr="0010185F" w:rsidR="0010185F" w:rsidP="0010185F" w:rsidRDefault="0010185F" w14:paraId="5BF07949" w14:textId="77777777">
      <w:pPr>
        <w:spacing w:after="0" w:line="300" w:lineRule="atLeast"/>
        <w:rPr>
          <w:rFonts w:ascii="Segoe UI" w:hAnsi="Segoe UI" w:eastAsia="Times New Roman" w:cs="Segoe UI"/>
          <w:sz w:val="21"/>
          <w:szCs w:val="21"/>
          <w:lang w:eastAsia="en-GB"/>
        </w:rPr>
      </w:pPr>
      <w:proofErr w:type="spellStart"/>
      <w:r w:rsidRPr="0010185F">
        <w:rPr>
          <w:rFonts w:ascii="Segoe UI" w:hAnsi="Segoe UI" w:eastAsia="Times New Roman" w:cs="Segoe UI"/>
          <w:sz w:val="21"/>
          <w:szCs w:val="21"/>
          <w:lang w:eastAsia="en-GB"/>
        </w:rPr>
        <w:t>Pavlof</w:t>
      </w:r>
      <w:proofErr w:type="spellEnd"/>
      <w:r w:rsidRPr="0010185F">
        <w:rPr>
          <w:rFonts w:ascii="Segoe UI" w:hAnsi="Segoe UI" w:eastAsia="Times New Roman" w:cs="Segoe UI"/>
          <w:sz w:val="21"/>
          <w:szCs w:val="21"/>
          <w:lang w:eastAsia="en-GB"/>
        </w:rPr>
        <w:t xml:space="preserve">, S. (2025) ‘Macau Struggles to Promote Gambling Awareness to Mainland Tourists’, </w:t>
      </w:r>
      <w:proofErr w:type="spellStart"/>
      <w:r w:rsidRPr="0010185F">
        <w:rPr>
          <w:rFonts w:ascii="Segoe UI" w:hAnsi="Segoe UI" w:eastAsia="Times New Roman" w:cs="Segoe UI"/>
          <w:i/>
          <w:iCs/>
          <w:sz w:val="21"/>
          <w:szCs w:val="21"/>
          <w:lang w:eastAsia="en-GB"/>
        </w:rPr>
        <w:t>GamblingNews</w:t>
      </w:r>
      <w:proofErr w:type="spellEnd"/>
      <w:r w:rsidRPr="0010185F">
        <w:rPr>
          <w:rFonts w:ascii="Segoe UI" w:hAnsi="Segoe UI" w:eastAsia="Times New Roman" w:cs="Segoe UI"/>
          <w:sz w:val="21"/>
          <w:szCs w:val="21"/>
          <w:lang w:eastAsia="en-GB"/>
        </w:rPr>
        <w:t>, 9 May. Available at: https://www.gamblingnews.com/news/macau-struggles-to-promote-gambling-awareness-to-mainland-tourists/ (Accessed: 12 December 2025</w:t>
      </w:r>
    </w:p>
    <w:p w:rsidRPr="00F405BF" w:rsidR="00784C2B" w:rsidP="00F405BF" w:rsidRDefault="00784C2B" w14:paraId="458ED0E2" w14:textId="77777777">
      <w:pPr>
        <w:spacing w:after="0" w:line="300" w:lineRule="atLeast"/>
        <w:rPr>
          <w:rFonts w:ascii="Segoe UI" w:hAnsi="Segoe UI" w:eastAsia="Times New Roman" w:cs="Segoe UI"/>
          <w:sz w:val="21"/>
          <w:szCs w:val="21"/>
          <w:lang w:eastAsia="en-GB"/>
        </w:rPr>
      </w:pPr>
    </w:p>
    <w:p w:rsidRPr="0010185F" w:rsidR="0010185F" w:rsidP="0010185F" w:rsidRDefault="0010185F" w14:paraId="0E80314D" w14:textId="77777777">
      <w:pPr>
        <w:spacing w:after="0" w:line="300" w:lineRule="atLeast"/>
        <w:rPr>
          <w:rFonts w:ascii="Segoe UI" w:hAnsi="Segoe UI" w:eastAsia="Times New Roman" w:cs="Segoe UI"/>
          <w:sz w:val="21"/>
          <w:szCs w:val="21"/>
          <w:lang w:eastAsia="en-GB"/>
        </w:rPr>
      </w:pPr>
      <w:r w:rsidRPr="0010185F">
        <w:rPr>
          <w:rFonts w:ascii="Segoe UI" w:hAnsi="Segoe UI" w:eastAsia="Times New Roman" w:cs="Segoe UI"/>
          <w:sz w:val="21"/>
          <w:szCs w:val="21"/>
          <w:lang w:eastAsia="en-GB"/>
        </w:rPr>
        <w:t xml:space="preserve">U.S. Department of State (2025) </w:t>
      </w:r>
      <w:r w:rsidRPr="0010185F">
        <w:rPr>
          <w:rFonts w:ascii="Segoe UI" w:hAnsi="Segoe UI" w:eastAsia="Times New Roman" w:cs="Segoe UI"/>
          <w:i/>
          <w:iCs/>
          <w:sz w:val="21"/>
          <w:szCs w:val="21"/>
          <w:lang w:eastAsia="en-GB"/>
        </w:rPr>
        <w:t>2025 Macau Investment Climate Statement</w:t>
      </w:r>
      <w:r w:rsidRPr="0010185F">
        <w:rPr>
          <w:rFonts w:ascii="Segoe UI" w:hAnsi="Segoe UI" w:eastAsia="Times New Roman" w:cs="Segoe UI"/>
          <w:sz w:val="21"/>
          <w:szCs w:val="21"/>
          <w:lang w:eastAsia="en-GB"/>
        </w:rPr>
        <w:t>, 2025. Available at: https://www.state.gov/wp-content/uploads/2025/09/638719_2025-Macau-Investment-Climate-Statement.pdf (Accessed: 12 D</w:t>
      </w:r>
    </w:p>
    <w:p w:rsidRPr="0070404B" w:rsidR="0070404B" w:rsidP="0070404B" w:rsidRDefault="0070404B" w14:paraId="60F8B90C" w14:textId="77777777">
      <w:pPr>
        <w:spacing w:after="0" w:line="300" w:lineRule="atLeast"/>
        <w:rPr>
          <w:rFonts w:ascii="Segoe UI" w:hAnsi="Segoe UI" w:eastAsia="Times New Roman" w:cs="Segoe UI"/>
          <w:sz w:val="21"/>
          <w:szCs w:val="21"/>
          <w:lang w:eastAsia="en-GB"/>
        </w:rPr>
      </w:pPr>
    </w:p>
    <w:p w:rsidR="003B6FB1" w:rsidP="003B6FB1" w:rsidRDefault="003B6FB1" w14:paraId="68EE792F" w14:textId="50C3EEC9">
      <w:pPr>
        <w:spacing w:after="0" w:line="300" w:lineRule="atLeast"/>
        <w:rPr>
          <w:rFonts w:ascii="Segoe UI" w:hAnsi="Segoe UI" w:eastAsia="Times New Roman" w:cs="Segoe UI"/>
          <w:sz w:val="21"/>
          <w:szCs w:val="21"/>
          <w:lang w:eastAsia="en-GB"/>
        </w:rPr>
      </w:pPr>
      <w:r w:rsidRPr="003B6FB1">
        <w:rPr>
          <w:rFonts w:ascii="Segoe UI" w:hAnsi="Segoe UI" w:eastAsia="Times New Roman" w:cs="Segoe UI"/>
          <w:sz w:val="21"/>
          <w:szCs w:val="21"/>
          <w:lang w:eastAsia="en-GB"/>
        </w:rPr>
        <w:t xml:space="preserve">Department of Health &amp; Social Care (2023) </w:t>
      </w:r>
      <w:r w:rsidRPr="003B6FB1">
        <w:rPr>
          <w:rFonts w:ascii="Segoe UI" w:hAnsi="Segoe UI" w:eastAsia="Times New Roman" w:cs="Segoe UI"/>
          <w:i/>
          <w:iCs/>
          <w:sz w:val="21"/>
          <w:szCs w:val="21"/>
          <w:lang w:eastAsia="en-GB"/>
        </w:rPr>
        <w:t>Restricting promotions of products high in fat, sugar or salt by location and by volume price: implementation guidance</w:t>
      </w:r>
      <w:r w:rsidRPr="003B6FB1">
        <w:rPr>
          <w:rFonts w:ascii="Segoe UI" w:hAnsi="Segoe UI" w:eastAsia="Times New Roman" w:cs="Segoe UI"/>
          <w:sz w:val="21"/>
          <w:szCs w:val="21"/>
          <w:lang w:eastAsia="en-GB"/>
        </w:rPr>
        <w:t>, GOV.UK, 29 September. Available at: https://www.gov.uk/government/publications/restricting-promotions-of-products-high-in-fat-sugar-or-salt-by-location-and-by-volume-price/restricting-promotions-of-products-high-in-fat-sugar-or-salt-by-location-and-by-volume-price-implementation-guidance (Accessed: 12 December 2025)</w:t>
      </w:r>
    </w:p>
    <w:p w:rsidRPr="003B6FB1" w:rsidR="003B6FB1" w:rsidP="003B6FB1" w:rsidRDefault="003B6FB1" w14:paraId="07AC7C33" w14:textId="77777777">
      <w:pPr>
        <w:spacing w:after="0" w:line="300" w:lineRule="atLeast"/>
        <w:rPr>
          <w:rFonts w:ascii="Segoe UI" w:hAnsi="Segoe UI" w:eastAsia="Times New Roman" w:cs="Segoe UI"/>
          <w:sz w:val="21"/>
          <w:szCs w:val="21"/>
          <w:lang w:eastAsia="en-GB"/>
        </w:rPr>
      </w:pPr>
    </w:p>
    <w:p w:rsidR="003B6FB1" w:rsidP="003B6FB1" w:rsidRDefault="003B6FB1" w14:paraId="268027B5" w14:textId="7FCE255C">
      <w:pPr>
        <w:spacing w:after="0" w:line="300" w:lineRule="atLeast"/>
        <w:rPr>
          <w:rFonts w:ascii="Segoe UI" w:hAnsi="Segoe UI" w:eastAsia="Times New Roman" w:cs="Segoe UI"/>
          <w:sz w:val="21"/>
          <w:szCs w:val="21"/>
          <w:lang w:eastAsia="en-GB"/>
        </w:rPr>
      </w:pPr>
      <w:r w:rsidRPr="003B6FB1">
        <w:rPr>
          <w:rFonts w:ascii="Segoe UI" w:hAnsi="Segoe UI" w:eastAsia="Times New Roman" w:cs="Segoe UI"/>
          <w:sz w:val="21"/>
          <w:szCs w:val="21"/>
          <w:lang w:eastAsia="en-GB"/>
        </w:rPr>
        <w:t xml:space="preserve">NIHR Evidence (2022) </w:t>
      </w:r>
      <w:r w:rsidRPr="003B6FB1">
        <w:rPr>
          <w:rFonts w:ascii="Segoe UI" w:hAnsi="Segoe UI" w:eastAsia="Times New Roman" w:cs="Segoe UI"/>
          <w:i/>
          <w:iCs/>
          <w:sz w:val="21"/>
          <w:szCs w:val="21"/>
          <w:lang w:eastAsia="en-GB"/>
        </w:rPr>
        <w:t>TfL advertising ban lowered purchases of unhealthy food and drink</w:t>
      </w:r>
      <w:r w:rsidRPr="003B6FB1">
        <w:rPr>
          <w:rFonts w:ascii="Segoe UI" w:hAnsi="Segoe UI" w:eastAsia="Times New Roman" w:cs="Segoe UI"/>
          <w:sz w:val="21"/>
          <w:szCs w:val="21"/>
          <w:lang w:eastAsia="en-GB"/>
        </w:rPr>
        <w:t>, NIHR, 3 August. Available at: https://evidence.nihr.ac.uk/alert/advertising-ban-was-linked-to-lower-purchases-of-unhealthy-food-and-drink/ (Accessed: 12 December 2025)</w:t>
      </w:r>
    </w:p>
    <w:p w:rsidRPr="003B6FB1" w:rsidR="002E3792" w:rsidP="003B6FB1" w:rsidRDefault="002E3792" w14:paraId="227C2CB1" w14:textId="77777777">
      <w:pPr>
        <w:spacing w:after="0" w:line="300" w:lineRule="atLeast"/>
        <w:rPr>
          <w:rFonts w:ascii="Segoe UI" w:hAnsi="Segoe UI" w:eastAsia="Times New Roman" w:cs="Segoe UI"/>
          <w:sz w:val="21"/>
          <w:szCs w:val="21"/>
          <w:lang w:eastAsia="en-GB"/>
        </w:rPr>
      </w:pPr>
    </w:p>
    <w:p w:rsidRPr="0003588F" w:rsidR="0003588F" w:rsidP="0003588F" w:rsidRDefault="0003588F" w14:paraId="3F3E01EB" w14:textId="77777777">
      <w:pPr>
        <w:spacing w:after="0" w:line="300" w:lineRule="atLeast"/>
        <w:rPr>
          <w:rFonts w:ascii="Segoe UI" w:hAnsi="Segoe UI" w:eastAsia="Times New Roman" w:cs="Segoe UI"/>
          <w:sz w:val="21"/>
          <w:szCs w:val="21"/>
          <w:lang w:eastAsia="en-GB"/>
        </w:rPr>
      </w:pPr>
      <w:r w:rsidRPr="0003588F">
        <w:rPr>
          <w:rFonts w:ascii="Segoe UI" w:hAnsi="Segoe UI" w:eastAsia="Times New Roman" w:cs="Segoe UI"/>
          <w:sz w:val="21"/>
          <w:szCs w:val="21"/>
          <w:lang w:eastAsia="en-GB"/>
        </w:rPr>
        <w:t xml:space="preserve">Federal Ministry of Labour and Social Affairs (BMAS) (2023) </w:t>
      </w:r>
      <w:r w:rsidRPr="0003588F">
        <w:rPr>
          <w:rFonts w:ascii="Segoe UI" w:hAnsi="Segoe UI" w:eastAsia="Times New Roman" w:cs="Segoe UI"/>
          <w:i/>
          <w:iCs/>
          <w:sz w:val="21"/>
          <w:szCs w:val="21"/>
          <w:lang w:eastAsia="en-GB"/>
        </w:rPr>
        <w:t>Act on Corporate Due Diligence Obligations in Supply Chains (</w:t>
      </w:r>
      <w:proofErr w:type="spellStart"/>
      <w:r w:rsidRPr="0003588F">
        <w:rPr>
          <w:rFonts w:ascii="Segoe UI" w:hAnsi="Segoe UI" w:eastAsia="Times New Roman" w:cs="Segoe UI"/>
          <w:i/>
          <w:iCs/>
          <w:sz w:val="21"/>
          <w:szCs w:val="21"/>
          <w:lang w:eastAsia="en-GB"/>
        </w:rPr>
        <w:t>Lieferkettengesetz</w:t>
      </w:r>
      <w:proofErr w:type="spellEnd"/>
      <w:r w:rsidRPr="0003588F">
        <w:rPr>
          <w:rFonts w:ascii="Segoe UI" w:hAnsi="Segoe UI" w:eastAsia="Times New Roman" w:cs="Segoe UI"/>
          <w:i/>
          <w:iCs/>
          <w:sz w:val="21"/>
          <w:szCs w:val="21"/>
          <w:lang w:eastAsia="en-GB"/>
        </w:rPr>
        <w:t>)</w:t>
      </w:r>
      <w:r w:rsidRPr="0003588F">
        <w:rPr>
          <w:rFonts w:ascii="Segoe UI" w:hAnsi="Segoe UI" w:eastAsia="Times New Roman" w:cs="Segoe UI"/>
          <w:sz w:val="21"/>
          <w:szCs w:val="21"/>
          <w:lang w:eastAsia="en-GB"/>
        </w:rPr>
        <w:t>, BMAS. Available at: https://www.bmas.de/EN/Europe-and-the-World/International/Supply-Chain-Act/supply-chain-act.html (Accessed: 12 December 2025)</w:t>
      </w:r>
    </w:p>
    <w:p w:rsidR="001C622D" w:rsidP="00E36A66" w:rsidRDefault="001C622D" w14:paraId="44ECC77D" w14:textId="77777777">
      <w:pPr>
        <w:spacing w:before="100" w:beforeAutospacing="1" w:after="100" w:afterAutospacing="1" w:line="300" w:lineRule="atLeast"/>
      </w:pPr>
    </w:p>
    <w:p w:rsidRPr="00E36A66" w:rsidR="00274533" w:rsidP="00E36A66" w:rsidRDefault="00274533" w14:paraId="62F9C242" w14:textId="77777777">
      <w:pPr>
        <w:spacing w:before="100" w:beforeAutospacing="1" w:after="100" w:afterAutospacing="1" w:line="300" w:lineRule="atLeast"/>
        <w:rPr>
          <w:rFonts w:ascii="Arial" w:hAnsi="Arial" w:eastAsia="Times New Roman" w:cs="Arial"/>
          <w:sz w:val="24"/>
          <w:szCs w:val="24"/>
          <w:lang w:eastAsia="en-GB"/>
        </w:rPr>
      </w:pPr>
    </w:p>
    <w:p w:rsidRPr="00E36A66" w:rsidR="00E36A66" w:rsidP="00E36A66" w:rsidRDefault="00E36A66" w14:paraId="75C85479" w14:textId="77777777">
      <w:pPr>
        <w:spacing w:before="100" w:beforeAutospacing="1" w:after="100" w:afterAutospacing="1" w:line="480" w:lineRule="auto"/>
        <w:rPr>
          <w:rFonts w:ascii="Segoe UI" w:hAnsi="Segoe UI" w:eastAsia="Times New Roman" w:cs="Segoe UI"/>
          <w:sz w:val="21"/>
          <w:szCs w:val="21"/>
          <w:lang w:eastAsia="en-GB"/>
        </w:rPr>
      </w:pPr>
    </w:p>
    <w:p w:rsidRPr="007B2E87" w:rsidR="00E36A66" w:rsidP="007B2E87" w:rsidRDefault="00E36A66" w14:paraId="58590B82" w14:textId="77777777">
      <w:pPr>
        <w:spacing w:before="100" w:beforeAutospacing="1" w:after="100" w:afterAutospacing="1" w:line="480" w:lineRule="auto"/>
        <w:rPr>
          <w:rFonts w:ascii="Arial" w:hAnsi="Arial" w:eastAsia="Times New Roman" w:cs="Arial"/>
          <w:sz w:val="24"/>
          <w:szCs w:val="24"/>
          <w:lang w:eastAsia="en-GB"/>
        </w:rPr>
      </w:pPr>
    </w:p>
    <w:p w:rsidRPr="007B2E87" w:rsidR="007B2E87" w:rsidP="007B2E87" w:rsidRDefault="007B2E87" w14:paraId="63AD9D43" w14:textId="77777777">
      <w:pPr>
        <w:spacing w:after="0" w:line="480" w:lineRule="auto"/>
        <w:rPr>
          <w:rFonts w:ascii="Arial" w:hAnsi="Arial" w:eastAsia="Times New Roman" w:cs="Arial"/>
          <w:sz w:val="24"/>
          <w:szCs w:val="24"/>
          <w:lang w:eastAsia="en-GB"/>
        </w:rPr>
      </w:pPr>
    </w:p>
    <w:p w:rsidRPr="0093701C" w:rsidR="007B2E87" w:rsidP="0093701C" w:rsidRDefault="007B2E87" w14:paraId="56CFAE0F" w14:textId="77777777">
      <w:pPr>
        <w:spacing w:before="100" w:beforeAutospacing="1" w:after="100" w:afterAutospacing="1" w:line="480" w:lineRule="auto"/>
        <w:rPr>
          <w:rFonts w:ascii="Arial" w:hAnsi="Arial" w:eastAsia="Times New Roman" w:cs="Arial"/>
          <w:sz w:val="24"/>
          <w:szCs w:val="24"/>
          <w:lang w:eastAsia="en-GB"/>
        </w:rPr>
      </w:pPr>
    </w:p>
    <w:p w:rsidRPr="0093701C" w:rsidR="0093701C" w:rsidP="0093701C" w:rsidRDefault="0093701C" w14:paraId="43DEC1CA" w14:textId="77777777">
      <w:pPr>
        <w:spacing w:before="100" w:beforeAutospacing="1" w:after="100" w:afterAutospacing="1" w:line="480" w:lineRule="auto"/>
        <w:rPr>
          <w:rFonts w:ascii="Arial" w:hAnsi="Arial" w:eastAsia="Times New Roman" w:cs="Arial"/>
          <w:sz w:val="24"/>
          <w:szCs w:val="24"/>
          <w:lang w:eastAsia="en-GB"/>
        </w:rPr>
      </w:pPr>
    </w:p>
    <w:p w:rsidRPr="0093701C" w:rsidR="0093701C" w:rsidP="0093701C" w:rsidRDefault="0093701C" w14:paraId="52B63B4B" w14:textId="77777777">
      <w:pPr>
        <w:spacing w:before="100" w:beforeAutospacing="1" w:after="100" w:afterAutospacing="1" w:line="480" w:lineRule="auto"/>
        <w:rPr>
          <w:rFonts w:ascii="Arial" w:hAnsi="Arial" w:eastAsia="Times New Roman" w:cs="Arial"/>
          <w:sz w:val="24"/>
          <w:szCs w:val="24"/>
          <w:lang w:eastAsia="en-GB"/>
        </w:rPr>
      </w:pPr>
    </w:p>
    <w:p w:rsidRPr="0093701C" w:rsidR="0093701C" w:rsidP="0093701C" w:rsidRDefault="0093701C" w14:paraId="55268EF8" w14:textId="77777777">
      <w:pPr>
        <w:spacing w:before="100" w:beforeAutospacing="1" w:after="100" w:afterAutospacing="1" w:line="360" w:lineRule="auto"/>
        <w:rPr>
          <w:rFonts w:ascii="Arial" w:hAnsi="Arial" w:eastAsia="Times New Roman" w:cs="Arial"/>
          <w:sz w:val="24"/>
          <w:szCs w:val="24"/>
          <w:lang w:eastAsia="en-GB"/>
        </w:rPr>
      </w:pPr>
    </w:p>
    <w:p w:rsidRPr="001B4AD0" w:rsidR="001B4AD0" w:rsidP="001B4AD0" w:rsidRDefault="001B4AD0" w14:paraId="7BEA79D1" w14:textId="77777777">
      <w:pPr>
        <w:spacing w:after="0" w:line="480" w:lineRule="auto"/>
        <w:rPr>
          <w:rFonts w:ascii="Arial" w:hAnsi="Arial" w:eastAsia="Times New Roman" w:cs="Arial"/>
          <w:sz w:val="24"/>
          <w:szCs w:val="24"/>
          <w:lang w:eastAsia="en-GB"/>
        </w:rPr>
      </w:pPr>
    </w:p>
    <w:p w:rsidRPr="001B4AD0" w:rsidR="001B4AD0" w:rsidP="001B4AD0" w:rsidRDefault="001B4AD0" w14:paraId="6FEAFC9F" w14:textId="77777777">
      <w:pPr>
        <w:spacing w:before="100" w:beforeAutospacing="1" w:after="100" w:afterAutospacing="1" w:line="300" w:lineRule="atLeast"/>
        <w:rPr>
          <w:rFonts w:ascii="Arial" w:hAnsi="Arial" w:eastAsia="Times New Roman" w:cs="Arial"/>
          <w:sz w:val="24"/>
          <w:szCs w:val="24"/>
          <w:lang w:eastAsia="en-GB"/>
        </w:rPr>
      </w:pPr>
    </w:p>
    <w:p w:rsidRPr="001B4AD0" w:rsidR="001B4AD0" w:rsidP="001B4AD0" w:rsidRDefault="001B4AD0" w14:paraId="018B1DAC" w14:textId="77777777">
      <w:pPr>
        <w:spacing w:before="100" w:beforeAutospacing="1" w:after="100" w:afterAutospacing="1" w:line="480" w:lineRule="auto"/>
        <w:rPr>
          <w:rFonts w:ascii="Arial" w:hAnsi="Arial" w:eastAsia="Times New Roman" w:cs="Arial"/>
          <w:sz w:val="24"/>
          <w:szCs w:val="24"/>
          <w:lang w:eastAsia="en-GB"/>
        </w:rPr>
      </w:pPr>
    </w:p>
    <w:p w:rsidRPr="00485BC5" w:rsidR="001B4AD0" w:rsidP="00485BC5" w:rsidRDefault="001B4AD0" w14:paraId="1F992D01" w14:textId="77777777">
      <w:pPr>
        <w:spacing w:before="100" w:beforeAutospacing="1" w:after="100" w:afterAutospacing="1" w:line="480" w:lineRule="auto"/>
        <w:rPr>
          <w:rFonts w:ascii="Arial" w:hAnsi="Arial" w:eastAsia="Times New Roman" w:cs="Arial"/>
          <w:sz w:val="24"/>
          <w:szCs w:val="24"/>
          <w:lang w:eastAsia="en-GB"/>
        </w:rPr>
      </w:pPr>
    </w:p>
    <w:p w:rsidR="00485BC5" w:rsidP="00485BC5" w:rsidRDefault="00485BC5" w14:paraId="70427706" w14:textId="77777777">
      <w:pPr>
        <w:spacing w:before="100" w:beforeAutospacing="1" w:after="100" w:afterAutospacing="1" w:line="480" w:lineRule="auto"/>
        <w:rPr>
          <w:rFonts w:ascii="Arial" w:hAnsi="Arial" w:eastAsia="Times New Roman" w:cs="Arial"/>
          <w:sz w:val="24"/>
          <w:szCs w:val="24"/>
          <w:lang w:eastAsia="en-GB"/>
        </w:rPr>
      </w:pPr>
    </w:p>
    <w:p w:rsidRPr="00485BC5" w:rsidR="00485BC5" w:rsidP="00485BC5" w:rsidRDefault="00485BC5" w14:paraId="2A7C4745" w14:textId="1606BA24">
      <w:pPr>
        <w:rPr>
          <w:rFonts w:ascii="Arial" w:hAnsi="Arial" w:eastAsia="Times New Roman" w:cs="Arial"/>
          <w:sz w:val="24"/>
          <w:szCs w:val="24"/>
          <w:lang w:eastAsia="en-GB"/>
        </w:rPr>
      </w:pPr>
    </w:p>
    <w:p w:rsidRPr="00485BC5" w:rsidR="00485BC5" w:rsidP="00485BC5" w:rsidRDefault="00485BC5" w14:paraId="1E645D0D" w14:textId="77777777">
      <w:pPr>
        <w:spacing w:before="100" w:beforeAutospacing="1" w:after="100" w:afterAutospacing="1" w:line="480" w:lineRule="auto"/>
        <w:rPr>
          <w:rFonts w:ascii="Arial" w:hAnsi="Arial" w:eastAsia="Times New Roman" w:cs="Arial"/>
          <w:sz w:val="24"/>
          <w:szCs w:val="24"/>
          <w:lang w:eastAsia="en-GB"/>
        </w:rPr>
      </w:pPr>
    </w:p>
    <w:p w:rsidRPr="00642EAB" w:rsidR="00642EAB" w:rsidP="00642EAB" w:rsidRDefault="00642EAB" w14:paraId="757B111B" w14:textId="0FDD7219">
      <w:pPr>
        <w:pStyle w:val="NormalWeb"/>
        <w:rPr>
          <w:rFonts w:ascii="Arial" w:hAnsi="Arial" w:cs="Arial"/>
        </w:rPr>
      </w:pPr>
    </w:p>
    <w:p w:rsidRPr="007B281F" w:rsidR="007B281F" w:rsidP="007B281F" w:rsidRDefault="007B281F" w14:paraId="270836CF" w14:textId="77777777">
      <w:pPr>
        <w:rPr>
          <w:rFonts w:ascii="Arial" w:hAnsi="Arial" w:cs="Arial"/>
          <w:b/>
          <w:bCs/>
          <w:sz w:val="24"/>
          <w:szCs w:val="24"/>
        </w:rPr>
      </w:pPr>
    </w:p>
    <w:p w:rsidRPr="007B281F" w:rsidR="007B281F" w:rsidP="007B281F" w:rsidRDefault="007B281F" w14:paraId="5DEEEFF8" w14:textId="77777777">
      <w:pPr>
        <w:rPr>
          <w:rFonts w:ascii="Arial" w:hAnsi="Arial" w:cs="Arial"/>
          <w:b/>
          <w:bCs/>
          <w:sz w:val="24"/>
          <w:szCs w:val="24"/>
          <w:lang w:eastAsia="en-GB"/>
        </w:rPr>
      </w:pPr>
    </w:p>
    <w:p w:rsidRPr="007B281F" w:rsidR="007B281F" w:rsidP="007B281F" w:rsidRDefault="007B281F" w14:paraId="3716B431" w14:textId="77777777">
      <w:pPr>
        <w:rPr>
          <w:rFonts w:ascii="Arial" w:hAnsi="Arial" w:cs="Arial"/>
          <w:sz w:val="24"/>
          <w:szCs w:val="24"/>
          <w:lang w:eastAsia="en-GB"/>
        </w:rPr>
      </w:pPr>
    </w:p>
    <w:p w:rsidRPr="005541EB" w:rsidR="007B281F" w:rsidP="00DB2342" w:rsidRDefault="007B281F" w14:paraId="66E42E66" w14:textId="77777777">
      <w:pPr>
        <w:spacing w:line="360" w:lineRule="auto"/>
        <w:rPr>
          <w:rFonts w:ascii="Arial" w:hAnsi="Arial" w:cs="Arial"/>
          <w:bCs/>
          <w:sz w:val="24"/>
          <w:szCs w:val="24"/>
          <w:lang w:eastAsia="en-GB"/>
        </w:rPr>
      </w:pPr>
    </w:p>
    <w:sectPr w:rsidRPr="005541EB" w:rsidR="007B281F">
      <w:headerReference w:type="default" r:id="rId68"/>
      <w:footerReference w:type="default" r:id="rId6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5C15" w:rsidRDefault="00E25C15" w14:paraId="394593CD" w14:textId="77777777">
      <w:pPr>
        <w:spacing w:after="0" w:line="240" w:lineRule="auto"/>
      </w:pPr>
      <w:r>
        <w:separator/>
      </w:r>
    </w:p>
  </w:endnote>
  <w:endnote w:type="continuationSeparator" w:id="0">
    <w:p w:rsidR="00E25C15" w:rsidRDefault="00E25C15" w14:paraId="708748D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433475"/>
      <w:docPartObj>
        <w:docPartGallery w:val="Page Numbers (Bottom of Page)"/>
        <w:docPartUnique/>
      </w:docPartObj>
    </w:sdtPr>
    <w:sdtEndPr>
      <w:rPr>
        <w:noProof/>
      </w:rPr>
    </w:sdtEndPr>
    <w:sdtContent>
      <w:p w:rsidR="003A1AE9" w:rsidRDefault="003A1AE9" w14:paraId="098ADB94" w14:textId="61106BFB">
        <w:pPr>
          <w:pStyle w:val="Footer"/>
        </w:pPr>
        <w:r>
          <w:fldChar w:fldCharType="begin"/>
        </w:r>
        <w:r>
          <w:instrText xml:space="preserve"> PAGE   \* MERGEFORMAT </w:instrText>
        </w:r>
        <w:r>
          <w:fldChar w:fldCharType="separate"/>
        </w:r>
        <w:r w:rsidR="00C10C8F">
          <w:rPr>
            <w:noProof/>
          </w:rPr>
          <w:t>1</w:t>
        </w:r>
        <w:r>
          <w:rPr>
            <w:noProof/>
          </w:rPr>
          <w:fldChar w:fldCharType="end"/>
        </w:r>
      </w:p>
    </w:sdtContent>
  </w:sdt>
  <w:p w:rsidR="7244D087" w:rsidP="7244D087" w:rsidRDefault="7244D087" w14:paraId="1757103B" w14:textId="3CDC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5C15" w:rsidRDefault="00E25C15" w14:paraId="4B25CACD" w14:textId="77777777">
      <w:pPr>
        <w:spacing w:after="0" w:line="240" w:lineRule="auto"/>
      </w:pPr>
      <w:r>
        <w:separator/>
      </w:r>
    </w:p>
  </w:footnote>
  <w:footnote w:type="continuationSeparator" w:id="0">
    <w:p w:rsidR="00E25C15" w:rsidRDefault="00E25C15" w14:paraId="0E8BD10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244D087" w:rsidTr="7244D087" w14:paraId="7D8C4420" w14:textId="77777777">
      <w:trPr>
        <w:trHeight w:val="300"/>
      </w:trPr>
      <w:tc>
        <w:tcPr>
          <w:tcW w:w="3005" w:type="dxa"/>
        </w:tcPr>
        <w:p w:rsidR="7244D087" w:rsidP="7244D087" w:rsidRDefault="7244D087" w14:paraId="7B2F9E73" w14:textId="15698328">
          <w:pPr>
            <w:pStyle w:val="Header"/>
            <w:ind w:left="-115"/>
          </w:pPr>
        </w:p>
      </w:tc>
      <w:tc>
        <w:tcPr>
          <w:tcW w:w="3005" w:type="dxa"/>
        </w:tcPr>
        <w:p w:rsidR="7244D087" w:rsidP="7244D087" w:rsidRDefault="7244D087" w14:paraId="659946F5" w14:textId="1AEE7DEB">
          <w:pPr>
            <w:pStyle w:val="Header"/>
            <w:jc w:val="center"/>
          </w:pPr>
        </w:p>
      </w:tc>
      <w:tc>
        <w:tcPr>
          <w:tcW w:w="3005" w:type="dxa"/>
        </w:tcPr>
        <w:p w:rsidR="7244D087" w:rsidP="7244D087" w:rsidRDefault="7244D087" w14:paraId="1FCA47C8" w14:textId="7B9F760A">
          <w:pPr>
            <w:pStyle w:val="Header"/>
            <w:ind w:right="-115"/>
            <w:jc w:val="right"/>
          </w:pPr>
        </w:p>
      </w:tc>
    </w:tr>
  </w:tbl>
  <w:p w:rsidR="7244D087" w:rsidP="7244D087" w:rsidRDefault="7244D087" w14:paraId="0F4508DB" w14:textId="7A97A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nsid w:val="68428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AB10A9"/>
    <w:multiLevelType w:val="multilevel"/>
    <w:tmpl w:val="A03A79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843BA9"/>
    <w:multiLevelType w:val="hybridMultilevel"/>
    <w:tmpl w:val="A4A27C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392528"/>
    <w:multiLevelType w:val="hybridMultilevel"/>
    <w:tmpl w:val="2E8AEC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173EEA"/>
    <w:multiLevelType w:val="hybridMultilevel"/>
    <w:tmpl w:val="8DD487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13152D79"/>
    <w:multiLevelType w:val="multilevel"/>
    <w:tmpl w:val="1FEE6ED6"/>
    <w:lvl w:ilvl="0">
      <w:start w:val="1"/>
      <w:numFmt w:val="decimal"/>
      <w:lvlText w:val="%1."/>
      <w:lvlJc w:val="left"/>
      <w:pPr>
        <w:tabs>
          <w:tab w:val="num" w:pos="720"/>
        </w:tabs>
        <w:ind w:left="720" w:hanging="360"/>
      </w:pPr>
      <w:rPr>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8D5BB5"/>
    <w:multiLevelType w:val="hybridMultilevel"/>
    <w:tmpl w:val="E5DAA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106141D"/>
    <w:multiLevelType w:val="hybridMultilevel"/>
    <w:tmpl w:val="871817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FEC2033"/>
    <w:multiLevelType w:val="hybridMultilevel"/>
    <w:tmpl w:val="EB6AD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642E93"/>
    <w:multiLevelType w:val="multilevel"/>
    <w:tmpl w:val="D2BAC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CB50B0"/>
    <w:multiLevelType w:val="multilevel"/>
    <w:tmpl w:val="7114A4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361B37"/>
    <w:multiLevelType w:val="hybridMultilevel"/>
    <w:tmpl w:val="93D82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A702C70"/>
    <w:multiLevelType w:val="multilevel"/>
    <w:tmpl w:val="E8E66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B8E66B6"/>
    <w:multiLevelType w:val="hybridMultilevel"/>
    <w:tmpl w:val="2BF6D8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41882E29"/>
    <w:multiLevelType w:val="multilevel"/>
    <w:tmpl w:val="4D24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A54769"/>
    <w:multiLevelType w:val="hybridMultilevel"/>
    <w:tmpl w:val="83525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FD5695"/>
    <w:multiLevelType w:val="hybridMultilevel"/>
    <w:tmpl w:val="B0CAA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BE12F12"/>
    <w:multiLevelType w:val="hybridMultilevel"/>
    <w:tmpl w:val="0F78E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622A86"/>
    <w:multiLevelType w:val="multilevel"/>
    <w:tmpl w:val="39B68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6CF1156"/>
    <w:multiLevelType w:val="hybridMultilevel"/>
    <w:tmpl w:val="6FDA6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FCB401B"/>
    <w:multiLevelType w:val="hybridMultilevel"/>
    <w:tmpl w:val="12581A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E824E27"/>
    <w:multiLevelType w:val="multilevel"/>
    <w:tmpl w:val="DE620F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706B145C"/>
    <w:multiLevelType w:val="hybridMultilevel"/>
    <w:tmpl w:val="EF2021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0A53F5B"/>
    <w:multiLevelType w:val="hybridMultilevel"/>
    <w:tmpl w:val="6E5C3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4F24A74"/>
    <w:multiLevelType w:val="multilevel"/>
    <w:tmpl w:val="0A0E0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B41064"/>
    <w:multiLevelType w:val="multilevel"/>
    <w:tmpl w:val="EB8E30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B332E1B"/>
    <w:multiLevelType w:val="hybridMultilevel"/>
    <w:tmpl w:val="F858F8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D295DC7"/>
    <w:multiLevelType w:val="hybridMultilevel"/>
    <w:tmpl w:val="CF8E1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7"/>
  </w:num>
  <w:num w:numId="1">
    <w:abstractNumId w:val="7"/>
  </w:num>
  <w:num w:numId="2">
    <w:abstractNumId w:val="12"/>
  </w:num>
  <w:num w:numId="3">
    <w:abstractNumId w:val="2"/>
  </w:num>
  <w:num w:numId="4">
    <w:abstractNumId w:val="25"/>
  </w:num>
  <w:num w:numId="5">
    <w:abstractNumId w:val="15"/>
  </w:num>
  <w:num w:numId="6">
    <w:abstractNumId w:val="1"/>
  </w:num>
  <w:num w:numId="7">
    <w:abstractNumId w:val="21"/>
  </w:num>
  <w:num w:numId="8">
    <w:abstractNumId w:val="4"/>
  </w:num>
  <w:num w:numId="9">
    <w:abstractNumId w:val="19"/>
  </w:num>
  <w:num w:numId="10">
    <w:abstractNumId w:val="6"/>
  </w:num>
  <w:num w:numId="11">
    <w:abstractNumId w:val="8"/>
  </w:num>
  <w:num w:numId="12">
    <w:abstractNumId w:val="8"/>
  </w:num>
  <w:num w:numId="13">
    <w:abstractNumId w:val="18"/>
  </w:num>
  <w:num w:numId="14">
    <w:abstractNumId w:val="5"/>
  </w:num>
  <w:num w:numId="15">
    <w:abstractNumId w:val="10"/>
  </w:num>
  <w:num w:numId="16">
    <w:abstractNumId w:val="16"/>
  </w:num>
  <w:num w:numId="17">
    <w:abstractNumId w:val="26"/>
  </w:num>
  <w:num w:numId="18">
    <w:abstractNumId w:val="17"/>
  </w:num>
  <w:num w:numId="19">
    <w:abstractNumId w:val="0"/>
  </w:num>
  <w:num w:numId="20">
    <w:abstractNumId w:val="20"/>
  </w:num>
  <w:num w:numId="21">
    <w:abstractNumId w:val="11"/>
  </w:num>
  <w:num w:numId="22">
    <w:abstractNumId w:val="9"/>
  </w:num>
  <w:num w:numId="23">
    <w:abstractNumId w:val="3"/>
  </w:num>
  <w:num w:numId="24">
    <w:abstractNumId w:val="22"/>
  </w:num>
  <w:num w:numId="25">
    <w:abstractNumId w:val="13"/>
  </w:num>
  <w:num w:numId="26">
    <w:abstractNumId w:val="23"/>
  </w:num>
  <w:num w:numId="27">
    <w:abstractNumId w:val="24"/>
  </w:num>
  <w:num w:numId="28">
    <w:abstractNumId w:val="14"/>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3MjeyMDI2NzExMzBU0lEKTi0uzszPAykwrgUAx5Fg6SwAAAA="/>
  </w:docVars>
  <w:rsids>
    <w:rsidRoot w:val="00F66DDC"/>
    <w:rsid w:val="000006BB"/>
    <w:rsid w:val="0001175C"/>
    <w:rsid w:val="000133AB"/>
    <w:rsid w:val="00013BC9"/>
    <w:rsid w:val="0002091E"/>
    <w:rsid w:val="000234AA"/>
    <w:rsid w:val="00025E9B"/>
    <w:rsid w:val="0002764D"/>
    <w:rsid w:val="0003588F"/>
    <w:rsid w:val="0003590C"/>
    <w:rsid w:val="00040EC9"/>
    <w:rsid w:val="0004304C"/>
    <w:rsid w:val="00044C4A"/>
    <w:rsid w:val="00047EA1"/>
    <w:rsid w:val="00052E45"/>
    <w:rsid w:val="00063273"/>
    <w:rsid w:val="00063690"/>
    <w:rsid w:val="000645DA"/>
    <w:rsid w:val="00066DA9"/>
    <w:rsid w:val="00071ED7"/>
    <w:rsid w:val="00073737"/>
    <w:rsid w:val="00074D27"/>
    <w:rsid w:val="000750CA"/>
    <w:rsid w:val="00083CAF"/>
    <w:rsid w:val="0008440F"/>
    <w:rsid w:val="000951BD"/>
    <w:rsid w:val="000A0351"/>
    <w:rsid w:val="000A4220"/>
    <w:rsid w:val="000A51FF"/>
    <w:rsid w:val="000B2BC9"/>
    <w:rsid w:val="000C05A3"/>
    <w:rsid w:val="000C169F"/>
    <w:rsid w:val="000D2152"/>
    <w:rsid w:val="000D41AD"/>
    <w:rsid w:val="000E1BDE"/>
    <w:rsid w:val="000E272A"/>
    <w:rsid w:val="000F2896"/>
    <w:rsid w:val="000F3136"/>
    <w:rsid w:val="000F6082"/>
    <w:rsid w:val="0010185F"/>
    <w:rsid w:val="00102553"/>
    <w:rsid w:val="0010360B"/>
    <w:rsid w:val="001133B9"/>
    <w:rsid w:val="0011527A"/>
    <w:rsid w:val="001207CB"/>
    <w:rsid w:val="00121DAF"/>
    <w:rsid w:val="00122061"/>
    <w:rsid w:val="00122827"/>
    <w:rsid w:val="00122C21"/>
    <w:rsid w:val="00124273"/>
    <w:rsid w:val="0012446C"/>
    <w:rsid w:val="00126565"/>
    <w:rsid w:val="001267EA"/>
    <w:rsid w:val="00136E55"/>
    <w:rsid w:val="001406D2"/>
    <w:rsid w:val="00140E8D"/>
    <w:rsid w:val="00146FE7"/>
    <w:rsid w:val="001619AF"/>
    <w:rsid w:val="00162DB1"/>
    <w:rsid w:val="00164901"/>
    <w:rsid w:val="001655C2"/>
    <w:rsid w:val="0016613A"/>
    <w:rsid w:val="00167522"/>
    <w:rsid w:val="00174FC6"/>
    <w:rsid w:val="00184096"/>
    <w:rsid w:val="00195AF2"/>
    <w:rsid w:val="00197180"/>
    <w:rsid w:val="001A1B05"/>
    <w:rsid w:val="001A422F"/>
    <w:rsid w:val="001A7A07"/>
    <w:rsid w:val="001B4AD0"/>
    <w:rsid w:val="001B4DB6"/>
    <w:rsid w:val="001B5135"/>
    <w:rsid w:val="001C0015"/>
    <w:rsid w:val="001C09A8"/>
    <w:rsid w:val="001C5920"/>
    <w:rsid w:val="001C622D"/>
    <w:rsid w:val="001D1B02"/>
    <w:rsid w:val="001D7775"/>
    <w:rsid w:val="001E0994"/>
    <w:rsid w:val="001E110B"/>
    <w:rsid w:val="001E24CC"/>
    <w:rsid w:val="001E35BD"/>
    <w:rsid w:val="001E4164"/>
    <w:rsid w:val="001E4EFD"/>
    <w:rsid w:val="001E4F08"/>
    <w:rsid w:val="001F33A7"/>
    <w:rsid w:val="00202DFE"/>
    <w:rsid w:val="00204804"/>
    <w:rsid w:val="00204DC5"/>
    <w:rsid w:val="002102CE"/>
    <w:rsid w:val="00216C0E"/>
    <w:rsid w:val="002171E0"/>
    <w:rsid w:val="00223127"/>
    <w:rsid w:val="00226CED"/>
    <w:rsid w:val="00230071"/>
    <w:rsid w:val="002435E3"/>
    <w:rsid w:val="002459F0"/>
    <w:rsid w:val="00252AFD"/>
    <w:rsid w:val="0025514D"/>
    <w:rsid w:val="00265B82"/>
    <w:rsid w:val="00271C7B"/>
    <w:rsid w:val="00274533"/>
    <w:rsid w:val="0027482C"/>
    <w:rsid w:val="00277E94"/>
    <w:rsid w:val="0028049A"/>
    <w:rsid w:val="0028079A"/>
    <w:rsid w:val="002809A1"/>
    <w:rsid w:val="00280F7A"/>
    <w:rsid w:val="00283136"/>
    <w:rsid w:val="0028646D"/>
    <w:rsid w:val="002874B6"/>
    <w:rsid w:val="00293F11"/>
    <w:rsid w:val="00297382"/>
    <w:rsid w:val="002B0D31"/>
    <w:rsid w:val="002B2AFC"/>
    <w:rsid w:val="002B36DA"/>
    <w:rsid w:val="002B3D12"/>
    <w:rsid w:val="002B68D7"/>
    <w:rsid w:val="002C0FA0"/>
    <w:rsid w:val="002C3C54"/>
    <w:rsid w:val="002C53F3"/>
    <w:rsid w:val="002D3120"/>
    <w:rsid w:val="002D7221"/>
    <w:rsid w:val="002E259C"/>
    <w:rsid w:val="002E2B0F"/>
    <w:rsid w:val="002E3792"/>
    <w:rsid w:val="002F542B"/>
    <w:rsid w:val="00301FBC"/>
    <w:rsid w:val="00303879"/>
    <w:rsid w:val="00307D12"/>
    <w:rsid w:val="00315CCA"/>
    <w:rsid w:val="0031741F"/>
    <w:rsid w:val="00323FC0"/>
    <w:rsid w:val="003267E0"/>
    <w:rsid w:val="00326A55"/>
    <w:rsid w:val="00340937"/>
    <w:rsid w:val="00344B25"/>
    <w:rsid w:val="003452C9"/>
    <w:rsid w:val="00351AA1"/>
    <w:rsid w:val="00352E99"/>
    <w:rsid w:val="0035329A"/>
    <w:rsid w:val="00353B26"/>
    <w:rsid w:val="00360053"/>
    <w:rsid w:val="00360B11"/>
    <w:rsid w:val="00365601"/>
    <w:rsid w:val="00366B30"/>
    <w:rsid w:val="00366CB7"/>
    <w:rsid w:val="00367657"/>
    <w:rsid w:val="00371A2A"/>
    <w:rsid w:val="00375D60"/>
    <w:rsid w:val="00380531"/>
    <w:rsid w:val="003840F3"/>
    <w:rsid w:val="003857CD"/>
    <w:rsid w:val="00394698"/>
    <w:rsid w:val="0039510A"/>
    <w:rsid w:val="003A17FC"/>
    <w:rsid w:val="003A1AE9"/>
    <w:rsid w:val="003B0B9B"/>
    <w:rsid w:val="003B3564"/>
    <w:rsid w:val="003B37FD"/>
    <w:rsid w:val="003B62A9"/>
    <w:rsid w:val="003B6FB1"/>
    <w:rsid w:val="003B751E"/>
    <w:rsid w:val="003C67AA"/>
    <w:rsid w:val="003D2F92"/>
    <w:rsid w:val="003D7DC9"/>
    <w:rsid w:val="003D7E0D"/>
    <w:rsid w:val="003D7EF4"/>
    <w:rsid w:val="003E4098"/>
    <w:rsid w:val="003E52E3"/>
    <w:rsid w:val="003E6309"/>
    <w:rsid w:val="003F3CD2"/>
    <w:rsid w:val="00410312"/>
    <w:rsid w:val="0041181C"/>
    <w:rsid w:val="00413D02"/>
    <w:rsid w:val="004214A8"/>
    <w:rsid w:val="00421EC8"/>
    <w:rsid w:val="00423248"/>
    <w:rsid w:val="00427ABE"/>
    <w:rsid w:val="00431B84"/>
    <w:rsid w:val="004407AD"/>
    <w:rsid w:val="00440AD7"/>
    <w:rsid w:val="00443FE8"/>
    <w:rsid w:val="00450753"/>
    <w:rsid w:val="00455E5D"/>
    <w:rsid w:val="00456296"/>
    <w:rsid w:val="00456F44"/>
    <w:rsid w:val="00460883"/>
    <w:rsid w:val="00464470"/>
    <w:rsid w:val="00464D99"/>
    <w:rsid w:val="00470CD1"/>
    <w:rsid w:val="0047105D"/>
    <w:rsid w:val="00473446"/>
    <w:rsid w:val="004779F1"/>
    <w:rsid w:val="004809D1"/>
    <w:rsid w:val="00485BC5"/>
    <w:rsid w:val="00486050"/>
    <w:rsid w:val="00495301"/>
    <w:rsid w:val="004A1766"/>
    <w:rsid w:val="004A19F4"/>
    <w:rsid w:val="004A5875"/>
    <w:rsid w:val="004A59AF"/>
    <w:rsid w:val="004B172B"/>
    <w:rsid w:val="004B4647"/>
    <w:rsid w:val="004C6CC7"/>
    <w:rsid w:val="004C7B70"/>
    <w:rsid w:val="004D12A9"/>
    <w:rsid w:val="004D17C4"/>
    <w:rsid w:val="004D4D5B"/>
    <w:rsid w:val="004D70A2"/>
    <w:rsid w:val="004D784F"/>
    <w:rsid w:val="004F1344"/>
    <w:rsid w:val="004F345A"/>
    <w:rsid w:val="004F5C7D"/>
    <w:rsid w:val="004F5F80"/>
    <w:rsid w:val="00500B1C"/>
    <w:rsid w:val="00502310"/>
    <w:rsid w:val="005031BD"/>
    <w:rsid w:val="0050395C"/>
    <w:rsid w:val="00505C0A"/>
    <w:rsid w:val="00506726"/>
    <w:rsid w:val="00517879"/>
    <w:rsid w:val="005312A5"/>
    <w:rsid w:val="00531C83"/>
    <w:rsid w:val="005351FA"/>
    <w:rsid w:val="00537B6B"/>
    <w:rsid w:val="00541350"/>
    <w:rsid w:val="005430A2"/>
    <w:rsid w:val="00545239"/>
    <w:rsid w:val="00547A19"/>
    <w:rsid w:val="0055377A"/>
    <w:rsid w:val="00553DF2"/>
    <w:rsid w:val="005541EB"/>
    <w:rsid w:val="00560941"/>
    <w:rsid w:val="00564A3D"/>
    <w:rsid w:val="00564C9D"/>
    <w:rsid w:val="00564F4E"/>
    <w:rsid w:val="00566762"/>
    <w:rsid w:val="005717C5"/>
    <w:rsid w:val="00571F1B"/>
    <w:rsid w:val="005739EE"/>
    <w:rsid w:val="0058018A"/>
    <w:rsid w:val="005827FC"/>
    <w:rsid w:val="00586F4C"/>
    <w:rsid w:val="005A5A9E"/>
    <w:rsid w:val="005B375F"/>
    <w:rsid w:val="005B5BEF"/>
    <w:rsid w:val="005C398F"/>
    <w:rsid w:val="005C42C7"/>
    <w:rsid w:val="005C4C47"/>
    <w:rsid w:val="005C6443"/>
    <w:rsid w:val="005C71E3"/>
    <w:rsid w:val="005D1156"/>
    <w:rsid w:val="005D63C3"/>
    <w:rsid w:val="005E178C"/>
    <w:rsid w:val="005E345F"/>
    <w:rsid w:val="005E656D"/>
    <w:rsid w:val="005F506F"/>
    <w:rsid w:val="005F65F5"/>
    <w:rsid w:val="006072FD"/>
    <w:rsid w:val="0060759E"/>
    <w:rsid w:val="006113F0"/>
    <w:rsid w:val="006135D4"/>
    <w:rsid w:val="00626162"/>
    <w:rsid w:val="00626C8B"/>
    <w:rsid w:val="00630A3F"/>
    <w:rsid w:val="00631A5E"/>
    <w:rsid w:val="006425AF"/>
    <w:rsid w:val="00642EAB"/>
    <w:rsid w:val="006436BA"/>
    <w:rsid w:val="006461D5"/>
    <w:rsid w:val="0064776B"/>
    <w:rsid w:val="0065418A"/>
    <w:rsid w:val="0065703C"/>
    <w:rsid w:val="00657962"/>
    <w:rsid w:val="00661E33"/>
    <w:rsid w:val="00666ABA"/>
    <w:rsid w:val="00672161"/>
    <w:rsid w:val="006737FB"/>
    <w:rsid w:val="006754CE"/>
    <w:rsid w:val="006768EB"/>
    <w:rsid w:val="00677C42"/>
    <w:rsid w:val="00681433"/>
    <w:rsid w:val="006861DA"/>
    <w:rsid w:val="006951B4"/>
    <w:rsid w:val="006B04DB"/>
    <w:rsid w:val="006B0D60"/>
    <w:rsid w:val="006B33D7"/>
    <w:rsid w:val="006B35D7"/>
    <w:rsid w:val="006B4D77"/>
    <w:rsid w:val="006B6D8E"/>
    <w:rsid w:val="006B7A60"/>
    <w:rsid w:val="006B7F19"/>
    <w:rsid w:val="006C1876"/>
    <w:rsid w:val="006C335D"/>
    <w:rsid w:val="006C5A2E"/>
    <w:rsid w:val="006C7ED2"/>
    <w:rsid w:val="006D15B6"/>
    <w:rsid w:val="006D4608"/>
    <w:rsid w:val="006E4E25"/>
    <w:rsid w:val="006E60B0"/>
    <w:rsid w:val="006F16E3"/>
    <w:rsid w:val="006F4F9F"/>
    <w:rsid w:val="007016B5"/>
    <w:rsid w:val="00701771"/>
    <w:rsid w:val="00703021"/>
    <w:rsid w:val="0070404B"/>
    <w:rsid w:val="0070592C"/>
    <w:rsid w:val="00713AC4"/>
    <w:rsid w:val="00717E94"/>
    <w:rsid w:val="007203F3"/>
    <w:rsid w:val="0072100B"/>
    <w:rsid w:val="007230B6"/>
    <w:rsid w:val="00741306"/>
    <w:rsid w:val="0074174D"/>
    <w:rsid w:val="00743652"/>
    <w:rsid w:val="00746654"/>
    <w:rsid w:val="007507A6"/>
    <w:rsid w:val="00750F83"/>
    <w:rsid w:val="0075351C"/>
    <w:rsid w:val="00754E21"/>
    <w:rsid w:val="00757075"/>
    <w:rsid w:val="00767274"/>
    <w:rsid w:val="0077461C"/>
    <w:rsid w:val="00775DDE"/>
    <w:rsid w:val="00780EAA"/>
    <w:rsid w:val="00781D64"/>
    <w:rsid w:val="00784C2B"/>
    <w:rsid w:val="00785060"/>
    <w:rsid w:val="00786407"/>
    <w:rsid w:val="00786B68"/>
    <w:rsid w:val="007874AE"/>
    <w:rsid w:val="00797C70"/>
    <w:rsid w:val="007A0228"/>
    <w:rsid w:val="007A2AC4"/>
    <w:rsid w:val="007A4EAA"/>
    <w:rsid w:val="007A5592"/>
    <w:rsid w:val="007A5C7C"/>
    <w:rsid w:val="007B1503"/>
    <w:rsid w:val="007B281F"/>
    <w:rsid w:val="007B2E87"/>
    <w:rsid w:val="007B623A"/>
    <w:rsid w:val="007C3764"/>
    <w:rsid w:val="007C74A1"/>
    <w:rsid w:val="007D3940"/>
    <w:rsid w:val="007D5890"/>
    <w:rsid w:val="007D6CAF"/>
    <w:rsid w:val="007E0871"/>
    <w:rsid w:val="007E093A"/>
    <w:rsid w:val="007E3553"/>
    <w:rsid w:val="007E4EFF"/>
    <w:rsid w:val="007E541C"/>
    <w:rsid w:val="007E677F"/>
    <w:rsid w:val="007E6B5B"/>
    <w:rsid w:val="007F05E3"/>
    <w:rsid w:val="007F7EA2"/>
    <w:rsid w:val="00806190"/>
    <w:rsid w:val="00806556"/>
    <w:rsid w:val="008160CF"/>
    <w:rsid w:val="00820ECC"/>
    <w:rsid w:val="008235E9"/>
    <w:rsid w:val="00833322"/>
    <w:rsid w:val="0083525E"/>
    <w:rsid w:val="0084106D"/>
    <w:rsid w:val="00844512"/>
    <w:rsid w:val="008447B2"/>
    <w:rsid w:val="008506BA"/>
    <w:rsid w:val="00851B23"/>
    <w:rsid w:val="00854D24"/>
    <w:rsid w:val="00862B79"/>
    <w:rsid w:val="00862E24"/>
    <w:rsid w:val="008659CD"/>
    <w:rsid w:val="00871601"/>
    <w:rsid w:val="0087207D"/>
    <w:rsid w:val="008737C4"/>
    <w:rsid w:val="0088358D"/>
    <w:rsid w:val="00883F77"/>
    <w:rsid w:val="0088509D"/>
    <w:rsid w:val="008855BD"/>
    <w:rsid w:val="0089056E"/>
    <w:rsid w:val="008930F3"/>
    <w:rsid w:val="00893D70"/>
    <w:rsid w:val="008A0C9A"/>
    <w:rsid w:val="008B51C1"/>
    <w:rsid w:val="008C1557"/>
    <w:rsid w:val="008C22EA"/>
    <w:rsid w:val="008C56F3"/>
    <w:rsid w:val="008C7534"/>
    <w:rsid w:val="008D2AEE"/>
    <w:rsid w:val="008D33A6"/>
    <w:rsid w:val="008D66CC"/>
    <w:rsid w:val="008E5745"/>
    <w:rsid w:val="008E77B8"/>
    <w:rsid w:val="008F5D6F"/>
    <w:rsid w:val="00901B8A"/>
    <w:rsid w:val="009034BF"/>
    <w:rsid w:val="00903EF4"/>
    <w:rsid w:val="009048CA"/>
    <w:rsid w:val="009051F5"/>
    <w:rsid w:val="00906D37"/>
    <w:rsid w:val="00914A66"/>
    <w:rsid w:val="00917CD0"/>
    <w:rsid w:val="00921787"/>
    <w:rsid w:val="0092341D"/>
    <w:rsid w:val="00924FB9"/>
    <w:rsid w:val="00926D46"/>
    <w:rsid w:val="0093182D"/>
    <w:rsid w:val="0093701C"/>
    <w:rsid w:val="00937377"/>
    <w:rsid w:val="00947E3B"/>
    <w:rsid w:val="00952FEF"/>
    <w:rsid w:val="00960FCE"/>
    <w:rsid w:val="009610CE"/>
    <w:rsid w:val="009656C3"/>
    <w:rsid w:val="0097410A"/>
    <w:rsid w:val="00974EB6"/>
    <w:rsid w:val="009752B7"/>
    <w:rsid w:val="00977760"/>
    <w:rsid w:val="00997190"/>
    <w:rsid w:val="009A00F3"/>
    <w:rsid w:val="009A0B9A"/>
    <w:rsid w:val="009A1EAF"/>
    <w:rsid w:val="009A3015"/>
    <w:rsid w:val="009A5D19"/>
    <w:rsid w:val="009B09F2"/>
    <w:rsid w:val="009B249C"/>
    <w:rsid w:val="009C7DEC"/>
    <w:rsid w:val="009D5506"/>
    <w:rsid w:val="009D79C2"/>
    <w:rsid w:val="009E2603"/>
    <w:rsid w:val="009E6617"/>
    <w:rsid w:val="009E798A"/>
    <w:rsid w:val="009F1C7B"/>
    <w:rsid w:val="009F2DCB"/>
    <w:rsid w:val="009F4585"/>
    <w:rsid w:val="009F6BEF"/>
    <w:rsid w:val="00A0430E"/>
    <w:rsid w:val="00A1140C"/>
    <w:rsid w:val="00A13198"/>
    <w:rsid w:val="00A146ED"/>
    <w:rsid w:val="00A15398"/>
    <w:rsid w:val="00A17648"/>
    <w:rsid w:val="00A22459"/>
    <w:rsid w:val="00A23E74"/>
    <w:rsid w:val="00A263EA"/>
    <w:rsid w:val="00A40788"/>
    <w:rsid w:val="00A40C17"/>
    <w:rsid w:val="00A43F91"/>
    <w:rsid w:val="00A5039B"/>
    <w:rsid w:val="00A5190C"/>
    <w:rsid w:val="00A56878"/>
    <w:rsid w:val="00A601FC"/>
    <w:rsid w:val="00A608EE"/>
    <w:rsid w:val="00A63792"/>
    <w:rsid w:val="00A64BF9"/>
    <w:rsid w:val="00A6791F"/>
    <w:rsid w:val="00A753B3"/>
    <w:rsid w:val="00A833A5"/>
    <w:rsid w:val="00A848F1"/>
    <w:rsid w:val="00A86373"/>
    <w:rsid w:val="00A86E5B"/>
    <w:rsid w:val="00A87C43"/>
    <w:rsid w:val="00AA0032"/>
    <w:rsid w:val="00AA0BDE"/>
    <w:rsid w:val="00AA17CF"/>
    <w:rsid w:val="00AA2990"/>
    <w:rsid w:val="00AA36A0"/>
    <w:rsid w:val="00AA7DE2"/>
    <w:rsid w:val="00AB5CA2"/>
    <w:rsid w:val="00AB68C8"/>
    <w:rsid w:val="00AC2ED4"/>
    <w:rsid w:val="00AC7036"/>
    <w:rsid w:val="00AD1F4D"/>
    <w:rsid w:val="00AD39CB"/>
    <w:rsid w:val="00AD3C7F"/>
    <w:rsid w:val="00AD4F4A"/>
    <w:rsid w:val="00AE40C2"/>
    <w:rsid w:val="00AE44C0"/>
    <w:rsid w:val="00AE52F1"/>
    <w:rsid w:val="00AE55AF"/>
    <w:rsid w:val="00AF0C53"/>
    <w:rsid w:val="00AF3356"/>
    <w:rsid w:val="00AF347E"/>
    <w:rsid w:val="00AF35A0"/>
    <w:rsid w:val="00AF67B6"/>
    <w:rsid w:val="00AF7B0D"/>
    <w:rsid w:val="00B00F70"/>
    <w:rsid w:val="00B032B1"/>
    <w:rsid w:val="00B03DBC"/>
    <w:rsid w:val="00B06E63"/>
    <w:rsid w:val="00B11CE3"/>
    <w:rsid w:val="00B133FB"/>
    <w:rsid w:val="00B145B1"/>
    <w:rsid w:val="00B164CA"/>
    <w:rsid w:val="00B3337F"/>
    <w:rsid w:val="00B35640"/>
    <w:rsid w:val="00B41185"/>
    <w:rsid w:val="00B428B8"/>
    <w:rsid w:val="00B43530"/>
    <w:rsid w:val="00B44412"/>
    <w:rsid w:val="00B50507"/>
    <w:rsid w:val="00B52398"/>
    <w:rsid w:val="00B52911"/>
    <w:rsid w:val="00B56AE1"/>
    <w:rsid w:val="00B6413B"/>
    <w:rsid w:val="00B64C30"/>
    <w:rsid w:val="00B72009"/>
    <w:rsid w:val="00B81A0E"/>
    <w:rsid w:val="00B82327"/>
    <w:rsid w:val="00B85A0D"/>
    <w:rsid w:val="00B86588"/>
    <w:rsid w:val="00BA149C"/>
    <w:rsid w:val="00BA42B5"/>
    <w:rsid w:val="00BB20E8"/>
    <w:rsid w:val="00BB7931"/>
    <w:rsid w:val="00BC00B5"/>
    <w:rsid w:val="00BC1609"/>
    <w:rsid w:val="00BC361D"/>
    <w:rsid w:val="00BC4047"/>
    <w:rsid w:val="00BC5192"/>
    <w:rsid w:val="00BD1F54"/>
    <w:rsid w:val="00BD2DC3"/>
    <w:rsid w:val="00BD6FFF"/>
    <w:rsid w:val="00BE05D2"/>
    <w:rsid w:val="00BE0841"/>
    <w:rsid w:val="00BE53FA"/>
    <w:rsid w:val="00BE5A42"/>
    <w:rsid w:val="00BE7ED1"/>
    <w:rsid w:val="00BF34CE"/>
    <w:rsid w:val="00C00E75"/>
    <w:rsid w:val="00C043FD"/>
    <w:rsid w:val="00C07B2D"/>
    <w:rsid w:val="00C10C8F"/>
    <w:rsid w:val="00C11BBB"/>
    <w:rsid w:val="00C11DBF"/>
    <w:rsid w:val="00C13A88"/>
    <w:rsid w:val="00C16CAB"/>
    <w:rsid w:val="00C170F8"/>
    <w:rsid w:val="00C22E2B"/>
    <w:rsid w:val="00C23991"/>
    <w:rsid w:val="00C23EBB"/>
    <w:rsid w:val="00C27322"/>
    <w:rsid w:val="00C33AD6"/>
    <w:rsid w:val="00C34245"/>
    <w:rsid w:val="00C36134"/>
    <w:rsid w:val="00C407C2"/>
    <w:rsid w:val="00C417B2"/>
    <w:rsid w:val="00C42069"/>
    <w:rsid w:val="00C42B2F"/>
    <w:rsid w:val="00C4315C"/>
    <w:rsid w:val="00C452C0"/>
    <w:rsid w:val="00C46DCB"/>
    <w:rsid w:val="00C515FB"/>
    <w:rsid w:val="00C5164A"/>
    <w:rsid w:val="00C523DA"/>
    <w:rsid w:val="00C53DF5"/>
    <w:rsid w:val="00C53E8E"/>
    <w:rsid w:val="00C60211"/>
    <w:rsid w:val="00C63934"/>
    <w:rsid w:val="00C64CC6"/>
    <w:rsid w:val="00C71055"/>
    <w:rsid w:val="00C71D4C"/>
    <w:rsid w:val="00C75067"/>
    <w:rsid w:val="00C75714"/>
    <w:rsid w:val="00C83DA4"/>
    <w:rsid w:val="00C8602F"/>
    <w:rsid w:val="00C90F27"/>
    <w:rsid w:val="00C91EBB"/>
    <w:rsid w:val="00C92B23"/>
    <w:rsid w:val="00C95167"/>
    <w:rsid w:val="00CA7484"/>
    <w:rsid w:val="00CB1B08"/>
    <w:rsid w:val="00CB254A"/>
    <w:rsid w:val="00CC0C1A"/>
    <w:rsid w:val="00CC7794"/>
    <w:rsid w:val="00CC7BCC"/>
    <w:rsid w:val="00CD13A0"/>
    <w:rsid w:val="00CD634E"/>
    <w:rsid w:val="00CD69D4"/>
    <w:rsid w:val="00CD7087"/>
    <w:rsid w:val="00CE190F"/>
    <w:rsid w:val="00CE4DB4"/>
    <w:rsid w:val="00CE6ECF"/>
    <w:rsid w:val="00CF6136"/>
    <w:rsid w:val="00CF6F29"/>
    <w:rsid w:val="00D03E80"/>
    <w:rsid w:val="00D128B4"/>
    <w:rsid w:val="00D14FE8"/>
    <w:rsid w:val="00D16A1E"/>
    <w:rsid w:val="00D21166"/>
    <w:rsid w:val="00D26DA2"/>
    <w:rsid w:val="00D302D0"/>
    <w:rsid w:val="00D304D2"/>
    <w:rsid w:val="00D3620F"/>
    <w:rsid w:val="00D41E42"/>
    <w:rsid w:val="00D42BC7"/>
    <w:rsid w:val="00D42E3A"/>
    <w:rsid w:val="00D43BFA"/>
    <w:rsid w:val="00D44B46"/>
    <w:rsid w:val="00D4523C"/>
    <w:rsid w:val="00D51ED6"/>
    <w:rsid w:val="00D537F6"/>
    <w:rsid w:val="00D57156"/>
    <w:rsid w:val="00D6096C"/>
    <w:rsid w:val="00D61433"/>
    <w:rsid w:val="00D621EF"/>
    <w:rsid w:val="00D63072"/>
    <w:rsid w:val="00D64EE4"/>
    <w:rsid w:val="00D65352"/>
    <w:rsid w:val="00D66774"/>
    <w:rsid w:val="00D77C79"/>
    <w:rsid w:val="00D809EC"/>
    <w:rsid w:val="00D85A1F"/>
    <w:rsid w:val="00D86749"/>
    <w:rsid w:val="00D93322"/>
    <w:rsid w:val="00D95F38"/>
    <w:rsid w:val="00D96291"/>
    <w:rsid w:val="00D965BC"/>
    <w:rsid w:val="00DA54BB"/>
    <w:rsid w:val="00DB2342"/>
    <w:rsid w:val="00DB6DBA"/>
    <w:rsid w:val="00DC3387"/>
    <w:rsid w:val="00DD2BED"/>
    <w:rsid w:val="00DD71FF"/>
    <w:rsid w:val="00DD772A"/>
    <w:rsid w:val="00DE4B66"/>
    <w:rsid w:val="00DE690B"/>
    <w:rsid w:val="00DF26B9"/>
    <w:rsid w:val="00DF29AF"/>
    <w:rsid w:val="00DF6289"/>
    <w:rsid w:val="00DF69AA"/>
    <w:rsid w:val="00E00C94"/>
    <w:rsid w:val="00E018F1"/>
    <w:rsid w:val="00E05AD1"/>
    <w:rsid w:val="00E156C8"/>
    <w:rsid w:val="00E21A13"/>
    <w:rsid w:val="00E25C15"/>
    <w:rsid w:val="00E27E1F"/>
    <w:rsid w:val="00E328DA"/>
    <w:rsid w:val="00E3375B"/>
    <w:rsid w:val="00E36A66"/>
    <w:rsid w:val="00E42FA2"/>
    <w:rsid w:val="00E4551A"/>
    <w:rsid w:val="00E4564B"/>
    <w:rsid w:val="00E459E5"/>
    <w:rsid w:val="00E50171"/>
    <w:rsid w:val="00E55F31"/>
    <w:rsid w:val="00E61EE4"/>
    <w:rsid w:val="00E64D5D"/>
    <w:rsid w:val="00E75919"/>
    <w:rsid w:val="00E76413"/>
    <w:rsid w:val="00E8159C"/>
    <w:rsid w:val="00E8555C"/>
    <w:rsid w:val="00E90FE9"/>
    <w:rsid w:val="00E95A11"/>
    <w:rsid w:val="00EB0F01"/>
    <w:rsid w:val="00EB3674"/>
    <w:rsid w:val="00EB417E"/>
    <w:rsid w:val="00EB444B"/>
    <w:rsid w:val="00EB4690"/>
    <w:rsid w:val="00EC0322"/>
    <w:rsid w:val="00EC3587"/>
    <w:rsid w:val="00EC712C"/>
    <w:rsid w:val="00ED5168"/>
    <w:rsid w:val="00ED5C51"/>
    <w:rsid w:val="00EE325F"/>
    <w:rsid w:val="00EE36ED"/>
    <w:rsid w:val="00EF4168"/>
    <w:rsid w:val="00EF74A5"/>
    <w:rsid w:val="00F005E6"/>
    <w:rsid w:val="00F02E63"/>
    <w:rsid w:val="00F1358E"/>
    <w:rsid w:val="00F168DB"/>
    <w:rsid w:val="00F169D4"/>
    <w:rsid w:val="00F23964"/>
    <w:rsid w:val="00F24A73"/>
    <w:rsid w:val="00F270C1"/>
    <w:rsid w:val="00F405BF"/>
    <w:rsid w:val="00F47948"/>
    <w:rsid w:val="00F50367"/>
    <w:rsid w:val="00F548B3"/>
    <w:rsid w:val="00F548C5"/>
    <w:rsid w:val="00F56E33"/>
    <w:rsid w:val="00F6529A"/>
    <w:rsid w:val="00F6574B"/>
    <w:rsid w:val="00F66DDC"/>
    <w:rsid w:val="00F74A51"/>
    <w:rsid w:val="00F83232"/>
    <w:rsid w:val="00F84644"/>
    <w:rsid w:val="00F859F1"/>
    <w:rsid w:val="00F9092C"/>
    <w:rsid w:val="00F91398"/>
    <w:rsid w:val="00F96E6D"/>
    <w:rsid w:val="00FA005B"/>
    <w:rsid w:val="00FA187B"/>
    <w:rsid w:val="00FA1B38"/>
    <w:rsid w:val="00FB07D1"/>
    <w:rsid w:val="00FB224A"/>
    <w:rsid w:val="00FB5D48"/>
    <w:rsid w:val="00FC04F1"/>
    <w:rsid w:val="00FC4605"/>
    <w:rsid w:val="00FD2540"/>
    <w:rsid w:val="00FD30D0"/>
    <w:rsid w:val="00FD5DD0"/>
    <w:rsid w:val="00FD7605"/>
    <w:rsid w:val="00FE1797"/>
    <w:rsid w:val="00FE194F"/>
    <w:rsid w:val="00FE381C"/>
    <w:rsid w:val="00FF0128"/>
    <w:rsid w:val="00FF49EF"/>
    <w:rsid w:val="01949009"/>
    <w:rsid w:val="01D49809"/>
    <w:rsid w:val="02174666"/>
    <w:rsid w:val="033F95CF"/>
    <w:rsid w:val="03B28AB0"/>
    <w:rsid w:val="05F1150A"/>
    <w:rsid w:val="074A79AF"/>
    <w:rsid w:val="0774150C"/>
    <w:rsid w:val="07985972"/>
    <w:rsid w:val="080A5174"/>
    <w:rsid w:val="0826A5A9"/>
    <w:rsid w:val="08384073"/>
    <w:rsid w:val="08DD97B1"/>
    <w:rsid w:val="09196793"/>
    <w:rsid w:val="0985462E"/>
    <w:rsid w:val="0A407656"/>
    <w:rsid w:val="0AB266D4"/>
    <w:rsid w:val="0C357EB5"/>
    <w:rsid w:val="0C6385E2"/>
    <w:rsid w:val="0D415142"/>
    <w:rsid w:val="0DF2F1A9"/>
    <w:rsid w:val="0E4B0FCE"/>
    <w:rsid w:val="0E7DFCA2"/>
    <w:rsid w:val="1058BF67"/>
    <w:rsid w:val="10A787DF"/>
    <w:rsid w:val="11526C18"/>
    <w:rsid w:val="118E6B98"/>
    <w:rsid w:val="12BB945D"/>
    <w:rsid w:val="12E87323"/>
    <w:rsid w:val="15EF611E"/>
    <w:rsid w:val="163D6186"/>
    <w:rsid w:val="16816A58"/>
    <w:rsid w:val="16B6A889"/>
    <w:rsid w:val="188D1B64"/>
    <w:rsid w:val="19C76B15"/>
    <w:rsid w:val="1B4BE18B"/>
    <w:rsid w:val="1B8B317A"/>
    <w:rsid w:val="1C267EC4"/>
    <w:rsid w:val="1C74FB36"/>
    <w:rsid w:val="1D438929"/>
    <w:rsid w:val="1DF2A538"/>
    <w:rsid w:val="1F0ED74A"/>
    <w:rsid w:val="1FAB988B"/>
    <w:rsid w:val="211AEE64"/>
    <w:rsid w:val="212A3FAC"/>
    <w:rsid w:val="215AA481"/>
    <w:rsid w:val="244B8148"/>
    <w:rsid w:val="24A6F6F2"/>
    <w:rsid w:val="251BA9FB"/>
    <w:rsid w:val="28315814"/>
    <w:rsid w:val="28449F8F"/>
    <w:rsid w:val="286829F0"/>
    <w:rsid w:val="296C443C"/>
    <w:rsid w:val="2E3278BE"/>
    <w:rsid w:val="2E8D77C9"/>
    <w:rsid w:val="2EA4AABF"/>
    <w:rsid w:val="2EF7E6B9"/>
    <w:rsid w:val="2EF9DE1C"/>
    <w:rsid w:val="2F97AB4F"/>
    <w:rsid w:val="2FCAFF22"/>
    <w:rsid w:val="311F91BB"/>
    <w:rsid w:val="32489553"/>
    <w:rsid w:val="325CA3FF"/>
    <w:rsid w:val="32985474"/>
    <w:rsid w:val="32DE1C90"/>
    <w:rsid w:val="32EFCFAE"/>
    <w:rsid w:val="335E8F70"/>
    <w:rsid w:val="3369930B"/>
    <w:rsid w:val="350DBD9B"/>
    <w:rsid w:val="35594F35"/>
    <w:rsid w:val="359B4983"/>
    <w:rsid w:val="35CB6E4D"/>
    <w:rsid w:val="36242F69"/>
    <w:rsid w:val="364C1A15"/>
    <w:rsid w:val="36A4777C"/>
    <w:rsid w:val="37AD95B5"/>
    <w:rsid w:val="39A782E3"/>
    <w:rsid w:val="3A15B2F0"/>
    <w:rsid w:val="3BC510B2"/>
    <w:rsid w:val="3C221B02"/>
    <w:rsid w:val="3C5D60D2"/>
    <w:rsid w:val="3FF4FCDF"/>
    <w:rsid w:val="44767741"/>
    <w:rsid w:val="4559C7A1"/>
    <w:rsid w:val="45BDCBA8"/>
    <w:rsid w:val="47C075FE"/>
    <w:rsid w:val="47FFE049"/>
    <w:rsid w:val="48CC2873"/>
    <w:rsid w:val="4938A508"/>
    <w:rsid w:val="49529B0B"/>
    <w:rsid w:val="498B4697"/>
    <w:rsid w:val="499152E0"/>
    <w:rsid w:val="49FDE27E"/>
    <w:rsid w:val="4BADC763"/>
    <w:rsid w:val="4E193EF5"/>
    <w:rsid w:val="4F471A11"/>
    <w:rsid w:val="5022078C"/>
    <w:rsid w:val="5068D2CA"/>
    <w:rsid w:val="50B19FC5"/>
    <w:rsid w:val="513BF172"/>
    <w:rsid w:val="515A1181"/>
    <w:rsid w:val="518C92A6"/>
    <w:rsid w:val="51FC51B8"/>
    <w:rsid w:val="525C258F"/>
    <w:rsid w:val="52786E2F"/>
    <w:rsid w:val="52B1540E"/>
    <w:rsid w:val="52DE1330"/>
    <w:rsid w:val="536EEE50"/>
    <w:rsid w:val="53EE8572"/>
    <w:rsid w:val="544058A2"/>
    <w:rsid w:val="5567D227"/>
    <w:rsid w:val="563C1FE2"/>
    <w:rsid w:val="56931DF5"/>
    <w:rsid w:val="56F81B97"/>
    <w:rsid w:val="58446407"/>
    <w:rsid w:val="58AEE6EA"/>
    <w:rsid w:val="59DD83E0"/>
    <w:rsid w:val="5A0BDAA3"/>
    <w:rsid w:val="5A5EBA47"/>
    <w:rsid w:val="5BB9D2D5"/>
    <w:rsid w:val="5C84E59F"/>
    <w:rsid w:val="5CFA8E31"/>
    <w:rsid w:val="5D4DF2F8"/>
    <w:rsid w:val="5DC2395D"/>
    <w:rsid w:val="601B9070"/>
    <w:rsid w:val="6026EC8C"/>
    <w:rsid w:val="6035605E"/>
    <w:rsid w:val="610CD773"/>
    <w:rsid w:val="63121923"/>
    <w:rsid w:val="635EAF6A"/>
    <w:rsid w:val="63E47F65"/>
    <w:rsid w:val="640A50B0"/>
    <w:rsid w:val="64D39EE2"/>
    <w:rsid w:val="65AD3897"/>
    <w:rsid w:val="65B0E893"/>
    <w:rsid w:val="6676B708"/>
    <w:rsid w:val="68102ABD"/>
    <w:rsid w:val="6875FC63"/>
    <w:rsid w:val="6934398B"/>
    <w:rsid w:val="6BB4B206"/>
    <w:rsid w:val="6BCC9941"/>
    <w:rsid w:val="6EB31E93"/>
    <w:rsid w:val="701761FB"/>
    <w:rsid w:val="701DF867"/>
    <w:rsid w:val="71E48A2E"/>
    <w:rsid w:val="7244D087"/>
    <w:rsid w:val="729E7E86"/>
    <w:rsid w:val="72F111DE"/>
    <w:rsid w:val="735E40DF"/>
    <w:rsid w:val="73AE53C8"/>
    <w:rsid w:val="74F7264E"/>
    <w:rsid w:val="757772E1"/>
    <w:rsid w:val="75CFD485"/>
    <w:rsid w:val="77907418"/>
    <w:rsid w:val="791ED518"/>
    <w:rsid w:val="795DB4FE"/>
    <w:rsid w:val="79D39F15"/>
    <w:rsid w:val="7A2D57DD"/>
    <w:rsid w:val="7A67AAE0"/>
    <w:rsid w:val="7B7E7648"/>
    <w:rsid w:val="7C33AB9B"/>
    <w:rsid w:val="7CAC25E6"/>
    <w:rsid w:val="7E127EE6"/>
    <w:rsid w:val="7F5A38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6CCF26"/>
  <w15:chartTrackingRefBased/>
  <w15:docId w15:val="{436DD0FF-EE8F-42AA-A319-226E966FFE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2E259C"/>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175C"/>
    <w:pPr>
      <w:keepNext/>
      <w:keepLines/>
      <w:spacing w:before="40" w:after="0"/>
      <w:outlineLvl w:val="3"/>
    </w:pPr>
    <w:rPr>
      <w:rFonts w:asciiTheme="majorHAnsi" w:hAnsiTheme="majorHAnsi" w:eastAsiaTheme="majorEastAsia" w:cstheme="majorBidi"/>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66DDC"/>
    <w:pPr>
      <w:ind w:left="720"/>
      <w:contextualSpacing/>
    </w:pPr>
  </w:style>
  <w:style w:type="character" w:styleId="Hyperlink">
    <w:name w:val="Hyperlink"/>
    <w:basedOn w:val="DefaultParagraphFont"/>
    <w:uiPriority w:val="99"/>
    <w:unhideWhenUsed/>
    <w:rsid w:val="00BB7931"/>
    <w:rPr>
      <w:color w:val="0563C1" w:themeColor="hyperlink"/>
      <w:u w:val="single"/>
    </w:rPr>
  </w:style>
  <w:style w:type="character" w:styleId="FollowedHyperlink">
    <w:name w:val="FollowedHyperlink"/>
    <w:basedOn w:val="DefaultParagraphFont"/>
    <w:uiPriority w:val="99"/>
    <w:semiHidden/>
    <w:unhideWhenUsed/>
    <w:rsid w:val="00DF26B9"/>
    <w:rPr>
      <w:color w:val="954F72" w:themeColor="followedHyperlink"/>
      <w:u w:val="single"/>
    </w:rPr>
  </w:style>
  <w:style w:type="character" w:styleId="UnresolvedMention1" w:customStyle="1">
    <w:name w:val="Unresolved Mention1"/>
    <w:basedOn w:val="DefaultParagraphFont"/>
    <w:uiPriority w:val="99"/>
    <w:semiHidden/>
    <w:unhideWhenUsed/>
    <w:rsid w:val="00013BC9"/>
    <w:rPr>
      <w:color w:val="605E5C"/>
      <w:shd w:val="clear" w:color="auto" w:fill="E1DFDD"/>
    </w:rPr>
  </w:style>
  <w:style w:type="paragraph" w:styleId="Header">
    <w:name w:val="header"/>
    <w:basedOn w:val="Normal"/>
    <w:uiPriority w:val="99"/>
    <w:unhideWhenUsed/>
    <w:rsid w:val="7244D087"/>
    <w:pPr>
      <w:tabs>
        <w:tab w:val="center" w:pos="4680"/>
        <w:tab w:val="right" w:pos="9360"/>
      </w:tabs>
      <w:spacing w:after="0" w:line="240" w:lineRule="auto"/>
    </w:pPr>
  </w:style>
  <w:style w:type="paragraph" w:styleId="Footer">
    <w:name w:val="footer"/>
    <w:basedOn w:val="Normal"/>
    <w:link w:val="FooterChar"/>
    <w:uiPriority w:val="99"/>
    <w:unhideWhenUsed/>
    <w:rsid w:val="7244D08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4Char" w:customStyle="1">
    <w:name w:val="Heading 4 Char"/>
    <w:basedOn w:val="DefaultParagraphFont"/>
    <w:link w:val="Heading4"/>
    <w:uiPriority w:val="9"/>
    <w:semiHidden/>
    <w:rsid w:val="0001175C"/>
    <w:rPr>
      <w:rFonts w:asciiTheme="majorHAnsi" w:hAnsiTheme="majorHAnsi" w:eastAsiaTheme="majorEastAsia" w:cstheme="majorBidi"/>
      <w:i/>
      <w:iCs/>
      <w:color w:val="2E74B5" w:themeColor="accent1" w:themeShade="BF"/>
    </w:rPr>
  </w:style>
  <w:style w:type="character" w:styleId="Heading3Char" w:customStyle="1">
    <w:name w:val="Heading 3 Char"/>
    <w:basedOn w:val="DefaultParagraphFont"/>
    <w:link w:val="Heading3"/>
    <w:uiPriority w:val="9"/>
    <w:semiHidden/>
    <w:rsid w:val="002E259C"/>
    <w:rPr>
      <w:rFonts w:asciiTheme="majorHAnsi" w:hAnsiTheme="majorHAnsi" w:eastAsiaTheme="majorEastAsia" w:cstheme="majorBidi"/>
      <w:color w:val="1F4D78" w:themeColor="accent1" w:themeShade="7F"/>
      <w:sz w:val="24"/>
      <w:szCs w:val="24"/>
    </w:rPr>
  </w:style>
  <w:style w:type="character" w:styleId="Strong">
    <w:name w:val="Strong"/>
    <w:basedOn w:val="DefaultParagraphFont"/>
    <w:uiPriority w:val="22"/>
    <w:qFormat/>
    <w:rsid w:val="000750CA"/>
    <w:rPr>
      <w:b/>
      <w:bCs/>
    </w:rPr>
  </w:style>
  <w:style w:type="character" w:styleId="Emphasis">
    <w:name w:val="Emphasis"/>
    <w:basedOn w:val="DefaultParagraphFont"/>
    <w:uiPriority w:val="20"/>
    <w:qFormat/>
    <w:rsid w:val="000750CA"/>
    <w:rPr>
      <w:i/>
      <w:iCs/>
    </w:rPr>
  </w:style>
  <w:style w:type="character" w:styleId="FooterChar" w:customStyle="1">
    <w:name w:val="Footer Char"/>
    <w:basedOn w:val="DefaultParagraphFont"/>
    <w:link w:val="Footer"/>
    <w:uiPriority w:val="99"/>
    <w:rsid w:val="003A1AE9"/>
  </w:style>
  <w:style w:type="paragraph" w:styleId="NormalWeb">
    <w:name w:val="Normal (Web)"/>
    <w:basedOn w:val="Normal"/>
    <w:uiPriority w:val="99"/>
    <w:unhideWhenUsed/>
    <w:rsid w:val="006113F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440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7304">
      <w:bodyDiv w:val="1"/>
      <w:marLeft w:val="0"/>
      <w:marRight w:val="0"/>
      <w:marTop w:val="0"/>
      <w:marBottom w:val="0"/>
      <w:divBdr>
        <w:top w:val="none" w:sz="0" w:space="0" w:color="auto"/>
        <w:left w:val="none" w:sz="0" w:space="0" w:color="auto"/>
        <w:bottom w:val="none" w:sz="0" w:space="0" w:color="auto"/>
        <w:right w:val="none" w:sz="0" w:space="0" w:color="auto"/>
      </w:divBdr>
    </w:div>
    <w:div w:id="117337265">
      <w:bodyDiv w:val="1"/>
      <w:marLeft w:val="0"/>
      <w:marRight w:val="0"/>
      <w:marTop w:val="0"/>
      <w:marBottom w:val="0"/>
      <w:divBdr>
        <w:top w:val="none" w:sz="0" w:space="0" w:color="auto"/>
        <w:left w:val="none" w:sz="0" w:space="0" w:color="auto"/>
        <w:bottom w:val="none" w:sz="0" w:space="0" w:color="auto"/>
        <w:right w:val="none" w:sz="0" w:space="0" w:color="auto"/>
      </w:divBdr>
      <w:divsChild>
        <w:div w:id="1982730411">
          <w:marLeft w:val="0"/>
          <w:marRight w:val="0"/>
          <w:marTop w:val="0"/>
          <w:marBottom w:val="0"/>
          <w:divBdr>
            <w:top w:val="none" w:sz="0" w:space="0" w:color="auto"/>
            <w:left w:val="none" w:sz="0" w:space="0" w:color="auto"/>
            <w:bottom w:val="none" w:sz="0" w:space="0" w:color="auto"/>
            <w:right w:val="none" w:sz="0" w:space="0" w:color="auto"/>
          </w:divBdr>
        </w:div>
      </w:divsChild>
    </w:div>
    <w:div w:id="142357575">
      <w:bodyDiv w:val="1"/>
      <w:marLeft w:val="0"/>
      <w:marRight w:val="0"/>
      <w:marTop w:val="0"/>
      <w:marBottom w:val="0"/>
      <w:divBdr>
        <w:top w:val="none" w:sz="0" w:space="0" w:color="auto"/>
        <w:left w:val="none" w:sz="0" w:space="0" w:color="auto"/>
        <w:bottom w:val="none" w:sz="0" w:space="0" w:color="auto"/>
        <w:right w:val="none" w:sz="0" w:space="0" w:color="auto"/>
      </w:divBdr>
      <w:divsChild>
        <w:div w:id="5057973">
          <w:marLeft w:val="0"/>
          <w:marRight w:val="0"/>
          <w:marTop w:val="0"/>
          <w:marBottom w:val="0"/>
          <w:divBdr>
            <w:top w:val="none" w:sz="0" w:space="0" w:color="auto"/>
            <w:left w:val="none" w:sz="0" w:space="0" w:color="auto"/>
            <w:bottom w:val="none" w:sz="0" w:space="0" w:color="auto"/>
            <w:right w:val="none" w:sz="0" w:space="0" w:color="auto"/>
          </w:divBdr>
        </w:div>
      </w:divsChild>
    </w:div>
    <w:div w:id="199440845">
      <w:bodyDiv w:val="1"/>
      <w:marLeft w:val="0"/>
      <w:marRight w:val="0"/>
      <w:marTop w:val="0"/>
      <w:marBottom w:val="0"/>
      <w:divBdr>
        <w:top w:val="none" w:sz="0" w:space="0" w:color="auto"/>
        <w:left w:val="none" w:sz="0" w:space="0" w:color="auto"/>
        <w:bottom w:val="none" w:sz="0" w:space="0" w:color="auto"/>
        <w:right w:val="none" w:sz="0" w:space="0" w:color="auto"/>
      </w:divBdr>
    </w:div>
    <w:div w:id="213003053">
      <w:bodyDiv w:val="1"/>
      <w:marLeft w:val="0"/>
      <w:marRight w:val="0"/>
      <w:marTop w:val="0"/>
      <w:marBottom w:val="0"/>
      <w:divBdr>
        <w:top w:val="none" w:sz="0" w:space="0" w:color="auto"/>
        <w:left w:val="none" w:sz="0" w:space="0" w:color="auto"/>
        <w:bottom w:val="none" w:sz="0" w:space="0" w:color="auto"/>
        <w:right w:val="none" w:sz="0" w:space="0" w:color="auto"/>
      </w:divBdr>
    </w:div>
    <w:div w:id="249628477">
      <w:bodyDiv w:val="1"/>
      <w:marLeft w:val="0"/>
      <w:marRight w:val="0"/>
      <w:marTop w:val="0"/>
      <w:marBottom w:val="0"/>
      <w:divBdr>
        <w:top w:val="none" w:sz="0" w:space="0" w:color="auto"/>
        <w:left w:val="none" w:sz="0" w:space="0" w:color="auto"/>
        <w:bottom w:val="none" w:sz="0" w:space="0" w:color="auto"/>
        <w:right w:val="none" w:sz="0" w:space="0" w:color="auto"/>
      </w:divBdr>
      <w:divsChild>
        <w:div w:id="1070270518">
          <w:marLeft w:val="0"/>
          <w:marRight w:val="0"/>
          <w:marTop w:val="0"/>
          <w:marBottom w:val="0"/>
          <w:divBdr>
            <w:top w:val="none" w:sz="0" w:space="0" w:color="auto"/>
            <w:left w:val="none" w:sz="0" w:space="0" w:color="auto"/>
            <w:bottom w:val="none" w:sz="0" w:space="0" w:color="auto"/>
            <w:right w:val="none" w:sz="0" w:space="0" w:color="auto"/>
          </w:divBdr>
        </w:div>
      </w:divsChild>
    </w:div>
    <w:div w:id="272708953">
      <w:bodyDiv w:val="1"/>
      <w:marLeft w:val="0"/>
      <w:marRight w:val="0"/>
      <w:marTop w:val="0"/>
      <w:marBottom w:val="0"/>
      <w:divBdr>
        <w:top w:val="none" w:sz="0" w:space="0" w:color="auto"/>
        <w:left w:val="none" w:sz="0" w:space="0" w:color="auto"/>
        <w:bottom w:val="none" w:sz="0" w:space="0" w:color="auto"/>
        <w:right w:val="none" w:sz="0" w:space="0" w:color="auto"/>
      </w:divBdr>
    </w:div>
    <w:div w:id="278220767">
      <w:bodyDiv w:val="1"/>
      <w:marLeft w:val="0"/>
      <w:marRight w:val="0"/>
      <w:marTop w:val="0"/>
      <w:marBottom w:val="0"/>
      <w:divBdr>
        <w:top w:val="none" w:sz="0" w:space="0" w:color="auto"/>
        <w:left w:val="none" w:sz="0" w:space="0" w:color="auto"/>
        <w:bottom w:val="none" w:sz="0" w:space="0" w:color="auto"/>
        <w:right w:val="none" w:sz="0" w:space="0" w:color="auto"/>
      </w:divBdr>
    </w:div>
    <w:div w:id="286937844">
      <w:bodyDiv w:val="1"/>
      <w:marLeft w:val="0"/>
      <w:marRight w:val="0"/>
      <w:marTop w:val="0"/>
      <w:marBottom w:val="0"/>
      <w:divBdr>
        <w:top w:val="none" w:sz="0" w:space="0" w:color="auto"/>
        <w:left w:val="none" w:sz="0" w:space="0" w:color="auto"/>
        <w:bottom w:val="none" w:sz="0" w:space="0" w:color="auto"/>
        <w:right w:val="none" w:sz="0" w:space="0" w:color="auto"/>
      </w:divBdr>
      <w:divsChild>
        <w:div w:id="545530266">
          <w:marLeft w:val="0"/>
          <w:marRight w:val="0"/>
          <w:marTop w:val="0"/>
          <w:marBottom w:val="0"/>
          <w:divBdr>
            <w:top w:val="none" w:sz="0" w:space="0" w:color="auto"/>
            <w:left w:val="none" w:sz="0" w:space="0" w:color="auto"/>
            <w:bottom w:val="none" w:sz="0" w:space="0" w:color="auto"/>
            <w:right w:val="none" w:sz="0" w:space="0" w:color="auto"/>
          </w:divBdr>
        </w:div>
      </w:divsChild>
    </w:div>
    <w:div w:id="291911517">
      <w:bodyDiv w:val="1"/>
      <w:marLeft w:val="0"/>
      <w:marRight w:val="0"/>
      <w:marTop w:val="0"/>
      <w:marBottom w:val="0"/>
      <w:divBdr>
        <w:top w:val="none" w:sz="0" w:space="0" w:color="auto"/>
        <w:left w:val="none" w:sz="0" w:space="0" w:color="auto"/>
        <w:bottom w:val="none" w:sz="0" w:space="0" w:color="auto"/>
        <w:right w:val="none" w:sz="0" w:space="0" w:color="auto"/>
      </w:divBdr>
    </w:div>
    <w:div w:id="311955633">
      <w:bodyDiv w:val="1"/>
      <w:marLeft w:val="0"/>
      <w:marRight w:val="0"/>
      <w:marTop w:val="0"/>
      <w:marBottom w:val="0"/>
      <w:divBdr>
        <w:top w:val="none" w:sz="0" w:space="0" w:color="auto"/>
        <w:left w:val="none" w:sz="0" w:space="0" w:color="auto"/>
        <w:bottom w:val="none" w:sz="0" w:space="0" w:color="auto"/>
        <w:right w:val="none" w:sz="0" w:space="0" w:color="auto"/>
      </w:divBdr>
      <w:divsChild>
        <w:div w:id="312297851">
          <w:marLeft w:val="0"/>
          <w:marRight w:val="0"/>
          <w:marTop w:val="0"/>
          <w:marBottom w:val="0"/>
          <w:divBdr>
            <w:top w:val="none" w:sz="0" w:space="0" w:color="auto"/>
            <w:left w:val="none" w:sz="0" w:space="0" w:color="auto"/>
            <w:bottom w:val="none" w:sz="0" w:space="0" w:color="auto"/>
            <w:right w:val="none" w:sz="0" w:space="0" w:color="auto"/>
          </w:divBdr>
        </w:div>
      </w:divsChild>
    </w:div>
    <w:div w:id="314456228">
      <w:bodyDiv w:val="1"/>
      <w:marLeft w:val="0"/>
      <w:marRight w:val="0"/>
      <w:marTop w:val="0"/>
      <w:marBottom w:val="0"/>
      <w:divBdr>
        <w:top w:val="none" w:sz="0" w:space="0" w:color="auto"/>
        <w:left w:val="none" w:sz="0" w:space="0" w:color="auto"/>
        <w:bottom w:val="none" w:sz="0" w:space="0" w:color="auto"/>
        <w:right w:val="none" w:sz="0" w:space="0" w:color="auto"/>
      </w:divBdr>
    </w:div>
    <w:div w:id="322583703">
      <w:bodyDiv w:val="1"/>
      <w:marLeft w:val="0"/>
      <w:marRight w:val="0"/>
      <w:marTop w:val="0"/>
      <w:marBottom w:val="0"/>
      <w:divBdr>
        <w:top w:val="none" w:sz="0" w:space="0" w:color="auto"/>
        <w:left w:val="none" w:sz="0" w:space="0" w:color="auto"/>
        <w:bottom w:val="none" w:sz="0" w:space="0" w:color="auto"/>
        <w:right w:val="none" w:sz="0" w:space="0" w:color="auto"/>
      </w:divBdr>
    </w:div>
    <w:div w:id="340788675">
      <w:bodyDiv w:val="1"/>
      <w:marLeft w:val="0"/>
      <w:marRight w:val="0"/>
      <w:marTop w:val="0"/>
      <w:marBottom w:val="0"/>
      <w:divBdr>
        <w:top w:val="none" w:sz="0" w:space="0" w:color="auto"/>
        <w:left w:val="none" w:sz="0" w:space="0" w:color="auto"/>
        <w:bottom w:val="none" w:sz="0" w:space="0" w:color="auto"/>
        <w:right w:val="none" w:sz="0" w:space="0" w:color="auto"/>
      </w:divBdr>
      <w:divsChild>
        <w:div w:id="764037646">
          <w:marLeft w:val="0"/>
          <w:marRight w:val="0"/>
          <w:marTop w:val="0"/>
          <w:marBottom w:val="0"/>
          <w:divBdr>
            <w:top w:val="none" w:sz="0" w:space="0" w:color="auto"/>
            <w:left w:val="none" w:sz="0" w:space="0" w:color="auto"/>
            <w:bottom w:val="none" w:sz="0" w:space="0" w:color="auto"/>
            <w:right w:val="none" w:sz="0" w:space="0" w:color="auto"/>
          </w:divBdr>
        </w:div>
      </w:divsChild>
    </w:div>
    <w:div w:id="366299523">
      <w:bodyDiv w:val="1"/>
      <w:marLeft w:val="0"/>
      <w:marRight w:val="0"/>
      <w:marTop w:val="0"/>
      <w:marBottom w:val="0"/>
      <w:divBdr>
        <w:top w:val="none" w:sz="0" w:space="0" w:color="auto"/>
        <w:left w:val="none" w:sz="0" w:space="0" w:color="auto"/>
        <w:bottom w:val="none" w:sz="0" w:space="0" w:color="auto"/>
        <w:right w:val="none" w:sz="0" w:space="0" w:color="auto"/>
      </w:divBdr>
      <w:divsChild>
        <w:div w:id="1296526351">
          <w:marLeft w:val="0"/>
          <w:marRight w:val="0"/>
          <w:marTop w:val="0"/>
          <w:marBottom w:val="0"/>
          <w:divBdr>
            <w:top w:val="none" w:sz="0" w:space="0" w:color="auto"/>
            <w:left w:val="none" w:sz="0" w:space="0" w:color="auto"/>
            <w:bottom w:val="none" w:sz="0" w:space="0" w:color="auto"/>
            <w:right w:val="none" w:sz="0" w:space="0" w:color="auto"/>
          </w:divBdr>
        </w:div>
      </w:divsChild>
    </w:div>
    <w:div w:id="406155020">
      <w:bodyDiv w:val="1"/>
      <w:marLeft w:val="0"/>
      <w:marRight w:val="0"/>
      <w:marTop w:val="0"/>
      <w:marBottom w:val="0"/>
      <w:divBdr>
        <w:top w:val="none" w:sz="0" w:space="0" w:color="auto"/>
        <w:left w:val="none" w:sz="0" w:space="0" w:color="auto"/>
        <w:bottom w:val="none" w:sz="0" w:space="0" w:color="auto"/>
        <w:right w:val="none" w:sz="0" w:space="0" w:color="auto"/>
      </w:divBdr>
      <w:divsChild>
        <w:div w:id="1613825966">
          <w:marLeft w:val="0"/>
          <w:marRight w:val="0"/>
          <w:marTop w:val="0"/>
          <w:marBottom w:val="0"/>
          <w:divBdr>
            <w:top w:val="none" w:sz="0" w:space="0" w:color="auto"/>
            <w:left w:val="none" w:sz="0" w:space="0" w:color="auto"/>
            <w:bottom w:val="none" w:sz="0" w:space="0" w:color="auto"/>
            <w:right w:val="none" w:sz="0" w:space="0" w:color="auto"/>
          </w:divBdr>
        </w:div>
      </w:divsChild>
    </w:div>
    <w:div w:id="503398582">
      <w:bodyDiv w:val="1"/>
      <w:marLeft w:val="0"/>
      <w:marRight w:val="0"/>
      <w:marTop w:val="0"/>
      <w:marBottom w:val="0"/>
      <w:divBdr>
        <w:top w:val="none" w:sz="0" w:space="0" w:color="auto"/>
        <w:left w:val="none" w:sz="0" w:space="0" w:color="auto"/>
        <w:bottom w:val="none" w:sz="0" w:space="0" w:color="auto"/>
        <w:right w:val="none" w:sz="0" w:space="0" w:color="auto"/>
      </w:divBdr>
      <w:divsChild>
        <w:div w:id="606736843">
          <w:marLeft w:val="0"/>
          <w:marRight w:val="0"/>
          <w:marTop w:val="0"/>
          <w:marBottom w:val="0"/>
          <w:divBdr>
            <w:top w:val="none" w:sz="0" w:space="0" w:color="auto"/>
            <w:left w:val="none" w:sz="0" w:space="0" w:color="auto"/>
            <w:bottom w:val="none" w:sz="0" w:space="0" w:color="auto"/>
            <w:right w:val="none" w:sz="0" w:space="0" w:color="auto"/>
          </w:divBdr>
        </w:div>
      </w:divsChild>
    </w:div>
    <w:div w:id="528687571">
      <w:bodyDiv w:val="1"/>
      <w:marLeft w:val="0"/>
      <w:marRight w:val="0"/>
      <w:marTop w:val="0"/>
      <w:marBottom w:val="0"/>
      <w:divBdr>
        <w:top w:val="none" w:sz="0" w:space="0" w:color="auto"/>
        <w:left w:val="none" w:sz="0" w:space="0" w:color="auto"/>
        <w:bottom w:val="none" w:sz="0" w:space="0" w:color="auto"/>
        <w:right w:val="none" w:sz="0" w:space="0" w:color="auto"/>
      </w:divBdr>
      <w:divsChild>
        <w:div w:id="1727147889">
          <w:marLeft w:val="0"/>
          <w:marRight w:val="0"/>
          <w:marTop w:val="0"/>
          <w:marBottom w:val="0"/>
          <w:divBdr>
            <w:top w:val="none" w:sz="0" w:space="0" w:color="auto"/>
            <w:left w:val="none" w:sz="0" w:space="0" w:color="auto"/>
            <w:bottom w:val="none" w:sz="0" w:space="0" w:color="auto"/>
            <w:right w:val="none" w:sz="0" w:space="0" w:color="auto"/>
          </w:divBdr>
        </w:div>
      </w:divsChild>
    </w:div>
    <w:div w:id="549995132">
      <w:bodyDiv w:val="1"/>
      <w:marLeft w:val="0"/>
      <w:marRight w:val="0"/>
      <w:marTop w:val="0"/>
      <w:marBottom w:val="0"/>
      <w:divBdr>
        <w:top w:val="none" w:sz="0" w:space="0" w:color="auto"/>
        <w:left w:val="none" w:sz="0" w:space="0" w:color="auto"/>
        <w:bottom w:val="none" w:sz="0" w:space="0" w:color="auto"/>
        <w:right w:val="none" w:sz="0" w:space="0" w:color="auto"/>
      </w:divBdr>
    </w:div>
    <w:div w:id="560364587">
      <w:bodyDiv w:val="1"/>
      <w:marLeft w:val="0"/>
      <w:marRight w:val="0"/>
      <w:marTop w:val="0"/>
      <w:marBottom w:val="0"/>
      <w:divBdr>
        <w:top w:val="none" w:sz="0" w:space="0" w:color="auto"/>
        <w:left w:val="none" w:sz="0" w:space="0" w:color="auto"/>
        <w:bottom w:val="none" w:sz="0" w:space="0" w:color="auto"/>
        <w:right w:val="none" w:sz="0" w:space="0" w:color="auto"/>
      </w:divBdr>
      <w:divsChild>
        <w:div w:id="510073779">
          <w:marLeft w:val="0"/>
          <w:marRight w:val="0"/>
          <w:marTop w:val="0"/>
          <w:marBottom w:val="0"/>
          <w:divBdr>
            <w:top w:val="none" w:sz="0" w:space="0" w:color="auto"/>
            <w:left w:val="none" w:sz="0" w:space="0" w:color="auto"/>
            <w:bottom w:val="none" w:sz="0" w:space="0" w:color="auto"/>
            <w:right w:val="none" w:sz="0" w:space="0" w:color="auto"/>
          </w:divBdr>
        </w:div>
      </w:divsChild>
    </w:div>
    <w:div w:id="644745413">
      <w:bodyDiv w:val="1"/>
      <w:marLeft w:val="0"/>
      <w:marRight w:val="0"/>
      <w:marTop w:val="0"/>
      <w:marBottom w:val="0"/>
      <w:divBdr>
        <w:top w:val="none" w:sz="0" w:space="0" w:color="auto"/>
        <w:left w:val="none" w:sz="0" w:space="0" w:color="auto"/>
        <w:bottom w:val="none" w:sz="0" w:space="0" w:color="auto"/>
        <w:right w:val="none" w:sz="0" w:space="0" w:color="auto"/>
      </w:divBdr>
      <w:divsChild>
        <w:div w:id="1526366101">
          <w:marLeft w:val="0"/>
          <w:marRight w:val="0"/>
          <w:marTop w:val="0"/>
          <w:marBottom w:val="0"/>
          <w:divBdr>
            <w:top w:val="none" w:sz="0" w:space="0" w:color="auto"/>
            <w:left w:val="none" w:sz="0" w:space="0" w:color="auto"/>
            <w:bottom w:val="none" w:sz="0" w:space="0" w:color="auto"/>
            <w:right w:val="none" w:sz="0" w:space="0" w:color="auto"/>
          </w:divBdr>
        </w:div>
      </w:divsChild>
    </w:div>
    <w:div w:id="689449194">
      <w:bodyDiv w:val="1"/>
      <w:marLeft w:val="0"/>
      <w:marRight w:val="0"/>
      <w:marTop w:val="0"/>
      <w:marBottom w:val="0"/>
      <w:divBdr>
        <w:top w:val="none" w:sz="0" w:space="0" w:color="auto"/>
        <w:left w:val="none" w:sz="0" w:space="0" w:color="auto"/>
        <w:bottom w:val="none" w:sz="0" w:space="0" w:color="auto"/>
        <w:right w:val="none" w:sz="0" w:space="0" w:color="auto"/>
      </w:divBdr>
      <w:divsChild>
        <w:div w:id="186481774">
          <w:marLeft w:val="0"/>
          <w:marRight w:val="0"/>
          <w:marTop w:val="0"/>
          <w:marBottom w:val="0"/>
          <w:divBdr>
            <w:top w:val="none" w:sz="0" w:space="0" w:color="auto"/>
            <w:left w:val="none" w:sz="0" w:space="0" w:color="auto"/>
            <w:bottom w:val="none" w:sz="0" w:space="0" w:color="auto"/>
            <w:right w:val="none" w:sz="0" w:space="0" w:color="auto"/>
          </w:divBdr>
        </w:div>
      </w:divsChild>
    </w:div>
    <w:div w:id="700394605">
      <w:bodyDiv w:val="1"/>
      <w:marLeft w:val="0"/>
      <w:marRight w:val="0"/>
      <w:marTop w:val="0"/>
      <w:marBottom w:val="0"/>
      <w:divBdr>
        <w:top w:val="none" w:sz="0" w:space="0" w:color="auto"/>
        <w:left w:val="none" w:sz="0" w:space="0" w:color="auto"/>
        <w:bottom w:val="none" w:sz="0" w:space="0" w:color="auto"/>
        <w:right w:val="none" w:sz="0" w:space="0" w:color="auto"/>
      </w:divBdr>
      <w:divsChild>
        <w:div w:id="606890286">
          <w:marLeft w:val="0"/>
          <w:marRight w:val="0"/>
          <w:marTop w:val="0"/>
          <w:marBottom w:val="0"/>
          <w:divBdr>
            <w:top w:val="none" w:sz="0" w:space="0" w:color="auto"/>
            <w:left w:val="none" w:sz="0" w:space="0" w:color="auto"/>
            <w:bottom w:val="none" w:sz="0" w:space="0" w:color="auto"/>
            <w:right w:val="none" w:sz="0" w:space="0" w:color="auto"/>
          </w:divBdr>
        </w:div>
      </w:divsChild>
    </w:div>
    <w:div w:id="704982393">
      <w:bodyDiv w:val="1"/>
      <w:marLeft w:val="0"/>
      <w:marRight w:val="0"/>
      <w:marTop w:val="0"/>
      <w:marBottom w:val="0"/>
      <w:divBdr>
        <w:top w:val="none" w:sz="0" w:space="0" w:color="auto"/>
        <w:left w:val="none" w:sz="0" w:space="0" w:color="auto"/>
        <w:bottom w:val="none" w:sz="0" w:space="0" w:color="auto"/>
        <w:right w:val="none" w:sz="0" w:space="0" w:color="auto"/>
      </w:divBdr>
    </w:div>
    <w:div w:id="766000484">
      <w:bodyDiv w:val="1"/>
      <w:marLeft w:val="0"/>
      <w:marRight w:val="0"/>
      <w:marTop w:val="0"/>
      <w:marBottom w:val="0"/>
      <w:divBdr>
        <w:top w:val="none" w:sz="0" w:space="0" w:color="auto"/>
        <w:left w:val="none" w:sz="0" w:space="0" w:color="auto"/>
        <w:bottom w:val="none" w:sz="0" w:space="0" w:color="auto"/>
        <w:right w:val="none" w:sz="0" w:space="0" w:color="auto"/>
      </w:divBdr>
      <w:divsChild>
        <w:div w:id="639580560">
          <w:marLeft w:val="0"/>
          <w:marRight w:val="0"/>
          <w:marTop w:val="0"/>
          <w:marBottom w:val="0"/>
          <w:divBdr>
            <w:top w:val="none" w:sz="0" w:space="0" w:color="auto"/>
            <w:left w:val="none" w:sz="0" w:space="0" w:color="auto"/>
            <w:bottom w:val="none" w:sz="0" w:space="0" w:color="auto"/>
            <w:right w:val="none" w:sz="0" w:space="0" w:color="auto"/>
          </w:divBdr>
        </w:div>
        <w:div w:id="1700624670">
          <w:marLeft w:val="0"/>
          <w:marRight w:val="0"/>
          <w:marTop w:val="0"/>
          <w:marBottom w:val="0"/>
          <w:divBdr>
            <w:top w:val="none" w:sz="0" w:space="0" w:color="auto"/>
            <w:left w:val="none" w:sz="0" w:space="0" w:color="auto"/>
            <w:bottom w:val="none" w:sz="0" w:space="0" w:color="auto"/>
            <w:right w:val="none" w:sz="0" w:space="0" w:color="auto"/>
          </w:divBdr>
        </w:div>
        <w:div w:id="814489665">
          <w:marLeft w:val="0"/>
          <w:marRight w:val="0"/>
          <w:marTop w:val="0"/>
          <w:marBottom w:val="0"/>
          <w:divBdr>
            <w:top w:val="none" w:sz="0" w:space="0" w:color="auto"/>
            <w:left w:val="none" w:sz="0" w:space="0" w:color="auto"/>
            <w:bottom w:val="none" w:sz="0" w:space="0" w:color="auto"/>
            <w:right w:val="none" w:sz="0" w:space="0" w:color="auto"/>
          </w:divBdr>
        </w:div>
        <w:div w:id="1874730201">
          <w:marLeft w:val="0"/>
          <w:marRight w:val="0"/>
          <w:marTop w:val="0"/>
          <w:marBottom w:val="0"/>
          <w:divBdr>
            <w:top w:val="none" w:sz="0" w:space="0" w:color="auto"/>
            <w:left w:val="none" w:sz="0" w:space="0" w:color="auto"/>
            <w:bottom w:val="none" w:sz="0" w:space="0" w:color="auto"/>
            <w:right w:val="none" w:sz="0" w:space="0" w:color="auto"/>
          </w:divBdr>
        </w:div>
        <w:div w:id="946080203">
          <w:marLeft w:val="0"/>
          <w:marRight w:val="0"/>
          <w:marTop w:val="0"/>
          <w:marBottom w:val="0"/>
          <w:divBdr>
            <w:top w:val="none" w:sz="0" w:space="0" w:color="auto"/>
            <w:left w:val="none" w:sz="0" w:space="0" w:color="auto"/>
            <w:bottom w:val="none" w:sz="0" w:space="0" w:color="auto"/>
            <w:right w:val="none" w:sz="0" w:space="0" w:color="auto"/>
          </w:divBdr>
        </w:div>
        <w:div w:id="1201551779">
          <w:marLeft w:val="0"/>
          <w:marRight w:val="0"/>
          <w:marTop w:val="0"/>
          <w:marBottom w:val="0"/>
          <w:divBdr>
            <w:top w:val="none" w:sz="0" w:space="0" w:color="auto"/>
            <w:left w:val="none" w:sz="0" w:space="0" w:color="auto"/>
            <w:bottom w:val="none" w:sz="0" w:space="0" w:color="auto"/>
            <w:right w:val="none" w:sz="0" w:space="0" w:color="auto"/>
          </w:divBdr>
        </w:div>
        <w:div w:id="672683242">
          <w:marLeft w:val="0"/>
          <w:marRight w:val="0"/>
          <w:marTop w:val="0"/>
          <w:marBottom w:val="0"/>
          <w:divBdr>
            <w:top w:val="none" w:sz="0" w:space="0" w:color="auto"/>
            <w:left w:val="none" w:sz="0" w:space="0" w:color="auto"/>
            <w:bottom w:val="none" w:sz="0" w:space="0" w:color="auto"/>
            <w:right w:val="none" w:sz="0" w:space="0" w:color="auto"/>
          </w:divBdr>
        </w:div>
        <w:div w:id="947741509">
          <w:marLeft w:val="0"/>
          <w:marRight w:val="0"/>
          <w:marTop w:val="0"/>
          <w:marBottom w:val="0"/>
          <w:divBdr>
            <w:top w:val="none" w:sz="0" w:space="0" w:color="auto"/>
            <w:left w:val="none" w:sz="0" w:space="0" w:color="auto"/>
            <w:bottom w:val="none" w:sz="0" w:space="0" w:color="auto"/>
            <w:right w:val="none" w:sz="0" w:space="0" w:color="auto"/>
          </w:divBdr>
        </w:div>
        <w:div w:id="1788692515">
          <w:marLeft w:val="0"/>
          <w:marRight w:val="0"/>
          <w:marTop w:val="0"/>
          <w:marBottom w:val="0"/>
          <w:divBdr>
            <w:top w:val="none" w:sz="0" w:space="0" w:color="auto"/>
            <w:left w:val="none" w:sz="0" w:space="0" w:color="auto"/>
            <w:bottom w:val="none" w:sz="0" w:space="0" w:color="auto"/>
            <w:right w:val="none" w:sz="0" w:space="0" w:color="auto"/>
          </w:divBdr>
        </w:div>
        <w:div w:id="1154375161">
          <w:marLeft w:val="0"/>
          <w:marRight w:val="0"/>
          <w:marTop w:val="0"/>
          <w:marBottom w:val="0"/>
          <w:divBdr>
            <w:top w:val="none" w:sz="0" w:space="0" w:color="auto"/>
            <w:left w:val="none" w:sz="0" w:space="0" w:color="auto"/>
            <w:bottom w:val="none" w:sz="0" w:space="0" w:color="auto"/>
            <w:right w:val="none" w:sz="0" w:space="0" w:color="auto"/>
          </w:divBdr>
        </w:div>
        <w:div w:id="934284471">
          <w:marLeft w:val="0"/>
          <w:marRight w:val="0"/>
          <w:marTop w:val="0"/>
          <w:marBottom w:val="0"/>
          <w:divBdr>
            <w:top w:val="none" w:sz="0" w:space="0" w:color="auto"/>
            <w:left w:val="none" w:sz="0" w:space="0" w:color="auto"/>
            <w:bottom w:val="none" w:sz="0" w:space="0" w:color="auto"/>
            <w:right w:val="none" w:sz="0" w:space="0" w:color="auto"/>
          </w:divBdr>
        </w:div>
        <w:div w:id="1592734370">
          <w:marLeft w:val="0"/>
          <w:marRight w:val="0"/>
          <w:marTop w:val="0"/>
          <w:marBottom w:val="0"/>
          <w:divBdr>
            <w:top w:val="none" w:sz="0" w:space="0" w:color="auto"/>
            <w:left w:val="none" w:sz="0" w:space="0" w:color="auto"/>
            <w:bottom w:val="none" w:sz="0" w:space="0" w:color="auto"/>
            <w:right w:val="none" w:sz="0" w:space="0" w:color="auto"/>
          </w:divBdr>
        </w:div>
        <w:div w:id="1840776935">
          <w:marLeft w:val="0"/>
          <w:marRight w:val="0"/>
          <w:marTop w:val="0"/>
          <w:marBottom w:val="0"/>
          <w:divBdr>
            <w:top w:val="none" w:sz="0" w:space="0" w:color="auto"/>
            <w:left w:val="none" w:sz="0" w:space="0" w:color="auto"/>
            <w:bottom w:val="none" w:sz="0" w:space="0" w:color="auto"/>
            <w:right w:val="none" w:sz="0" w:space="0" w:color="auto"/>
          </w:divBdr>
        </w:div>
        <w:div w:id="1151673777">
          <w:marLeft w:val="0"/>
          <w:marRight w:val="0"/>
          <w:marTop w:val="0"/>
          <w:marBottom w:val="0"/>
          <w:divBdr>
            <w:top w:val="none" w:sz="0" w:space="0" w:color="auto"/>
            <w:left w:val="none" w:sz="0" w:space="0" w:color="auto"/>
            <w:bottom w:val="none" w:sz="0" w:space="0" w:color="auto"/>
            <w:right w:val="none" w:sz="0" w:space="0" w:color="auto"/>
          </w:divBdr>
        </w:div>
        <w:div w:id="714160561">
          <w:marLeft w:val="0"/>
          <w:marRight w:val="0"/>
          <w:marTop w:val="0"/>
          <w:marBottom w:val="0"/>
          <w:divBdr>
            <w:top w:val="none" w:sz="0" w:space="0" w:color="auto"/>
            <w:left w:val="none" w:sz="0" w:space="0" w:color="auto"/>
            <w:bottom w:val="none" w:sz="0" w:space="0" w:color="auto"/>
            <w:right w:val="none" w:sz="0" w:space="0" w:color="auto"/>
          </w:divBdr>
        </w:div>
        <w:div w:id="1339891993">
          <w:marLeft w:val="0"/>
          <w:marRight w:val="0"/>
          <w:marTop w:val="0"/>
          <w:marBottom w:val="0"/>
          <w:divBdr>
            <w:top w:val="none" w:sz="0" w:space="0" w:color="auto"/>
            <w:left w:val="none" w:sz="0" w:space="0" w:color="auto"/>
            <w:bottom w:val="none" w:sz="0" w:space="0" w:color="auto"/>
            <w:right w:val="none" w:sz="0" w:space="0" w:color="auto"/>
          </w:divBdr>
        </w:div>
        <w:div w:id="1295983411">
          <w:marLeft w:val="0"/>
          <w:marRight w:val="0"/>
          <w:marTop w:val="0"/>
          <w:marBottom w:val="0"/>
          <w:divBdr>
            <w:top w:val="none" w:sz="0" w:space="0" w:color="auto"/>
            <w:left w:val="none" w:sz="0" w:space="0" w:color="auto"/>
            <w:bottom w:val="none" w:sz="0" w:space="0" w:color="auto"/>
            <w:right w:val="none" w:sz="0" w:space="0" w:color="auto"/>
          </w:divBdr>
        </w:div>
        <w:div w:id="2066875989">
          <w:marLeft w:val="0"/>
          <w:marRight w:val="0"/>
          <w:marTop w:val="0"/>
          <w:marBottom w:val="0"/>
          <w:divBdr>
            <w:top w:val="none" w:sz="0" w:space="0" w:color="auto"/>
            <w:left w:val="none" w:sz="0" w:space="0" w:color="auto"/>
            <w:bottom w:val="none" w:sz="0" w:space="0" w:color="auto"/>
            <w:right w:val="none" w:sz="0" w:space="0" w:color="auto"/>
          </w:divBdr>
        </w:div>
        <w:div w:id="365756456">
          <w:marLeft w:val="0"/>
          <w:marRight w:val="0"/>
          <w:marTop w:val="0"/>
          <w:marBottom w:val="0"/>
          <w:divBdr>
            <w:top w:val="none" w:sz="0" w:space="0" w:color="auto"/>
            <w:left w:val="none" w:sz="0" w:space="0" w:color="auto"/>
            <w:bottom w:val="none" w:sz="0" w:space="0" w:color="auto"/>
            <w:right w:val="none" w:sz="0" w:space="0" w:color="auto"/>
          </w:divBdr>
        </w:div>
        <w:div w:id="1966228691">
          <w:marLeft w:val="0"/>
          <w:marRight w:val="0"/>
          <w:marTop w:val="0"/>
          <w:marBottom w:val="0"/>
          <w:divBdr>
            <w:top w:val="none" w:sz="0" w:space="0" w:color="auto"/>
            <w:left w:val="none" w:sz="0" w:space="0" w:color="auto"/>
            <w:bottom w:val="none" w:sz="0" w:space="0" w:color="auto"/>
            <w:right w:val="none" w:sz="0" w:space="0" w:color="auto"/>
          </w:divBdr>
        </w:div>
        <w:div w:id="2060666633">
          <w:marLeft w:val="0"/>
          <w:marRight w:val="0"/>
          <w:marTop w:val="0"/>
          <w:marBottom w:val="0"/>
          <w:divBdr>
            <w:top w:val="none" w:sz="0" w:space="0" w:color="auto"/>
            <w:left w:val="none" w:sz="0" w:space="0" w:color="auto"/>
            <w:bottom w:val="none" w:sz="0" w:space="0" w:color="auto"/>
            <w:right w:val="none" w:sz="0" w:space="0" w:color="auto"/>
          </w:divBdr>
        </w:div>
        <w:div w:id="1200510958">
          <w:marLeft w:val="0"/>
          <w:marRight w:val="0"/>
          <w:marTop w:val="0"/>
          <w:marBottom w:val="0"/>
          <w:divBdr>
            <w:top w:val="none" w:sz="0" w:space="0" w:color="auto"/>
            <w:left w:val="none" w:sz="0" w:space="0" w:color="auto"/>
            <w:bottom w:val="none" w:sz="0" w:space="0" w:color="auto"/>
            <w:right w:val="none" w:sz="0" w:space="0" w:color="auto"/>
          </w:divBdr>
        </w:div>
        <w:div w:id="1753774639">
          <w:marLeft w:val="0"/>
          <w:marRight w:val="0"/>
          <w:marTop w:val="0"/>
          <w:marBottom w:val="0"/>
          <w:divBdr>
            <w:top w:val="none" w:sz="0" w:space="0" w:color="auto"/>
            <w:left w:val="none" w:sz="0" w:space="0" w:color="auto"/>
            <w:bottom w:val="none" w:sz="0" w:space="0" w:color="auto"/>
            <w:right w:val="none" w:sz="0" w:space="0" w:color="auto"/>
          </w:divBdr>
        </w:div>
        <w:div w:id="416294654">
          <w:marLeft w:val="0"/>
          <w:marRight w:val="0"/>
          <w:marTop w:val="0"/>
          <w:marBottom w:val="0"/>
          <w:divBdr>
            <w:top w:val="none" w:sz="0" w:space="0" w:color="auto"/>
            <w:left w:val="none" w:sz="0" w:space="0" w:color="auto"/>
            <w:bottom w:val="none" w:sz="0" w:space="0" w:color="auto"/>
            <w:right w:val="none" w:sz="0" w:space="0" w:color="auto"/>
          </w:divBdr>
        </w:div>
        <w:div w:id="1740909027">
          <w:marLeft w:val="0"/>
          <w:marRight w:val="0"/>
          <w:marTop w:val="0"/>
          <w:marBottom w:val="0"/>
          <w:divBdr>
            <w:top w:val="none" w:sz="0" w:space="0" w:color="auto"/>
            <w:left w:val="none" w:sz="0" w:space="0" w:color="auto"/>
            <w:bottom w:val="none" w:sz="0" w:space="0" w:color="auto"/>
            <w:right w:val="none" w:sz="0" w:space="0" w:color="auto"/>
          </w:divBdr>
        </w:div>
        <w:div w:id="1900748403">
          <w:marLeft w:val="0"/>
          <w:marRight w:val="0"/>
          <w:marTop w:val="0"/>
          <w:marBottom w:val="0"/>
          <w:divBdr>
            <w:top w:val="none" w:sz="0" w:space="0" w:color="auto"/>
            <w:left w:val="none" w:sz="0" w:space="0" w:color="auto"/>
            <w:bottom w:val="none" w:sz="0" w:space="0" w:color="auto"/>
            <w:right w:val="none" w:sz="0" w:space="0" w:color="auto"/>
          </w:divBdr>
        </w:div>
        <w:div w:id="1045909839">
          <w:marLeft w:val="0"/>
          <w:marRight w:val="0"/>
          <w:marTop w:val="0"/>
          <w:marBottom w:val="0"/>
          <w:divBdr>
            <w:top w:val="none" w:sz="0" w:space="0" w:color="auto"/>
            <w:left w:val="none" w:sz="0" w:space="0" w:color="auto"/>
            <w:bottom w:val="none" w:sz="0" w:space="0" w:color="auto"/>
            <w:right w:val="none" w:sz="0" w:space="0" w:color="auto"/>
          </w:divBdr>
        </w:div>
        <w:div w:id="1534004270">
          <w:marLeft w:val="0"/>
          <w:marRight w:val="0"/>
          <w:marTop w:val="0"/>
          <w:marBottom w:val="0"/>
          <w:divBdr>
            <w:top w:val="none" w:sz="0" w:space="0" w:color="auto"/>
            <w:left w:val="none" w:sz="0" w:space="0" w:color="auto"/>
            <w:bottom w:val="none" w:sz="0" w:space="0" w:color="auto"/>
            <w:right w:val="none" w:sz="0" w:space="0" w:color="auto"/>
          </w:divBdr>
        </w:div>
        <w:div w:id="1450852545">
          <w:marLeft w:val="0"/>
          <w:marRight w:val="0"/>
          <w:marTop w:val="0"/>
          <w:marBottom w:val="0"/>
          <w:divBdr>
            <w:top w:val="none" w:sz="0" w:space="0" w:color="auto"/>
            <w:left w:val="none" w:sz="0" w:space="0" w:color="auto"/>
            <w:bottom w:val="none" w:sz="0" w:space="0" w:color="auto"/>
            <w:right w:val="none" w:sz="0" w:space="0" w:color="auto"/>
          </w:divBdr>
        </w:div>
        <w:div w:id="1176266473">
          <w:marLeft w:val="0"/>
          <w:marRight w:val="0"/>
          <w:marTop w:val="0"/>
          <w:marBottom w:val="0"/>
          <w:divBdr>
            <w:top w:val="none" w:sz="0" w:space="0" w:color="auto"/>
            <w:left w:val="none" w:sz="0" w:space="0" w:color="auto"/>
            <w:bottom w:val="none" w:sz="0" w:space="0" w:color="auto"/>
            <w:right w:val="none" w:sz="0" w:space="0" w:color="auto"/>
          </w:divBdr>
        </w:div>
        <w:div w:id="276379456">
          <w:marLeft w:val="0"/>
          <w:marRight w:val="0"/>
          <w:marTop w:val="0"/>
          <w:marBottom w:val="0"/>
          <w:divBdr>
            <w:top w:val="none" w:sz="0" w:space="0" w:color="auto"/>
            <w:left w:val="none" w:sz="0" w:space="0" w:color="auto"/>
            <w:bottom w:val="none" w:sz="0" w:space="0" w:color="auto"/>
            <w:right w:val="none" w:sz="0" w:space="0" w:color="auto"/>
          </w:divBdr>
        </w:div>
        <w:div w:id="540213923">
          <w:marLeft w:val="0"/>
          <w:marRight w:val="0"/>
          <w:marTop w:val="0"/>
          <w:marBottom w:val="0"/>
          <w:divBdr>
            <w:top w:val="none" w:sz="0" w:space="0" w:color="auto"/>
            <w:left w:val="none" w:sz="0" w:space="0" w:color="auto"/>
            <w:bottom w:val="none" w:sz="0" w:space="0" w:color="auto"/>
            <w:right w:val="none" w:sz="0" w:space="0" w:color="auto"/>
          </w:divBdr>
        </w:div>
        <w:div w:id="966198984">
          <w:marLeft w:val="0"/>
          <w:marRight w:val="0"/>
          <w:marTop w:val="0"/>
          <w:marBottom w:val="0"/>
          <w:divBdr>
            <w:top w:val="none" w:sz="0" w:space="0" w:color="auto"/>
            <w:left w:val="none" w:sz="0" w:space="0" w:color="auto"/>
            <w:bottom w:val="none" w:sz="0" w:space="0" w:color="auto"/>
            <w:right w:val="none" w:sz="0" w:space="0" w:color="auto"/>
          </w:divBdr>
        </w:div>
        <w:div w:id="821969385">
          <w:marLeft w:val="0"/>
          <w:marRight w:val="0"/>
          <w:marTop w:val="0"/>
          <w:marBottom w:val="0"/>
          <w:divBdr>
            <w:top w:val="none" w:sz="0" w:space="0" w:color="auto"/>
            <w:left w:val="none" w:sz="0" w:space="0" w:color="auto"/>
            <w:bottom w:val="none" w:sz="0" w:space="0" w:color="auto"/>
            <w:right w:val="none" w:sz="0" w:space="0" w:color="auto"/>
          </w:divBdr>
        </w:div>
      </w:divsChild>
    </w:div>
    <w:div w:id="773403411">
      <w:bodyDiv w:val="1"/>
      <w:marLeft w:val="0"/>
      <w:marRight w:val="0"/>
      <w:marTop w:val="0"/>
      <w:marBottom w:val="0"/>
      <w:divBdr>
        <w:top w:val="none" w:sz="0" w:space="0" w:color="auto"/>
        <w:left w:val="none" w:sz="0" w:space="0" w:color="auto"/>
        <w:bottom w:val="none" w:sz="0" w:space="0" w:color="auto"/>
        <w:right w:val="none" w:sz="0" w:space="0" w:color="auto"/>
      </w:divBdr>
    </w:div>
    <w:div w:id="776947944">
      <w:bodyDiv w:val="1"/>
      <w:marLeft w:val="0"/>
      <w:marRight w:val="0"/>
      <w:marTop w:val="0"/>
      <w:marBottom w:val="0"/>
      <w:divBdr>
        <w:top w:val="none" w:sz="0" w:space="0" w:color="auto"/>
        <w:left w:val="none" w:sz="0" w:space="0" w:color="auto"/>
        <w:bottom w:val="none" w:sz="0" w:space="0" w:color="auto"/>
        <w:right w:val="none" w:sz="0" w:space="0" w:color="auto"/>
      </w:divBdr>
      <w:divsChild>
        <w:div w:id="1431320354">
          <w:marLeft w:val="0"/>
          <w:marRight w:val="0"/>
          <w:marTop w:val="0"/>
          <w:marBottom w:val="0"/>
          <w:divBdr>
            <w:top w:val="none" w:sz="0" w:space="0" w:color="auto"/>
            <w:left w:val="none" w:sz="0" w:space="0" w:color="auto"/>
            <w:bottom w:val="none" w:sz="0" w:space="0" w:color="auto"/>
            <w:right w:val="none" w:sz="0" w:space="0" w:color="auto"/>
          </w:divBdr>
        </w:div>
      </w:divsChild>
    </w:div>
    <w:div w:id="792598016">
      <w:bodyDiv w:val="1"/>
      <w:marLeft w:val="0"/>
      <w:marRight w:val="0"/>
      <w:marTop w:val="0"/>
      <w:marBottom w:val="0"/>
      <w:divBdr>
        <w:top w:val="none" w:sz="0" w:space="0" w:color="auto"/>
        <w:left w:val="none" w:sz="0" w:space="0" w:color="auto"/>
        <w:bottom w:val="none" w:sz="0" w:space="0" w:color="auto"/>
        <w:right w:val="none" w:sz="0" w:space="0" w:color="auto"/>
      </w:divBdr>
      <w:divsChild>
        <w:div w:id="1431465956">
          <w:marLeft w:val="0"/>
          <w:marRight w:val="0"/>
          <w:marTop w:val="0"/>
          <w:marBottom w:val="0"/>
          <w:divBdr>
            <w:top w:val="none" w:sz="0" w:space="0" w:color="auto"/>
            <w:left w:val="none" w:sz="0" w:space="0" w:color="auto"/>
            <w:bottom w:val="none" w:sz="0" w:space="0" w:color="auto"/>
            <w:right w:val="none" w:sz="0" w:space="0" w:color="auto"/>
          </w:divBdr>
        </w:div>
      </w:divsChild>
    </w:div>
    <w:div w:id="794755390">
      <w:bodyDiv w:val="1"/>
      <w:marLeft w:val="0"/>
      <w:marRight w:val="0"/>
      <w:marTop w:val="0"/>
      <w:marBottom w:val="0"/>
      <w:divBdr>
        <w:top w:val="none" w:sz="0" w:space="0" w:color="auto"/>
        <w:left w:val="none" w:sz="0" w:space="0" w:color="auto"/>
        <w:bottom w:val="none" w:sz="0" w:space="0" w:color="auto"/>
        <w:right w:val="none" w:sz="0" w:space="0" w:color="auto"/>
      </w:divBdr>
    </w:div>
    <w:div w:id="797382700">
      <w:bodyDiv w:val="1"/>
      <w:marLeft w:val="0"/>
      <w:marRight w:val="0"/>
      <w:marTop w:val="0"/>
      <w:marBottom w:val="0"/>
      <w:divBdr>
        <w:top w:val="none" w:sz="0" w:space="0" w:color="auto"/>
        <w:left w:val="none" w:sz="0" w:space="0" w:color="auto"/>
        <w:bottom w:val="none" w:sz="0" w:space="0" w:color="auto"/>
        <w:right w:val="none" w:sz="0" w:space="0" w:color="auto"/>
      </w:divBdr>
      <w:divsChild>
        <w:div w:id="1993369148">
          <w:marLeft w:val="0"/>
          <w:marRight w:val="0"/>
          <w:marTop w:val="0"/>
          <w:marBottom w:val="0"/>
          <w:divBdr>
            <w:top w:val="none" w:sz="0" w:space="0" w:color="auto"/>
            <w:left w:val="none" w:sz="0" w:space="0" w:color="auto"/>
            <w:bottom w:val="none" w:sz="0" w:space="0" w:color="auto"/>
            <w:right w:val="none" w:sz="0" w:space="0" w:color="auto"/>
          </w:divBdr>
        </w:div>
      </w:divsChild>
    </w:div>
    <w:div w:id="809858575">
      <w:bodyDiv w:val="1"/>
      <w:marLeft w:val="0"/>
      <w:marRight w:val="0"/>
      <w:marTop w:val="0"/>
      <w:marBottom w:val="0"/>
      <w:divBdr>
        <w:top w:val="none" w:sz="0" w:space="0" w:color="auto"/>
        <w:left w:val="none" w:sz="0" w:space="0" w:color="auto"/>
        <w:bottom w:val="none" w:sz="0" w:space="0" w:color="auto"/>
        <w:right w:val="none" w:sz="0" w:space="0" w:color="auto"/>
      </w:divBdr>
    </w:div>
    <w:div w:id="840660494">
      <w:bodyDiv w:val="1"/>
      <w:marLeft w:val="0"/>
      <w:marRight w:val="0"/>
      <w:marTop w:val="0"/>
      <w:marBottom w:val="0"/>
      <w:divBdr>
        <w:top w:val="none" w:sz="0" w:space="0" w:color="auto"/>
        <w:left w:val="none" w:sz="0" w:space="0" w:color="auto"/>
        <w:bottom w:val="none" w:sz="0" w:space="0" w:color="auto"/>
        <w:right w:val="none" w:sz="0" w:space="0" w:color="auto"/>
      </w:divBdr>
      <w:divsChild>
        <w:div w:id="2090156371">
          <w:marLeft w:val="0"/>
          <w:marRight w:val="0"/>
          <w:marTop w:val="0"/>
          <w:marBottom w:val="0"/>
          <w:divBdr>
            <w:top w:val="none" w:sz="0" w:space="0" w:color="auto"/>
            <w:left w:val="none" w:sz="0" w:space="0" w:color="auto"/>
            <w:bottom w:val="none" w:sz="0" w:space="0" w:color="auto"/>
            <w:right w:val="none" w:sz="0" w:space="0" w:color="auto"/>
          </w:divBdr>
        </w:div>
      </w:divsChild>
    </w:div>
    <w:div w:id="856232824">
      <w:bodyDiv w:val="1"/>
      <w:marLeft w:val="0"/>
      <w:marRight w:val="0"/>
      <w:marTop w:val="0"/>
      <w:marBottom w:val="0"/>
      <w:divBdr>
        <w:top w:val="none" w:sz="0" w:space="0" w:color="auto"/>
        <w:left w:val="none" w:sz="0" w:space="0" w:color="auto"/>
        <w:bottom w:val="none" w:sz="0" w:space="0" w:color="auto"/>
        <w:right w:val="none" w:sz="0" w:space="0" w:color="auto"/>
      </w:divBdr>
      <w:divsChild>
        <w:div w:id="1581939742">
          <w:marLeft w:val="0"/>
          <w:marRight w:val="0"/>
          <w:marTop w:val="0"/>
          <w:marBottom w:val="0"/>
          <w:divBdr>
            <w:top w:val="none" w:sz="0" w:space="0" w:color="auto"/>
            <w:left w:val="none" w:sz="0" w:space="0" w:color="auto"/>
            <w:bottom w:val="none" w:sz="0" w:space="0" w:color="auto"/>
            <w:right w:val="none" w:sz="0" w:space="0" w:color="auto"/>
          </w:divBdr>
        </w:div>
      </w:divsChild>
    </w:div>
    <w:div w:id="876508766">
      <w:bodyDiv w:val="1"/>
      <w:marLeft w:val="0"/>
      <w:marRight w:val="0"/>
      <w:marTop w:val="0"/>
      <w:marBottom w:val="0"/>
      <w:divBdr>
        <w:top w:val="none" w:sz="0" w:space="0" w:color="auto"/>
        <w:left w:val="none" w:sz="0" w:space="0" w:color="auto"/>
        <w:bottom w:val="none" w:sz="0" w:space="0" w:color="auto"/>
        <w:right w:val="none" w:sz="0" w:space="0" w:color="auto"/>
      </w:divBdr>
      <w:divsChild>
        <w:div w:id="1188064301">
          <w:marLeft w:val="0"/>
          <w:marRight w:val="0"/>
          <w:marTop w:val="0"/>
          <w:marBottom w:val="0"/>
          <w:divBdr>
            <w:top w:val="none" w:sz="0" w:space="0" w:color="auto"/>
            <w:left w:val="none" w:sz="0" w:space="0" w:color="auto"/>
            <w:bottom w:val="none" w:sz="0" w:space="0" w:color="auto"/>
            <w:right w:val="none" w:sz="0" w:space="0" w:color="auto"/>
          </w:divBdr>
        </w:div>
      </w:divsChild>
    </w:div>
    <w:div w:id="907424484">
      <w:bodyDiv w:val="1"/>
      <w:marLeft w:val="0"/>
      <w:marRight w:val="0"/>
      <w:marTop w:val="0"/>
      <w:marBottom w:val="0"/>
      <w:divBdr>
        <w:top w:val="none" w:sz="0" w:space="0" w:color="auto"/>
        <w:left w:val="none" w:sz="0" w:space="0" w:color="auto"/>
        <w:bottom w:val="none" w:sz="0" w:space="0" w:color="auto"/>
        <w:right w:val="none" w:sz="0" w:space="0" w:color="auto"/>
      </w:divBdr>
      <w:divsChild>
        <w:div w:id="1642610127">
          <w:marLeft w:val="0"/>
          <w:marRight w:val="0"/>
          <w:marTop w:val="0"/>
          <w:marBottom w:val="0"/>
          <w:divBdr>
            <w:top w:val="none" w:sz="0" w:space="0" w:color="auto"/>
            <w:left w:val="none" w:sz="0" w:space="0" w:color="auto"/>
            <w:bottom w:val="none" w:sz="0" w:space="0" w:color="auto"/>
            <w:right w:val="none" w:sz="0" w:space="0" w:color="auto"/>
          </w:divBdr>
        </w:div>
      </w:divsChild>
    </w:div>
    <w:div w:id="910848418">
      <w:bodyDiv w:val="1"/>
      <w:marLeft w:val="0"/>
      <w:marRight w:val="0"/>
      <w:marTop w:val="0"/>
      <w:marBottom w:val="0"/>
      <w:divBdr>
        <w:top w:val="none" w:sz="0" w:space="0" w:color="auto"/>
        <w:left w:val="none" w:sz="0" w:space="0" w:color="auto"/>
        <w:bottom w:val="none" w:sz="0" w:space="0" w:color="auto"/>
        <w:right w:val="none" w:sz="0" w:space="0" w:color="auto"/>
      </w:divBdr>
      <w:divsChild>
        <w:div w:id="1133710995">
          <w:marLeft w:val="0"/>
          <w:marRight w:val="0"/>
          <w:marTop w:val="0"/>
          <w:marBottom w:val="0"/>
          <w:divBdr>
            <w:top w:val="none" w:sz="0" w:space="0" w:color="auto"/>
            <w:left w:val="none" w:sz="0" w:space="0" w:color="auto"/>
            <w:bottom w:val="none" w:sz="0" w:space="0" w:color="auto"/>
            <w:right w:val="none" w:sz="0" w:space="0" w:color="auto"/>
          </w:divBdr>
        </w:div>
      </w:divsChild>
    </w:div>
    <w:div w:id="912590719">
      <w:bodyDiv w:val="1"/>
      <w:marLeft w:val="0"/>
      <w:marRight w:val="0"/>
      <w:marTop w:val="0"/>
      <w:marBottom w:val="0"/>
      <w:divBdr>
        <w:top w:val="none" w:sz="0" w:space="0" w:color="auto"/>
        <w:left w:val="none" w:sz="0" w:space="0" w:color="auto"/>
        <w:bottom w:val="none" w:sz="0" w:space="0" w:color="auto"/>
        <w:right w:val="none" w:sz="0" w:space="0" w:color="auto"/>
      </w:divBdr>
      <w:divsChild>
        <w:div w:id="1123156960">
          <w:marLeft w:val="0"/>
          <w:marRight w:val="0"/>
          <w:marTop w:val="0"/>
          <w:marBottom w:val="0"/>
          <w:divBdr>
            <w:top w:val="none" w:sz="0" w:space="0" w:color="auto"/>
            <w:left w:val="none" w:sz="0" w:space="0" w:color="auto"/>
            <w:bottom w:val="none" w:sz="0" w:space="0" w:color="auto"/>
            <w:right w:val="none" w:sz="0" w:space="0" w:color="auto"/>
          </w:divBdr>
        </w:div>
      </w:divsChild>
    </w:div>
    <w:div w:id="924189344">
      <w:bodyDiv w:val="1"/>
      <w:marLeft w:val="0"/>
      <w:marRight w:val="0"/>
      <w:marTop w:val="0"/>
      <w:marBottom w:val="0"/>
      <w:divBdr>
        <w:top w:val="none" w:sz="0" w:space="0" w:color="auto"/>
        <w:left w:val="none" w:sz="0" w:space="0" w:color="auto"/>
        <w:bottom w:val="none" w:sz="0" w:space="0" w:color="auto"/>
        <w:right w:val="none" w:sz="0" w:space="0" w:color="auto"/>
      </w:divBdr>
      <w:divsChild>
        <w:div w:id="911768219">
          <w:marLeft w:val="0"/>
          <w:marRight w:val="0"/>
          <w:marTop w:val="0"/>
          <w:marBottom w:val="0"/>
          <w:divBdr>
            <w:top w:val="none" w:sz="0" w:space="0" w:color="auto"/>
            <w:left w:val="none" w:sz="0" w:space="0" w:color="auto"/>
            <w:bottom w:val="none" w:sz="0" w:space="0" w:color="auto"/>
            <w:right w:val="none" w:sz="0" w:space="0" w:color="auto"/>
          </w:divBdr>
        </w:div>
      </w:divsChild>
    </w:div>
    <w:div w:id="924920528">
      <w:bodyDiv w:val="1"/>
      <w:marLeft w:val="0"/>
      <w:marRight w:val="0"/>
      <w:marTop w:val="0"/>
      <w:marBottom w:val="0"/>
      <w:divBdr>
        <w:top w:val="none" w:sz="0" w:space="0" w:color="auto"/>
        <w:left w:val="none" w:sz="0" w:space="0" w:color="auto"/>
        <w:bottom w:val="none" w:sz="0" w:space="0" w:color="auto"/>
        <w:right w:val="none" w:sz="0" w:space="0" w:color="auto"/>
      </w:divBdr>
      <w:divsChild>
        <w:div w:id="1752316503">
          <w:marLeft w:val="0"/>
          <w:marRight w:val="0"/>
          <w:marTop w:val="0"/>
          <w:marBottom w:val="0"/>
          <w:divBdr>
            <w:top w:val="none" w:sz="0" w:space="0" w:color="auto"/>
            <w:left w:val="none" w:sz="0" w:space="0" w:color="auto"/>
            <w:bottom w:val="none" w:sz="0" w:space="0" w:color="auto"/>
            <w:right w:val="none" w:sz="0" w:space="0" w:color="auto"/>
          </w:divBdr>
        </w:div>
      </w:divsChild>
    </w:div>
    <w:div w:id="939483520">
      <w:bodyDiv w:val="1"/>
      <w:marLeft w:val="0"/>
      <w:marRight w:val="0"/>
      <w:marTop w:val="0"/>
      <w:marBottom w:val="0"/>
      <w:divBdr>
        <w:top w:val="none" w:sz="0" w:space="0" w:color="auto"/>
        <w:left w:val="none" w:sz="0" w:space="0" w:color="auto"/>
        <w:bottom w:val="none" w:sz="0" w:space="0" w:color="auto"/>
        <w:right w:val="none" w:sz="0" w:space="0" w:color="auto"/>
      </w:divBdr>
      <w:divsChild>
        <w:div w:id="1310212012">
          <w:marLeft w:val="0"/>
          <w:marRight w:val="0"/>
          <w:marTop w:val="0"/>
          <w:marBottom w:val="0"/>
          <w:divBdr>
            <w:top w:val="none" w:sz="0" w:space="0" w:color="auto"/>
            <w:left w:val="none" w:sz="0" w:space="0" w:color="auto"/>
            <w:bottom w:val="none" w:sz="0" w:space="0" w:color="auto"/>
            <w:right w:val="none" w:sz="0" w:space="0" w:color="auto"/>
          </w:divBdr>
        </w:div>
      </w:divsChild>
    </w:div>
    <w:div w:id="962494433">
      <w:bodyDiv w:val="1"/>
      <w:marLeft w:val="0"/>
      <w:marRight w:val="0"/>
      <w:marTop w:val="0"/>
      <w:marBottom w:val="0"/>
      <w:divBdr>
        <w:top w:val="none" w:sz="0" w:space="0" w:color="auto"/>
        <w:left w:val="none" w:sz="0" w:space="0" w:color="auto"/>
        <w:bottom w:val="none" w:sz="0" w:space="0" w:color="auto"/>
        <w:right w:val="none" w:sz="0" w:space="0" w:color="auto"/>
      </w:divBdr>
      <w:divsChild>
        <w:div w:id="1876649379">
          <w:marLeft w:val="0"/>
          <w:marRight w:val="0"/>
          <w:marTop w:val="0"/>
          <w:marBottom w:val="0"/>
          <w:divBdr>
            <w:top w:val="none" w:sz="0" w:space="0" w:color="auto"/>
            <w:left w:val="none" w:sz="0" w:space="0" w:color="auto"/>
            <w:bottom w:val="none" w:sz="0" w:space="0" w:color="auto"/>
            <w:right w:val="none" w:sz="0" w:space="0" w:color="auto"/>
          </w:divBdr>
        </w:div>
      </w:divsChild>
    </w:div>
    <w:div w:id="968319593">
      <w:bodyDiv w:val="1"/>
      <w:marLeft w:val="0"/>
      <w:marRight w:val="0"/>
      <w:marTop w:val="0"/>
      <w:marBottom w:val="0"/>
      <w:divBdr>
        <w:top w:val="none" w:sz="0" w:space="0" w:color="auto"/>
        <w:left w:val="none" w:sz="0" w:space="0" w:color="auto"/>
        <w:bottom w:val="none" w:sz="0" w:space="0" w:color="auto"/>
        <w:right w:val="none" w:sz="0" w:space="0" w:color="auto"/>
      </w:divBdr>
      <w:divsChild>
        <w:div w:id="2053192439">
          <w:marLeft w:val="0"/>
          <w:marRight w:val="0"/>
          <w:marTop w:val="0"/>
          <w:marBottom w:val="0"/>
          <w:divBdr>
            <w:top w:val="none" w:sz="0" w:space="0" w:color="auto"/>
            <w:left w:val="none" w:sz="0" w:space="0" w:color="auto"/>
            <w:bottom w:val="none" w:sz="0" w:space="0" w:color="auto"/>
            <w:right w:val="none" w:sz="0" w:space="0" w:color="auto"/>
          </w:divBdr>
        </w:div>
      </w:divsChild>
    </w:div>
    <w:div w:id="981999917">
      <w:bodyDiv w:val="1"/>
      <w:marLeft w:val="0"/>
      <w:marRight w:val="0"/>
      <w:marTop w:val="0"/>
      <w:marBottom w:val="0"/>
      <w:divBdr>
        <w:top w:val="none" w:sz="0" w:space="0" w:color="auto"/>
        <w:left w:val="none" w:sz="0" w:space="0" w:color="auto"/>
        <w:bottom w:val="none" w:sz="0" w:space="0" w:color="auto"/>
        <w:right w:val="none" w:sz="0" w:space="0" w:color="auto"/>
      </w:divBdr>
      <w:divsChild>
        <w:div w:id="1617325742">
          <w:marLeft w:val="0"/>
          <w:marRight w:val="0"/>
          <w:marTop w:val="0"/>
          <w:marBottom w:val="0"/>
          <w:divBdr>
            <w:top w:val="none" w:sz="0" w:space="0" w:color="auto"/>
            <w:left w:val="none" w:sz="0" w:space="0" w:color="auto"/>
            <w:bottom w:val="none" w:sz="0" w:space="0" w:color="auto"/>
            <w:right w:val="none" w:sz="0" w:space="0" w:color="auto"/>
          </w:divBdr>
        </w:div>
      </w:divsChild>
    </w:div>
    <w:div w:id="1117530439">
      <w:bodyDiv w:val="1"/>
      <w:marLeft w:val="0"/>
      <w:marRight w:val="0"/>
      <w:marTop w:val="0"/>
      <w:marBottom w:val="0"/>
      <w:divBdr>
        <w:top w:val="none" w:sz="0" w:space="0" w:color="auto"/>
        <w:left w:val="none" w:sz="0" w:space="0" w:color="auto"/>
        <w:bottom w:val="none" w:sz="0" w:space="0" w:color="auto"/>
        <w:right w:val="none" w:sz="0" w:space="0" w:color="auto"/>
      </w:divBdr>
      <w:divsChild>
        <w:div w:id="1838882856">
          <w:marLeft w:val="0"/>
          <w:marRight w:val="0"/>
          <w:marTop w:val="0"/>
          <w:marBottom w:val="0"/>
          <w:divBdr>
            <w:top w:val="none" w:sz="0" w:space="0" w:color="auto"/>
            <w:left w:val="none" w:sz="0" w:space="0" w:color="auto"/>
            <w:bottom w:val="none" w:sz="0" w:space="0" w:color="auto"/>
            <w:right w:val="none" w:sz="0" w:space="0" w:color="auto"/>
          </w:divBdr>
        </w:div>
      </w:divsChild>
    </w:div>
    <w:div w:id="1151289516">
      <w:bodyDiv w:val="1"/>
      <w:marLeft w:val="0"/>
      <w:marRight w:val="0"/>
      <w:marTop w:val="0"/>
      <w:marBottom w:val="0"/>
      <w:divBdr>
        <w:top w:val="none" w:sz="0" w:space="0" w:color="auto"/>
        <w:left w:val="none" w:sz="0" w:space="0" w:color="auto"/>
        <w:bottom w:val="none" w:sz="0" w:space="0" w:color="auto"/>
        <w:right w:val="none" w:sz="0" w:space="0" w:color="auto"/>
      </w:divBdr>
    </w:div>
    <w:div w:id="1157070307">
      <w:bodyDiv w:val="1"/>
      <w:marLeft w:val="0"/>
      <w:marRight w:val="0"/>
      <w:marTop w:val="0"/>
      <w:marBottom w:val="0"/>
      <w:divBdr>
        <w:top w:val="none" w:sz="0" w:space="0" w:color="auto"/>
        <w:left w:val="none" w:sz="0" w:space="0" w:color="auto"/>
        <w:bottom w:val="none" w:sz="0" w:space="0" w:color="auto"/>
        <w:right w:val="none" w:sz="0" w:space="0" w:color="auto"/>
      </w:divBdr>
      <w:divsChild>
        <w:div w:id="1517814149">
          <w:marLeft w:val="0"/>
          <w:marRight w:val="0"/>
          <w:marTop w:val="0"/>
          <w:marBottom w:val="0"/>
          <w:divBdr>
            <w:top w:val="none" w:sz="0" w:space="0" w:color="auto"/>
            <w:left w:val="none" w:sz="0" w:space="0" w:color="auto"/>
            <w:bottom w:val="none" w:sz="0" w:space="0" w:color="auto"/>
            <w:right w:val="none" w:sz="0" w:space="0" w:color="auto"/>
          </w:divBdr>
        </w:div>
      </w:divsChild>
    </w:div>
    <w:div w:id="1210800802">
      <w:bodyDiv w:val="1"/>
      <w:marLeft w:val="0"/>
      <w:marRight w:val="0"/>
      <w:marTop w:val="0"/>
      <w:marBottom w:val="0"/>
      <w:divBdr>
        <w:top w:val="none" w:sz="0" w:space="0" w:color="auto"/>
        <w:left w:val="none" w:sz="0" w:space="0" w:color="auto"/>
        <w:bottom w:val="none" w:sz="0" w:space="0" w:color="auto"/>
        <w:right w:val="none" w:sz="0" w:space="0" w:color="auto"/>
      </w:divBdr>
      <w:divsChild>
        <w:div w:id="563682975">
          <w:marLeft w:val="0"/>
          <w:marRight w:val="0"/>
          <w:marTop w:val="0"/>
          <w:marBottom w:val="0"/>
          <w:divBdr>
            <w:top w:val="none" w:sz="0" w:space="0" w:color="auto"/>
            <w:left w:val="none" w:sz="0" w:space="0" w:color="auto"/>
            <w:bottom w:val="none" w:sz="0" w:space="0" w:color="auto"/>
            <w:right w:val="none" w:sz="0" w:space="0" w:color="auto"/>
          </w:divBdr>
        </w:div>
      </w:divsChild>
    </w:div>
    <w:div w:id="1230532214">
      <w:bodyDiv w:val="1"/>
      <w:marLeft w:val="0"/>
      <w:marRight w:val="0"/>
      <w:marTop w:val="0"/>
      <w:marBottom w:val="0"/>
      <w:divBdr>
        <w:top w:val="none" w:sz="0" w:space="0" w:color="auto"/>
        <w:left w:val="none" w:sz="0" w:space="0" w:color="auto"/>
        <w:bottom w:val="none" w:sz="0" w:space="0" w:color="auto"/>
        <w:right w:val="none" w:sz="0" w:space="0" w:color="auto"/>
      </w:divBdr>
    </w:div>
    <w:div w:id="1257252476">
      <w:bodyDiv w:val="1"/>
      <w:marLeft w:val="0"/>
      <w:marRight w:val="0"/>
      <w:marTop w:val="0"/>
      <w:marBottom w:val="0"/>
      <w:divBdr>
        <w:top w:val="none" w:sz="0" w:space="0" w:color="auto"/>
        <w:left w:val="none" w:sz="0" w:space="0" w:color="auto"/>
        <w:bottom w:val="none" w:sz="0" w:space="0" w:color="auto"/>
        <w:right w:val="none" w:sz="0" w:space="0" w:color="auto"/>
      </w:divBdr>
      <w:divsChild>
        <w:div w:id="1444349928">
          <w:marLeft w:val="0"/>
          <w:marRight w:val="0"/>
          <w:marTop w:val="0"/>
          <w:marBottom w:val="0"/>
          <w:divBdr>
            <w:top w:val="none" w:sz="0" w:space="0" w:color="auto"/>
            <w:left w:val="none" w:sz="0" w:space="0" w:color="auto"/>
            <w:bottom w:val="none" w:sz="0" w:space="0" w:color="auto"/>
            <w:right w:val="none" w:sz="0" w:space="0" w:color="auto"/>
          </w:divBdr>
        </w:div>
      </w:divsChild>
    </w:div>
    <w:div w:id="1272280006">
      <w:bodyDiv w:val="1"/>
      <w:marLeft w:val="0"/>
      <w:marRight w:val="0"/>
      <w:marTop w:val="0"/>
      <w:marBottom w:val="0"/>
      <w:divBdr>
        <w:top w:val="none" w:sz="0" w:space="0" w:color="auto"/>
        <w:left w:val="none" w:sz="0" w:space="0" w:color="auto"/>
        <w:bottom w:val="none" w:sz="0" w:space="0" w:color="auto"/>
        <w:right w:val="none" w:sz="0" w:space="0" w:color="auto"/>
      </w:divBdr>
      <w:divsChild>
        <w:div w:id="554897114">
          <w:marLeft w:val="0"/>
          <w:marRight w:val="0"/>
          <w:marTop w:val="0"/>
          <w:marBottom w:val="0"/>
          <w:divBdr>
            <w:top w:val="none" w:sz="0" w:space="0" w:color="auto"/>
            <w:left w:val="none" w:sz="0" w:space="0" w:color="auto"/>
            <w:bottom w:val="none" w:sz="0" w:space="0" w:color="auto"/>
            <w:right w:val="none" w:sz="0" w:space="0" w:color="auto"/>
          </w:divBdr>
        </w:div>
      </w:divsChild>
    </w:div>
    <w:div w:id="1275599131">
      <w:bodyDiv w:val="1"/>
      <w:marLeft w:val="0"/>
      <w:marRight w:val="0"/>
      <w:marTop w:val="0"/>
      <w:marBottom w:val="0"/>
      <w:divBdr>
        <w:top w:val="none" w:sz="0" w:space="0" w:color="auto"/>
        <w:left w:val="none" w:sz="0" w:space="0" w:color="auto"/>
        <w:bottom w:val="none" w:sz="0" w:space="0" w:color="auto"/>
        <w:right w:val="none" w:sz="0" w:space="0" w:color="auto"/>
      </w:divBdr>
      <w:divsChild>
        <w:div w:id="364912527">
          <w:marLeft w:val="0"/>
          <w:marRight w:val="0"/>
          <w:marTop w:val="0"/>
          <w:marBottom w:val="0"/>
          <w:divBdr>
            <w:top w:val="none" w:sz="0" w:space="0" w:color="auto"/>
            <w:left w:val="none" w:sz="0" w:space="0" w:color="auto"/>
            <w:bottom w:val="none" w:sz="0" w:space="0" w:color="auto"/>
            <w:right w:val="none" w:sz="0" w:space="0" w:color="auto"/>
          </w:divBdr>
        </w:div>
      </w:divsChild>
    </w:div>
    <w:div w:id="1300377739">
      <w:bodyDiv w:val="1"/>
      <w:marLeft w:val="0"/>
      <w:marRight w:val="0"/>
      <w:marTop w:val="0"/>
      <w:marBottom w:val="0"/>
      <w:divBdr>
        <w:top w:val="none" w:sz="0" w:space="0" w:color="auto"/>
        <w:left w:val="none" w:sz="0" w:space="0" w:color="auto"/>
        <w:bottom w:val="none" w:sz="0" w:space="0" w:color="auto"/>
        <w:right w:val="none" w:sz="0" w:space="0" w:color="auto"/>
      </w:divBdr>
      <w:divsChild>
        <w:div w:id="1410077306">
          <w:marLeft w:val="0"/>
          <w:marRight w:val="0"/>
          <w:marTop w:val="0"/>
          <w:marBottom w:val="0"/>
          <w:divBdr>
            <w:top w:val="none" w:sz="0" w:space="0" w:color="auto"/>
            <w:left w:val="none" w:sz="0" w:space="0" w:color="auto"/>
            <w:bottom w:val="none" w:sz="0" w:space="0" w:color="auto"/>
            <w:right w:val="none" w:sz="0" w:space="0" w:color="auto"/>
          </w:divBdr>
        </w:div>
      </w:divsChild>
    </w:div>
    <w:div w:id="1339040823">
      <w:bodyDiv w:val="1"/>
      <w:marLeft w:val="0"/>
      <w:marRight w:val="0"/>
      <w:marTop w:val="0"/>
      <w:marBottom w:val="0"/>
      <w:divBdr>
        <w:top w:val="none" w:sz="0" w:space="0" w:color="auto"/>
        <w:left w:val="none" w:sz="0" w:space="0" w:color="auto"/>
        <w:bottom w:val="none" w:sz="0" w:space="0" w:color="auto"/>
        <w:right w:val="none" w:sz="0" w:space="0" w:color="auto"/>
      </w:divBdr>
    </w:div>
    <w:div w:id="1356737417">
      <w:bodyDiv w:val="1"/>
      <w:marLeft w:val="0"/>
      <w:marRight w:val="0"/>
      <w:marTop w:val="0"/>
      <w:marBottom w:val="0"/>
      <w:divBdr>
        <w:top w:val="none" w:sz="0" w:space="0" w:color="auto"/>
        <w:left w:val="none" w:sz="0" w:space="0" w:color="auto"/>
        <w:bottom w:val="none" w:sz="0" w:space="0" w:color="auto"/>
        <w:right w:val="none" w:sz="0" w:space="0" w:color="auto"/>
      </w:divBdr>
      <w:divsChild>
        <w:div w:id="601765644">
          <w:marLeft w:val="0"/>
          <w:marRight w:val="0"/>
          <w:marTop w:val="0"/>
          <w:marBottom w:val="0"/>
          <w:divBdr>
            <w:top w:val="none" w:sz="0" w:space="0" w:color="auto"/>
            <w:left w:val="none" w:sz="0" w:space="0" w:color="auto"/>
            <w:bottom w:val="none" w:sz="0" w:space="0" w:color="auto"/>
            <w:right w:val="none" w:sz="0" w:space="0" w:color="auto"/>
          </w:divBdr>
        </w:div>
      </w:divsChild>
    </w:div>
    <w:div w:id="1406605503">
      <w:bodyDiv w:val="1"/>
      <w:marLeft w:val="0"/>
      <w:marRight w:val="0"/>
      <w:marTop w:val="0"/>
      <w:marBottom w:val="0"/>
      <w:divBdr>
        <w:top w:val="none" w:sz="0" w:space="0" w:color="auto"/>
        <w:left w:val="none" w:sz="0" w:space="0" w:color="auto"/>
        <w:bottom w:val="none" w:sz="0" w:space="0" w:color="auto"/>
        <w:right w:val="none" w:sz="0" w:space="0" w:color="auto"/>
      </w:divBdr>
      <w:divsChild>
        <w:div w:id="179979204">
          <w:marLeft w:val="0"/>
          <w:marRight w:val="0"/>
          <w:marTop w:val="0"/>
          <w:marBottom w:val="0"/>
          <w:divBdr>
            <w:top w:val="none" w:sz="0" w:space="0" w:color="auto"/>
            <w:left w:val="none" w:sz="0" w:space="0" w:color="auto"/>
            <w:bottom w:val="none" w:sz="0" w:space="0" w:color="auto"/>
            <w:right w:val="none" w:sz="0" w:space="0" w:color="auto"/>
          </w:divBdr>
        </w:div>
      </w:divsChild>
    </w:div>
    <w:div w:id="1412383581">
      <w:bodyDiv w:val="1"/>
      <w:marLeft w:val="0"/>
      <w:marRight w:val="0"/>
      <w:marTop w:val="0"/>
      <w:marBottom w:val="0"/>
      <w:divBdr>
        <w:top w:val="none" w:sz="0" w:space="0" w:color="auto"/>
        <w:left w:val="none" w:sz="0" w:space="0" w:color="auto"/>
        <w:bottom w:val="none" w:sz="0" w:space="0" w:color="auto"/>
        <w:right w:val="none" w:sz="0" w:space="0" w:color="auto"/>
      </w:divBdr>
      <w:divsChild>
        <w:div w:id="1137643647">
          <w:marLeft w:val="0"/>
          <w:marRight w:val="0"/>
          <w:marTop w:val="0"/>
          <w:marBottom w:val="0"/>
          <w:divBdr>
            <w:top w:val="none" w:sz="0" w:space="0" w:color="auto"/>
            <w:left w:val="none" w:sz="0" w:space="0" w:color="auto"/>
            <w:bottom w:val="none" w:sz="0" w:space="0" w:color="auto"/>
            <w:right w:val="none" w:sz="0" w:space="0" w:color="auto"/>
          </w:divBdr>
        </w:div>
      </w:divsChild>
    </w:div>
    <w:div w:id="1415202223">
      <w:bodyDiv w:val="1"/>
      <w:marLeft w:val="0"/>
      <w:marRight w:val="0"/>
      <w:marTop w:val="0"/>
      <w:marBottom w:val="0"/>
      <w:divBdr>
        <w:top w:val="none" w:sz="0" w:space="0" w:color="auto"/>
        <w:left w:val="none" w:sz="0" w:space="0" w:color="auto"/>
        <w:bottom w:val="none" w:sz="0" w:space="0" w:color="auto"/>
        <w:right w:val="none" w:sz="0" w:space="0" w:color="auto"/>
      </w:divBdr>
      <w:divsChild>
        <w:div w:id="233467654">
          <w:marLeft w:val="0"/>
          <w:marRight w:val="0"/>
          <w:marTop w:val="0"/>
          <w:marBottom w:val="0"/>
          <w:divBdr>
            <w:top w:val="none" w:sz="0" w:space="0" w:color="auto"/>
            <w:left w:val="none" w:sz="0" w:space="0" w:color="auto"/>
            <w:bottom w:val="none" w:sz="0" w:space="0" w:color="auto"/>
            <w:right w:val="none" w:sz="0" w:space="0" w:color="auto"/>
          </w:divBdr>
        </w:div>
      </w:divsChild>
    </w:div>
    <w:div w:id="1438208212">
      <w:bodyDiv w:val="1"/>
      <w:marLeft w:val="0"/>
      <w:marRight w:val="0"/>
      <w:marTop w:val="0"/>
      <w:marBottom w:val="0"/>
      <w:divBdr>
        <w:top w:val="none" w:sz="0" w:space="0" w:color="auto"/>
        <w:left w:val="none" w:sz="0" w:space="0" w:color="auto"/>
        <w:bottom w:val="none" w:sz="0" w:space="0" w:color="auto"/>
        <w:right w:val="none" w:sz="0" w:space="0" w:color="auto"/>
      </w:divBdr>
      <w:divsChild>
        <w:div w:id="1144465303">
          <w:marLeft w:val="0"/>
          <w:marRight w:val="0"/>
          <w:marTop w:val="0"/>
          <w:marBottom w:val="0"/>
          <w:divBdr>
            <w:top w:val="none" w:sz="0" w:space="0" w:color="auto"/>
            <w:left w:val="none" w:sz="0" w:space="0" w:color="auto"/>
            <w:bottom w:val="none" w:sz="0" w:space="0" w:color="auto"/>
            <w:right w:val="none" w:sz="0" w:space="0" w:color="auto"/>
          </w:divBdr>
        </w:div>
      </w:divsChild>
    </w:div>
    <w:div w:id="1486892765">
      <w:bodyDiv w:val="1"/>
      <w:marLeft w:val="0"/>
      <w:marRight w:val="0"/>
      <w:marTop w:val="0"/>
      <w:marBottom w:val="0"/>
      <w:divBdr>
        <w:top w:val="none" w:sz="0" w:space="0" w:color="auto"/>
        <w:left w:val="none" w:sz="0" w:space="0" w:color="auto"/>
        <w:bottom w:val="none" w:sz="0" w:space="0" w:color="auto"/>
        <w:right w:val="none" w:sz="0" w:space="0" w:color="auto"/>
      </w:divBdr>
      <w:divsChild>
        <w:div w:id="1259603504">
          <w:marLeft w:val="0"/>
          <w:marRight w:val="0"/>
          <w:marTop w:val="0"/>
          <w:marBottom w:val="0"/>
          <w:divBdr>
            <w:top w:val="none" w:sz="0" w:space="0" w:color="auto"/>
            <w:left w:val="none" w:sz="0" w:space="0" w:color="auto"/>
            <w:bottom w:val="none" w:sz="0" w:space="0" w:color="auto"/>
            <w:right w:val="none" w:sz="0" w:space="0" w:color="auto"/>
          </w:divBdr>
        </w:div>
      </w:divsChild>
    </w:div>
    <w:div w:id="1504473328">
      <w:bodyDiv w:val="1"/>
      <w:marLeft w:val="0"/>
      <w:marRight w:val="0"/>
      <w:marTop w:val="0"/>
      <w:marBottom w:val="0"/>
      <w:divBdr>
        <w:top w:val="none" w:sz="0" w:space="0" w:color="auto"/>
        <w:left w:val="none" w:sz="0" w:space="0" w:color="auto"/>
        <w:bottom w:val="none" w:sz="0" w:space="0" w:color="auto"/>
        <w:right w:val="none" w:sz="0" w:space="0" w:color="auto"/>
      </w:divBdr>
      <w:divsChild>
        <w:div w:id="525338780">
          <w:marLeft w:val="0"/>
          <w:marRight w:val="0"/>
          <w:marTop w:val="0"/>
          <w:marBottom w:val="0"/>
          <w:divBdr>
            <w:top w:val="none" w:sz="0" w:space="0" w:color="auto"/>
            <w:left w:val="none" w:sz="0" w:space="0" w:color="auto"/>
            <w:bottom w:val="none" w:sz="0" w:space="0" w:color="auto"/>
            <w:right w:val="none" w:sz="0" w:space="0" w:color="auto"/>
          </w:divBdr>
        </w:div>
      </w:divsChild>
    </w:div>
    <w:div w:id="1549757446">
      <w:bodyDiv w:val="1"/>
      <w:marLeft w:val="0"/>
      <w:marRight w:val="0"/>
      <w:marTop w:val="0"/>
      <w:marBottom w:val="0"/>
      <w:divBdr>
        <w:top w:val="none" w:sz="0" w:space="0" w:color="auto"/>
        <w:left w:val="none" w:sz="0" w:space="0" w:color="auto"/>
        <w:bottom w:val="none" w:sz="0" w:space="0" w:color="auto"/>
        <w:right w:val="none" w:sz="0" w:space="0" w:color="auto"/>
      </w:divBdr>
      <w:divsChild>
        <w:div w:id="648364082">
          <w:marLeft w:val="0"/>
          <w:marRight w:val="0"/>
          <w:marTop w:val="0"/>
          <w:marBottom w:val="0"/>
          <w:divBdr>
            <w:top w:val="none" w:sz="0" w:space="0" w:color="auto"/>
            <w:left w:val="none" w:sz="0" w:space="0" w:color="auto"/>
            <w:bottom w:val="none" w:sz="0" w:space="0" w:color="auto"/>
            <w:right w:val="none" w:sz="0" w:space="0" w:color="auto"/>
          </w:divBdr>
        </w:div>
      </w:divsChild>
    </w:div>
    <w:div w:id="1562596133">
      <w:bodyDiv w:val="1"/>
      <w:marLeft w:val="0"/>
      <w:marRight w:val="0"/>
      <w:marTop w:val="0"/>
      <w:marBottom w:val="0"/>
      <w:divBdr>
        <w:top w:val="none" w:sz="0" w:space="0" w:color="auto"/>
        <w:left w:val="none" w:sz="0" w:space="0" w:color="auto"/>
        <w:bottom w:val="none" w:sz="0" w:space="0" w:color="auto"/>
        <w:right w:val="none" w:sz="0" w:space="0" w:color="auto"/>
      </w:divBdr>
    </w:div>
    <w:div w:id="1576891859">
      <w:bodyDiv w:val="1"/>
      <w:marLeft w:val="0"/>
      <w:marRight w:val="0"/>
      <w:marTop w:val="0"/>
      <w:marBottom w:val="0"/>
      <w:divBdr>
        <w:top w:val="none" w:sz="0" w:space="0" w:color="auto"/>
        <w:left w:val="none" w:sz="0" w:space="0" w:color="auto"/>
        <w:bottom w:val="none" w:sz="0" w:space="0" w:color="auto"/>
        <w:right w:val="none" w:sz="0" w:space="0" w:color="auto"/>
      </w:divBdr>
      <w:divsChild>
        <w:div w:id="1160118751">
          <w:marLeft w:val="0"/>
          <w:marRight w:val="0"/>
          <w:marTop w:val="0"/>
          <w:marBottom w:val="0"/>
          <w:divBdr>
            <w:top w:val="none" w:sz="0" w:space="0" w:color="auto"/>
            <w:left w:val="none" w:sz="0" w:space="0" w:color="auto"/>
            <w:bottom w:val="none" w:sz="0" w:space="0" w:color="auto"/>
            <w:right w:val="none" w:sz="0" w:space="0" w:color="auto"/>
          </w:divBdr>
        </w:div>
      </w:divsChild>
    </w:div>
    <w:div w:id="1581210848">
      <w:bodyDiv w:val="1"/>
      <w:marLeft w:val="0"/>
      <w:marRight w:val="0"/>
      <w:marTop w:val="0"/>
      <w:marBottom w:val="0"/>
      <w:divBdr>
        <w:top w:val="none" w:sz="0" w:space="0" w:color="auto"/>
        <w:left w:val="none" w:sz="0" w:space="0" w:color="auto"/>
        <w:bottom w:val="none" w:sz="0" w:space="0" w:color="auto"/>
        <w:right w:val="none" w:sz="0" w:space="0" w:color="auto"/>
      </w:divBdr>
      <w:divsChild>
        <w:div w:id="141774836">
          <w:marLeft w:val="0"/>
          <w:marRight w:val="0"/>
          <w:marTop w:val="0"/>
          <w:marBottom w:val="0"/>
          <w:divBdr>
            <w:top w:val="none" w:sz="0" w:space="0" w:color="auto"/>
            <w:left w:val="none" w:sz="0" w:space="0" w:color="auto"/>
            <w:bottom w:val="none" w:sz="0" w:space="0" w:color="auto"/>
            <w:right w:val="none" w:sz="0" w:space="0" w:color="auto"/>
          </w:divBdr>
        </w:div>
      </w:divsChild>
    </w:div>
    <w:div w:id="1587768135">
      <w:bodyDiv w:val="1"/>
      <w:marLeft w:val="0"/>
      <w:marRight w:val="0"/>
      <w:marTop w:val="0"/>
      <w:marBottom w:val="0"/>
      <w:divBdr>
        <w:top w:val="none" w:sz="0" w:space="0" w:color="auto"/>
        <w:left w:val="none" w:sz="0" w:space="0" w:color="auto"/>
        <w:bottom w:val="none" w:sz="0" w:space="0" w:color="auto"/>
        <w:right w:val="none" w:sz="0" w:space="0" w:color="auto"/>
      </w:divBdr>
      <w:divsChild>
        <w:div w:id="696660287">
          <w:marLeft w:val="0"/>
          <w:marRight w:val="0"/>
          <w:marTop w:val="0"/>
          <w:marBottom w:val="0"/>
          <w:divBdr>
            <w:top w:val="none" w:sz="0" w:space="0" w:color="auto"/>
            <w:left w:val="none" w:sz="0" w:space="0" w:color="auto"/>
            <w:bottom w:val="none" w:sz="0" w:space="0" w:color="auto"/>
            <w:right w:val="none" w:sz="0" w:space="0" w:color="auto"/>
          </w:divBdr>
        </w:div>
      </w:divsChild>
    </w:div>
    <w:div w:id="1601572588">
      <w:bodyDiv w:val="1"/>
      <w:marLeft w:val="0"/>
      <w:marRight w:val="0"/>
      <w:marTop w:val="0"/>
      <w:marBottom w:val="0"/>
      <w:divBdr>
        <w:top w:val="none" w:sz="0" w:space="0" w:color="auto"/>
        <w:left w:val="none" w:sz="0" w:space="0" w:color="auto"/>
        <w:bottom w:val="none" w:sz="0" w:space="0" w:color="auto"/>
        <w:right w:val="none" w:sz="0" w:space="0" w:color="auto"/>
      </w:divBdr>
      <w:divsChild>
        <w:div w:id="315376237">
          <w:marLeft w:val="0"/>
          <w:marRight w:val="0"/>
          <w:marTop w:val="0"/>
          <w:marBottom w:val="0"/>
          <w:divBdr>
            <w:top w:val="none" w:sz="0" w:space="0" w:color="auto"/>
            <w:left w:val="none" w:sz="0" w:space="0" w:color="auto"/>
            <w:bottom w:val="none" w:sz="0" w:space="0" w:color="auto"/>
            <w:right w:val="none" w:sz="0" w:space="0" w:color="auto"/>
          </w:divBdr>
        </w:div>
      </w:divsChild>
    </w:div>
    <w:div w:id="1602756430">
      <w:bodyDiv w:val="1"/>
      <w:marLeft w:val="0"/>
      <w:marRight w:val="0"/>
      <w:marTop w:val="0"/>
      <w:marBottom w:val="0"/>
      <w:divBdr>
        <w:top w:val="none" w:sz="0" w:space="0" w:color="auto"/>
        <w:left w:val="none" w:sz="0" w:space="0" w:color="auto"/>
        <w:bottom w:val="none" w:sz="0" w:space="0" w:color="auto"/>
        <w:right w:val="none" w:sz="0" w:space="0" w:color="auto"/>
      </w:divBdr>
      <w:divsChild>
        <w:div w:id="919945880">
          <w:marLeft w:val="0"/>
          <w:marRight w:val="0"/>
          <w:marTop w:val="0"/>
          <w:marBottom w:val="0"/>
          <w:divBdr>
            <w:top w:val="none" w:sz="0" w:space="0" w:color="auto"/>
            <w:left w:val="none" w:sz="0" w:space="0" w:color="auto"/>
            <w:bottom w:val="none" w:sz="0" w:space="0" w:color="auto"/>
            <w:right w:val="none" w:sz="0" w:space="0" w:color="auto"/>
          </w:divBdr>
        </w:div>
      </w:divsChild>
    </w:div>
    <w:div w:id="1636636333">
      <w:bodyDiv w:val="1"/>
      <w:marLeft w:val="0"/>
      <w:marRight w:val="0"/>
      <w:marTop w:val="0"/>
      <w:marBottom w:val="0"/>
      <w:divBdr>
        <w:top w:val="none" w:sz="0" w:space="0" w:color="auto"/>
        <w:left w:val="none" w:sz="0" w:space="0" w:color="auto"/>
        <w:bottom w:val="none" w:sz="0" w:space="0" w:color="auto"/>
        <w:right w:val="none" w:sz="0" w:space="0" w:color="auto"/>
      </w:divBdr>
      <w:divsChild>
        <w:div w:id="498077446">
          <w:marLeft w:val="0"/>
          <w:marRight w:val="0"/>
          <w:marTop w:val="0"/>
          <w:marBottom w:val="0"/>
          <w:divBdr>
            <w:top w:val="none" w:sz="0" w:space="0" w:color="auto"/>
            <w:left w:val="none" w:sz="0" w:space="0" w:color="auto"/>
            <w:bottom w:val="none" w:sz="0" w:space="0" w:color="auto"/>
            <w:right w:val="none" w:sz="0" w:space="0" w:color="auto"/>
          </w:divBdr>
        </w:div>
      </w:divsChild>
    </w:div>
    <w:div w:id="1651400253">
      <w:bodyDiv w:val="1"/>
      <w:marLeft w:val="0"/>
      <w:marRight w:val="0"/>
      <w:marTop w:val="0"/>
      <w:marBottom w:val="0"/>
      <w:divBdr>
        <w:top w:val="none" w:sz="0" w:space="0" w:color="auto"/>
        <w:left w:val="none" w:sz="0" w:space="0" w:color="auto"/>
        <w:bottom w:val="none" w:sz="0" w:space="0" w:color="auto"/>
        <w:right w:val="none" w:sz="0" w:space="0" w:color="auto"/>
      </w:divBdr>
      <w:divsChild>
        <w:div w:id="852033578">
          <w:marLeft w:val="0"/>
          <w:marRight w:val="0"/>
          <w:marTop w:val="0"/>
          <w:marBottom w:val="0"/>
          <w:divBdr>
            <w:top w:val="none" w:sz="0" w:space="0" w:color="auto"/>
            <w:left w:val="none" w:sz="0" w:space="0" w:color="auto"/>
            <w:bottom w:val="none" w:sz="0" w:space="0" w:color="auto"/>
            <w:right w:val="none" w:sz="0" w:space="0" w:color="auto"/>
          </w:divBdr>
        </w:div>
      </w:divsChild>
    </w:div>
    <w:div w:id="1673752828">
      <w:bodyDiv w:val="1"/>
      <w:marLeft w:val="0"/>
      <w:marRight w:val="0"/>
      <w:marTop w:val="0"/>
      <w:marBottom w:val="0"/>
      <w:divBdr>
        <w:top w:val="none" w:sz="0" w:space="0" w:color="auto"/>
        <w:left w:val="none" w:sz="0" w:space="0" w:color="auto"/>
        <w:bottom w:val="none" w:sz="0" w:space="0" w:color="auto"/>
        <w:right w:val="none" w:sz="0" w:space="0" w:color="auto"/>
      </w:divBdr>
      <w:divsChild>
        <w:div w:id="1774667446">
          <w:marLeft w:val="0"/>
          <w:marRight w:val="0"/>
          <w:marTop w:val="0"/>
          <w:marBottom w:val="0"/>
          <w:divBdr>
            <w:top w:val="none" w:sz="0" w:space="0" w:color="auto"/>
            <w:left w:val="none" w:sz="0" w:space="0" w:color="auto"/>
            <w:bottom w:val="none" w:sz="0" w:space="0" w:color="auto"/>
            <w:right w:val="none" w:sz="0" w:space="0" w:color="auto"/>
          </w:divBdr>
        </w:div>
      </w:divsChild>
    </w:div>
    <w:div w:id="1734280258">
      <w:bodyDiv w:val="1"/>
      <w:marLeft w:val="0"/>
      <w:marRight w:val="0"/>
      <w:marTop w:val="0"/>
      <w:marBottom w:val="0"/>
      <w:divBdr>
        <w:top w:val="none" w:sz="0" w:space="0" w:color="auto"/>
        <w:left w:val="none" w:sz="0" w:space="0" w:color="auto"/>
        <w:bottom w:val="none" w:sz="0" w:space="0" w:color="auto"/>
        <w:right w:val="none" w:sz="0" w:space="0" w:color="auto"/>
      </w:divBdr>
      <w:divsChild>
        <w:div w:id="370811749">
          <w:marLeft w:val="0"/>
          <w:marRight w:val="0"/>
          <w:marTop w:val="0"/>
          <w:marBottom w:val="0"/>
          <w:divBdr>
            <w:top w:val="none" w:sz="0" w:space="0" w:color="auto"/>
            <w:left w:val="none" w:sz="0" w:space="0" w:color="auto"/>
            <w:bottom w:val="none" w:sz="0" w:space="0" w:color="auto"/>
            <w:right w:val="none" w:sz="0" w:space="0" w:color="auto"/>
          </w:divBdr>
        </w:div>
      </w:divsChild>
    </w:div>
    <w:div w:id="1738628871">
      <w:bodyDiv w:val="1"/>
      <w:marLeft w:val="0"/>
      <w:marRight w:val="0"/>
      <w:marTop w:val="0"/>
      <w:marBottom w:val="0"/>
      <w:divBdr>
        <w:top w:val="none" w:sz="0" w:space="0" w:color="auto"/>
        <w:left w:val="none" w:sz="0" w:space="0" w:color="auto"/>
        <w:bottom w:val="none" w:sz="0" w:space="0" w:color="auto"/>
        <w:right w:val="none" w:sz="0" w:space="0" w:color="auto"/>
      </w:divBdr>
    </w:div>
    <w:div w:id="1749764207">
      <w:bodyDiv w:val="1"/>
      <w:marLeft w:val="0"/>
      <w:marRight w:val="0"/>
      <w:marTop w:val="0"/>
      <w:marBottom w:val="0"/>
      <w:divBdr>
        <w:top w:val="none" w:sz="0" w:space="0" w:color="auto"/>
        <w:left w:val="none" w:sz="0" w:space="0" w:color="auto"/>
        <w:bottom w:val="none" w:sz="0" w:space="0" w:color="auto"/>
        <w:right w:val="none" w:sz="0" w:space="0" w:color="auto"/>
      </w:divBdr>
      <w:divsChild>
        <w:div w:id="603809652">
          <w:marLeft w:val="0"/>
          <w:marRight w:val="0"/>
          <w:marTop w:val="0"/>
          <w:marBottom w:val="0"/>
          <w:divBdr>
            <w:top w:val="none" w:sz="0" w:space="0" w:color="auto"/>
            <w:left w:val="none" w:sz="0" w:space="0" w:color="auto"/>
            <w:bottom w:val="none" w:sz="0" w:space="0" w:color="auto"/>
            <w:right w:val="none" w:sz="0" w:space="0" w:color="auto"/>
          </w:divBdr>
        </w:div>
      </w:divsChild>
    </w:div>
    <w:div w:id="1809518403">
      <w:bodyDiv w:val="1"/>
      <w:marLeft w:val="0"/>
      <w:marRight w:val="0"/>
      <w:marTop w:val="0"/>
      <w:marBottom w:val="0"/>
      <w:divBdr>
        <w:top w:val="none" w:sz="0" w:space="0" w:color="auto"/>
        <w:left w:val="none" w:sz="0" w:space="0" w:color="auto"/>
        <w:bottom w:val="none" w:sz="0" w:space="0" w:color="auto"/>
        <w:right w:val="none" w:sz="0" w:space="0" w:color="auto"/>
      </w:divBdr>
    </w:div>
    <w:div w:id="1811291204">
      <w:bodyDiv w:val="1"/>
      <w:marLeft w:val="0"/>
      <w:marRight w:val="0"/>
      <w:marTop w:val="0"/>
      <w:marBottom w:val="0"/>
      <w:divBdr>
        <w:top w:val="none" w:sz="0" w:space="0" w:color="auto"/>
        <w:left w:val="none" w:sz="0" w:space="0" w:color="auto"/>
        <w:bottom w:val="none" w:sz="0" w:space="0" w:color="auto"/>
        <w:right w:val="none" w:sz="0" w:space="0" w:color="auto"/>
      </w:divBdr>
      <w:divsChild>
        <w:div w:id="1941990343">
          <w:marLeft w:val="0"/>
          <w:marRight w:val="0"/>
          <w:marTop w:val="0"/>
          <w:marBottom w:val="0"/>
          <w:divBdr>
            <w:top w:val="none" w:sz="0" w:space="0" w:color="auto"/>
            <w:left w:val="none" w:sz="0" w:space="0" w:color="auto"/>
            <w:bottom w:val="none" w:sz="0" w:space="0" w:color="auto"/>
            <w:right w:val="none" w:sz="0" w:space="0" w:color="auto"/>
          </w:divBdr>
        </w:div>
      </w:divsChild>
    </w:div>
    <w:div w:id="1848443169">
      <w:bodyDiv w:val="1"/>
      <w:marLeft w:val="0"/>
      <w:marRight w:val="0"/>
      <w:marTop w:val="0"/>
      <w:marBottom w:val="0"/>
      <w:divBdr>
        <w:top w:val="none" w:sz="0" w:space="0" w:color="auto"/>
        <w:left w:val="none" w:sz="0" w:space="0" w:color="auto"/>
        <w:bottom w:val="none" w:sz="0" w:space="0" w:color="auto"/>
        <w:right w:val="none" w:sz="0" w:space="0" w:color="auto"/>
      </w:divBdr>
    </w:div>
    <w:div w:id="1851214660">
      <w:bodyDiv w:val="1"/>
      <w:marLeft w:val="0"/>
      <w:marRight w:val="0"/>
      <w:marTop w:val="0"/>
      <w:marBottom w:val="0"/>
      <w:divBdr>
        <w:top w:val="none" w:sz="0" w:space="0" w:color="auto"/>
        <w:left w:val="none" w:sz="0" w:space="0" w:color="auto"/>
        <w:bottom w:val="none" w:sz="0" w:space="0" w:color="auto"/>
        <w:right w:val="none" w:sz="0" w:space="0" w:color="auto"/>
      </w:divBdr>
    </w:div>
    <w:div w:id="1855461241">
      <w:bodyDiv w:val="1"/>
      <w:marLeft w:val="0"/>
      <w:marRight w:val="0"/>
      <w:marTop w:val="0"/>
      <w:marBottom w:val="0"/>
      <w:divBdr>
        <w:top w:val="none" w:sz="0" w:space="0" w:color="auto"/>
        <w:left w:val="none" w:sz="0" w:space="0" w:color="auto"/>
        <w:bottom w:val="none" w:sz="0" w:space="0" w:color="auto"/>
        <w:right w:val="none" w:sz="0" w:space="0" w:color="auto"/>
      </w:divBdr>
    </w:div>
    <w:div w:id="1911453711">
      <w:bodyDiv w:val="1"/>
      <w:marLeft w:val="0"/>
      <w:marRight w:val="0"/>
      <w:marTop w:val="0"/>
      <w:marBottom w:val="0"/>
      <w:divBdr>
        <w:top w:val="none" w:sz="0" w:space="0" w:color="auto"/>
        <w:left w:val="none" w:sz="0" w:space="0" w:color="auto"/>
        <w:bottom w:val="none" w:sz="0" w:space="0" w:color="auto"/>
        <w:right w:val="none" w:sz="0" w:space="0" w:color="auto"/>
      </w:divBdr>
      <w:divsChild>
        <w:div w:id="1239175640">
          <w:marLeft w:val="0"/>
          <w:marRight w:val="0"/>
          <w:marTop w:val="0"/>
          <w:marBottom w:val="0"/>
          <w:divBdr>
            <w:top w:val="none" w:sz="0" w:space="0" w:color="auto"/>
            <w:left w:val="none" w:sz="0" w:space="0" w:color="auto"/>
            <w:bottom w:val="none" w:sz="0" w:space="0" w:color="auto"/>
            <w:right w:val="none" w:sz="0" w:space="0" w:color="auto"/>
          </w:divBdr>
        </w:div>
      </w:divsChild>
    </w:div>
    <w:div w:id="1967663342">
      <w:bodyDiv w:val="1"/>
      <w:marLeft w:val="0"/>
      <w:marRight w:val="0"/>
      <w:marTop w:val="0"/>
      <w:marBottom w:val="0"/>
      <w:divBdr>
        <w:top w:val="none" w:sz="0" w:space="0" w:color="auto"/>
        <w:left w:val="none" w:sz="0" w:space="0" w:color="auto"/>
        <w:bottom w:val="none" w:sz="0" w:space="0" w:color="auto"/>
        <w:right w:val="none" w:sz="0" w:space="0" w:color="auto"/>
      </w:divBdr>
      <w:divsChild>
        <w:div w:id="1756239840">
          <w:marLeft w:val="0"/>
          <w:marRight w:val="0"/>
          <w:marTop w:val="0"/>
          <w:marBottom w:val="0"/>
          <w:divBdr>
            <w:top w:val="none" w:sz="0" w:space="0" w:color="auto"/>
            <w:left w:val="none" w:sz="0" w:space="0" w:color="auto"/>
            <w:bottom w:val="none" w:sz="0" w:space="0" w:color="auto"/>
            <w:right w:val="none" w:sz="0" w:space="0" w:color="auto"/>
          </w:divBdr>
        </w:div>
      </w:divsChild>
    </w:div>
    <w:div w:id="1979264280">
      <w:bodyDiv w:val="1"/>
      <w:marLeft w:val="0"/>
      <w:marRight w:val="0"/>
      <w:marTop w:val="0"/>
      <w:marBottom w:val="0"/>
      <w:divBdr>
        <w:top w:val="none" w:sz="0" w:space="0" w:color="auto"/>
        <w:left w:val="none" w:sz="0" w:space="0" w:color="auto"/>
        <w:bottom w:val="none" w:sz="0" w:space="0" w:color="auto"/>
        <w:right w:val="none" w:sz="0" w:space="0" w:color="auto"/>
      </w:divBdr>
    </w:div>
    <w:div w:id="2016878539">
      <w:bodyDiv w:val="1"/>
      <w:marLeft w:val="0"/>
      <w:marRight w:val="0"/>
      <w:marTop w:val="0"/>
      <w:marBottom w:val="0"/>
      <w:divBdr>
        <w:top w:val="none" w:sz="0" w:space="0" w:color="auto"/>
        <w:left w:val="none" w:sz="0" w:space="0" w:color="auto"/>
        <w:bottom w:val="none" w:sz="0" w:space="0" w:color="auto"/>
        <w:right w:val="none" w:sz="0" w:space="0" w:color="auto"/>
      </w:divBdr>
      <w:divsChild>
        <w:div w:id="1608854584">
          <w:marLeft w:val="0"/>
          <w:marRight w:val="0"/>
          <w:marTop w:val="0"/>
          <w:marBottom w:val="0"/>
          <w:divBdr>
            <w:top w:val="none" w:sz="0" w:space="0" w:color="auto"/>
            <w:left w:val="none" w:sz="0" w:space="0" w:color="auto"/>
            <w:bottom w:val="none" w:sz="0" w:space="0" w:color="auto"/>
            <w:right w:val="none" w:sz="0" w:space="0" w:color="auto"/>
          </w:divBdr>
        </w:div>
      </w:divsChild>
    </w:div>
    <w:div w:id="2038848688">
      <w:bodyDiv w:val="1"/>
      <w:marLeft w:val="0"/>
      <w:marRight w:val="0"/>
      <w:marTop w:val="0"/>
      <w:marBottom w:val="0"/>
      <w:divBdr>
        <w:top w:val="none" w:sz="0" w:space="0" w:color="auto"/>
        <w:left w:val="none" w:sz="0" w:space="0" w:color="auto"/>
        <w:bottom w:val="none" w:sz="0" w:space="0" w:color="auto"/>
        <w:right w:val="none" w:sz="0" w:space="0" w:color="auto"/>
      </w:divBdr>
      <w:divsChild>
        <w:div w:id="155414589">
          <w:marLeft w:val="0"/>
          <w:marRight w:val="0"/>
          <w:marTop w:val="0"/>
          <w:marBottom w:val="0"/>
          <w:divBdr>
            <w:top w:val="none" w:sz="0" w:space="0" w:color="auto"/>
            <w:left w:val="none" w:sz="0" w:space="0" w:color="auto"/>
            <w:bottom w:val="none" w:sz="0" w:space="0" w:color="auto"/>
            <w:right w:val="none" w:sz="0" w:space="0" w:color="auto"/>
          </w:divBdr>
        </w:div>
      </w:divsChild>
    </w:div>
    <w:div w:id="2115051067">
      <w:bodyDiv w:val="1"/>
      <w:marLeft w:val="0"/>
      <w:marRight w:val="0"/>
      <w:marTop w:val="0"/>
      <w:marBottom w:val="0"/>
      <w:divBdr>
        <w:top w:val="none" w:sz="0" w:space="0" w:color="auto"/>
        <w:left w:val="none" w:sz="0" w:space="0" w:color="auto"/>
        <w:bottom w:val="none" w:sz="0" w:space="0" w:color="auto"/>
        <w:right w:val="none" w:sz="0" w:space="0" w:color="auto"/>
      </w:divBdr>
      <w:divsChild>
        <w:div w:id="215511898">
          <w:marLeft w:val="0"/>
          <w:marRight w:val="0"/>
          <w:marTop w:val="0"/>
          <w:marBottom w:val="0"/>
          <w:divBdr>
            <w:top w:val="none" w:sz="0" w:space="0" w:color="auto"/>
            <w:left w:val="none" w:sz="0" w:space="0" w:color="auto"/>
            <w:bottom w:val="none" w:sz="0" w:space="0" w:color="auto"/>
            <w:right w:val="none" w:sz="0" w:space="0" w:color="auto"/>
          </w:divBdr>
        </w:div>
      </w:divsChild>
    </w:div>
    <w:div w:id="2119059089">
      <w:bodyDiv w:val="1"/>
      <w:marLeft w:val="0"/>
      <w:marRight w:val="0"/>
      <w:marTop w:val="0"/>
      <w:marBottom w:val="0"/>
      <w:divBdr>
        <w:top w:val="none" w:sz="0" w:space="0" w:color="auto"/>
        <w:left w:val="none" w:sz="0" w:space="0" w:color="auto"/>
        <w:bottom w:val="none" w:sz="0" w:space="0" w:color="auto"/>
        <w:right w:val="none" w:sz="0" w:space="0" w:color="auto"/>
      </w:divBdr>
    </w:div>
    <w:div w:id="2122992627">
      <w:bodyDiv w:val="1"/>
      <w:marLeft w:val="0"/>
      <w:marRight w:val="0"/>
      <w:marTop w:val="0"/>
      <w:marBottom w:val="0"/>
      <w:divBdr>
        <w:top w:val="none" w:sz="0" w:space="0" w:color="auto"/>
        <w:left w:val="none" w:sz="0" w:space="0" w:color="auto"/>
        <w:bottom w:val="none" w:sz="0" w:space="0" w:color="auto"/>
        <w:right w:val="none" w:sz="0" w:space="0" w:color="auto"/>
      </w:divBdr>
      <w:divsChild>
        <w:div w:id="592708334">
          <w:marLeft w:val="0"/>
          <w:marRight w:val="0"/>
          <w:marTop w:val="0"/>
          <w:marBottom w:val="0"/>
          <w:divBdr>
            <w:top w:val="none" w:sz="0" w:space="0" w:color="auto"/>
            <w:left w:val="none" w:sz="0" w:space="0" w:color="auto"/>
            <w:bottom w:val="none" w:sz="0" w:space="0" w:color="auto"/>
            <w:right w:val="none" w:sz="0" w:space="0" w:color="auto"/>
          </w:divBdr>
        </w:div>
      </w:divsChild>
    </w:div>
    <w:div w:id="2137142098">
      <w:bodyDiv w:val="1"/>
      <w:marLeft w:val="0"/>
      <w:marRight w:val="0"/>
      <w:marTop w:val="0"/>
      <w:marBottom w:val="0"/>
      <w:divBdr>
        <w:top w:val="none" w:sz="0" w:space="0" w:color="auto"/>
        <w:left w:val="none" w:sz="0" w:space="0" w:color="auto"/>
        <w:bottom w:val="none" w:sz="0" w:space="0" w:color="auto"/>
        <w:right w:val="none" w:sz="0" w:space="0" w:color="auto"/>
      </w:divBdr>
    </w:div>
    <w:div w:id="2143647861">
      <w:bodyDiv w:val="1"/>
      <w:marLeft w:val="0"/>
      <w:marRight w:val="0"/>
      <w:marTop w:val="0"/>
      <w:marBottom w:val="0"/>
      <w:divBdr>
        <w:top w:val="none" w:sz="0" w:space="0" w:color="auto"/>
        <w:left w:val="none" w:sz="0" w:space="0" w:color="auto"/>
        <w:bottom w:val="none" w:sz="0" w:space="0" w:color="auto"/>
        <w:right w:val="none" w:sz="0" w:space="0" w:color="auto"/>
      </w:divBdr>
      <w:divsChild>
        <w:div w:id="1355500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link.springer.com/content/pdf/10.1186/s12889-024-20765-6.pdf" TargetMode="External" Id="rId42" /><Relationship Type="http://schemas.openxmlformats.org/officeDocument/2006/relationships/header" Target="header1.xml" Id="rId68" /><Relationship Type="http://schemas.openxmlformats.org/officeDocument/2006/relationships/settings" Target="settings.xml" Id="rId7" /><Relationship Type="http://schemas.openxmlformats.org/officeDocument/2006/relationships/theme" Target="theme/theme1.xml" Id="rId71" /><Relationship Type="http://schemas.openxmlformats.org/officeDocument/2006/relationships/customXml" Target="../customXml/item2.xml" Id="rId2"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iclg.com/practice-areas/gambling-laws-and-regulations/macau" TargetMode="External" Id="rId43" /><Relationship Type="http://schemas.openxmlformats.org/officeDocument/2006/relationships/footer" Target="footer1.xml" Id="rId69"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https://watermark02.silverchair.com/436608639.pdf?token=AQECAHi208BE49Ooan9kkhW_Ercy7Dm3ZL_9Cf3qfKAc485ysgAAA10wggNZBgkqhkiG9w0BBwagggNKMIIDRgIBADCCAz8GCSqGSIb3DQEHATAeBglghkgBZQMEAS4wEQQM1wGWxZ869MhB23x0AgEQgIIDEJfKQrGW3LnHMSgjW3WUVvKO-cuAikkBBv9JnTcwwbgoWF-_jW9LS5bA8cx3fQbSW54KkbhbsOWHIoZVHygifHmo3e3VCEIzjollwVF62nKytVNGEpMdbIcnJYagFwxWaSv4f7lAyg087DqYV6L3j3_LNgW_Psy70-tYKbpkzvkLsfRZBsDBHoFYEhUwgdwzVzkXh5OlwhCzVcWYmj0pyDA8moa_2VnFda2-X48AWOb_Qx1lgzi4XScE3nmuCQ0eKWCruz2CtdU1dDmkRQLZn5iGxUkdCP8Rx6sZA3rjwxymnNtOIYgatU9nUosD9AU6JWwoHo6h3-7bNkridia05pjX9Jlp33Kvhs0eLIHOl88KbkKxJ4zC4bcu4YKNW-nOQGcMn3-A3zBNGQv464wDrPh5WxrkdVgsu-hGu1FEU5gIb8VJzRK5Oor-0zbgCgd7BeQJLfkQO-1xzZKlaWjzrQK6_vR9xvF9moJWRvxwAgL9CVO8f1bk63I-kAU6VwUfHM4VuVvEXu9UfFwuhzbw0MgD8XjxwqwOZH3bH20364dx2xToiOZZWCiUA_gumKMa14WdOvv7WojPGoit7otbOec9Zm_dZiWYH-Ldplh2fquHmAGclrb5Yr43pIF_qJCyw-BPUwHa3DGLQ2ZWhIxTXIdami3u3s-Lp76gotEgl3vjfdKdHKHnvuK11SV-DbzCuxrHU3ct96mPO2VaTL-iHwN8T6zD9VL67q6lkB3_DSRLgC41_2mVCsPL25iswmz98gC72mrEUhx52vJGGEBcBT8ao2zsBADMbWKwIaUR1BAi7qmZfSRyiUP-n8kfqtO0Z-_5CYc1k0Z3BMUgUzmW8A9KW1FmNwbALo-RADQRmU4f2gSgK6KhTIzftPpSl6xDrTr0XbfcDAXjYHpC0hvNVqb-M3P8oop2hgJ047Hj7QgzhJb1I8kEvZSNjYBrDX_9eUFU1AfSth3CPLHFcYJqsmCcm0HkOrkaOaj3YcngUXLNFIUDGaOhxqYoBl-vgIzncmTme_vVtUWnNgVBwwVd1AA" TargetMode="External" Id="rId67" /><Relationship Type="http://schemas.openxmlformats.org/officeDocument/2006/relationships/hyperlink" Target="https://tobaccocontrol.bmj.com/content/tobaccocontrol/early/2024/10/17/tc-2024-058697.full.pdf" TargetMode="External" Id="rId41" /><Relationship Type="http://schemas.openxmlformats.org/officeDocument/2006/relationships/fontTable" Target="fontTable.xml" Id="rId7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endnotes" Target="endnotes.xml" Id="rId10" /><Relationship Type="http://schemas.openxmlformats.org/officeDocument/2006/relationships/hyperlink" Target="https://www.state.gov/wp-content/uploads/2025/09/638719_2025-Macau-Investment-Climate-Statement.pdf" TargetMode="Externa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cu.edu/ethics/focus-areas/business-ethics/resources/what-is-business-ethics/" TargetMode="External" Id="R93c8a10ba8e5449a" /><Relationship Type="http://schemas.openxmlformats.org/officeDocument/2006/relationships/hyperlink" Target="https://www.verywellmind.com/hofstedes-cultural-dimensions-8583990" TargetMode="External" Id="Rb5a65255ed034700" /><Relationship Type="http://schemas.openxmlformats.org/officeDocument/2006/relationships/hyperlink" Target="https://www.ebsco.com/research-starters/business-and-management/hofstedes-cultural-dimensions-theory" TargetMode="External" Id="R68c7367c6949405d" /><Relationship Type="http://schemas.openxmlformats.org/officeDocument/2006/relationships/hyperlink" Target="https://www.simplypsychology.org/hofstedes-cultural-dimensions-theory.html" TargetMode="External" Id="R68d9d3b7ba92427d" /><Relationship Type="http://schemas.openxmlformats.org/officeDocument/2006/relationships/hyperlink" Target="https://global.chinadaily.com.cn/a/202307/18/WS64b638c1a31035260b8170fa.html" TargetMode="External" Id="R738afa2490004b93" /><Relationship Type="http://schemas.openxmlformats.org/officeDocument/2006/relationships/hyperlink" Target="https://mlpp.pressbooks.pub/interculturalcommunicationcompetence/chapter/appendix-b-critique-of-hofsteds-theory/" TargetMode="External" Id="R3e1d0d60de90486c" /><Relationship Type="http://schemas.openxmlformats.org/officeDocument/2006/relationships/hyperlink" Target="https://journals.sagepub.com/doi/pdf/10.1177/10591478241265481" TargetMode="External" Id="R70f97781ad8149cb" /><Relationship Type="http://schemas.openxmlformats.org/officeDocument/2006/relationships/hyperlink" Target="https://www.ebsco.com/research-starters/business-and-management/hofstedes-cultural-dimensions-theory" TargetMode="External" Id="R5ce3bd0c33ed4892" /><Relationship Type="http://schemas.openxmlformats.org/officeDocument/2006/relationships/hyperlink" Target="https://www.investopedia.com/terms/g/guanxi.asp" TargetMode="External" Id="Re8b7f9827eaa4b41" /><Relationship Type="http://schemas.openxmlformats.org/officeDocument/2006/relationships/hyperlink" Target="https://www-jstor-org.ezproxy.uwtsd.ac.uk/stable/41476208?sid=primo&amp;seq=2" TargetMode="External" Id="R0d1fd6c8bfa84600" /><Relationship Type="http://schemas.openxmlformats.org/officeDocument/2006/relationships/hyperlink" Target="https://www.britannica.com/money/keiretsu" TargetMode="External" Id="R40e38f755341447c" /><Relationship Type="http://schemas.openxmlformats.org/officeDocument/2006/relationships/hyperlink" Target="https://www.investopedia.com/articles/economics/09/japanese-keiretsu.asp" TargetMode="External" Id="Rbae436775b8d4184" /><Relationship Type="http://schemas.openxmlformats.org/officeDocument/2006/relationships/hyperlink" Target="https://www.languageconnections.com/blog/jp-morgan-guanxi-corruption/" TargetMode="External" Id="Reb2b133543794876" /><Relationship Type="http://schemas.openxmlformats.org/officeDocument/2006/relationships/hyperlink" Target="https://www-jstor-org.ezproxy.uwtsd.ac.uk/stable/41476208?sid=primo&amp;seq=1" TargetMode="External" Id="R81a9c3ce300c45f6" /><Relationship Type="http://schemas.openxmlformats.org/officeDocument/2006/relationships/hyperlink" Target="https://www.oecd.org/content/dam/oecd/en/publications/reports/2023/06/oecd-guidelines-for-multinational-enterprises-on-responsible-business-conduct_a0b49990/81f92357-en.pdf" TargetMode="External" Id="Re2605a9416994b0e" /><Relationship Type="http://schemas.openxmlformats.org/officeDocument/2006/relationships/hyperlink" Target="https://www.bundeswirtschaftsministerium.de/Redaktion/EN/Downloads/M-O/oecd-guidelines-for-multinational-enterprises-on-responsible-business-conduct-2023.pdf?__blob=publicationFile&amp;v=2" TargetMode="External" Id="Re40865fbc6e74a95" /><Relationship Type="http://schemas.openxmlformats.org/officeDocument/2006/relationships/hyperlink" Target="https://commission.europa.eu/business-economy-euro/doing-business-eu/sustainability-due-diligence-responsible-business/corporate-sustainability-due-diligence_en" TargetMode="External" Id="R5c19ae1ae0a040fa" /><Relationship Type="http://schemas.openxmlformats.org/officeDocument/2006/relationships/hyperlink" Target="https://www.ropesgray.com/en/people/l/michael-littenberg" TargetMode="External" Id="R7ec84f37f72d412c" /><Relationship Type="http://schemas.openxmlformats.org/officeDocument/2006/relationships/hyperlink" Target="https://www.ropesgray.com/en/people/r/marc-rotter" TargetMode="External" Id="Rc4df480d66d8453d" /><Relationship Type="http://schemas.openxmlformats.org/officeDocument/2006/relationships/hyperlink" Target="https://www.ropesgray.com/en/people/e/samantha-elliott" TargetMode="External" Id="R85b2015cec5a4f10" /><Relationship Type="http://schemas.openxmlformats.org/officeDocument/2006/relationships/hyperlink" Target="https://www.ropesgray.com/en/people/m/kelley-murphy" TargetMode="External" Id="R81e6c5ec9b564fda" /><Relationship Type="http://schemas.openxmlformats.org/officeDocument/2006/relationships/hyperlink" Target="https://www.ropesgray.com/en/people/w/peter-witschi" TargetMode="External" Id="Ra93f6a54beb24581" /><Relationship Type="http://schemas.openxmlformats.org/officeDocument/2006/relationships/hyperlink" Target="https://www.ropesgray.com/en/insights/viewpoints/102lx77/political-agreement-on-the-csrd-csddd-omnibus-reached-15-key-details-to-know" TargetMode="External" Id="R22170805e5a249ca" /><Relationship Type="http://schemas.openxmlformats.org/officeDocument/2006/relationships/hyperlink" Target="https://www.gov.uk/government/collections/less-healthy-food-or-drink-advertising-and-promotions-restrictions" TargetMode="External" Id="Rb0d68e9919754fa5" /><Relationship Type="http://schemas.openxmlformats.org/officeDocument/2006/relationships/hyperlink" Target="https://www.freeths.co.uk/insights-events/legal-articles/2025/new-asa-clarifications-on-advertising-restrictions-for-less-healthy-foods/" TargetMode="External" Id="R72b5646822674e93" /><Relationship Type="http://schemas.openxmlformats.org/officeDocument/2006/relationships/hyperlink" Target="https://www.legislation.gov.uk/uksi/2025/641/pdfs/uksiem_20250641_en_001.pdf" TargetMode="External" Id="Rcb85749b62c84f82" /><Relationship Type="http://schemas.openxmlformats.org/officeDocument/2006/relationships/hyperlink" Target="https://www.consilium.europa.eu/en/press/press-releases/2025/12/09/council-and-parliament-strike-a-deal-to-simplify-sustainability-reporting-and-due-diligence-requirements-and-boost-eu-competitiveness/" TargetMode="External" Id="R07a2b03898e7497c" /><Relationship Type="http://schemas.openxmlformats.org/officeDocument/2006/relationships/hyperlink" Target="https://www.esgdive.com/news/european-parliament-council-reach-agreement-simplify-scope-csrd-csddd-omnibus-eu/807430/" TargetMode="External" Id="Rfe712bc538b64a80" /><Relationship Type="http://schemas.openxmlformats.org/officeDocument/2006/relationships/hyperlink" Target="https://www.consilium.europa.eu/hr/press/press-releases/2025/12/09/council-and-parliament-strike-a-deal-to-simplify-sustainability-reporting-and-due-diligence-requirements-and-boost-eu-competitiveness/" TargetMode="External" Id="R813328193a664da5" /><Relationship Type="http://schemas.openxmlformats.org/officeDocument/2006/relationships/hyperlink" Target="https://www.gov.uk/government/publications/restricting-promotions-of-products-high-in-fat-sugar-or-salt-by-location-and-by-volume-price/restricting-promotions-of-products-high-in-fat-sugar-or-salt-by-location-and-by-volume-price-implementation-guidance" TargetMode="External" Id="R1c1d180e59994992" /><Relationship Type="http://schemas.openxmlformats.org/officeDocument/2006/relationships/hyperlink" Target="https://evidence.nihr.ac.uk/alert/advertising-ban-was-linked-to-lower-purchases-of-unhealthy-food-and-drink/" TargetMode="External" Id="R194fbfac21ca4075" /><Relationship Type="http://schemas.openxmlformats.org/officeDocument/2006/relationships/hyperlink" Target="https://www.gov.uk/government/news/junk-food-ad-ban-legislation-progresses-to-curb-childhood-obesity" TargetMode="External" Id="R25b88be039e84c23" /><Relationship Type="http://schemas.openxmlformats.org/officeDocument/2006/relationships/hyperlink" Target="https://www.sustainweb.org/news/may25-tv-online-advertising-restrictions-delayed/" TargetMode="External" Id="R852328a0f56340f1" /><Relationship Type="http://schemas.openxmlformats.org/officeDocument/2006/relationships/hyperlink" Target="https://www.diplomatie.gouv.fr/IMG/pdf/law_on_the_duty_of_vigilance_cle8b1211.pdf" TargetMode="External" Id="R543fd73047954cd6" /><Relationship Type="http://schemas.openxmlformats.org/officeDocument/2006/relationships/hyperlink" Target="https://www.bmas.de/EN/Europe-and-the-World/International/Supply-Chain-Act/supply-chain-act.html" TargetMode="External" Id="R65e8289c1c404f98" /><Relationship Type="http://schemas.openxmlformats.org/officeDocument/2006/relationships/hyperlink" Target="https://www.ebsco.com/research-starters/business-and-management/hofstedes-cultural-dimensions-theory" TargetMode="External" Id="R3ea03129b4454f18" /><Relationship Type="http://schemas.openxmlformats.org/officeDocument/2006/relationships/hyperlink" Target="https://www.simplypsychology.org/hofstedes-cultural-dimensions-theory.html" TargetMode="External" Id="R29a7b3c5d42f4b99" /><Relationship Type="http://schemas.openxmlformats.org/officeDocument/2006/relationships/hyperlink" Target="https://www.verywellmind.com/hofstedes-cultural-dimensions-8583990" TargetMode="External" Id="Rcc6c271b09714e34" /><Relationship Type="http://schemas.openxmlformats.org/officeDocument/2006/relationships/hyperlink" Target="https://www.britannica.com/money/keiretsu" TargetMode="External" Id="R3ebf86a2ab2d4954" /><Relationship Type="http://schemas.openxmlformats.org/officeDocument/2006/relationships/hyperlink" Target="https://www.investopedia.com/articles/economics/09/japanese-keiretsu.asp" TargetMode="External" Id="R8c71964a5a934304" /><Relationship Type="http://schemas.openxmlformats.org/officeDocument/2006/relationships/hyperlink" Target="https://www.oecd.org/content/dam/oecd/en/publications/reports/2023/06/oecd-guidelines-for-multinational-enterprises-on-responsible-business-conduct_a0b49990/81f92357-en.pdf" TargetMode="External" Id="R8c0dacc35d2a4826" /><Relationship Type="http://schemas.openxmlformats.org/officeDocument/2006/relationships/hyperlink" Target="https://commission.europa.eu/business-economy-euro/doing-business-eu/sustainability-due-diligence-responsible-business/corporate-sustainability-due-diligence_en" TargetMode="External" Id="R5ed29dfee4ac4b4c" /><Relationship Type="http://schemas.openxmlformats.org/officeDocument/2006/relationships/hyperlink" Target="https://www.ropesgray.com/en/insights/viewpoints/102lx77/political-agreement-on-the-csrd-csddd-omnibus-reached-15-key-details-to-know" TargetMode="External" Id="Rb1332e2c29f646f1" /><Relationship Type="http://schemas.openxmlformats.org/officeDocument/2006/relationships/hyperlink" Target="https://www.gov.uk/government/collections/less-healthy-food-or-drink-advertising-and-promotions-restrictions" TargetMode="External" Id="R90d5ffc949584848" /><Relationship Type="http://schemas.openxmlformats.org/officeDocument/2006/relationships/hyperlink" Target="https://www.legislation.gov.uk/uksi/2025/641/pdfs/uksiem_20250641_en_001.pdf" TargetMode="External" Id="Rf148bee3407e449c" /><Relationship Type="http://schemas.openxmlformats.org/officeDocument/2006/relationships/hyperlink" Target="https://www.freeths.co.uk/insights-events/legal-articles/2025/new-asa-clarifications-on-advertising-restrictions-for-less-healthy-foods/" TargetMode="External" Id="Rcdc222d9991b4ecd" /><Relationship Type="http://schemas.openxmlformats.org/officeDocument/2006/relationships/hyperlink" Target="https://www.consilium.europa.eu/en/press/press-releases/2025/12/09/council-and-parliament-strike-a-deal-to-simplify-sustainability-reporting-and-due-diligence-requirements-and-boost-eu-competitiveness/" TargetMode="External" Id="R34025f8ff48f44d1" /><Relationship Type="http://schemas.openxmlformats.org/officeDocument/2006/relationships/hyperlink" Target="https://www.gov.uk/government/news/junk-food-ad-ban-legislation-progresses-to-curb-childhood-obesity" TargetMode="External" Id="R7506da0bdab44d45" /><Relationship Type="http://schemas.openxmlformats.org/officeDocument/2006/relationships/hyperlink" Target="https://www.sustainweb.org/news/may25-tv-online-advertising-restrictions-delayed/" TargetMode="External" Id="Rea95b2d10a3c47e4" /><Relationship Type="http://schemas.openxmlformats.org/officeDocument/2006/relationships/hyperlink" Target="https://www.scu.edu/ethics/focus-areas/business-ethics/resources/what-is-business-ethics/" TargetMode="External" Id="Rd0400a72ad4b43f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b811a52-1ccf-4c5c-ad40-34ae811d195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2D019B27792E448AD7A75348557AC6F" ma:contentTypeVersion="18" ma:contentTypeDescription="Create a new document." ma:contentTypeScope="" ma:versionID="7b7e33af72515456e07d58238e59f1b1">
  <xsd:schema xmlns:xsd="http://www.w3.org/2001/XMLSchema" xmlns:xs="http://www.w3.org/2001/XMLSchema" xmlns:p="http://schemas.microsoft.com/office/2006/metadata/properties" xmlns:ns3="9b811a52-1ccf-4c5c-ad40-34ae811d1956" xmlns:ns4="7dc4a77c-70c9-40e7-a2b6-422e24bfc9bc" targetNamespace="http://schemas.microsoft.com/office/2006/metadata/properties" ma:root="true" ma:fieldsID="df978d65e3d34d0202fb9347c22f643e" ns3:_="" ns4:_="">
    <xsd:import namespace="9b811a52-1ccf-4c5c-ad40-34ae811d1956"/>
    <xsd:import namespace="7dc4a77c-70c9-40e7-a2b6-422e24bfc9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11a52-1ccf-4c5c-ad40-34ae811d1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c4a77c-70c9-40e7-a2b6-422e24bfc9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863824-1E47-4F36-AAEB-47AE24AA9FDC}">
  <ds:schemaRefs>
    <ds:schemaRef ds:uri="http://schemas.microsoft.com/office/2006/metadata/properties"/>
    <ds:schemaRef ds:uri="http://schemas.microsoft.com/office/infopath/2007/PartnerControls"/>
    <ds:schemaRef ds:uri="9b811a52-1ccf-4c5c-ad40-34ae811d1956"/>
  </ds:schemaRefs>
</ds:datastoreItem>
</file>

<file path=customXml/itemProps2.xml><?xml version="1.0" encoding="utf-8"?>
<ds:datastoreItem xmlns:ds="http://schemas.openxmlformats.org/officeDocument/2006/customXml" ds:itemID="{1E2D9613-48C7-4D94-96FB-2B120E208663}">
  <ds:schemaRefs>
    <ds:schemaRef ds:uri="http://schemas.openxmlformats.org/officeDocument/2006/bibliography"/>
  </ds:schemaRefs>
</ds:datastoreItem>
</file>

<file path=customXml/itemProps3.xml><?xml version="1.0" encoding="utf-8"?>
<ds:datastoreItem xmlns:ds="http://schemas.openxmlformats.org/officeDocument/2006/customXml" ds:itemID="{3F339790-C2A8-43A3-ACA1-7E8FB5E32A34}">
  <ds:schemaRefs>
    <ds:schemaRef ds:uri="http://schemas.microsoft.com/sharepoint/v3/contenttype/forms"/>
  </ds:schemaRefs>
</ds:datastoreItem>
</file>

<file path=customXml/itemProps4.xml><?xml version="1.0" encoding="utf-8"?>
<ds:datastoreItem xmlns:ds="http://schemas.openxmlformats.org/officeDocument/2006/customXml" ds:itemID="{AC62966A-8474-4A44-BD70-64E2B5A72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11a52-1ccf-4c5c-ad40-34ae811d1956"/>
    <ds:schemaRef ds:uri="7dc4a77c-70c9-40e7-a2b6-422e24bfc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ABMU LHB</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Smith (2412596)</dc:creator>
  <keywords/>
  <dc:description/>
  <lastModifiedBy>Anna Smith (2412596)</lastModifiedBy>
  <revision>6</revision>
  <dcterms:created xsi:type="dcterms:W3CDTF">2025-12-11T15:07:00.0000000Z</dcterms:created>
  <dcterms:modified xsi:type="dcterms:W3CDTF">2025-12-12T09:41:53.2107340Z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0x01010062D019B27792E448AD7A75348557AC6F</vt:lpwstr>
  </property>
  <property fmtid="{D5CDD505-2E9C-101B-9397-08002B2CF9AE}" pid="3" name="GrammarlyDocumentId">
    <vt:lpwstr>bf8c4543-afe8-471a-8b5e-b467471c85b0</vt:lpwstr>
  </property>
</Properties>
</file>