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14="http://schemas.microsoft.com/office/word/2010/wordml" xmlns:wp14="http://schemas.microsoft.com/office/word/2010/wordprocessingDrawing"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xmlns:mc="http://schemas.openxmlformats.org/markup-compatibility/2006" mc:Ignorable="w14 wp14">
  <w:body>
    <w:p xmlns:wp14="http://schemas.microsoft.com/office/word/2010/wordml" w14:paraId="265F40FA" wp14:textId="77777777">
      <w:pPr>
        <w:pStyle w:val="Heading1"/>
      </w:pPr>
      <w:r w:rsidR="0771BDD2">
        <w:rPr/>
        <w:t>Briefing Note: The Three Lines Model</w:t>
      </w:r>
    </w:p>
    <w:p w:rsidR="06DF9BE9" w:rsidP="0771BDD2" w:rsidRDefault="06DF9BE9" w14:paraId="4124A061" w14:textId="32D7CE1B">
      <w:pPr>
        <w:pStyle w:val="Heading2"/>
        <w:suppressLineNumbers w:val="0"/>
        <w:bidi w:val="0"/>
        <w:spacing w:before="280" w:beforeAutospacing="off" w:after="100" w:afterAutospacing="off" w:line="259" w:lineRule="auto"/>
        <w:ind w:left="0" w:right="0"/>
        <w:jc w:val="left"/>
      </w:pPr>
      <w:r w:rsidR="06DF9BE9">
        <w:rPr/>
        <w:t>The model</w:t>
      </w:r>
    </w:p>
    <w:p xmlns:wp14="http://schemas.microsoft.com/office/word/2010/wordml" w14:paraId="63F9E503" wp14:textId="77777777">
      <w:pPr/>
      <w:r>
        <w:t xml:space="preserve">The Three Lines Model sets out how an organisation should divide responsibility for managing risk, overseeing it and providing independent assurance about it. It was published by the Institute of Internal Auditors (IIA) in 2020.</w:t>
      </w:r>
    </w:p>
    <w:p xmlns:wp14="http://schemas.microsoft.com/office/word/2010/wordml" w14:paraId="4546858E" wp14:textId="77777777">
      <w:pPr/>
      <w:r>
        <w:t xml:space="preserve">It replaced the earlier "Three Lines of Defense" model. The update made two main changes. It stresses that risk management supports the achievement of objectives as well as protecting against harm, and it describes flexible roles rather than rigid lines, recognising that organisations allocate responsibilities in different ways.</w:t>
      </w:r>
    </w:p>
    <w:p xmlns:wp14="http://schemas.microsoft.com/office/word/2010/wordml" w14:paraId="7D653613" wp14:textId="77777777">
      <w:pPr/>
      <w:r>
        <w:t xml:space="preserve">The model is widely used in corporate governance, particularly in financial services and other regulated sectors, and is often referred to by regulators and audit committees.</w:t>
      </w:r>
    </w:p>
    <w:p xmlns:wp14="http://schemas.microsoft.com/office/word/2010/wordml" w14:paraId="0B15DE61" wp14:textId="77777777">
      <w:pPr>
        <w:pStyle w:val="Heading2"/>
      </w:pPr>
      <w:r>
        <w:t xml:space="preserve">The roles in the model</w:t>
      </w:r>
    </w:p>
    <w:tbl>
      <w:tblPr>
        <w:tblStyle w:val="TableGrid"/>
        <w:tblW w:w="0" w:type="auto"/>
        <w:tblLayout w:type="fixed"/>
        <w:tblLook w:val="04A0" w:firstRow="1" w:lastRow="0" w:firstColumn="0" w:lastColumn="0" w:noHBand="0" w:noVBand="1"/>
      </w:tblPr>
      <w:tblGrid>
        <w:gridCol w:w="1819"/>
        <w:gridCol w:w="2669"/>
        <w:gridCol w:w="4872"/>
      </w:tblGrid>
      <w:tr xmlns:wp14="http://schemas.microsoft.com/office/word/2010/wordml" w14:paraId="03D40997" wp14:textId="77777777">
        <w:trPr>
          <w:tblHeader/>
        </w:trPr>
        <w:tc>
          <w:tcPr>
            <w:tcW w:w="1819" w:type="dxa"/>
            <w:shd w:val="clear" w:color="auto" w:fill="F2F2F2"/>
          </w:tcPr>
          <w:p w14:paraId="7810568A" wp14:textId="77777777">
            <w:pPr/>
            <w:r>
              <w:t xml:space="preserve">Role</w:t>
            </w:r>
          </w:p>
        </w:tc>
        <w:tc>
          <w:tcPr>
            <w:tcW w:w="2669" w:type="dxa"/>
            <w:shd w:val="clear" w:color="auto" w:fill="F2F2F2"/>
          </w:tcPr>
          <w:p w14:paraId="74A51A09" wp14:textId="77777777">
            <w:pPr/>
            <w:r>
              <w:t xml:space="preserve">Who typically holds it</w:t>
            </w:r>
          </w:p>
        </w:tc>
        <w:tc>
          <w:tcPr>
            <w:tcW w:w="4872" w:type="dxa"/>
            <w:shd w:val="clear" w:color="auto" w:fill="F2F2F2"/>
          </w:tcPr>
          <w:p w14:paraId="364E9FFE" wp14:textId="77777777">
            <w:pPr/>
            <w:r>
              <w:t xml:space="preserve">What it does</w:t>
            </w:r>
          </w:p>
        </w:tc>
      </w:tr>
      <w:tr xmlns:wp14="http://schemas.microsoft.com/office/word/2010/wordml" w14:paraId="0AC7672E" wp14:textId="77777777">
        <w:tc>
          <w:tcPr>
            <w:tcW w:w="1819" w:type="dxa"/>
          </w:tcPr>
          <w:p w14:paraId="2D7C89FF" wp14:textId="77777777">
            <w:pPr/>
            <w:r>
              <w:t xml:space="preserve">Governing body</w:t>
            </w:r>
          </w:p>
        </w:tc>
        <w:tc>
          <w:tcPr>
            <w:tcW w:w="2669" w:type="dxa"/>
          </w:tcPr>
          <w:p w14:paraId="211610FA" wp14:textId="77777777">
            <w:pPr/>
            <w:r>
              <w:t xml:space="preserve">The board and its committees</w:t>
            </w:r>
          </w:p>
        </w:tc>
        <w:tc>
          <w:tcPr>
            <w:tcW w:w="4872" w:type="dxa"/>
          </w:tcPr>
          <w:p w14:paraId="303D7EDB" wp14:textId="77777777">
            <w:pPr/>
            <w:r>
              <w:t xml:space="preserve">Accountable to stakeholders for oversight; sets direction and risk appetite</w:t>
            </w:r>
          </w:p>
        </w:tc>
      </w:tr>
      <w:tr xmlns:wp14="http://schemas.microsoft.com/office/word/2010/wordml" w14:paraId="1760D155" wp14:textId="77777777">
        <w:tc>
          <w:tcPr>
            <w:tcW w:w="1819" w:type="dxa"/>
          </w:tcPr>
          <w:p w14:paraId="2FACB487" wp14:textId="77777777">
            <w:pPr/>
            <w:r>
              <w:t xml:space="preserve">First line</w:t>
            </w:r>
          </w:p>
        </w:tc>
        <w:tc>
          <w:tcPr>
            <w:tcW w:w="2669" w:type="dxa"/>
          </w:tcPr>
          <w:p w14:paraId="3DF3A0E4" wp14:textId="77777777">
            <w:pPr/>
            <w:r>
              <w:t xml:space="preserve">Operational management</w:t>
            </w:r>
          </w:p>
        </w:tc>
        <w:tc>
          <w:tcPr>
            <w:tcW w:w="4872" w:type="dxa"/>
          </w:tcPr>
          <w:p w14:paraId="04D47A3F" wp14:textId="77777777">
            <w:pPr/>
            <w:r>
              <w:t xml:space="preserve">Delivers products and services and manages the risks in day-to-day operations</w:t>
            </w:r>
          </w:p>
        </w:tc>
      </w:tr>
      <w:tr xmlns:wp14="http://schemas.microsoft.com/office/word/2010/wordml" w14:paraId="33B06650" wp14:textId="77777777">
        <w:tc>
          <w:tcPr>
            <w:tcW w:w="1819" w:type="dxa"/>
          </w:tcPr>
          <w:p w14:paraId="632FABDB" wp14:textId="77777777">
            <w:pPr/>
            <w:r>
              <w:t xml:space="preserve">Second line</w:t>
            </w:r>
          </w:p>
        </w:tc>
        <w:tc>
          <w:tcPr>
            <w:tcW w:w="2669" w:type="dxa"/>
          </w:tcPr>
          <w:p w14:paraId="2CFDC856" wp14:textId="77777777">
            <w:pPr/>
            <w:r>
              <w:t xml:space="preserve">Specialist functions such as risk management, compliance and information security</w:t>
            </w:r>
          </w:p>
        </w:tc>
        <w:tc>
          <w:tcPr>
            <w:tcW w:w="4872" w:type="dxa"/>
          </w:tcPr>
          <w:p w14:paraId="5F2AA2DC" wp14:textId="77777777">
            <w:pPr/>
            <w:r>
              <w:t xml:space="preserve">Provides expertise, monitoring and challenge on how risks are managed</w:t>
            </w:r>
          </w:p>
        </w:tc>
      </w:tr>
      <w:tr xmlns:wp14="http://schemas.microsoft.com/office/word/2010/wordml" w14:paraId="103EDB6B" wp14:textId="77777777">
        <w:tc>
          <w:tcPr>
            <w:tcW w:w="1819" w:type="dxa"/>
          </w:tcPr>
          <w:p w14:paraId="339DA975" wp14:textId="77777777">
            <w:pPr/>
            <w:r>
              <w:t xml:space="preserve">Third line</w:t>
            </w:r>
          </w:p>
        </w:tc>
        <w:tc>
          <w:tcPr>
            <w:tcW w:w="2669" w:type="dxa"/>
          </w:tcPr>
          <w:p w14:paraId="41B9F543" wp14:textId="77777777">
            <w:pPr/>
            <w:r>
              <w:t xml:space="preserve">Internal audit</w:t>
            </w:r>
          </w:p>
        </w:tc>
        <w:tc>
          <w:tcPr>
            <w:tcW w:w="4872" w:type="dxa"/>
          </w:tcPr>
          <w:p w14:paraId="7BEC01EF" wp14:textId="77777777">
            <w:pPr/>
            <w:r>
              <w:t xml:space="preserve">Gives independent, objective assurance to the governing body that risk management is working</w:t>
            </w:r>
          </w:p>
        </w:tc>
      </w:tr>
    </w:tbl>
    <w:p xmlns:wp14="http://schemas.microsoft.com/office/word/2010/wordml" w14:paraId="3E4F5401" wp14:textId="77777777">
      <w:pPr/>
      <w:r>
        <w:t xml:space="preserve">External assurance providers, such as external auditors and regulators, sit outside the organisation but add further assurance.</w:t>
      </w:r>
    </w:p>
    <w:p xmlns:wp14="http://schemas.microsoft.com/office/word/2010/wordml" w14:paraId="32366904" wp14:textId="77777777">
      <w:pPr/>
      <w:r>
        <w:t xml:space="preserve">Two principles are central. First, internal audit must be independent of management and report directly to the governing body. Second, the roles should work together and share information rather than operate in silos.</w:t>
      </w:r>
    </w:p>
    <w:p xmlns:wp14="http://schemas.microsoft.com/office/word/2010/wordml" w14:paraId="38E01F5F" wp14:textId="77777777">
      <w:pPr>
        <w:pStyle w:val="Heading2"/>
      </w:pPr>
      <w:r>
        <w:t xml:space="preserve">Applying the model: the Corran case</w:t>
      </w:r>
    </w:p>
    <w:p xmlns:wp14="http://schemas.microsoft.com/office/word/2010/wordml" w14:paraId="5A86B741" wp14:textId="77777777">
      <w:pPr/>
      <w:r>
        <w:t xml:space="preserve">In the PHP2Shell exercise, the model helps explain why Corran's board did not see the risk at ViajaBem.</w:t>
      </w:r>
    </w:p>
    <w:tbl>
      <w:tblPr>
        <w:tblStyle w:val="TableGrid"/>
        <w:tblW w:w="0" w:type="auto"/>
        <w:tblLayout w:type="fixed"/>
        <w:tblLook w:val="04A0" w:firstRow="1" w:lastRow="0" w:firstColumn="0" w:lastColumn="0" w:noHBand="0" w:noVBand="1"/>
      </w:tblPr>
      <w:tblGrid>
        <w:gridCol w:w="1819"/>
        <w:gridCol w:w="2621"/>
        <w:gridCol w:w="4920"/>
      </w:tblGrid>
      <w:tr xmlns:wp14="http://schemas.microsoft.com/office/word/2010/wordml" w14:paraId="13934F71" wp14:textId="77777777">
        <w:trPr>
          <w:tblHeader/>
        </w:trPr>
        <w:tc>
          <w:tcPr>
            <w:tcW w:w="1819" w:type="dxa"/>
            <w:shd w:val="clear" w:color="auto" w:fill="F2F2F2"/>
          </w:tcPr>
          <w:p w14:paraId="58CD447F" wp14:textId="77777777">
            <w:pPr/>
            <w:r>
              <w:t xml:space="preserve">Role</w:t>
            </w:r>
          </w:p>
        </w:tc>
        <w:tc>
          <w:tcPr>
            <w:tcW w:w="2621" w:type="dxa"/>
            <w:shd w:val="clear" w:color="auto" w:fill="F2F2F2"/>
          </w:tcPr>
          <w:p w14:paraId="487B4FC5" wp14:textId="77777777">
            <w:pPr/>
            <w:r>
              <w:t xml:space="preserve">What it should have done</w:t>
            </w:r>
          </w:p>
        </w:tc>
        <w:tc>
          <w:tcPr>
            <w:tcW w:w="4920" w:type="dxa"/>
            <w:shd w:val="clear" w:color="auto" w:fill="F2F2F2"/>
          </w:tcPr>
          <w:p w14:paraId="3D356620" wp14:textId="77777777">
            <w:pPr/>
            <w:r>
              <w:t xml:space="preserve">What happened at Corran</w:t>
            </w:r>
          </w:p>
        </w:tc>
      </w:tr>
      <w:tr xmlns:wp14="http://schemas.microsoft.com/office/word/2010/wordml" w14:paraId="147B4E7D" wp14:textId="77777777">
        <w:tc>
          <w:tcPr>
            <w:tcW w:w="1819" w:type="dxa"/>
          </w:tcPr>
          <w:p w14:paraId="168DE951" wp14:textId="77777777">
            <w:pPr/>
            <w:r>
              <w:t xml:space="preserve">Governing body</w:t>
            </w:r>
          </w:p>
        </w:tc>
        <w:tc>
          <w:tcPr>
            <w:tcW w:w="2621" w:type="dxa"/>
          </w:tcPr>
          <w:p w14:paraId="72BC3EC2" wp14:textId="77777777">
            <w:pPr/>
            <w:r>
              <w:t xml:space="preserve">Oversee cyber risk across the group</w:t>
            </w:r>
          </w:p>
        </w:tc>
        <w:tc>
          <w:tcPr>
            <w:tcW w:w="4920" w:type="dxa"/>
          </w:tcPr>
          <w:p w14:paraId="556AB6DA" wp14:textId="77777777">
            <w:pPr/>
            <w:r>
              <w:t xml:space="preserve">Cyber risk did not reach the board directly</w:t>
            </w:r>
          </w:p>
        </w:tc>
      </w:tr>
      <w:tr xmlns:wp14="http://schemas.microsoft.com/office/word/2010/wordml" w14:paraId="5D249136" wp14:textId="77777777">
        <w:tc>
          <w:tcPr>
            <w:tcW w:w="1819" w:type="dxa"/>
          </w:tcPr>
          <w:p w14:paraId="3BE3703C" wp14:textId="77777777">
            <w:pPr/>
            <w:r>
              <w:t xml:space="preserve">First line</w:t>
            </w:r>
          </w:p>
        </w:tc>
        <w:tc>
          <w:tcPr>
            <w:tcW w:w="2621" w:type="dxa"/>
          </w:tcPr>
          <w:p w14:paraId="05C8FA84" wp14:textId="77777777">
            <w:pPr/>
            <w:r>
              <w:t xml:space="preserve">Run IT systems securely</w:t>
            </w:r>
          </w:p>
        </w:tc>
        <w:tc>
          <w:tcPr>
            <w:tcW w:w="4920" w:type="dxa"/>
          </w:tcPr>
          <w:p w14:paraId="1E9105FA" wp14:textId="77777777">
            <w:pPr/>
            <w:r>
              <w:t xml:space="preserve">ViajaBem's IT was run by a local supplier on unsupported software</w:t>
            </w:r>
          </w:p>
        </w:tc>
      </w:tr>
      <w:tr xmlns:wp14="http://schemas.microsoft.com/office/word/2010/wordml" w14:paraId="2671F730" wp14:textId="77777777">
        <w:tc>
          <w:tcPr>
            <w:tcW w:w="1819" w:type="dxa"/>
          </w:tcPr>
          <w:p w14:paraId="76C5EE72" wp14:textId="77777777">
            <w:pPr/>
            <w:r>
              <w:t xml:space="preserve">Second line</w:t>
            </w:r>
          </w:p>
        </w:tc>
        <w:tc>
          <w:tcPr>
            <w:tcW w:w="2621" w:type="dxa"/>
          </w:tcPr>
          <w:p w14:paraId="1C858FDB" wp14:textId="77777777">
            <w:pPr/>
            <w:r>
              <w:t xml:space="preserve">Monitor and challenge IT security</w:t>
            </w:r>
          </w:p>
        </w:tc>
        <w:tc>
          <w:tcPr>
            <w:tcW w:w="4920" w:type="dxa"/>
          </w:tcPr>
          <w:p w14:paraId="1D19C0C0" wp14:textId="77777777">
            <w:pPr/>
            <w:r>
              <w:t xml:space="preserve">The CISO reported to the Chief Information Officer, so the function meant to challenge IT reported to the head of IT. ViajaBem had no group oversight at all</w:t>
            </w:r>
          </w:p>
        </w:tc>
      </w:tr>
      <w:tr xmlns:wp14="http://schemas.microsoft.com/office/word/2010/wordml" w14:paraId="300C43F8" wp14:textId="77777777">
        <w:tc>
          <w:tcPr>
            <w:tcW w:w="1819" w:type="dxa"/>
          </w:tcPr>
          <w:p w14:paraId="7D4E46B3" wp14:textId="77777777">
            <w:pPr/>
            <w:r>
              <w:t xml:space="preserve">Third line</w:t>
            </w:r>
          </w:p>
        </w:tc>
        <w:tc>
          <w:tcPr>
            <w:tcW w:w="2621" w:type="dxa"/>
          </w:tcPr>
          <w:p w14:paraId="186BD67D" wp14:textId="77777777">
            <w:pPr/>
            <w:r>
              <w:t xml:space="preserve">Give the board independent assurance</w:t>
            </w:r>
          </w:p>
        </w:tc>
        <w:tc>
          <w:tcPr>
            <w:tcW w:w="4920" w:type="dxa"/>
          </w:tcPr>
          <w:p w14:paraId="2166CB04" wp14:textId="77777777">
            <w:pPr/>
            <w:r>
              <w:t xml:space="preserve">No internal audit coverage of ViajaBem is mentioned in the case</w:t>
            </w:r>
          </w:p>
        </w:tc>
      </w:tr>
    </w:tbl>
    <w:p xmlns:wp14="http://schemas.microsoft.com/office/word/2010/wordml" w14:paraId="040246AC" wp14:textId="77777777">
      <w:pPr/>
      <w:r>
        <w:t xml:space="preserve">For ViajaBem, two of the three lines were in effect missing, and the second line was not independent of the first. The model does not prescribe reporting lines, but its principles point towards giving the CISO direct access to the board or a board committee, and bringing acquired businesses within group oversight from the start.</w:t>
      </w:r>
    </w:p>
    <w:p xmlns:wp14="http://schemas.microsoft.com/office/word/2010/wordml" w14:paraId="50A24578" wp14:textId="77777777">
      <w:pPr>
        <w:pStyle w:val="Heading2"/>
      </w:pPr>
      <w:r>
        <w:t xml:space="preserve">Criticisms of the model</w:t>
      </w:r>
    </w:p>
    <w:p xmlns:wp14="http://schemas.microsoft.com/office/word/2010/wordml" w14:paraId="644089C1" wp14:textId="77777777">
      <w:pPr>
        <w:pStyle w:val="ListParagraph"/>
        <w:numPr>
          <w:ilvl w:val="0"/>
          <w:numId w:val="2"/>
        </w:numPr>
      </w:pPr>
      <w:r>
        <w:rPr>
          <w:b/>
        </w:rPr>
        <w:t xml:space="preserve">Boundaries blur in practice.</w:t>
      </w:r>
      <w:r>
        <w:t xml:space="preserve"> It is often unclear where first-line responsibility ends and second-line oversight begins, which can lead to gaps or duplication.</w:t>
      </w:r>
    </w:p>
    <w:p xmlns:wp14="http://schemas.microsoft.com/office/word/2010/wordml" w14:paraId="1B1C0F0C" wp14:textId="77777777">
      <w:pPr>
        <w:pStyle w:val="ListParagraph"/>
        <w:numPr>
          <w:ilvl w:val="0"/>
          <w:numId w:val="2"/>
        </w:numPr>
      </w:pPr>
      <w:r>
        <w:rPr>
          <w:b/>
        </w:rPr>
        <w:t xml:space="preserve">It can create silos and bureaucracy.</w:t>
      </w:r>
      <w:r>
        <w:t xml:space="preserve"> Separate lines may each produce their own reports without sharing information, and the model can be heavy for smaller organisations without dedicated risk or audit functions.</w:t>
      </w:r>
    </w:p>
    <w:p xmlns:wp14="http://schemas.microsoft.com/office/word/2010/wordml" w14:paraId="5FB677FB" wp14:textId="77777777">
      <w:pPr>
        <w:pStyle w:val="ListParagraph"/>
        <w:numPr>
          <w:ilvl w:val="0"/>
          <w:numId w:val="2"/>
        </w:numPr>
      </w:pPr>
      <w:r>
        <w:rPr>
          <w:b/>
        </w:rPr>
        <w:t xml:space="preserve">It may not go far enough.</w:t>
      </w:r>
      <w:r>
        <w:t xml:space="preserve"> Arndorfer and Minto (2015) proposed a fourth line, made up of external auditors and supervisors, for financial institutions. They argued that internal lines alone had not prevented failures during the financial crisis.</w:t>
      </w:r>
    </w:p>
    <w:p xmlns:wp14="http://schemas.microsoft.com/office/word/2010/wordml" w14:paraId="572A02C1" wp14:textId="77777777">
      <w:pPr>
        <w:pStyle w:val="ListParagraph"/>
        <w:numPr>
          <w:ilvl w:val="0"/>
          <w:numId w:val="2"/>
        </w:numPr>
      </w:pPr>
      <w:r>
        <w:rPr>
          <w:b/>
        </w:rPr>
        <w:t xml:space="preserve">It describes structure, not behaviour.</w:t>
      </w:r>
      <w:r>
        <w:t xml:space="preserve"> Having the lines in place does not guarantee that people raise concerns or that boards act on them. Organisational culture matters as much as the structure.</w:t>
      </w:r>
    </w:p>
    <w:p xmlns:wp14="http://schemas.microsoft.com/office/word/2010/wordml" w14:paraId="2F176A1E" wp14:textId="77777777">
      <w:pPr>
        <w:pStyle w:val="Heading2"/>
      </w:pPr>
      <w:r>
        <w:t xml:space="preserve">Using the model in your own work</w:t>
      </w:r>
    </w:p>
    <w:p xmlns:wp14="http://schemas.microsoft.com/office/word/2010/wordml" w14:paraId="61FFBF93" wp14:textId="77777777">
      <w:pPr/>
      <w:r>
        <w:t xml:space="preserve">When you use the Three Lines Model:</w:t>
      </w:r>
    </w:p>
    <w:p xmlns:wp14="http://schemas.microsoft.com/office/word/2010/wordml" w14:paraId="3006F946" wp14:textId="77777777">
      <w:pPr>
        <w:pStyle w:val="ListParagraph"/>
        <w:numPr>
          <w:ilvl w:val="0"/>
          <w:numId w:val="3"/>
        </w:numPr>
      </w:pPr>
      <w:r>
        <w:t xml:space="preserve">identify who holds each role in the organisation you are analysing, and where the roles are missing or combined;</w:t>
      </w:r>
    </w:p>
    <w:p xmlns:wp14="http://schemas.microsoft.com/office/word/2010/wordml" w14:paraId="1F375F6A" wp14:textId="77777777">
      <w:pPr>
        <w:pStyle w:val="ListParagraph"/>
        <w:numPr>
          <w:ilvl w:val="0"/>
          <w:numId w:val="3"/>
        </w:numPr>
      </w:pPr>
      <w:r>
        <w:t xml:space="preserve">check whether the second and third lines are genuinely independent of the activities they oversee;</w:t>
      </w:r>
    </w:p>
    <w:p xmlns:wp14="http://schemas.microsoft.com/office/word/2010/wordml" w14:paraId="0455BA76" wp14:textId="77777777">
      <w:pPr>
        <w:pStyle w:val="ListParagraph"/>
        <w:numPr>
          <w:ilvl w:val="0"/>
          <w:numId w:val="3"/>
        </w:numPr>
      </w:pPr>
      <w:r>
        <w:t xml:space="preserve">consider how the model applies across a group with subsidiaries in different countries, where local management may sit outside group oversight;</w:t>
      </w:r>
    </w:p>
    <w:p xmlns:wp14="http://schemas.microsoft.com/office/word/2010/wordml" w14:paraId="105370D6" wp14:textId="77777777">
      <w:pPr>
        <w:pStyle w:val="ListParagraph"/>
        <w:numPr>
          <w:ilvl w:val="0"/>
          <w:numId w:val="3"/>
        </w:numPr>
      </w:pPr>
      <w:r>
        <w:t xml:space="preserve">evaluate what the structure cannot capture, such as culture, information flow and the willingness of boards to act.</w:t>
      </w:r>
    </w:p>
    <w:p xmlns:wp14="http://schemas.microsoft.com/office/word/2010/wordml" w14:paraId="77B6A194" wp14:textId="77777777">
      <w:pPr/>
      <w:r>
        <w:t xml:space="preserve">In Task 3 of the PHP2Shell exercise, the model can help you decide where to place the CISO and who should give the board independent assurance over ViajaBem.</w:t>
      </w:r>
    </w:p>
    <w:p xmlns:wp14="http://schemas.microsoft.com/office/word/2010/wordml" w14:paraId="071E4E01" wp14:textId="77777777">
      <w:pPr>
        <w:pStyle w:val="Heading2"/>
      </w:pPr>
      <w:r>
        <w:t xml:space="preserve">References</w:t>
      </w:r>
    </w:p>
    <w:p xmlns:wp14="http://schemas.microsoft.com/office/word/2010/wordml" w14:paraId="5FF7F4C3" wp14:textId="77777777">
      <w:pPr/>
      <w:r>
        <w:t xml:space="preserve">Arndorfer, I. and Minto, A. (2015) </w:t>
      </w:r>
      <w:r>
        <w:rPr>
          <w:i/>
        </w:rPr>
        <w:t xml:space="preserve">The "four lines of defence model" for financial institutions</w:t>
      </w:r>
      <w:r>
        <w:t xml:space="preserve">. FSI Occasional Paper No. 11. Basel: Bank for International Settlements.</w:t>
      </w:r>
    </w:p>
    <w:p xmlns:wp14="http://schemas.microsoft.com/office/word/2010/wordml" w14:paraId="512EBD36" wp14:textId="77777777">
      <w:pPr/>
      <w:r>
        <w:t xml:space="preserve">Institute of Internal Auditors (IIA) (2020) </w:t>
      </w:r>
      <w:r>
        <w:rPr>
          <w:i/>
        </w:rPr>
        <w:t xml:space="preserve">The IIA's Three Lines Model: an update of the Three Lines of Defense</w:t>
      </w:r>
      <w:r>
        <w:t xml:space="preserve">. Lake Mary, FL: Institute of Internal Auditors.</w:t>
      </w:r>
    </w:p>
    <w:sectPr>
      <w:pgSz w:w="12240" w:h="15840" w:orient="portrait"/>
      <w:pgMar w:top="1440" w:right="1440" w:bottom="1440" w:left="1440" w:header="720" w:footer="720" w:gutter="0"/>
      <w:cols w:num="1"/>
    </w:sectPr>
  </w:body>
</w:document>
</file>

<file path=word/numbering.xml><?xml version="1.0" encoding="utf-8"?>
<w:numbering xmlns:w="http://schemas.openxmlformats.org/wordprocessingml/2006/main">
  <w:abstractNum w:abstractNumId="0">
    <w:nsid w:val="7597e046"/>
    <w:multiLevelType w:val="hybridMultilevel"/>
    <w:lvl w:ilvl="0">
      <w:start w:val="1"/>
      <w:numFmt w:val="bullet"/>
      <w:lvlText w:val="•"/>
      <w:lvlJc w:val="left"/>
      <w:pPr>
        <w:ind w:left="720" w:hanging="360"/>
      </w:pPr>
    </w:lvl>
    <w:lvl w:ilvl="1">
      <w:start w:val="1"/>
      <w:numFmt w:val="bullet"/>
      <w:lvlText w:val="o"/>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o"/>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o"/>
      <w:lvlJc w:val="left"/>
      <w:pPr>
        <w:ind w:left="5760" w:hanging="360"/>
      </w:pPr>
    </w:lvl>
    <w:lvl w:ilvl="8">
      <w:start w:val="1"/>
      <w:numFmt w:val="bullet"/>
      <w:lvlText w:val="▪"/>
      <w:lvlJc w:val="left"/>
      <w:pPr>
        <w:ind w:left="6480" w:hanging="360"/>
      </w:pPr>
    </w:lvl>
  </w:abstractNum>
  <w:abstractNum w:abstractNumId="1">
    <w:nsid w:val="4684ea08"/>
    <w:multiLevelType w:val="hybrid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0"/>
  </w:num>
  <w:num w:numId="2">
    <w:abstractNumId w:val="0"/>
  </w:num>
  <w:num w:numId="3">
    <w:abstractNumId w:val="1"/>
    <w:lvlOverride w:ilvl="0">
      <w:startOverride w:val="1"/>
    </w:lvlOverride>
  </w:num>
</w:numbering>
</file>

<file path=word/settings.xml><?xml version="1.0" encoding="utf-8"?>
<w:settings xmlns:w14="http://schemas.microsoft.com/office/word/2010/wordml" xmlns:w15="http://schemas.microsoft.com/office/word/2012/wordml" xmlns:mc="http://schemas.openxmlformats.org/markup-compatibility/2006" xmlns:w="http://schemas.openxmlformats.org/wordprocessingml/2006/main" mc:Ignorable="w14 w15">
  <w:trackRevisions w:val="false"/>
  <w:defaultTabStop w:val="720"/>
  <w14:docId w14:val="73E3B852"/>
  <w15:docId w15:val="{D1212632-FDEA-483F-85DC-7D00C2973171}"/>
  <w:rsids>
    <w:rsidRoot w:val="06DF9BE9"/>
    <w:rsid w:val="06DF9BE9"/>
    <w:rsid w:val="0771BDD2"/>
  </w:rsids>
</w:settings>
</file>

<file path=word/styles.xml><?xml version="1.0" encoding="utf-8"?>
<w:styles xmlns:w14="http://schemas.microsoft.com/office/word/2010/wordml" xmlns:wp14="http://schemas.microsoft.com/office/word/2010/wordprocessingDrawing" xmlns:w="http://schemas.openxmlformats.org/wordprocessingml/2006/main" xmlns:mc="http://schemas.openxmlformats.org/markup-compatibility/2006" mc:Ignorable="w14 wp14">
  <w:docDefaults>
    <w:rPrDefault>
      <w:rPr>
        <w:rFonts w:ascii="Calibri" w:hAnsi="Calibri" w:eastAsia="Calibri" w:cs="Calibri"/>
        <w:sz w:val="22"/>
        <w:szCs w:val="22"/>
        <w:lang w:val="en-US"/>
      </w:rPr>
    </w:rPrDefault>
    <w:pPrDefault>
      <w:pPr>
        <w:spacing w:after="160" w:line="259" w:lineRule="auto"/>
      </w:pPr>
    </w:pPrDefault>
  </w:docDefaults>
  <w:style w:type="paragraph" w:styleId="Normal" w:default="1">
    <w:name w:val="Normal"/>
    <w:qFormat/>
  </w:style>
  <w:style w:type="paragraph" w:styleId="Heading1">
    <w:name w:val="heading 1"/>
    <w:basedOn w:val="Normal"/>
    <w:next w:val="Normal"/>
    <w:qFormat/>
    <w:pPr>
      <w:keepNext/>
      <w:spacing w:before="360" w:after="120"/>
      <w:outlineLvl w:val="0"/>
    </w:pPr>
    <w:rPr>
      <w:b/>
      <w:sz w:val="32"/>
    </w:rPr>
  </w:style>
  <w:style w:type="paragraph" w:styleId="Heading2">
    <w:name w:val="heading 2"/>
    <w:basedOn w:val="Normal"/>
    <w:next w:val="Normal"/>
    <w:qFormat/>
    <w:pPr>
      <w:keepNext/>
      <w:spacing w:before="280" w:after="100"/>
      <w:outlineLvl w:val="1"/>
    </w:pPr>
    <w:rPr>
      <w:b/>
      <w:sz w:val="26"/>
    </w:rPr>
  </w:style>
  <w:style w:type="paragraph" w:styleId="Heading3">
    <w:name w:val="heading 3"/>
    <w:basedOn w:val="Normal"/>
    <w:next w:val="Normal"/>
    <w:qFormat/>
    <w:pPr>
      <w:keepNext/>
      <w:spacing w:before="240" w:after="80"/>
      <w:outlineLvl w:val="2"/>
    </w:pPr>
    <w:rPr>
      <w:b/>
      <w:sz w:val="24"/>
    </w:rPr>
  </w:style>
  <w:style w:type="paragraph" w:styleId="Heading4">
    <w:name w:val="heading 4"/>
    <w:basedOn w:val="Normal"/>
    <w:next w:val="Normal"/>
    <w:qFormat/>
    <w:pPr>
      <w:keepNext/>
      <w:outlineLvl w:val="3"/>
    </w:pPr>
    <w:rPr>
      <w:b/>
      <w:sz w:val="22"/>
    </w:rPr>
  </w:style>
  <w:style w:type="paragraph" w:styleId="Heading5">
    <w:name w:val="heading 5"/>
    <w:basedOn w:val="Normal"/>
    <w:next w:val="Normal"/>
    <w:qFormat/>
    <w:pPr>
      <w:keepNext/>
      <w:outlineLvl w:val="4"/>
    </w:pPr>
    <w:rPr>
      <w:b/>
      <w:sz w:val="22"/>
    </w:rPr>
  </w:style>
  <w:style w:type="paragraph" w:styleId="Heading6">
    <w:name w:val="heading 6"/>
    <w:basedOn w:val="Normal"/>
    <w:next w:val="Normal"/>
    <w:qFormat/>
    <w:pPr>
      <w:keepNext/>
      <w:outlineLvl w:val="5"/>
    </w:pPr>
    <w:rPr>
      <w:i/>
      <w:sz w:val="22"/>
    </w:rPr>
  </w:style>
  <w:style w:type="paragraph" w:styleId="Title">
    <w:name w:val="Title"/>
    <w:basedOn w:val="Normal"/>
    <w:next w:val="Normal"/>
    <w:qFormat/>
    <w:pPr>
      <w:spacing w:after="80"/>
      <w:contextualSpacing/>
    </w:pPr>
    <w:rPr>
      <w:sz w:val="56"/>
    </w:rPr>
  </w:style>
  <w:style w:type="paragraph" w:styleId="Quote">
    <w:name w:val="Quote"/>
    <w:basedOn w:val="Normal"/>
    <w:qFormat/>
    <w:pPr>
      <w:ind w:left="720" w:right="720"/>
      <w:pBdr>
        <w:left w:val="single" w:color="A0A0A0" w:sz="12" w:space="8"/>
      </w:pBdr>
    </w:pPr>
    <w:rPr>
      <w:i/>
      <w:color w:val="404040"/>
    </w:rPr>
  </w:style>
  <w:style w:type="paragraph" w:styleId="Code">
    <w:name w:val="Code"/>
    <w:basedOn w:val="Normal"/>
    <w:link w:val="CodeChar"/>
    <w:pPr>
      <w:spacing w:after="0" w:line="240" w:lineRule="auto"/>
      <w:contextualSpacing/>
      <w:shd w:val="clear" w:color="auto" w:fill="F5F5F5"/>
    </w:pPr>
    <w:rPr>
      <w:rFonts w:ascii="Consolas" w:hAnsi="Consolas" w:eastAsia="Consolas" w:cs="Consolas"/>
      <w:sz w:val="20"/>
    </w:rPr>
  </w:style>
  <w:style w:type="character" w:styleId="CodeChar">
    <w:name w:val="Code Char"/>
    <w:link w:val="Code"/>
    <w:rPr>
      <w:rFonts w:ascii="Consolas" w:hAnsi="Consolas" w:eastAsia="Consolas" w:cs="Consolas"/>
      <w:sz w:val="20"/>
      <w:shd w:val="clear" w:color="auto" w:fill="F5F5F5"/>
    </w:rPr>
  </w:style>
  <w:style w:type="paragraph" w:styleId="ListParagraph">
    <w:name w:val="List Paragraph"/>
    <w:basedOn w:val="Normal"/>
    <w:qFormat/>
    <w:pPr>
      <w:ind w:left="720"/>
      <w:contextualSpacing/>
    </w:pPr>
  </w:style>
  <w:style w:type="character" w:styleId="Hyperlink">
    <w:name w:val="Hyperlink"/>
    <w:rPr>
      <w:color w:val="0563C1"/>
      <w:u w:val="single"/>
    </w:rPr>
  </w:style>
  <w:style w:type="paragraph" w:styleId="CommentText">
    <w:name w:val="Comment Text"/>
    <w:basedOn w:val="Normal"/>
    <w:link w:val="CommentTextChar"/>
    <w:pPr>
      <w:spacing w:line="240" w:lineRule="auto"/>
    </w:pPr>
    <w:rPr>
      <w:sz w:val="20"/>
      <w:szCs w:val="20"/>
    </w:rPr>
  </w:style>
  <w:style w:type="character" w:styleId="CommentReference">
    <w:name w:val="Comment Reference"/>
    <w:rPr>
      <w:sz w:val="16"/>
      <w:szCs w:val="16"/>
    </w:rPr>
  </w:style>
  <w:style w:type="table" w:styleId="TableNormal" w:default="1">
    <w:name w:val="Normal Table"/>
    <w:tblPr>
      <w:tblInd w:w="0" w:type="dxa"/>
      <w:tblCellMar>
        <w:top w:w="0" w:type="dxa"/>
        <w:left w:w="108" w:type="dxa"/>
        <w:bottom w:w="0" w:type="dxa"/>
        <w:right w:w="108" w:type="dxa"/>
      </w:tblCellMar>
    </w:tblPr>
  </w:style>
  <w:style w:type="table" w:styleId="TableGrid">
    <w:name w:val="Table Grid"/>
    <w:basedOn w:val="TableNormal"/>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settings" Target="settings.xml" Id="R26639a2552e7412a" /></Relationships>
</file>

<file path=docProps/app.xml><?xml version="1.0" encoding="utf-8"?>
<ap:Properties xmlns="http://schemas.openxmlformats.org/officeDocument/2006/extended-properties" xmlns:ap="http://schemas.openxmlformats.org/officeDocument/2006/extended-properties">
  <ap:Application>Microsoft Word for the web</ap:Application>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Briefing Note The Three Lines Model</dc:title>
  <dc:description>Claude Docs node/c3197f9e-0c2f@7 docx-w7</dc:description>
  <revision>8</revision>
  <lastModifiedBy>Rebecca Francis-Davies</lastModifiedBy>
  <dcterms:modified xsi:type="dcterms:W3CDTF">2026-10-22T15:39:14.0610758Z</dcterms:modified>
</coreProperties>
</file>