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2A8830" w14:textId="77777777" w:rsidR="00EC3CA0" w:rsidRPr="00D50835" w:rsidRDefault="00000000"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b/>
          <w:bCs/>
          <w:kern w:val="0"/>
          <w:sz w:val="22"/>
          <w:szCs w:val="22"/>
          <w:lang w:eastAsia="en-GB"/>
          <w14:ligatures w14:val="none"/>
        </w:rPr>
        <w:t>Reframing Acting Through Song: Towards a Trans-Inclusive Pedagogy in Musical Theatre Training</w:t>
      </w:r>
    </w:p>
    <w:p w14:paraId="6EB75620" w14:textId="77777777" w:rsidR="00EC3CA0" w:rsidRPr="00D50835" w:rsidRDefault="00EC3CA0" w:rsidP="00D50835">
      <w:pPr>
        <w:spacing w:line="360" w:lineRule="auto"/>
        <w:jc w:val="both"/>
        <w:rPr>
          <w:rFonts w:ascii="Arial" w:eastAsia="Times New Roman" w:hAnsi="Arial" w:cs="Arial"/>
          <w:b/>
          <w:bCs/>
          <w:kern w:val="0"/>
          <w:sz w:val="22"/>
          <w:szCs w:val="22"/>
          <w:lang w:eastAsia="en-GB"/>
          <w14:ligatures w14:val="none"/>
        </w:rPr>
      </w:pPr>
    </w:p>
    <w:p w14:paraId="0A700EC7" w14:textId="77777777" w:rsidR="00EC3CA0" w:rsidRPr="00BE3F6F" w:rsidRDefault="00000000" w:rsidP="00D50835">
      <w:pPr>
        <w:spacing w:line="360" w:lineRule="auto"/>
        <w:jc w:val="both"/>
        <w:rPr>
          <w:rFonts w:ascii="Arial" w:eastAsia="Times New Roman" w:hAnsi="Arial" w:cs="Arial"/>
          <w:b/>
          <w:bCs/>
          <w:kern w:val="0"/>
          <w:sz w:val="22"/>
          <w:szCs w:val="22"/>
          <w:lang w:eastAsia="en-GB"/>
          <w14:ligatures w14:val="none"/>
        </w:rPr>
      </w:pPr>
      <w:r w:rsidRPr="00BE3F6F">
        <w:rPr>
          <w:rFonts w:ascii="Arial" w:eastAsia="Times New Roman" w:hAnsi="Arial" w:cs="Arial"/>
          <w:b/>
          <w:bCs/>
          <w:kern w:val="0"/>
          <w:sz w:val="22"/>
          <w:szCs w:val="22"/>
          <w:lang w:eastAsia="en-GB"/>
          <w14:ligatures w14:val="none"/>
        </w:rPr>
        <w:t>Part 1 - Portfolio</w:t>
      </w:r>
    </w:p>
    <w:p w14:paraId="07F3933B" w14:textId="77777777" w:rsidR="00EC3CA0" w:rsidRPr="00D50835" w:rsidRDefault="00EC3CA0" w:rsidP="00D50835">
      <w:pPr>
        <w:spacing w:line="360" w:lineRule="auto"/>
        <w:jc w:val="both"/>
        <w:rPr>
          <w:rFonts w:ascii="Arial" w:eastAsia="Times New Roman" w:hAnsi="Arial" w:cs="Arial"/>
          <w:b/>
          <w:bCs/>
          <w:kern w:val="0"/>
          <w:sz w:val="22"/>
          <w:szCs w:val="22"/>
          <w:lang w:eastAsia="en-GB"/>
          <w14:ligatures w14:val="none"/>
        </w:rPr>
      </w:pPr>
    </w:p>
    <w:p w14:paraId="2663F4FC" w14:textId="77777777" w:rsidR="00EC3CA0" w:rsidRPr="00D50835" w:rsidRDefault="00000000"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t xml:space="preserve">Traditional musical theatre pedagogical frameworks do not address the needs of adult transgender and non-binary performers. </w:t>
      </w:r>
      <w:r w:rsidR="00EA2EAC" w:rsidRPr="00D50835">
        <w:rPr>
          <w:rFonts w:ascii="Arial" w:eastAsia="Times New Roman" w:hAnsi="Arial" w:cs="Arial"/>
          <w:kern w:val="0"/>
          <w:sz w:val="22"/>
          <w:szCs w:val="22"/>
          <w:lang w:eastAsia="en-GB"/>
          <w14:ligatures w14:val="none"/>
        </w:rPr>
        <w:t>Acting Through Song (</w:t>
      </w:r>
      <w:r w:rsidR="005C4AF2" w:rsidRPr="00D50835">
        <w:rPr>
          <w:rFonts w:ascii="Arial" w:eastAsia="Times New Roman" w:hAnsi="Arial" w:cs="Arial"/>
          <w:kern w:val="0"/>
          <w:sz w:val="22"/>
          <w:szCs w:val="22"/>
          <w:lang w:eastAsia="en-GB"/>
          <w14:ligatures w14:val="none"/>
        </w:rPr>
        <w:t>ATS</w:t>
      </w:r>
      <w:r w:rsidR="00EA2EAC" w:rsidRPr="00D50835">
        <w:rPr>
          <w:rFonts w:ascii="Arial" w:eastAsia="Times New Roman" w:hAnsi="Arial" w:cs="Arial"/>
          <w:kern w:val="0"/>
          <w:sz w:val="22"/>
          <w:szCs w:val="22"/>
          <w:lang w:eastAsia="en-GB"/>
          <w14:ligatures w14:val="none"/>
        </w:rPr>
        <w:t xml:space="preserve">) </w:t>
      </w:r>
      <w:r w:rsidRPr="00D50835">
        <w:rPr>
          <w:rFonts w:ascii="Arial" w:eastAsia="Times New Roman" w:hAnsi="Arial" w:cs="Arial"/>
          <w:kern w:val="0"/>
          <w:sz w:val="22"/>
          <w:szCs w:val="22"/>
          <w:lang w:eastAsia="en-GB"/>
          <w14:ligatures w14:val="none"/>
        </w:rPr>
        <w:t xml:space="preserve">has gained widespread acceptance in conservatoire and professional environments; </w:t>
      </w:r>
      <w:r w:rsidR="005C4AF2" w:rsidRPr="00D50835">
        <w:rPr>
          <w:rFonts w:ascii="Arial" w:eastAsia="Times New Roman" w:hAnsi="Arial" w:cs="Arial"/>
          <w:kern w:val="0"/>
          <w:sz w:val="22"/>
          <w:szCs w:val="22"/>
          <w:lang w:eastAsia="en-GB"/>
          <w14:ligatures w14:val="none"/>
        </w:rPr>
        <w:t xml:space="preserve">however, </w:t>
      </w:r>
      <w:r w:rsidRPr="00D50835">
        <w:rPr>
          <w:rFonts w:ascii="Arial" w:eastAsia="Times New Roman" w:hAnsi="Arial" w:cs="Arial"/>
          <w:kern w:val="0"/>
          <w:sz w:val="22"/>
          <w:szCs w:val="22"/>
          <w:lang w:eastAsia="en-GB"/>
          <w14:ligatures w14:val="none"/>
        </w:rPr>
        <w:t>it rel</w:t>
      </w:r>
      <w:r w:rsidR="005C4AF2" w:rsidRPr="00D50835">
        <w:rPr>
          <w:rFonts w:ascii="Arial" w:eastAsia="Times New Roman" w:hAnsi="Arial" w:cs="Arial"/>
          <w:kern w:val="0"/>
          <w:sz w:val="22"/>
          <w:szCs w:val="22"/>
          <w:lang w:eastAsia="en-GB"/>
          <w14:ligatures w14:val="none"/>
        </w:rPr>
        <w:t>ies</w:t>
      </w:r>
      <w:r w:rsidRPr="00D50835">
        <w:rPr>
          <w:rFonts w:ascii="Arial" w:eastAsia="Times New Roman" w:hAnsi="Arial" w:cs="Arial"/>
          <w:kern w:val="0"/>
          <w:sz w:val="22"/>
          <w:szCs w:val="22"/>
          <w:lang w:eastAsia="en-GB"/>
          <w14:ligatures w14:val="none"/>
        </w:rPr>
        <w:t xml:space="preserve"> on </w:t>
      </w:r>
      <w:r w:rsidR="005C4AF2" w:rsidRPr="00D50835">
        <w:rPr>
          <w:rFonts w:ascii="Arial" w:eastAsia="Times New Roman" w:hAnsi="Arial" w:cs="Arial"/>
          <w:kern w:val="0"/>
          <w:sz w:val="22"/>
          <w:szCs w:val="22"/>
          <w:lang w:eastAsia="en-GB"/>
          <w14:ligatures w14:val="none"/>
        </w:rPr>
        <w:t xml:space="preserve">broadly </w:t>
      </w:r>
      <w:r w:rsidRPr="00D50835">
        <w:rPr>
          <w:rFonts w:ascii="Arial" w:eastAsia="Times New Roman" w:hAnsi="Arial" w:cs="Arial"/>
          <w:kern w:val="0"/>
          <w:sz w:val="22"/>
          <w:szCs w:val="22"/>
          <w:lang w:eastAsia="en-GB"/>
          <w14:ligatures w14:val="none"/>
        </w:rPr>
        <w:t xml:space="preserve">cisnormative assumptions that conflate </w:t>
      </w:r>
      <w:r w:rsidR="005C4AF2" w:rsidRPr="00D50835">
        <w:rPr>
          <w:rFonts w:ascii="Arial" w:eastAsia="Times New Roman" w:hAnsi="Arial" w:cs="Arial"/>
          <w:kern w:val="0"/>
          <w:sz w:val="22"/>
          <w:szCs w:val="22"/>
          <w:lang w:eastAsia="en-GB"/>
          <w14:ligatures w14:val="none"/>
        </w:rPr>
        <w:t>the technical aspects of vocal production</w:t>
      </w:r>
      <w:r w:rsidRPr="00D50835">
        <w:rPr>
          <w:rFonts w:ascii="Arial" w:eastAsia="Times New Roman" w:hAnsi="Arial" w:cs="Arial"/>
          <w:kern w:val="0"/>
          <w:sz w:val="22"/>
          <w:szCs w:val="22"/>
          <w:lang w:eastAsia="en-GB"/>
          <w14:ligatures w14:val="none"/>
        </w:rPr>
        <w:t xml:space="preserve"> with binary categories of gender</w:t>
      </w:r>
      <w:r w:rsidR="005C4AF2" w:rsidRPr="00D50835">
        <w:rPr>
          <w:rFonts w:ascii="Arial" w:eastAsia="Times New Roman" w:hAnsi="Arial" w:cs="Arial"/>
          <w:kern w:val="0"/>
          <w:sz w:val="22"/>
          <w:szCs w:val="22"/>
          <w:lang w:eastAsia="en-GB"/>
          <w14:ligatures w14:val="none"/>
        </w:rPr>
        <w:t xml:space="preserve"> (</w:t>
      </w:r>
      <w:r w:rsidR="005C4AF2" w:rsidRPr="00D50835">
        <w:rPr>
          <w:rFonts w:ascii="Arial" w:hAnsi="Arial" w:cs="Arial"/>
          <w:color w:val="212121"/>
          <w:sz w:val="22"/>
          <w:szCs w:val="22"/>
          <w:shd w:val="clear" w:color="auto" w:fill="FFFFFF"/>
        </w:rPr>
        <w:t>Marchand Knight, Sares, and Deroche, 2023)</w:t>
      </w:r>
      <w:r w:rsidRPr="00D50835">
        <w:rPr>
          <w:rFonts w:ascii="Arial" w:eastAsia="Times New Roman" w:hAnsi="Arial" w:cs="Arial"/>
          <w:kern w:val="0"/>
          <w:sz w:val="22"/>
          <w:szCs w:val="22"/>
          <w:lang w:eastAsia="en-GB"/>
          <w14:ligatures w14:val="none"/>
        </w:rPr>
        <w:t xml:space="preserve">. This approach also presumes fixed relationships between vocality and character identity (Moore &amp; Bergman, 2016; Balk, 1985). </w:t>
      </w:r>
      <w:r w:rsidR="005C4AF2" w:rsidRPr="00D50835">
        <w:rPr>
          <w:rFonts w:ascii="Arial" w:eastAsia="Times New Roman" w:hAnsi="Arial" w:cs="Arial"/>
          <w:kern w:val="0"/>
          <w:sz w:val="22"/>
          <w:szCs w:val="22"/>
          <w:lang w:eastAsia="en-GB"/>
          <w14:ligatures w14:val="none"/>
        </w:rPr>
        <w:t>T</w:t>
      </w:r>
      <w:r w:rsidRPr="00D50835">
        <w:rPr>
          <w:rFonts w:ascii="Arial" w:eastAsia="Times New Roman" w:hAnsi="Arial" w:cs="Arial"/>
          <w:kern w:val="0"/>
          <w:sz w:val="22"/>
          <w:szCs w:val="22"/>
          <w:lang w:eastAsia="en-GB"/>
          <w14:ligatures w14:val="none"/>
        </w:rPr>
        <w:t>hese foundational premises</w:t>
      </w:r>
      <w:r w:rsidR="005C4AF2" w:rsidRPr="00D50835">
        <w:rPr>
          <w:rFonts w:ascii="Arial" w:eastAsia="Times New Roman" w:hAnsi="Arial" w:cs="Arial"/>
          <w:kern w:val="0"/>
          <w:sz w:val="22"/>
          <w:szCs w:val="22"/>
          <w:lang w:eastAsia="en-GB"/>
          <w14:ligatures w14:val="none"/>
        </w:rPr>
        <w:t>, in turn,</w:t>
      </w:r>
      <w:r w:rsidRPr="00D50835">
        <w:rPr>
          <w:rFonts w:ascii="Arial" w:eastAsia="Times New Roman" w:hAnsi="Arial" w:cs="Arial"/>
          <w:kern w:val="0"/>
          <w:sz w:val="22"/>
          <w:szCs w:val="22"/>
          <w:lang w:eastAsia="en-GB"/>
          <w14:ligatures w14:val="none"/>
        </w:rPr>
        <w:t xml:space="preserve"> systematically exclude or marginalise performers whose lived experiences challenge gender binaries.</w:t>
      </w:r>
      <w:r w:rsidR="005C4AF2" w:rsidRPr="00D50835">
        <w:rPr>
          <w:rFonts w:ascii="Arial" w:eastAsia="Times New Roman" w:hAnsi="Arial" w:cs="Arial"/>
          <w:kern w:val="0"/>
          <w:sz w:val="22"/>
          <w:szCs w:val="22"/>
          <w:lang w:eastAsia="en-GB"/>
          <w14:ligatures w14:val="none"/>
        </w:rPr>
        <w:t xml:space="preserve"> </w:t>
      </w:r>
      <w:r w:rsidRPr="00D50835">
        <w:rPr>
          <w:rFonts w:ascii="Arial" w:eastAsia="Times New Roman" w:hAnsi="Arial" w:cs="Arial"/>
          <w:kern w:val="0"/>
          <w:sz w:val="22"/>
          <w:szCs w:val="22"/>
          <w:lang w:eastAsia="en-GB"/>
          <w14:ligatures w14:val="none"/>
        </w:rPr>
        <w:t>The existing literature provides insufficient support for performers undergoing gender transition, vocal transformation, or those experiencing misalignment with traditional repertoire (Harvard, 2014; Allen, 2022). Although there has been a gradual incorporation of inclusive repertoire by some educators, the fundamental structure of ATS pedagogy remains largely unchanged. Therefore, adult transgender performers</w:t>
      </w:r>
      <w:r w:rsidR="005C4AF2" w:rsidRPr="00D50835">
        <w:rPr>
          <w:rFonts w:ascii="Arial" w:eastAsia="Times New Roman" w:hAnsi="Arial" w:cs="Arial"/>
          <w:kern w:val="0"/>
          <w:sz w:val="22"/>
          <w:szCs w:val="22"/>
          <w:lang w:eastAsia="en-GB"/>
          <w14:ligatures w14:val="none"/>
        </w:rPr>
        <w:t xml:space="preserve">, </w:t>
      </w:r>
      <w:r w:rsidRPr="00D50835">
        <w:rPr>
          <w:rFonts w:ascii="Arial" w:eastAsia="Times New Roman" w:hAnsi="Arial" w:cs="Arial"/>
          <w:kern w:val="0"/>
          <w:sz w:val="22"/>
          <w:szCs w:val="22"/>
          <w:lang w:eastAsia="en-GB"/>
          <w14:ligatures w14:val="none"/>
        </w:rPr>
        <w:t>especially those who are undergoing hormonal or surgical transitions</w:t>
      </w:r>
      <w:r w:rsidR="005C4AF2" w:rsidRPr="00D50835">
        <w:rPr>
          <w:rFonts w:ascii="Arial" w:eastAsia="Times New Roman" w:hAnsi="Arial" w:cs="Arial"/>
          <w:kern w:val="0"/>
          <w:sz w:val="22"/>
          <w:szCs w:val="22"/>
          <w:lang w:eastAsia="en-GB"/>
          <w14:ligatures w14:val="none"/>
        </w:rPr>
        <w:t xml:space="preserve">, </w:t>
      </w:r>
      <w:r w:rsidRPr="00D50835">
        <w:rPr>
          <w:rFonts w:ascii="Arial" w:eastAsia="Times New Roman" w:hAnsi="Arial" w:cs="Arial"/>
          <w:kern w:val="0"/>
          <w:sz w:val="22"/>
          <w:szCs w:val="22"/>
          <w:lang w:eastAsia="en-GB"/>
          <w14:ligatures w14:val="none"/>
        </w:rPr>
        <w:t>face significant obstacles in emotional, technical, and institutional contexts when seeking supportive training opportunities (Davies, Papp &amp; Antoni, 2015; Jones &amp; Zhang, 2021).</w:t>
      </w:r>
      <w:r w:rsidR="005C4AF2" w:rsidRPr="00D50835">
        <w:rPr>
          <w:rFonts w:ascii="Arial" w:eastAsia="Times New Roman" w:hAnsi="Arial" w:cs="Arial"/>
          <w:kern w:val="0"/>
          <w:sz w:val="22"/>
          <w:szCs w:val="22"/>
          <w:lang w:eastAsia="en-GB"/>
          <w14:ligatures w14:val="none"/>
        </w:rPr>
        <w:t xml:space="preserve"> </w:t>
      </w:r>
      <w:r w:rsidRPr="00D50835">
        <w:rPr>
          <w:rFonts w:ascii="Arial" w:eastAsia="Times New Roman" w:hAnsi="Arial" w:cs="Arial"/>
          <w:kern w:val="0"/>
          <w:sz w:val="22"/>
          <w:szCs w:val="22"/>
          <w:lang w:eastAsia="en-GB"/>
          <w14:ligatures w14:val="none"/>
        </w:rPr>
        <w:t xml:space="preserve">This research seeks </w:t>
      </w:r>
      <w:r w:rsidR="005C4AF2" w:rsidRPr="00D50835">
        <w:rPr>
          <w:rFonts w:ascii="Arial" w:eastAsia="Times New Roman" w:hAnsi="Arial" w:cs="Arial"/>
          <w:kern w:val="0"/>
          <w:sz w:val="22"/>
          <w:szCs w:val="22"/>
          <w:lang w:eastAsia="en-GB"/>
          <w14:ligatures w14:val="none"/>
        </w:rPr>
        <w:t>to address the issues outlined</w:t>
      </w:r>
      <w:r w:rsidRPr="00D50835">
        <w:rPr>
          <w:rFonts w:ascii="Arial" w:eastAsia="Times New Roman" w:hAnsi="Arial" w:cs="Arial"/>
          <w:kern w:val="0"/>
          <w:sz w:val="22"/>
          <w:szCs w:val="22"/>
          <w:lang w:eastAsia="en-GB"/>
          <w14:ligatures w14:val="none"/>
        </w:rPr>
        <w:t xml:space="preserve"> by exploring the question: In what ways does Acting Through Song act as a resource for adult transgender musical theatre performers as they confront vocal, emotional, and systemic challenges within their training and performance environments? The study </w:t>
      </w:r>
      <w:r w:rsidR="005C4AF2" w:rsidRPr="00D50835">
        <w:rPr>
          <w:rFonts w:ascii="Arial" w:eastAsia="Times New Roman" w:hAnsi="Arial" w:cs="Arial"/>
          <w:kern w:val="0"/>
          <w:sz w:val="22"/>
          <w:szCs w:val="22"/>
          <w:lang w:eastAsia="en-GB"/>
          <w14:ligatures w14:val="none"/>
        </w:rPr>
        <w:t>repositions</w:t>
      </w:r>
      <w:r w:rsidRPr="00D50835">
        <w:rPr>
          <w:rFonts w:ascii="Arial" w:eastAsia="Times New Roman" w:hAnsi="Arial" w:cs="Arial"/>
          <w:kern w:val="0"/>
          <w:sz w:val="22"/>
          <w:szCs w:val="22"/>
          <w:lang w:eastAsia="en-GB"/>
          <w14:ligatures w14:val="none"/>
        </w:rPr>
        <w:t xml:space="preserve"> ATS beyond a performance methodology</w:t>
      </w:r>
      <w:r w:rsidR="005C4AF2" w:rsidRPr="00D50835">
        <w:rPr>
          <w:rFonts w:ascii="Arial" w:eastAsia="Times New Roman" w:hAnsi="Arial" w:cs="Arial"/>
          <w:kern w:val="0"/>
          <w:sz w:val="22"/>
          <w:szCs w:val="22"/>
          <w:lang w:eastAsia="en-GB"/>
          <w14:ligatures w14:val="none"/>
        </w:rPr>
        <w:t>,</w:t>
      </w:r>
      <w:r w:rsidRPr="00D50835">
        <w:rPr>
          <w:rFonts w:ascii="Arial" w:eastAsia="Times New Roman" w:hAnsi="Arial" w:cs="Arial"/>
          <w:kern w:val="0"/>
          <w:sz w:val="22"/>
          <w:szCs w:val="22"/>
          <w:lang w:eastAsia="en-GB"/>
          <w14:ligatures w14:val="none"/>
        </w:rPr>
        <w:t xml:space="preserve"> examining its potential for identity integration and pedagogical transformation. </w:t>
      </w:r>
      <w:r w:rsidR="005C4AF2" w:rsidRPr="00D50835">
        <w:rPr>
          <w:rFonts w:ascii="Arial" w:eastAsia="Times New Roman" w:hAnsi="Arial" w:cs="Arial"/>
          <w:kern w:val="0"/>
          <w:sz w:val="22"/>
          <w:szCs w:val="22"/>
          <w:lang w:eastAsia="en-GB"/>
          <w14:ligatures w14:val="none"/>
        </w:rPr>
        <w:t xml:space="preserve">The critical analysis begins with a literature review of the phenomenology of gender constructivism (de Beauvoir, 1949), </w:t>
      </w:r>
      <w:r w:rsidR="005C4AF2" w:rsidRPr="00D50835">
        <w:rPr>
          <w:rFonts w:ascii="Arial" w:hAnsi="Arial" w:cs="Arial"/>
          <w:color w:val="000000"/>
          <w:sz w:val="22"/>
          <w:szCs w:val="22"/>
        </w:rPr>
        <w:t>examining how voice and identity are socially situated and experientially embodied. Through critical engagement with gender theory and inclusive pedagogical frameworks, it explores how ATS serves as a transformative space for reclaiming vocal identity and narrative agency. While overt prejudice is not always present, non-binary performers remain systematically excluded by vocal pedagogical structures which fail to account for gender spectra (Azul, 2015; Thorpe, 2019). This manifests in practices such as miscasting, misgendering, and role allocation based on pre-transition vocal classifications rather than lived identities or expressive intent (Zimman, 2017; Jones &amp; Zhang, 2021).</w:t>
      </w:r>
      <w:r w:rsidRPr="00D50835">
        <w:rPr>
          <w:rFonts w:ascii="Arial" w:eastAsia="Times New Roman" w:hAnsi="Arial" w:cs="Arial"/>
          <w:kern w:val="0"/>
          <w:sz w:val="22"/>
          <w:szCs w:val="22"/>
          <w:lang w:eastAsia="en-GB"/>
          <w14:ligatures w14:val="none"/>
        </w:rPr>
        <w:t xml:space="preserve"> Given that ATS </w:t>
      </w:r>
      <w:r w:rsidR="005C4AF2" w:rsidRPr="00D50835">
        <w:rPr>
          <w:rFonts w:ascii="Arial" w:eastAsia="Times New Roman" w:hAnsi="Arial" w:cs="Arial"/>
          <w:kern w:val="0"/>
          <w:sz w:val="22"/>
          <w:szCs w:val="22"/>
          <w:lang w:eastAsia="en-GB"/>
          <w14:ligatures w14:val="none"/>
        </w:rPr>
        <w:t xml:space="preserve">represents a synthesis of </w:t>
      </w:r>
      <w:r w:rsidRPr="00D50835">
        <w:rPr>
          <w:rFonts w:ascii="Arial" w:eastAsia="Times New Roman" w:hAnsi="Arial" w:cs="Arial"/>
          <w:kern w:val="0"/>
          <w:sz w:val="22"/>
          <w:szCs w:val="22"/>
          <w:lang w:eastAsia="en-GB"/>
          <w14:ligatures w14:val="none"/>
        </w:rPr>
        <w:t>technical and emotional elements</w:t>
      </w:r>
      <w:r w:rsidR="005C4AF2" w:rsidRPr="00D50835">
        <w:rPr>
          <w:rFonts w:ascii="Arial" w:eastAsia="Times New Roman" w:hAnsi="Arial" w:cs="Arial"/>
          <w:kern w:val="0"/>
          <w:sz w:val="22"/>
          <w:szCs w:val="22"/>
          <w:lang w:eastAsia="en-GB"/>
          <w14:ligatures w14:val="none"/>
        </w:rPr>
        <w:t xml:space="preserve"> (Craig, 1990)</w:t>
      </w:r>
      <w:r w:rsidRPr="00D50835">
        <w:rPr>
          <w:rFonts w:ascii="Arial" w:eastAsia="Times New Roman" w:hAnsi="Arial" w:cs="Arial"/>
          <w:kern w:val="0"/>
          <w:sz w:val="22"/>
          <w:szCs w:val="22"/>
          <w:lang w:eastAsia="en-GB"/>
          <w14:ligatures w14:val="none"/>
        </w:rPr>
        <w:t>, this methodology presents significant opportunities for re-</w:t>
      </w:r>
      <w:r w:rsidR="005C4AF2" w:rsidRPr="00D50835">
        <w:rPr>
          <w:rFonts w:ascii="Arial" w:eastAsia="Times New Roman" w:hAnsi="Arial" w:cs="Arial"/>
          <w:kern w:val="0"/>
          <w:sz w:val="22"/>
          <w:szCs w:val="22"/>
          <w:lang w:eastAsia="en-GB"/>
          <w14:ligatures w14:val="none"/>
        </w:rPr>
        <w:t xml:space="preserve"> and</w:t>
      </w:r>
      <w:r w:rsidRPr="00D50835">
        <w:rPr>
          <w:rFonts w:ascii="Arial" w:eastAsia="Times New Roman" w:hAnsi="Arial" w:cs="Arial"/>
          <w:kern w:val="0"/>
          <w:sz w:val="22"/>
          <w:szCs w:val="22"/>
          <w:lang w:eastAsia="en-GB"/>
          <w14:ligatures w14:val="none"/>
        </w:rPr>
        <w:t xml:space="preserve"> disrupt</w:t>
      </w:r>
      <w:r w:rsidR="005C4AF2" w:rsidRPr="00D50835">
        <w:rPr>
          <w:rFonts w:ascii="Arial" w:eastAsia="Times New Roman" w:hAnsi="Arial" w:cs="Arial"/>
          <w:kern w:val="0"/>
          <w:sz w:val="22"/>
          <w:szCs w:val="22"/>
          <w:lang w:eastAsia="en-GB"/>
          <w14:ligatures w14:val="none"/>
        </w:rPr>
        <w:t>ing</w:t>
      </w:r>
      <w:r w:rsidRPr="00D50835">
        <w:rPr>
          <w:rFonts w:ascii="Arial" w:eastAsia="Times New Roman" w:hAnsi="Arial" w:cs="Arial"/>
          <w:kern w:val="0"/>
          <w:sz w:val="22"/>
          <w:szCs w:val="22"/>
          <w:lang w:eastAsia="en-GB"/>
          <w14:ligatures w14:val="none"/>
        </w:rPr>
        <w:t xml:space="preserve"> normative assumptions</w:t>
      </w:r>
      <w:r w:rsidR="005C4AF2" w:rsidRPr="00D50835">
        <w:rPr>
          <w:rFonts w:ascii="Arial" w:eastAsia="Times New Roman" w:hAnsi="Arial" w:cs="Arial"/>
          <w:kern w:val="0"/>
          <w:sz w:val="22"/>
          <w:szCs w:val="22"/>
          <w:lang w:eastAsia="en-GB"/>
          <w14:ligatures w14:val="none"/>
        </w:rPr>
        <w:t xml:space="preserve">. </w:t>
      </w:r>
      <w:r w:rsidR="005C4AF2" w:rsidRPr="00D50835">
        <w:rPr>
          <w:rFonts w:ascii="Arial" w:eastAsia="Times New Roman" w:hAnsi="Arial" w:cs="Arial"/>
          <w:kern w:val="0"/>
          <w:sz w:val="22"/>
          <w:szCs w:val="22"/>
          <w:lang w:eastAsia="en-GB"/>
          <w14:ligatures w14:val="none"/>
        </w:rPr>
        <w:lastRenderedPageBreak/>
        <w:t>This approach is grounded in Butler's (1990) concept of gender performativity, which frames gender as a series of repeated social acts, including vocal expression. Halberstam (2005) further suggests that performance spaces can act as experimental arenas where normative identity categories are suspended or reimagined. Within this framework, voice operates as both an expression of gender and a performative construct, particularly for those whose lived experiences resist cisnormative definitions. ATS emerges not only as a site for character development but also as a rehearsal space for identity exploration, reconfiguration, and affirmation.</w:t>
      </w:r>
    </w:p>
    <w:p w14:paraId="77047754" w14:textId="77512CD5" w:rsidR="005C4AF2" w:rsidRPr="00D50835" w:rsidRDefault="00000000"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t xml:space="preserve">This research approach is </w:t>
      </w:r>
      <w:r w:rsidR="00C40366" w:rsidRPr="00D50835">
        <w:rPr>
          <w:rFonts w:ascii="Arial" w:eastAsia="Times New Roman" w:hAnsi="Arial" w:cs="Arial"/>
          <w:kern w:val="0"/>
          <w:sz w:val="22"/>
          <w:szCs w:val="22"/>
          <w:lang w:eastAsia="en-GB"/>
          <w14:ligatures w14:val="none"/>
        </w:rPr>
        <w:t>informed by my professional experience as a trans voice specialist and educator in musical theatre.</w:t>
      </w:r>
      <w:r w:rsidRPr="00D50835">
        <w:rPr>
          <w:rFonts w:ascii="Arial" w:eastAsia="Times New Roman" w:hAnsi="Arial" w:cs="Arial"/>
          <w:kern w:val="0"/>
          <w:sz w:val="22"/>
          <w:szCs w:val="22"/>
          <w:lang w:eastAsia="en-GB"/>
          <w14:ligatures w14:val="none"/>
        </w:rPr>
        <w:t xml:space="preserve"> I</w:t>
      </w:r>
      <w:r w:rsidR="00C40366" w:rsidRPr="00D50835">
        <w:rPr>
          <w:rFonts w:ascii="Arial" w:eastAsia="Times New Roman" w:hAnsi="Arial" w:cs="Arial"/>
          <w:kern w:val="0"/>
          <w:sz w:val="22"/>
          <w:szCs w:val="22"/>
          <w:lang w:eastAsia="en-GB"/>
          <w14:ligatures w14:val="none"/>
        </w:rPr>
        <w:t>n both conservatoire and industry contexts, I have observed a profound connection between vocal identity and psychological safety,</w:t>
      </w:r>
      <w:r w:rsidRPr="00D50835">
        <w:rPr>
          <w:rFonts w:ascii="Arial" w:eastAsia="Times New Roman" w:hAnsi="Arial" w:cs="Arial"/>
          <w:kern w:val="0"/>
          <w:sz w:val="22"/>
          <w:szCs w:val="22"/>
          <w:lang w:eastAsia="en-GB"/>
          <w14:ligatures w14:val="none"/>
        </w:rPr>
        <w:t xml:space="preserve"> particularly</w:t>
      </w:r>
      <w:r w:rsidR="00C40366" w:rsidRPr="00D50835">
        <w:rPr>
          <w:rFonts w:ascii="Arial" w:eastAsia="Times New Roman" w:hAnsi="Arial" w:cs="Arial"/>
          <w:kern w:val="0"/>
          <w:sz w:val="22"/>
          <w:szCs w:val="22"/>
          <w:lang w:eastAsia="en-GB"/>
          <w14:ligatures w14:val="none"/>
        </w:rPr>
        <w:t xml:space="preserve"> individual wellbeing, and artistic expression. Transgender and non-binary students frequently approach Applied Theatre Studies sessions with concerns regarding issues of misrecognition, exclusion, or emotional vulnerability in environments lacking adequate support. Conventional</w:t>
      </w:r>
      <w:r w:rsidRPr="00D50835">
        <w:rPr>
          <w:rFonts w:ascii="Arial" w:eastAsia="Times New Roman" w:hAnsi="Arial" w:cs="Arial"/>
          <w:kern w:val="0"/>
          <w:sz w:val="22"/>
          <w:szCs w:val="22"/>
          <w:lang w:eastAsia="en-GB"/>
          <w14:ligatures w14:val="none"/>
        </w:rPr>
        <w:t xml:space="preserve"> pedagogies</w:t>
      </w:r>
      <w:r w:rsidR="00C40366" w:rsidRPr="00D50835">
        <w:rPr>
          <w:rFonts w:ascii="Arial" w:eastAsia="Times New Roman" w:hAnsi="Arial" w:cs="Arial"/>
          <w:kern w:val="0"/>
          <w:sz w:val="22"/>
          <w:szCs w:val="22"/>
          <w:lang w:eastAsia="en-GB"/>
          <w14:ligatures w14:val="none"/>
        </w:rPr>
        <w:t xml:space="preserve"> </w:t>
      </w:r>
      <w:r w:rsidRPr="00D50835">
        <w:rPr>
          <w:rFonts w:ascii="Arial" w:eastAsia="Times New Roman" w:hAnsi="Arial" w:cs="Arial"/>
          <w:kern w:val="0"/>
          <w:sz w:val="22"/>
          <w:szCs w:val="22"/>
          <w:lang w:eastAsia="en-GB"/>
          <w14:ligatures w14:val="none"/>
        </w:rPr>
        <w:t>rarely</w:t>
      </w:r>
      <w:r w:rsidR="00C40366" w:rsidRPr="00D50835">
        <w:rPr>
          <w:rFonts w:ascii="Arial" w:eastAsia="Times New Roman" w:hAnsi="Arial" w:cs="Arial"/>
          <w:kern w:val="0"/>
          <w:sz w:val="22"/>
          <w:szCs w:val="22"/>
          <w:lang w:eastAsia="en-GB"/>
          <w14:ligatures w14:val="none"/>
        </w:rPr>
        <w:t xml:space="preserve"> address these complexities; instead, they tend to </w:t>
      </w:r>
      <w:r w:rsidRPr="00D50835">
        <w:rPr>
          <w:rFonts w:ascii="Arial" w:eastAsia="Times New Roman" w:hAnsi="Arial" w:cs="Arial"/>
          <w:kern w:val="0"/>
          <w:sz w:val="22"/>
          <w:szCs w:val="22"/>
          <w:lang w:eastAsia="en-GB"/>
          <w14:ligatures w14:val="none"/>
        </w:rPr>
        <w:t>assume</w:t>
      </w:r>
      <w:r w:rsidR="00C40366" w:rsidRPr="00D50835">
        <w:rPr>
          <w:rFonts w:ascii="Arial" w:eastAsia="Times New Roman" w:hAnsi="Arial" w:cs="Arial"/>
          <w:kern w:val="0"/>
          <w:sz w:val="22"/>
          <w:szCs w:val="22"/>
          <w:lang w:eastAsia="en-GB"/>
          <w14:ligatures w14:val="none"/>
        </w:rPr>
        <w:t xml:space="preserve"> fixed relationships between vocal range, role, and register (Fook &amp; Askeland, 2006; Charmaz, 2014). </w:t>
      </w:r>
    </w:p>
    <w:p w14:paraId="0162D578" w14:textId="77777777" w:rsidR="00C40366" w:rsidRPr="00D50835" w:rsidRDefault="00000000"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t>Calling on intersectional pedagogies (Symonds &amp; Taylor, 2014; Daykin, 2020), this study bridges theoretical knowledge with lived experience to develop evidence-based, inclusive practices. Its goal is not simply to incorporate trans voices into existing frameworks, but to critically re-evaluate ATS itself, identifying ways current methodologies may marginalise performers whose vocal and gender identities diverge from normative expectations. Drawing on intersectional pedagogy, trans studies, and performance theory, this research responds to broader calls for anti-oppressive educational practices in the performing arts (Symonds &amp; Taylor, 2014; Daykin, 2020). This methodology also plays a significant role in ongoing discussions regarding representation in musical theatre. This document asserts that Acting Through Song (ATS) needs to progress beyond its existing dependence on limiting binary frameworks. The emphasis should be redirected toward the cultivation of transformative practices that prioritise authenticity, acknowledge the entire range of vocal expression, and incorporate inclusivity as a fundamental pedagogical principle.</w:t>
      </w:r>
    </w:p>
    <w:p w14:paraId="47A40B20" w14:textId="77777777" w:rsidR="00C40366" w:rsidRPr="00D50835" w:rsidRDefault="00C40366" w:rsidP="00D50835">
      <w:pPr>
        <w:spacing w:line="360" w:lineRule="auto"/>
        <w:jc w:val="both"/>
        <w:rPr>
          <w:rFonts w:ascii="Arial" w:eastAsia="Times New Roman" w:hAnsi="Arial" w:cs="Arial"/>
          <w:kern w:val="0"/>
          <w:sz w:val="22"/>
          <w:szCs w:val="22"/>
          <w:lang w:eastAsia="en-GB"/>
          <w14:ligatures w14:val="none"/>
        </w:rPr>
      </w:pPr>
    </w:p>
    <w:p w14:paraId="7B4B9CBF" w14:textId="77777777" w:rsidR="005D350F" w:rsidRPr="00D50835" w:rsidRDefault="00000000" w:rsidP="00D50835">
      <w:pPr>
        <w:spacing w:line="360" w:lineRule="auto"/>
        <w:jc w:val="both"/>
        <w:rPr>
          <w:rFonts w:ascii="Arial" w:eastAsia="Times New Roman" w:hAnsi="Arial" w:cs="Arial"/>
          <w:b/>
          <w:bCs/>
          <w:kern w:val="0"/>
          <w:sz w:val="22"/>
          <w:szCs w:val="22"/>
          <w:lang w:eastAsia="en-GB"/>
          <w14:ligatures w14:val="none"/>
        </w:rPr>
      </w:pPr>
      <w:r w:rsidRPr="00D50835">
        <w:rPr>
          <w:rFonts w:ascii="Arial" w:eastAsia="Times New Roman" w:hAnsi="Arial" w:cs="Arial"/>
          <w:b/>
          <w:bCs/>
          <w:kern w:val="0"/>
          <w:sz w:val="22"/>
          <w:szCs w:val="22"/>
          <w:lang w:eastAsia="en-GB"/>
          <w14:ligatures w14:val="none"/>
        </w:rPr>
        <w:t>Section B: Planned Programme of Study</w:t>
      </w:r>
    </w:p>
    <w:p w14:paraId="359F7800" w14:textId="77777777" w:rsidR="00BE3F6F" w:rsidRDefault="00BE3F6F" w:rsidP="00BE3F6F">
      <w:pPr>
        <w:spacing w:line="360" w:lineRule="auto"/>
        <w:jc w:val="both"/>
        <w:rPr>
          <w:rFonts w:ascii="Arial" w:eastAsia="Times New Roman" w:hAnsi="Arial" w:cs="Arial"/>
          <w:b/>
          <w:bCs/>
          <w:kern w:val="0"/>
          <w:sz w:val="22"/>
          <w:szCs w:val="22"/>
          <w:lang w:eastAsia="en-GB"/>
          <w14:ligatures w14:val="none"/>
        </w:rPr>
      </w:pPr>
    </w:p>
    <w:p w14:paraId="34C91F9B" w14:textId="77777777" w:rsidR="00BE3F6F" w:rsidRDefault="00000000" w:rsidP="00BE3F6F">
      <w:pPr>
        <w:spacing w:line="360" w:lineRule="auto"/>
        <w:jc w:val="both"/>
        <w:rPr>
          <w:rFonts w:ascii="Arial" w:eastAsia="Times New Roman" w:hAnsi="Arial" w:cs="Arial"/>
          <w:b/>
          <w:bCs/>
          <w:kern w:val="0"/>
          <w:sz w:val="22"/>
          <w:szCs w:val="22"/>
          <w:lang w:eastAsia="en-GB"/>
          <w14:ligatures w14:val="none"/>
        </w:rPr>
      </w:pPr>
      <w:r w:rsidRPr="00D50835">
        <w:rPr>
          <w:rFonts w:ascii="Arial" w:eastAsia="Times New Roman" w:hAnsi="Arial" w:cs="Arial"/>
          <w:b/>
          <w:bCs/>
          <w:kern w:val="0"/>
          <w:sz w:val="22"/>
          <w:szCs w:val="22"/>
          <w:lang w:eastAsia="en-GB"/>
          <w14:ligatures w14:val="none"/>
        </w:rPr>
        <w:t>Overview and Rationale</w:t>
      </w:r>
    </w:p>
    <w:p w14:paraId="0D9A6E50" w14:textId="41CB715F" w:rsidR="005C4AF2" w:rsidRPr="00BE3F6F" w:rsidRDefault="00000000" w:rsidP="00BE3F6F">
      <w:pPr>
        <w:spacing w:line="360" w:lineRule="auto"/>
        <w:jc w:val="both"/>
        <w:rPr>
          <w:rFonts w:ascii="Arial" w:eastAsia="Times New Roman" w:hAnsi="Arial" w:cs="Arial"/>
          <w:b/>
          <w:bCs/>
          <w:kern w:val="0"/>
          <w:sz w:val="22"/>
          <w:szCs w:val="22"/>
          <w:lang w:eastAsia="en-GB"/>
          <w14:ligatures w14:val="none"/>
        </w:rPr>
      </w:pPr>
      <w:r w:rsidRPr="00D50835">
        <w:rPr>
          <w:rFonts w:ascii="Arial" w:eastAsia="Times New Roman" w:hAnsi="Arial" w:cs="Arial"/>
          <w:color w:val="000000"/>
          <w:kern w:val="0"/>
          <w:sz w:val="22"/>
          <w:szCs w:val="22"/>
          <w:lang w:eastAsia="en-GB"/>
          <w14:ligatures w14:val="none"/>
        </w:rPr>
        <w:t>This study employs a qualitative, mixed-methods approach, primarily grounded in constructivist grounded theory (Charmaz, 2014</w:t>
      </w:r>
      <w:r w:rsidR="00D50835" w:rsidRPr="00D50835">
        <w:rPr>
          <w:rFonts w:ascii="Arial" w:eastAsia="Times New Roman" w:hAnsi="Arial" w:cs="Arial"/>
          <w:color w:val="000000"/>
          <w:kern w:val="0"/>
          <w:sz w:val="22"/>
          <w:szCs w:val="22"/>
          <w:lang w:eastAsia="en-GB"/>
          <w14:ligatures w14:val="none"/>
        </w:rPr>
        <w:t>) and</w:t>
      </w:r>
      <w:r w:rsidRPr="00D50835">
        <w:rPr>
          <w:rFonts w:ascii="Arial" w:eastAsia="Times New Roman" w:hAnsi="Arial" w:cs="Arial"/>
          <w:color w:val="000000"/>
          <w:kern w:val="0"/>
          <w:sz w:val="22"/>
          <w:szCs w:val="22"/>
          <w:lang w:eastAsia="en-GB"/>
          <w14:ligatures w14:val="none"/>
        </w:rPr>
        <w:t xml:space="preserve"> is supported by a critical literature review </w:t>
      </w:r>
      <w:r w:rsidRPr="00D50835">
        <w:rPr>
          <w:rFonts w:ascii="Arial" w:eastAsia="Times New Roman" w:hAnsi="Arial" w:cs="Arial"/>
          <w:color w:val="000000"/>
          <w:kern w:val="0"/>
          <w:sz w:val="22"/>
          <w:szCs w:val="22"/>
          <w:lang w:eastAsia="en-GB"/>
          <w14:ligatures w14:val="none"/>
        </w:rPr>
        <w:lastRenderedPageBreak/>
        <w:t xml:space="preserve">and thematic synthesis (Braun &amp; Clarke, 2006). Initially, the research was conducted as an empirical, interview-based study; however, it shifted to a desk-based approach for pragmatic reasons and to achieve better theoretical alignment. This revised methodology better serves the project's goal of critically examining and reconstructing </w:t>
      </w:r>
      <w:r w:rsidRPr="00D50835">
        <w:rPr>
          <w:rFonts w:ascii="Arial" w:eastAsia="Times New Roman" w:hAnsi="Arial" w:cs="Arial"/>
          <w:i/>
          <w:iCs/>
          <w:color w:val="000000"/>
          <w:kern w:val="0"/>
          <w:sz w:val="22"/>
          <w:szCs w:val="22"/>
          <w:lang w:eastAsia="en-GB"/>
          <w14:ligatures w14:val="none"/>
        </w:rPr>
        <w:t>ATS</w:t>
      </w:r>
      <w:r w:rsidRPr="00D50835">
        <w:rPr>
          <w:rFonts w:ascii="Arial" w:eastAsia="Times New Roman" w:hAnsi="Arial" w:cs="Arial"/>
          <w:color w:val="000000"/>
          <w:kern w:val="0"/>
          <w:sz w:val="22"/>
          <w:szCs w:val="22"/>
          <w:lang w:eastAsia="en-GB"/>
          <w14:ligatures w14:val="none"/>
        </w:rPr>
        <w:t>pedagogy through interdisciplinary perspectives of voice and gender studies, musical theatre training, and performance theory.</w:t>
      </w:r>
    </w:p>
    <w:p w14:paraId="7886BCDD" w14:textId="77777777" w:rsidR="005C4AF2" w:rsidRPr="00D50835" w:rsidRDefault="00000000" w:rsidP="00D50835">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D50835">
        <w:rPr>
          <w:rFonts w:ascii="Arial" w:eastAsia="Times New Roman" w:hAnsi="Arial" w:cs="Arial"/>
          <w:color w:val="000000"/>
          <w:kern w:val="0"/>
          <w:sz w:val="22"/>
          <w:szCs w:val="22"/>
          <w:lang w:eastAsia="en-GB"/>
          <w14:ligatures w14:val="none"/>
        </w:rPr>
        <w:t>Drawing on constructivist and intersectional traditions (Charmaz, 2014; Creswell &amp; Poth, 2018), the research explores how ATS practices either reinforce or resist dominant assumptions about gender, voice, and identity. It is also informed by the reflective practitioner-researcher model (Schön, 1983; Fook &amp; Askeland, 2006), incorporating insights from my own practice as a trans voice specialist in inclusive musical theatre education.</w:t>
      </w:r>
    </w:p>
    <w:p w14:paraId="64086743" w14:textId="77777777" w:rsidR="005C4AF2" w:rsidRPr="00D50835" w:rsidRDefault="00000000" w:rsidP="00D50835">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D50835">
        <w:rPr>
          <w:rFonts w:ascii="Arial" w:eastAsia="Times New Roman" w:hAnsi="Arial" w:cs="Arial"/>
          <w:color w:val="000000"/>
          <w:kern w:val="0"/>
          <w:sz w:val="22"/>
          <w:szCs w:val="22"/>
          <w:lang w:eastAsia="en-GB"/>
          <w14:ligatures w14:val="none"/>
        </w:rPr>
        <w:t>Key theoretical sources include Butler's (1990) concept of gender performativity, Halberstam's (2005) notion of transgressive performance spaces, and scholarship on trans voice and pedagogy (Azul, 2015; Zimman, 2017; Davies, Papp, &amp; Antoni, 2015; Hancock &amp; Helenius, 2012). Pedagogical critiques draw from ATS and musical theatre literature (Balk, 1985; Harvard, 2014; Moore &amp; Bergman, 2016; Allen, 2022) alongside inclusive, trauma-informed frameworks (Daykin, 2020; Dixon, Lee &amp; Ghaye, 2015).</w:t>
      </w:r>
    </w:p>
    <w:p w14:paraId="316E74A5" w14:textId="77777777" w:rsidR="005C4AF2" w:rsidRPr="00D50835" w:rsidRDefault="00000000" w:rsidP="00D50835">
      <w:pPr>
        <w:spacing w:before="100" w:beforeAutospacing="1" w:after="100" w:afterAutospacing="1" w:line="360" w:lineRule="auto"/>
        <w:jc w:val="both"/>
        <w:outlineLvl w:val="2"/>
        <w:rPr>
          <w:rFonts w:ascii="Arial" w:eastAsia="Times New Roman" w:hAnsi="Arial" w:cs="Arial"/>
          <w:b/>
          <w:bCs/>
          <w:color w:val="000000"/>
          <w:kern w:val="0"/>
          <w:sz w:val="22"/>
          <w:szCs w:val="22"/>
          <w:lang w:eastAsia="en-GB"/>
          <w14:ligatures w14:val="none"/>
        </w:rPr>
      </w:pPr>
      <w:r w:rsidRPr="00D50835">
        <w:rPr>
          <w:rFonts w:ascii="Arial" w:eastAsia="Times New Roman" w:hAnsi="Arial" w:cs="Arial"/>
          <w:b/>
          <w:bCs/>
          <w:color w:val="000000"/>
          <w:kern w:val="0"/>
          <w:sz w:val="22"/>
          <w:szCs w:val="22"/>
          <w:lang w:eastAsia="en-GB"/>
          <w14:ligatures w14:val="none"/>
        </w:rPr>
        <w:t>Research Questions</w:t>
      </w:r>
    </w:p>
    <w:p w14:paraId="757DA8B8" w14:textId="77777777" w:rsidR="005C4AF2" w:rsidRPr="00D50835" w:rsidRDefault="00000000" w:rsidP="00D50835">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D50835">
        <w:rPr>
          <w:rFonts w:ascii="Arial" w:eastAsia="Times New Roman" w:hAnsi="Arial" w:cs="Arial"/>
          <w:color w:val="000000"/>
          <w:kern w:val="0"/>
          <w:sz w:val="22"/>
          <w:szCs w:val="22"/>
          <w:lang w:eastAsia="en-GB"/>
          <w14:ligatures w14:val="none"/>
        </w:rPr>
        <w:t>The study addresses the primary question:</w:t>
      </w:r>
    </w:p>
    <w:p w14:paraId="70BE7F52" w14:textId="77777777" w:rsidR="005C4AF2" w:rsidRPr="00D50835" w:rsidRDefault="00000000" w:rsidP="00D50835">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D50835">
        <w:rPr>
          <w:rFonts w:ascii="Arial" w:eastAsia="Times New Roman" w:hAnsi="Arial" w:cs="Arial"/>
          <w:color w:val="000000"/>
          <w:kern w:val="0"/>
          <w:sz w:val="22"/>
          <w:szCs w:val="22"/>
          <w:lang w:eastAsia="en-GB"/>
          <w14:ligatures w14:val="none"/>
        </w:rPr>
        <w:t>How can ATS pedagogy be developed to better support trans and non-binary performers in musical theatre training?</w:t>
      </w:r>
    </w:p>
    <w:p w14:paraId="57275CF5" w14:textId="77777777" w:rsidR="005C4AF2" w:rsidRPr="00D50835" w:rsidRDefault="00000000" w:rsidP="00D50835">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D50835">
        <w:rPr>
          <w:rFonts w:ascii="Arial" w:eastAsia="Times New Roman" w:hAnsi="Arial" w:cs="Arial"/>
          <w:color w:val="000000"/>
          <w:kern w:val="0"/>
          <w:sz w:val="22"/>
          <w:szCs w:val="22"/>
          <w:lang w:eastAsia="en-GB"/>
          <w14:ligatures w14:val="none"/>
        </w:rPr>
        <w:t>This is supported by three further questions:</w:t>
      </w:r>
    </w:p>
    <w:p w14:paraId="1C25F9B3" w14:textId="096E885E" w:rsidR="005C4AF2" w:rsidRPr="00D50835" w:rsidRDefault="00000000" w:rsidP="00D50835">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D50835">
        <w:rPr>
          <w:rFonts w:ascii="Arial" w:eastAsia="Times New Roman" w:hAnsi="Arial" w:cs="Arial"/>
          <w:color w:val="000000"/>
          <w:kern w:val="0"/>
          <w:sz w:val="22"/>
          <w:szCs w:val="22"/>
          <w:lang w:eastAsia="en-GB"/>
          <w14:ligatures w14:val="none"/>
        </w:rPr>
        <w:t xml:space="preserve">What limitations do current ATS methodologies present in terms of gender </w:t>
      </w:r>
      <w:r w:rsidR="00D50835" w:rsidRPr="00D50835">
        <w:rPr>
          <w:rFonts w:ascii="Arial" w:eastAsia="Times New Roman" w:hAnsi="Arial" w:cs="Arial"/>
          <w:color w:val="000000"/>
          <w:kern w:val="0"/>
          <w:sz w:val="22"/>
          <w:szCs w:val="22"/>
          <w:lang w:eastAsia="en-GB"/>
          <w14:ligatures w14:val="none"/>
        </w:rPr>
        <w:t>inclusivity?</w:t>
      </w:r>
    </w:p>
    <w:p w14:paraId="77E90192" w14:textId="77777777" w:rsidR="005C4AF2" w:rsidRPr="00D50835" w:rsidRDefault="00000000" w:rsidP="00D50835">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D50835">
        <w:rPr>
          <w:rFonts w:ascii="Arial" w:eastAsia="Times New Roman" w:hAnsi="Arial" w:cs="Arial"/>
          <w:color w:val="000000"/>
          <w:kern w:val="0"/>
          <w:sz w:val="22"/>
          <w:szCs w:val="22"/>
          <w:lang w:eastAsia="en-GB"/>
          <w14:ligatures w14:val="none"/>
        </w:rPr>
        <w:t>How do theories of gender performativity and vocal embodiment intersect with ATS?</w:t>
      </w:r>
    </w:p>
    <w:p w14:paraId="40EE2B0F" w14:textId="77777777" w:rsidR="005C4AF2" w:rsidRPr="00D50835" w:rsidRDefault="00000000" w:rsidP="00D50835">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D50835">
        <w:rPr>
          <w:rFonts w:ascii="Arial" w:eastAsia="Times New Roman" w:hAnsi="Arial" w:cs="Arial"/>
          <w:color w:val="000000"/>
          <w:kern w:val="0"/>
          <w:sz w:val="22"/>
          <w:szCs w:val="22"/>
          <w:lang w:eastAsia="en-GB"/>
          <w14:ligatures w14:val="none"/>
        </w:rPr>
        <w:t>Which pedagogical frameworks could inform more affirming and flexible approaches to ATS?</w:t>
      </w:r>
    </w:p>
    <w:p w14:paraId="0BF6C362" w14:textId="77777777" w:rsidR="005C4AF2" w:rsidRPr="00D50835" w:rsidRDefault="00000000" w:rsidP="00D50835">
      <w:pPr>
        <w:spacing w:before="100" w:beforeAutospacing="1" w:after="100" w:afterAutospacing="1" w:line="360" w:lineRule="auto"/>
        <w:jc w:val="both"/>
        <w:rPr>
          <w:rFonts w:ascii="Arial" w:eastAsia="Times New Roman" w:hAnsi="Arial" w:cs="Arial"/>
          <w:color w:val="000000"/>
          <w:kern w:val="0"/>
          <w:sz w:val="22"/>
          <w:szCs w:val="22"/>
          <w:lang w:eastAsia="en-GB"/>
          <w14:ligatures w14:val="none"/>
        </w:rPr>
      </w:pPr>
      <w:r w:rsidRPr="00D50835">
        <w:rPr>
          <w:rFonts w:ascii="Arial" w:eastAsia="Times New Roman" w:hAnsi="Arial" w:cs="Arial"/>
          <w:color w:val="000000"/>
          <w:kern w:val="0"/>
          <w:sz w:val="22"/>
          <w:szCs w:val="22"/>
          <w:lang w:eastAsia="en-GB"/>
          <w14:ligatures w14:val="none"/>
        </w:rPr>
        <w:t>Together, these questions guide a literature-based inquiry that aims to advance both academic insight and practical change.</w:t>
      </w:r>
    </w:p>
    <w:p w14:paraId="281A9969" w14:textId="77777777" w:rsidR="00D50835" w:rsidRDefault="00000000" w:rsidP="00D50835">
      <w:pPr>
        <w:spacing w:after="160" w:line="360" w:lineRule="auto"/>
        <w:jc w:val="both"/>
        <w:rPr>
          <w:rFonts w:ascii="Arial" w:hAnsi="Arial" w:cs="Arial"/>
          <w:sz w:val="22"/>
          <w:szCs w:val="22"/>
        </w:rPr>
      </w:pPr>
      <w:r w:rsidRPr="00D50835">
        <w:rPr>
          <w:rFonts w:ascii="Arial" w:hAnsi="Arial" w:cs="Arial"/>
          <w:sz w:val="22"/>
          <w:szCs w:val="22"/>
        </w:rPr>
        <w:lastRenderedPageBreak/>
        <w:t xml:space="preserve">Although practitioner interviews and questionnaires from Module 3 are not formally integrated as data, they have significantly influenced the interpretive lens applied to the literature. </w:t>
      </w:r>
      <w:r w:rsidR="005C4AF2" w:rsidRPr="00D50835">
        <w:rPr>
          <w:rFonts w:ascii="Arial" w:hAnsi="Arial" w:cs="Arial"/>
          <w:sz w:val="22"/>
          <w:szCs w:val="22"/>
        </w:rPr>
        <w:t>This ensures the research remains grounded in lived training experiences while avoiding unsupported claims. Incorporating primary research through my own experiences, the study critically evaluates existing pedagogical models and proposes inclusive, identity-affirming alternatives. In doing so, it aims to support curricular development and professional training strategies within musical theatre education.</w:t>
      </w:r>
    </w:p>
    <w:p w14:paraId="128518CC" w14:textId="52948E0E" w:rsidR="00FC6BD2" w:rsidRPr="00D50835" w:rsidRDefault="00000000" w:rsidP="00D50835">
      <w:pPr>
        <w:spacing w:after="160" w:line="360" w:lineRule="auto"/>
        <w:jc w:val="both"/>
        <w:rPr>
          <w:rFonts w:ascii="Arial" w:hAnsi="Arial" w:cs="Arial"/>
          <w:sz w:val="22"/>
          <w:szCs w:val="22"/>
        </w:rPr>
      </w:pPr>
      <w:r w:rsidRPr="00D50835">
        <w:rPr>
          <w:rFonts w:ascii="Arial" w:eastAsia="Times New Roman" w:hAnsi="Arial" w:cs="Arial"/>
          <w:b/>
          <w:bCs/>
          <w:kern w:val="0"/>
          <w:sz w:val="22"/>
          <w:szCs w:val="22"/>
          <w:lang w:eastAsia="en-GB"/>
          <w14:ligatures w14:val="none"/>
        </w:rPr>
        <w:t>Programme Structure</w:t>
      </w:r>
    </w:p>
    <w:p w14:paraId="1715030F" w14:textId="77777777" w:rsidR="00FC6BD2" w:rsidRDefault="00000000"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t>The study is organised into five overlapping phases, each contributing to the development of a trans-inclusive reimagining of ATS pedagogy:</w:t>
      </w:r>
    </w:p>
    <w:p w14:paraId="5F401201" w14:textId="77777777" w:rsidR="00BE3F6F" w:rsidRPr="00D50835" w:rsidRDefault="00BE3F6F" w:rsidP="00D50835">
      <w:pPr>
        <w:spacing w:line="360" w:lineRule="auto"/>
        <w:jc w:val="both"/>
        <w:rPr>
          <w:rFonts w:ascii="Arial" w:eastAsia="Times New Roman" w:hAnsi="Arial" w:cs="Arial"/>
          <w:kern w:val="0"/>
          <w:sz w:val="22"/>
          <w:szCs w:val="22"/>
          <w:lang w:eastAsia="en-GB"/>
          <w14:ligatures w14:val="none"/>
        </w:rPr>
      </w:pPr>
    </w:p>
    <w:p w14:paraId="1C230BBA" w14:textId="77777777" w:rsidR="00FC6BD2" w:rsidRPr="00D50835" w:rsidRDefault="00000000" w:rsidP="00D50835">
      <w:pPr>
        <w:spacing w:line="360" w:lineRule="auto"/>
        <w:jc w:val="both"/>
        <w:rPr>
          <w:rFonts w:ascii="Arial" w:hAnsi="Arial" w:cs="Arial"/>
          <w:sz w:val="22"/>
          <w:szCs w:val="22"/>
        </w:rPr>
      </w:pPr>
      <w:r w:rsidRPr="00D50835">
        <w:rPr>
          <w:rFonts w:ascii="Arial" w:hAnsi="Arial" w:cs="Arial"/>
          <w:noProof/>
          <w:sz w:val="22"/>
          <w:szCs w:val="22"/>
        </w:rPr>
        <w:drawing>
          <wp:inline distT="0" distB="0" distL="0" distR="0" wp14:anchorId="295B8290" wp14:editId="36AC9DAA">
            <wp:extent cx="5731510" cy="3605530"/>
            <wp:effectExtent l="0" t="0" r="2540" b="0"/>
            <wp:docPr id="14039203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3920321" name="Picture 292"/>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5731510" cy="3605530"/>
                    </a:xfrm>
                    <a:prstGeom prst="rect">
                      <a:avLst/>
                    </a:prstGeom>
                    <a:noFill/>
                    <a:ln>
                      <a:noFill/>
                    </a:ln>
                  </pic:spPr>
                </pic:pic>
              </a:graphicData>
            </a:graphic>
          </wp:inline>
        </w:drawing>
      </w:r>
    </w:p>
    <w:p w14:paraId="03764A06" w14:textId="77777777" w:rsidR="00D50835" w:rsidRPr="00D50835" w:rsidRDefault="00D50835" w:rsidP="00D50835">
      <w:pPr>
        <w:spacing w:line="360" w:lineRule="auto"/>
        <w:jc w:val="both"/>
        <w:rPr>
          <w:rFonts w:ascii="Arial" w:eastAsia="Times New Roman" w:hAnsi="Arial" w:cs="Arial"/>
          <w:b/>
          <w:bCs/>
          <w:kern w:val="0"/>
          <w:sz w:val="22"/>
          <w:szCs w:val="22"/>
          <w:lang w:eastAsia="en-GB"/>
          <w14:ligatures w14:val="none"/>
        </w:rPr>
      </w:pPr>
    </w:p>
    <w:p w14:paraId="078597AB" w14:textId="50C07C88" w:rsidR="00100006" w:rsidRPr="00D50835" w:rsidRDefault="00000000"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b/>
          <w:bCs/>
          <w:kern w:val="0"/>
          <w:sz w:val="22"/>
          <w:szCs w:val="22"/>
          <w:lang w:eastAsia="en-GB"/>
          <w14:ligatures w14:val="none"/>
        </w:rPr>
        <w:t>Reading and Research Materials</w:t>
      </w:r>
    </w:p>
    <w:p w14:paraId="2B183E55" w14:textId="77777777" w:rsidR="00100006" w:rsidRPr="00D50835" w:rsidRDefault="00000000"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t>Key sources include:</w:t>
      </w:r>
    </w:p>
    <w:p w14:paraId="5C1C1A18" w14:textId="77777777" w:rsidR="00100006" w:rsidRPr="00D50835" w:rsidRDefault="00000000" w:rsidP="00D50835">
      <w:pPr>
        <w:numPr>
          <w:ilvl w:val="0"/>
          <w:numId w:val="2"/>
        </w:num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b/>
          <w:bCs/>
          <w:kern w:val="0"/>
          <w:sz w:val="22"/>
          <w:szCs w:val="22"/>
          <w:lang w:eastAsia="en-GB"/>
          <w14:ligatures w14:val="none"/>
        </w:rPr>
        <w:t>ATS and Musical Theatre Pedagogy</w:t>
      </w:r>
      <w:r w:rsidRPr="00D50835">
        <w:rPr>
          <w:rFonts w:ascii="Arial" w:eastAsia="Times New Roman" w:hAnsi="Arial" w:cs="Arial"/>
          <w:kern w:val="0"/>
          <w:sz w:val="22"/>
          <w:szCs w:val="22"/>
          <w:lang w:eastAsia="en-GB"/>
          <w14:ligatures w14:val="none"/>
        </w:rPr>
        <w:t>: Harvard (2014), Allen (2022), Balk (1985), Moore &amp; Bergman (2016)</w:t>
      </w:r>
    </w:p>
    <w:p w14:paraId="3D21F50B" w14:textId="77777777" w:rsidR="00100006" w:rsidRPr="00D50835" w:rsidRDefault="00000000" w:rsidP="00D50835">
      <w:pPr>
        <w:numPr>
          <w:ilvl w:val="0"/>
          <w:numId w:val="2"/>
        </w:num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b/>
          <w:bCs/>
          <w:kern w:val="0"/>
          <w:sz w:val="22"/>
          <w:szCs w:val="22"/>
          <w:lang w:eastAsia="en-GB"/>
          <w14:ligatures w14:val="none"/>
        </w:rPr>
        <w:t>Voice and Gender Theory</w:t>
      </w:r>
      <w:r w:rsidRPr="00D50835">
        <w:rPr>
          <w:rFonts w:ascii="Arial" w:eastAsia="Times New Roman" w:hAnsi="Arial" w:cs="Arial"/>
          <w:kern w:val="0"/>
          <w:sz w:val="22"/>
          <w:szCs w:val="22"/>
          <w:lang w:eastAsia="en-GB"/>
          <w14:ligatures w14:val="none"/>
        </w:rPr>
        <w:t>: Butler (1990), Halberstam (2005), Azul (2015), Zimman (2017)</w:t>
      </w:r>
    </w:p>
    <w:p w14:paraId="5AC2772B" w14:textId="77777777" w:rsidR="00100006" w:rsidRPr="00D50835" w:rsidRDefault="00000000" w:rsidP="00D50835">
      <w:pPr>
        <w:numPr>
          <w:ilvl w:val="0"/>
          <w:numId w:val="2"/>
        </w:num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b/>
          <w:bCs/>
          <w:kern w:val="0"/>
          <w:sz w:val="22"/>
          <w:szCs w:val="22"/>
          <w:lang w:eastAsia="en-GB"/>
          <w14:ligatures w14:val="none"/>
        </w:rPr>
        <w:t>Trans-Affirming Pedagogy</w:t>
      </w:r>
      <w:r w:rsidRPr="00D50835">
        <w:rPr>
          <w:rFonts w:ascii="Arial" w:eastAsia="Times New Roman" w:hAnsi="Arial" w:cs="Arial"/>
          <w:kern w:val="0"/>
          <w:sz w:val="22"/>
          <w:szCs w:val="22"/>
          <w:lang w:eastAsia="en-GB"/>
          <w14:ligatures w14:val="none"/>
        </w:rPr>
        <w:t>: Davies, Papp &amp; Antoni (2015); Hancock &amp; Helenius (2012); Thorpe (2019)</w:t>
      </w:r>
    </w:p>
    <w:p w14:paraId="71629418" w14:textId="77777777" w:rsidR="00100006" w:rsidRPr="00D50835" w:rsidRDefault="00000000" w:rsidP="00D50835">
      <w:pPr>
        <w:numPr>
          <w:ilvl w:val="0"/>
          <w:numId w:val="2"/>
        </w:num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b/>
          <w:bCs/>
          <w:kern w:val="0"/>
          <w:sz w:val="22"/>
          <w:szCs w:val="22"/>
          <w:lang w:eastAsia="en-GB"/>
          <w14:ligatures w14:val="none"/>
        </w:rPr>
        <w:lastRenderedPageBreak/>
        <w:t>Inclusive Learning Models</w:t>
      </w:r>
      <w:r w:rsidRPr="00D50835">
        <w:rPr>
          <w:rFonts w:ascii="Arial" w:eastAsia="Times New Roman" w:hAnsi="Arial" w:cs="Arial"/>
          <w:kern w:val="0"/>
          <w:sz w:val="22"/>
          <w:szCs w:val="22"/>
          <w:lang w:eastAsia="en-GB"/>
          <w14:ligatures w14:val="none"/>
        </w:rPr>
        <w:t>: Daykin (2020); Dixon, Lee &amp; Ghaye (2015); Fook &amp; Askeland (2006)</w:t>
      </w:r>
    </w:p>
    <w:p w14:paraId="6DD85700" w14:textId="77777777" w:rsidR="00100006" w:rsidRDefault="00000000" w:rsidP="00D50835">
      <w:pPr>
        <w:numPr>
          <w:ilvl w:val="0"/>
          <w:numId w:val="2"/>
        </w:num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b/>
          <w:bCs/>
          <w:kern w:val="0"/>
          <w:sz w:val="22"/>
          <w:szCs w:val="22"/>
          <w:lang w:eastAsia="en-GB"/>
          <w14:ligatures w14:val="none"/>
        </w:rPr>
        <w:t>Supplementary Materials</w:t>
      </w:r>
      <w:r w:rsidRPr="00D50835">
        <w:rPr>
          <w:rFonts w:ascii="Arial" w:eastAsia="Times New Roman" w:hAnsi="Arial" w:cs="Arial"/>
          <w:kern w:val="0"/>
          <w:sz w:val="22"/>
          <w:szCs w:val="22"/>
          <w:lang w:eastAsia="en-GB"/>
          <w14:ligatures w14:val="none"/>
        </w:rPr>
        <w:t>: Academic journals, CPD workshop notes, conservatoire assessment policies, and practitioner reflections</w:t>
      </w:r>
    </w:p>
    <w:p w14:paraId="629950B9" w14:textId="77777777" w:rsidR="00BE3F6F" w:rsidRPr="00D50835" w:rsidRDefault="00BE3F6F" w:rsidP="00BE3F6F">
      <w:pPr>
        <w:spacing w:line="360" w:lineRule="auto"/>
        <w:ind w:left="720"/>
        <w:jc w:val="both"/>
        <w:rPr>
          <w:rFonts w:ascii="Arial" w:eastAsia="Times New Roman" w:hAnsi="Arial" w:cs="Arial"/>
          <w:kern w:val="0"/>
          <w:sz w:val="22"/>
          <w:szCs w:val="22"/>
          <w:lang w:eastAsia="en-GB"/>
          <w14:ligatures w14:val="none"/>
        </w:rPr>
      </w:pPr>
    </w:p>
    <w:p w14:paraId="39A910E2" w14:textId="77777777" w:rsidR="0095312D" w:rsidRPr="00D50835" w:rsidRDefault="00000000" w:rsidP="00D50835">
      <w:pPr>
        <w:spacing w:line="360" w:lineRule="auto"/>
        <w:jc w:val="both"/>
        <w:rPr>
          <w:rFonts w:ascii="Arial" w:hAnsi="Arial" w:cs="Arial"/>
          <w:sz w:val="22"/>
          <w:szCs w:val="22"/>
        </w:rPr>
      </w:pPr>
      <w:r w:rsidRPr="00D50835">
        <w:rPr>
          <w:rFonts w:ascii="Arial" w:hAnsi="Arial" w:cs="Arial"/>
          <w:noProof/>
          <w:sz w:val="22"/>
          <w:szCs w:val="22"/>
        </w:rPr>
        <w:drawing>
          <wp:inline distT="0" distB="0" distL="0" distR="0" wp14:anchorId="172943F3" wp14:editId="252075CE">
            <wp:extent cx="5731510" cy="1837690"/>
            <wp:effectExtent l="0" t="0" r="2540" b="0"/>
            <wp:docPr id="61156170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1561707" name="Picture 10"/>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731510" cy="1837690"/>
                    </a:xfrm>
                    <a:prstGeom prst="rect">
                      <a:avLst/>
                    </a:prstGeom>
                    <a:noFill/>
                    <a:ln>
                      <a:noFill/>
                    </a:ln>
                  </pic:spPr>
                </pic:pic>
              </a:graphicData>
            </a:graphic>
          </wp:inline>
        </w:drawing>
      </w:r>
    </w:p>
    <w:p w14:paraId="25F98C10" w14:textId="77777777" w:rsidR="00D525EE" w:rsidRPr="00D50835" w:rsidRDefault="00000000" w:rsidP="00D50835">
      <w:pPr>
        <w:spacing w:line="360" w:lineRule="auto"/>
        <w:jc w:val="both"/>
        <w:rPr>
          <w:rFonts w:ascii="Arial" w:hAnsi="Arial" w:cs="Arial"/>
          <w:b/>
          <w:bCs/>
          <w:sz w:val="22"/>
          <w:szCs w:val="22"/>
        </w:rPr>
      </w:pPr>
      <w:r w:rsidRPr="00D50835">
        <w:rPr>
          <w:rFonts w:ascii="Arial" w:hAnsi="Arial" w:cs="Arial"/>
          <w:noProof/>
          <w:sz w:val="22"/>
          <w:szCs w:val="22"/>
        </w:rPr>
        <w:drawing>
          <wp:inline distT="0" distB="0" distL="0" distR="0" wp14:anchorId="69541FF9" wp14:editId="5B5B7FE0">
            <wp:extent cx="5731510" cy="3507740"/>
            <wp:effectExtent l="0" t="0" r="2540" b="0"/>
            <wp:docPr id="10668009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6800975" name="Picture 8"/>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5731510" cy="3507740"/>
                    </a:xfrm>
                    <a:prstGeom prst="rect">
                      <a:avLst/>
                    </a:prstGeom>
                    <a:noFill/>
                    <a:ln>
                      <a:noFill/>
                    </a:ln>
                  </pic:spPr>
                </pic:pic>
              </a:graphicData>
            </a:graphic>
          </wp:inline>
        </w:drawing>
      </w:r>
    </w:p>
    <w:p w14:paraId="330CF616" w14:textId="7FCC7B9C" w:rsidR="009954CE" w:rsidRPr="00D50835" w:rsidRDefault="00D50835"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t>This extensive literature base ensures that the research remains responsive to both academic theory and practical applications.</w:t>
      </w:r>
    </w:p>
    <w:p w14:paraId="13496676" w14:textId="77777777" w:rsidR="009954CE" w:rsidRPr="00D50835" w:rsidRDefault="009954CE" w:rsidP="00D50835">
      <w:pPr>
        <w:spacing w:line="360" w:lineRule="auto"/>
        <w:jc w:val="both"/>
        <w:rPr>
          <w:rFonts w:ascii="Arial" w:eastAsia="Times New Roman" w:hAnsi="Arial" w:cs="Arial"/>
          <w:kern w:val="0"/>
          <w:sz w:val="22"/>
          <w:szCs w:val="22"/>
          <w:lang w:eastAsia="en-GB"/>
          <w14:ligatures w14:val="none"/>
        </w:rPr>
      </w:pPr>
    </w:p>
    <w:p w14:paraId="01EC86C0" w14:textId="77777777" w:rsidR="009954CE" w:rsidRPr="00D50835" w:rsidRDefault="00000000" w:rsidP="00D50835">
      <w:pPr>
        <w:spacing w:line="360" w:lineRule="auto"/>
        <w:jc w:val="both"/>
        <w:rPr>
          <w:rFonts w:ascii="Arial" w:eastAsia="Times New Roman" w:hAnsi="Arial" w:cs="Arial"/>
          <w:b/>
          <w:bCs/>
          <w:kern w:val="0"/>
          <w:sz w:val="22"/>
          <w:szCs w:val="22"/>
          <w:lang w:eastAsia="en-GB"/>
          <w14:ligatures w14:val="none"/>
        </w:rPr>
      </w:pPr>
      <w:r w:rsidRPr="00D50835">
        <w:rPr>
          <w:rFonts w:ascii="Arial" w:eastAsia="Times New Roman" w:hAnsi="Arial" w:cs="Arial"/>
          <w:b/>
          <w:bCs/>
          <w:kern w:val="0"/>
          <w:sz w:val="22"/>
          <w:szCs w:val="22"/>
          <w:lang w:eastAsia="en-GB"/>
          <w14:ligatures w14:val="none"/>
        </w:rPr>
        <w:t>Contribution to Professional Development</w:t>
      </w:r>
    </w:p>
    <w:p w14:paraId="69FA2AF8" w14:textId="77777777" w:rsidR="009954CE" w:rsidRPr="00D50835" w:rsidRDefault="00000000"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t xml:space="preserve">This research will directly inform my leadership of the MA Musical Theatre programme at the University of Chichester Conservatoire, particularly in my roles as voice tutor and curriculum designer. The findings derived from this research will contribute to the development of collaborative methodologies that include transgender, non-binary, and neurodiverse </w:t>
      </w:r>
      <w:r w:rsidRPr="00D50835">
        <w:rPr>
          <w:rFonts w:ascii="Arial" w:eastAsia="Times New Roman" w:hAnsi="Arial" w:cs="Arial"/>
          <w:kern w:val="0"/>
          <w:sz w:val="22"/>
          <w:szCs w:val="22"/>
          <w:lang w:eastAsia="en-GB"/>
          <w14:ligatures w14:val="none"/>
        </w:rPr>
        <w:lastRenderedPageBreak/>
        <w:t>performers. Implementing these methods will initiate policy changes regarding vocalisation, specific assessment criteria, and implications for agreed-upon session formatting. The identifying methods have four key areas. First, it will be critical to convey coaching language accurately. Second, supporting changes to the lyrics will require explicit instruction, as well as access to appropriate musical keys. Lastly, maintaining the defined level of repertoire will have to progress so that it becomes genuine non-binary vocalising.</w:t>
      </w:r>
    </w:p>
    <w:p w14:paraId="3D4F6747" w14:textId="77777777" w:rsidR="009954CE" w:rsidRPr="00D50835" w:rsidRDefault="009954CE" w:rsidP="00D50835">
      <w:pPr>
        <w:spacing w:line="360" w:lineRule="auto"/>
        <w:jc w:val="both"/>
        <w:rPr>
          <w:rFonts w:ascii="Arial" w:eastAsia="Times New Roman" w:hAnsi="Arial" w:cs="Arial"/>
          <w:kern w:val="0"/>
          <w:sz w:val="22"/>
          <w:szCs w:val="22"/>
          <w:lang w:eastAsia="en-GB"/>
          <w14:ligatures w14:val="none"/>
        </w:rPr>
      </w:pPr>
    </w:p>
    <w:p w14:paraId="2A39F0F3" w14:textId="77777777" w:rsidR="009954CE" w:rsidRPr="00D50835" w:rsidRDefault="00000000"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t>Beyond immediate pedagogical application, the research lays a foundation for sustained professional engagement. Future aims include presenting findings at conferences such as VASTA, the British Voice Association (BVA), and the Music Theatre Educators Alliance, as well as developing practitioner toolkits and inclusive training resources for singing tutors. The project also contributes to ongoing policy dialogues around gender-inclusive voice education and will serve as the basis for a publishable framework on trans-inclusive ATS training.</w:t>
      </w:r>
    </w:p>
    <w:p w14:paraId="0BDD722C" w14:textId="77777777" w:rsidR="009954CE" w:rsidRPr="00D50835" w:rsidRDefault="009954CE" w:rsidP="00D50835">
      <w:pPr>
        <w:spacing w:line="360" w:lineRule="auto"/>
        <w:jc w:val="both"/>
        <w:rPr>
          <w:rFonts w:ascii="Arial" w:eastAsia="Times New Roman" w:hAnsi="Arial" w:cs="Arial"/>
          <w:kern w:val="0"/>
          <w:sz w:val="22"/>
          <w:szCs w:val="22"/>
          <w:lang w:eastAsia="en-GB"/>
          <w14:ligatures w14:val="none"/>
        </w:rPr>
      </w:pPr>
    </w:p>
    <w:p w14:paraId="4971B7EF" w14:textId="77777777" w:rsidR="009954CE" w:rsidRPr="00D50835" w:rsidRDefault="00000000"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t>In alignment with emancipatory and anti-oppressive pedagogical principles (Freire, 1970; hooks, 1994; Daykin, 2020), this work advocates for training models that validate performer identity and cultivate vocal autonomy. It will further underpin my upcoming MA dissertation, which focuses on practical coaching strategies for developing trans belt voice techniques.</w:t>
      </w:r>
    </w:p>
    <w:p w14:paraId="2AAA1D46" w14:textId="77777777" w:rsidR="009954CE" w:rsidRPr="00D50835" w:rsidRDefault="00000000"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t>Section C – Critical Reflection on Learning Experience</w:t>
      </w:r>
    </w:p>
    <w:p w14:paraId="5B31CAEA" w14:textId="77777777" w:rsidR="009954CE" w:rsidRPr="00D50835" w:rsidRDefault="009954CE" w:rsidP="00D50835">
      <w:pPr>
        <w:spacing w:line="360" w:lineRule="auto"/>
        <w:jc w:val="both"/>
        <w:rPr>
          <w:rFonts w:ascii="Arial" w:eastAsia="Times New Roman" w:hAnsi="Arial" w:cs="Arial"/>
          <w:kern w:val="0"/>
          <w:sz w:val="22"/>
          <w:szCs w:val="22"/>
          <w:lang w:eastAsia="en-GB"/>
          <w14:ligatures w14:val="none"/>
        </w:rPr>
      </w:pPr>
    </w:p>
    <w:p w14:paraId="20424D99" w14:textId="77777777" w:rsidR="009954CE" w:rsidRPr="00D50835" w:rsidRDefault="00000000"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t>This study analyses educational experiences from an independent research project using practitioner inquiry as its foundation. The investigation examines ATS's utility in helping transgender adult performers with vocal development, gender identity, and authentic performance expression.</w:t>
      </w:r>
    </w:p>
    <w:p w14:paraId="2AA7B136" w14:textId="77777777" w:rsidR="009954CE" w:rsidRPr="00D50835" w:rsidRDefault="009954CE" w:rsidP="00D50835">
      <w:pPr>
        <w:spacing w:line="360" w:lineRule="auto"/>
        <w:jc w:val="both"/>
        <w:rPr>
          <w:rFonts w:ascii="Arial" w:eastAsia="Times New Roman" w:hAnsi="Arial" w:cs="Arial"/>
          <w:kern w:val="0"/>
          <w:sz w:val="22"/>
          <w:szCs w:val="22"/>
          <w:lang w:eastAsia="en-GB"/>
          <w14:ligatures w14:val="none"/>
        </w:rPr>
      </w:pPr>
    </w:p>
    <w:p w14:paraId="7E463B28" w14:textId="77777777" w:rsidR="009954CE" w:rsidRPr="00D50835" w:rsidRDefault="00000000"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t>The research process proved to be a highly impactful experience, yielding demonstrable evidence of cognitive development, as well as transformations in emotions and educational practices. The critical reflection and assessments revealed that my professional practices had changed, and I maintained a strong commitment to enacting an inclusive form of education. To conclude, as I continue to document these discoveries as praxis, it serves as a reminder of the need to make pedagogies that honour the marginalised identities of performance practice visible.</w:t>
      </w:r>
    </w:p>
    <w:p w14:paraId="1A9DDA13" w14:textId="77777777" w:rsidR="009346CC" w:rsidRDefault="009346CC" w:rsidP="00D50835">
      <w:pPr>
        <w:spacing w:line="360" w:lineRule="auto"/>
        <w:jc w:val="both"/>
        <w:rPr>
          <w:rFonts w:ascii="Arial" w:eastAsia="Times New Roman" w:hAnsi="Arial" w:cs="Arial"/>
          <w:kern w:val="0"/>
          <w:sz w:val="22"/>
          <w:szCs w:val="22"/>
          <w:lang w:eastAsia="en-GB"/>
          <w14:ligatures w14:val="none"/>
        </w:rPr>
      </w:pPr>
    </w:p>
    <w:p w14:paraId="4BE51450" w14:textId="77777777" w:rsidR="00BE3F6F" w:rsidRDefault="00BE3F6F" w:rsidP="00D50835">
      <w:pPr>
        <w:spacing w:line="360" w:lineRule="auto"/>
        <w:jc w:val="both"/>
        <w:rPr>
          <w:rFonts w:ascii="Arial" w:eastAsia="Times New Roman" w:hAnsi="Arial" w:cs="Arial"/>
          <w:kern w:val="0"/>
          <w:sz w:val="22"/>
          <w:szCs w:val="22"/>
          <w:lang w:eastAsia="en-GB"/>
          <w14:ligatures w14:val="none"/>
        </w:rPr>
      </w:pPr>
    </w:p>
    <w:p w14:paraId="5848346C" w14:textId="77777777" w:rsidR="009346CC" w:rsidRDefault="009346CC" w:rsidP="00D50835">
      <w:pPr>
        <w:spacing w:line="360" w:lineRule="auto"/>
        <w:jc w:val="both"/>
        <w:rPr>
          <w:rFonts w:ascii="Arial" w:eastAsia="Times New Roman" w:hAnsi="Arial" w:cs="Arial"/>
          <w:kern w:val="0"/>
          <w:sz w:val="22"/>
          <w:szCs w:val="22"/>
          <w:lang w:eastAsia="en-GB"/>
          <w14:ligatures w14:val="none"/>
        </w:rPr>
      </w:pPr>
    </w:p>
    <w:p w14:paraId="2F3A813F" w14:textId="77777777" w:rsidR="009346CC" w:rsidRDefault="009346CC" w:rsidP="00D50835">
      <w:pPr>
        <w:spacing w:line="360" w:lineRule="auto"/>
        <w:jc w:val="both"/>
        <w:rPr>
          <w:rFonts w:ascii="Arial" w:eastAsia="Times New Roman" w:hAnsi="Arial" w:cs="Arial"/>
          <w:kern w:val="0"/>
          <w:sz w:val="22"/>
          <w:szCs w:val="22"/>
          <w:lang w:eastAsia="en-GB"/>
          <w14:ligatures w14:val="none"/>
        </w:rPr>
      </w:pPr>
    </w:p>
    <w:p w14:paraId="4548C4B3" w14:textId="650FEE6C" w:rsidR="009954CE" w:rsidRPr="00D50835" w:rsidRDefault="00000000" w:rsidP="00D50835">
      <w:pPr>
        <w:spacing w:line="360" w:lineRule="auto"/>
        <w:jc w:val="both"/>
        <w:rPr>
          <w:rFonts w:ascii="Arial" w:eastAsia="Times New Roman" w:hAnsi="Arial" w:cs="Arial"/>
          <w:b/>
          <w:bCs/>
          <w:kern w:val="0"/>
          <w:sz w:val="22"/>
          <w:szCs w:val="22"/>
          <w:lang w:eastAsia="en-GB"/>
          <w14:ligatures w14:val="none"/>
        </w:rPr>
      </w:pPr>
      <w:r w:rsidRPr="00D50835">
        <w:rPr>
          <w:rFonts w:ascii="Arial" w:eastAsia="Times New Roman" w:hAnsi="Arial" w:cs="Arial"/>
          <w:b/>
          <w:bCs/>
          <w:kern w:val="0"/>
          <w:sz w:val="22"/>
          <w:szCs w:val="22"/>
          <w:lang w:eastAsia="en-GB"/>
          <w14:ligatures w14:val="none"/>
        </w:rPr>
        <w:lastRenderedPageBreak/>
        <w:t>Personal Reflection: Positionality and Perspective</w:t>
      </w:r>
    </w:p>
    <w:p w14:paraId="13AED2B5" w14:textId="77777777" w:rsidR="009954CE" w:rsidRPr="00D50835" w:rsidRDefault="00000000"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t>My ongoing awareness of my frameworks and musings in a reflexive research journal throughout this research process not only allowed me to note instances of felt resonance but also enabled me to dissociate from personal assumptions and adopt a critical approach to the literature, thereby gaining a fresh perspective. For example, I felt a level of confirmation while reading Zimman's (2017) work on vocal gender perception, and I knew I had to be careful by disentangling what he observed from my own experience. Instead, I had a sense of a stance that could view those moments as a provocation for further inquiry, embracing the prospect of examining the positives in something wonderfully diverse and original, such as trans vocal experiences, without assuming a universal experience. This signalled a subtle, yet consequential, alteration in my perspective on the issue; I shifted from a narrow advocacy to a broader inquiry. Alternatively, it offered the possibility of contrasting complexity with coherence. It required me to change my inquiry from "What existing material can I validate?" to "What new options could this generate that I have not yet imagined?"</w:t>
      </w:r>
    </w:p>
    <w:p w14:paraId="27E7D99D" w14:textId="77777777" w:rsidR="009954CE" w:rsidRPr="00D50835" w:rsidRDefault="009954CE" w:rsidP="00D50835">
      <w:pPr>
        <w:spacing w:line="360" w:lineRule="auto"/>
        <w:jc w:val="both"/>
        <w:rPr>
          <w:rFonts w:ascii="Arial" w:eastAsia="Times New Roman" w:hAnsi="Arial" w:cs="Arial"/>
          <w:kern w:val="0"/>
          <w:sz w:val="22"/>
          <w:szCs w:val="22"/>
          <w:lang w:eastAsia="en-GB"/>
          <w14:ligatures w14:val="none"/>
        </w:rPr>
      </w:pPr>
    </w:p>
    <w:p w14:paraId="04943534" w14:textId="77777777" w:rsidR="009954CE" w:rsidRPr="00D50835" w:rsidRDefault="00000000" w:rsidP="00D50835">
      <w:pPr>
        <w:spacing w:line="360" w:lineRule="auto"/>
        <w:jc w:val="both"/>
        <w:rPr>
          <w:rFonts w:ascii="Arial" w:eastAsia="Times New Roman" w:hAnsi="Arial" w:cs="Arial"/>
          <w:b/>
          <w:bCs/>
          <w:kern w:val="0"/>
          <w:sz w:val="22"/>
          <w:szCs w:val="22"/>
          <w:lang w:eastAsia="en-GB"/>
          <w14:ligatures w14:val="none"/>
        </w:rPr>
      </w:pPr>
      <w:r w:rsidRPr="00D50835">
        <w:rPr>
          <w:rFonts w:ascii="Arial" w:eastAsia="Times New Roman" w:hAnsi="Arial" w:cs="Arial"/>
          <w:b/>
          <w:bCs/>
          <w:kern w:val="0"/>
          <w:sz w:val="22"/>
          <w:szCs w:val="22"/>
          <w:lang w:eastAsia="en-GB"/>
          <w14:ligatures w14:val="none"/>
        </w:rPr>
        <w:t>Academic Reflection: Rethinking Pedagogy and Frameworks</w:t>
      </w:r>
    </w:p>
    <w:p w14:paraId="44C9C536" w14:textId="77777777" w:rsidR="009954CE" w:rsidRPr="00D50835" w:rsidRDefault="00000000"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t>The results of the literature review identified a key issue within ATS pedagogy: the foundational texts (Harvard, 2014; Balk, 1985; Allen, 2022) acknowledge the complex blending of skill and emotional intelligence required for performance, yet they essentially assume fixed and binary gender identities. Without this important consideration, it prevents the understanding of the expansive possibilities performers can experience in their growth, particularly for transgender individuals. Employing gender theory (Butler, 1990; Halberstam, 2005) and trans voice research (Azul, 2015; Davies, Papp &amp; Antoni, 2015) further illuminated the systematic erasure of transgender performers' lived experiences in both empirical data and pedagogical frameworks.</w:t>
      </w:r>
    </w:p>
    <w:p w14:paraId="0B9F80BD" w14:textId="77777777" w:rsidR="009954CE" w:rsidRPr="00D50835" w:rsidRDefault="009954CE" w:rsidP="00D50835">
      <w:pPr>
        <w:spacing w:line="360" w:lineRule="auto"/>
        <w:jc w:val="both"/>
        <w:rPr>
          <w:rFonts w:ascii="Arial" w:eastAsia="Times New Roman" w:hAnsi="Arial" w:cs="Arial"/>
          <w:kern w:val="0"/>
          <w:sz w:val="22"/>
          <w:szCs w:val="22"/>
          <w:lang w:eastAsia="en-GB"/>
          <w14:ligatures w14:val="none"/>
        </w:rPr>
      </w:pPr>
    </w:p>
    <w:p w14:paraId="011A7728" w14:textId="77777777" w:rsidR="009954CE" w:rsidRPr="00D50835" w:rsidRDefault="00000000"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t xml:space="preserve">Using Fook and Askeland's (2006) critical reflection approach in conjunction with Charmaz's (2014) constructivist grounded theory altered my thinking: pronoun replacement, lyric changes, or alternate views on character are not 'fixes' but creative reconceptualisations that both add to and grow new ATS methodology. These shifts manifest as emerging pedagogical possibilities that are grounded in lived experience, rather than merely 'breaking from' tradition. </w:t>
      </w:r>
    </w:p>
    <w:p w14:paraId="6F59D840" w14:textId="77777777" w:rsidR="009954CE" w:rsidRPr="00D50835" w:rsidRDefault="00000000"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t>Professional Implications: Redeveloping Practice</w:t>
      </w:r>
    </w:p>
    <w:p w14:paraId="64C9FB39" w14:textId="77777777" w:rsidR="009954CE" w:rsidRPr="00D50835" w:rsidRDefault="00000000"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t xml:space="preserve">This research indicates that I am now able to shift my practice from being essentially reactionary to pursuing inclusive action plans. For example, my intake form now includes the pronouns I will be using, as well as vocal comfort, safety, and emotional safety, to frame these parameters for our academic conversation. I continue to curate repertoires </w:t>
      </w:r>
      <w:proofErr w:type="gramStart"/>
      <w:r w:rsidRPr="00D50835">
        <w:rPr>
          <w:rFonts w:ascii="Arial" w:eastAsia="Times New Roman" w:hAnsi="Arial" w:cs="Arial"/>
          <w:kern w:val="0"/>
          <w:sz w:val="22"/>
          <w:szCs w:val="22"/>
          <w:lang w:eastAsia="en-GB"/>
          <w14:ligatures w14:val="none"/>
        </w:rPr>
        <w:t>with regard to</w:t>
      </w:r>
      <w:proofErr w:type="gramEnd"/>
      <w:r w:rsidRPr="00D50835">
        <w:rPr>
          <w:rFonts w:ascii="Arial" w:eastAsia="Times New Roman" w:hAnsi="Arial" w:cs="Arial"/>
          <w:kern w:val="0"/>
          <w:sz w:val="22"/>
          <w:szCs w:val="22"/>
          <w:lang w:eastAsia="en-GB"/>
          <w14:ligatures w14:val="none"/>
        </w:rPr>
        <w:t xml:space="preserve"> </w:t>
      </w:r>
      <w:r w:rsidRPr="00D50835">
        <w:rPr>
          <w:rFonts w:ascii="Arial" w:eastAsia="Times New Roman" w:hAnsi="Arial" w:cs="Arial"/>
          <w:kern w:val="0"/>
          <w:sz w:val="22"/>
          <w:szCs w:val="22"/>
          <w:lang w:eastAsia="en-GB"/>
          <w14:ligatures w14:val="none"/>
        </w:rPr>
        <w:lastRenderedPageBreak/>
        <w:t>students' identities as appropriate, and I collaborate to make choices, foster co-creation, and promote authentic practice.</w:t>
      </w:r>
    </w:p>
    <w:p w14:paraId="33B79558" w14:textId="77777777" w:rsidR="009954CE" w:rsidRPr="00D50835" w:rsidRDefault="009954CE" w:rsidP="00D50835">
      <w:pPr>
        <w:spacing w:line="360" w:lineRule="auto"/>
        <w:jc w:val="both"/>
        <w:rPr>
          <w:rFonts w:ascii="Arial" w:eastAsia="Times New Roman" w:hAnsi="Arial" w:cs="Arial"/>
          <w:kern w:val="0"/>
          <w:sz w:val="22"/>
          <w:szCs w:val="22"/>
          <w:lang w:eastAsia="en-GB"/>
          <w14:ligatures w14:val="none"/>
        </w:rPr>
      </w:pPr>
    </w:p>
    <w:p w14:paraId="3C1B79D5" w14:textId="727D29D2" w:rsidR="00D50835" w:rsidRPr="009346CC" w:rsidRDefault="00000000"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t>I am also advocating for institutional changes in assessment criteria, promoting lyric adaptation, role re-gendering, and voice classification by functional range rather than adhering to gender norms. Equipped with theoretical and evidence-based rationale, I am confident in advancing systemic pedagogical reform.</w:t>
      </w:r>
    </w:p>
    <w:p w14:paraId="5F24D788" w14:textId="77777777" w:rsidR="00D50835" w:rsidRPr="00D50835" w:rsidRDefault="00D50835" w:rsidP="00D50835">
      <w:pPr>
        <w:spacing w:line="360" w:lineRule="auto"/>
        <w:jc w:val="both"/>
        <w:rPr>
          <w:rFonts w:ascii="Arial" w:eastAsia="Times New Roman" w:hAnsi="Arial" w:cs="Arial"/>
          <w:b/>
          <w:bCs/>
          <w:kern w:val="0"/>
          <w:sz w:val="22"/>
          <w:szCs w:val="22"/>
          <w:lang w:eastAsia="en-GB"/>
          <w14:ligatures w14:val="none"/>
        </w:rPr>
      </w:pPr>
    </w:p>
    <w:p w14:paraId="3F940234" w14:textId="051DB13B" w:rsidR="009954CE" w:rsidRPr="00D50835" w:rsidRDefault="00000000" w:rsidP="00D50835">
      <w:pPr>
        <w:spacing w:line="360" w:lineRule="auto"/>
        <w:jc w:val="both"/>
        <w:rPr>
          <w:rFonts w:ascii="Arial" w:eastAsia="Times New Roman" w:hAnsi="Arial" w:cs="Arial"/>
          <w:b/>
          <w:bCs/>
          <w:kern w:val="0"/>
          <w:sz w:val="22"/>
          <w:szCs w:val="22"/>
          <w:lang w:eastAsia="en-GB"/>
          <w14:ligatures w14:val="none"/>
        </w:rPr>
      </w:pPr>
      <w:r w:rsidRPr="00D50835">
        <w:rPr>
          <w:rFonts w:ascii="Arial" w:eastAsia="Times New Roman" w:hAnsi="Arial" w:cs="Arial"/>
          <w:b/>
          <w:bCs/>
          <w:kern w:val="0"/>
          <w:sz w:val="22"/>
          <w:szCs w:val="22"/>
          <w:lang w:eastAsia="en-GB"/>
          <w14:ligatures w14:val="none"/>
        </w:rPr>
        <w:t>Use of Reflective Models</w:t>
      </w:r>
    </w:p>
    <w:p w14:paraId="225034A0" w14:textId="62AF180A" w:rsidR="009954CE" w:rsidRPr="00D50835" w:rsidRDefault="00000000"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t>Three theoretical perspectives have influenced and supported my learning journey. First, Dewey (1933) described reflection as "active, persistent, and careful consideration", and I used these three characteristics to develop a clearer sense of gendered bias that had been entangled in the casting and repertoire choices of artists working in new creative contexts. I used Kolb's (1984) experiential learning cycle to illustrate three distinct phases in developing my study: literature review, framework development, and teaching practice, which captured my work as an iterative process of experience, reflection, conceptualisation, and experimentation. Moreover, as Dixon, Lee, and Ghaye (2015) employed a strengths-based reflection model, I viewed the perceived gaps in ATS for trans performers as opportunities for possibilities rather than deficits. That is, the creative adaptations of trans performers, which included creative language, inflection, and emotional shifts, emerged as useful pedagogical tools and a possibility to shift my thinking from what they had to overcome, to figuring new ways to work, which opened up a range of possibilities, moving towards a more innovative, constructivist approach.</w:t>
      </w:r>
    </w:p>
    <w:p w14:paraId="79FFB20B" w14:textId="77777777" w:rsidR="009954CE" w:rsidRPr="00D50835" w:rsidRDefault="009954CE" w:rsidP="00D50835">
      <w:pPr>
        <w:spacing w:line="360" w:lineRule="auto"/>
        <w:jc w:val="both"/>
        <w:rPr>
          <w:rFonts w:ascii="Arial" w:eastAsia="Times New Roman" w:hAnsi="Arial" w:cs="Arial"/>
          <w:kern w:val="0"/>
          <w:sz w:val="22"/>
          <w:szCs w:val="22"/>
          <w:lang w:eastAsia="en-GB"/>
          <w14:ligatures w14:val="none"/>
        </w:rPr>
      </w:pPr>
    </w:p>
    <w:p w14:paraId="615E3A9E" w14:textId="77777777" w:rsidR="009954CE" w:rsidRPr="00D50835" w:rsidRDefault="00000000" w:rsidP="00D50835">
      <w:pPr>
        <w:spacing w:line="360" w:lineRule="auto"/>
        <w:jc w:val="both"/>
        <w:rPr>
          <w:rFonts w:ascii="Arial" w:eastAsia="Times New Roman" w:hAnsi="Arial" w:cs="Arial"/>
          <w:b/>
          <w:bCs/>
          <w:kern w:val="0"/>
          <w:sz w:val="22"/>
          <w:szCs w:val="22"/>
          <w:lang w:eastAsia="en-GB"/>
          <w14:ligatures w14:val="none"/>
        </w:rPr>
      </w:pPr>
      <w:r w:rsidRPr="00D50835">
        <w:rPr>
          <w:rFonts w:ascii="Arial" w:eastAsia="Times New Roman" w:hAnsi="Arial" w:cs="Arial"/>
          <w:b/>
          <w:bCs/>
          <w:kern w:val="0"/>
          <w:sz w:val="22"/>
          <w:szCs w:val="22"/>
          <w:lang w:eastAsia="en-GB"/>
          <w14:ligatures w14:val="none"/>
        </w:rPr>
        <w:t>Emotional Learning: Listening with Care</w:t>
      </w:r>
    </w:p>
    <w:p w14:paraId="76FBAB84" w14:textId="77777777" w:rsidR="009954CE" w:rsidRPr="00D50835" w:rsidRDefault="00000000"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t>The emotional labour of this project was difficult. Encountering the literature on dysphoria, misgendering, and exclusion often led me to remember my own experiences. Daykin (2020) argued that these emotional responses should not be seen as obstructive aspects in research, but rather, more productive modalities for making meaning. This project highlighted the need to 'stay with' our discomfort as part of the research process itself. I wondered if I could engage with the painful aspects of the transgender community without being overridden by that pain. However, I returned to the reflexive stance in moments of uncertainty. Reflexivity was not about overcoming emotion; it was about being aware of how emotion shapes the approach to analysing others' experiences. The articles I have seen emerge in this area (see Thorpe, 2019; Heyler, 2015) have made a case for more emotion to become a more transparent part of arts-</w:t>
      </w:r>
      <w:r w:rsidRPr="00D50835">
        <w:rPr>
          <w:rFonts w:ascii="Arial" w:eastAsia="Times New Roman" w:hAnsi="Arial" w:cs="Arial"/>
          <w:kern w:val="0"/>
          <w:sz w:val="22"/>
          <w:szCs w:val="22"/>
          <w:lang w:eastAsia="en-GB"/>
          <w14:ligatures w14:val="none"/>
        </w:rPr>
        <w:lastRenderedPageBreak/>
        <w:t xml:space="preserve">based research. In these publications, the authors supported the invitation to use emotion </w:t>
      </w:r>
      <w:proofErr w:type="gramStart"/>
      <w:r w:rsidRPr="00D50835">
        <w:rPr>
          <w:rFonts w:ascii="Arial" w:eastAsia="Times New Roman" w:hAnsi="Arial" w:cs="Arial"/>
          <w:kern w:val="0"/>
          <w:sz w:val="22"/>
          <w:szCs w:val="22"/>
          <w:lang w:eastAsia="en-GB"/>
          <w14:ligatures w14:val="none"/>
        </w:rPr>
        <w:t>in order to</w:t>
      </w:r>
      <w:proofErr w:type="gramEnd"/>
      <w:r w:rsidRPr="00D50835">
        <w:rPr>
          <w:rFonts w:ascii="Arial" w:eastAsia="Times New Roman" w:hAnsi="Arial" w:cs="Arial"/>
          <w:kern w:val="0"/>
          <w:sz w:val="22"/>
          <w:szCs w:val="22"/>
          <w:lang w:eastAsia="en-GB"/>
          <w14:ligatures w14:val="none"/>
        </w:rPr>
        <w:t xml:space="preserve"> engage with the research process and deepen the analysis.</w:t>
      </w:r>
    </w:p>
    <w:p w14:paraId="2FEFEB47" w14:textId="77777777" w:rsidR="009954CE" w:rsidRPr="00D50835" w:rsidRDefault="009954CE" w:rsidP="00D50835">
      <w:pPr>
        <w:spacing w:line="360" w:lineRule="auto"/>
        <w:jc w:val="both"/>
        <w:rPr>
          <w:rFonts w:ascii="Arial" w:eastAsia="Times New Roman" w:hAnsi="Arial" w:cs="Arial"/>
          <w:kern w:val="0"/>
          <w:sz w:val="22"/>
          <w:szCs w:val="22"/>
          <w:lang w:eastAsia="en-GB"/>
          <w14:ligatures w14:val="none"/>
        </w:rPr>
      </w:pPr>
    </w:p>
    <w:p w14:paraId="06D81303" w14:textId="236D77F7" w:rsidR="009954CE" w:rsidRPr="00D50835" w:rsidRDefault="00000000" w:rsidP="00D50835">
      <w:pPr>
        <w:spacing w:line="360" w:lineRule="auto"/>
        <w:jc w:val="both"/>
        <w:rPr>
          <w:rFonts w:ascii="Arial" w:eastAsia="Times New Roman" w:hAnsi="Arial" w:cs="Arial"/>
          <w:b/>
          <w:bCs/>
          <w:kern w:val="0"/>
          <w:sz w:val="22"/>
          <w:szCs w:val="22"/>
          <w:lang w:eastAsia="en-GB"/>
          <w14:ligatures w14:val="none"/>
        </w:rPr>
      </w:pPr>
      <w:r w:rsidRPr="00D50835">
        <w:rPr>
          <w:rFonts w:ascii="Arial" w:eastAsia="Times New Roman" w:hAnsi="Arial" w:cs="Arial"/>
          <w:b/>
          <w:bCs/>
          <w:kern w:val="0"/>
          <w:sz w:val="22"/>
          <w:szCs w:val="22"/>
          <w:lang w:eastAsia="en-GB"/>
          <w14:ligatures w14:val="none"/>
        </w:rPr>
        <w:t>Contribution to Practice: A Framework Emerges</w:t>
      </w:r>
    </w:p>
    <w:p w14:paraId="7558040D" w14:textId="39A0065D" w:rsidR="009954CE" w:rsidRPr="00D50835" w:rsidRDefault="00000000"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t>The trans-inclusive belt voice framework developed throughout this module utilises ATS methodology, grounded in the foundation of inclusive voice pedagogy and trauma-informed principles. This frame represents the application of techniques such as resonance anchoring, lyric alteration, and narrative flexibility as practical considerations for vocal sustainability and affirming one's gender identity. This frame will now be implemented into the new Ma Musical Theatre curriculum, impacting individualised coaching sessions and shaping how workshops will be designed. I plan to share this model through professional sector presentations and will be building CPD resources for voice teachers. Early feedback from colleagues has indicated a sense of practicality and freedom that respects vocal technique and allows identity to inform artistic choices.</w:t>
      </w:r>
    </w:p>
    <w:p w14:paraId="4CA063A1" w14:textId="77777777" w:rsidR="009954CE" w:rsidRPr="00D50835" w:rsidRDefault="009954CE" w:rsidP="00D50835">
      <w:pPr>
        <w:spacing w:line="360" w:lineRule="auto"/>
        <w:jc w:val="both"/>
        <w:rPr>
          <w:rFonts w:ascii="Arial" w:eastAsia="Times New Roman" w:hAnsi="Arial" w:cs="Arial"/>
          <w:kern w:val="0"/>
          <w:sz w:val="22"/>
          <w:szCs w:val="22"/>
          <w:lang w:eastAsia="en-GB"/>
          <w14:ligatures w14:val="none"/>
        </w:rPr>
      </w:pPr>
    </w:p>
    <w:p w14:paraId="401AE989" w14:textId="77777777" w:rsidR="009954CE" w:rsidRPr="00D50835" w:rsidRDefault="00000000" w:rsidP="00D50835">
      <w:pPr>
        <w:spacing w:line="360" w:lineRule="auto"/>
        <w:jc w:val="both"/>
        <w:rPr>
          <w:rFonts w:ascii="Arial" w:eastAsia="Times New Roman" w:hAnsi="Arial" w:cs="Arial"/>
          <w:b/>
          <w:bCs/>
          <w:kern w:val="0"/>
          <w:sz w:val="22"/>
          <w:szCs w:val="22"/>
          <w:lang w:eastAsia="en-GB"/>
          <w14:ligatures w14:val="none"/>
        </w:rPr>
      </w:pPr>
      <w:r w:rsidRPr="00D50835">
        <w:rPr>
          <w:rFonts w:ascii="Arial" w:eastAsia="Times New Roman" w:hAnsi="Arial" w:cs="Arial"/>
          <w:b/>
          <w:bCs/>
          <w:kern w:val="0"/>
          <w:sz w:val="22"/>
          <w:szCs w:val="22"/>
          <w:lang w:eastAsia="en-GB"/>
          <w14:ligatures w14:val="none"/>
        </w:rPr>
        <w:t>Final Thoughts: Towards a More Inclusive Pedagogy</w:t>
      </w:r>
    </w:p>
    <w:p w14:paraId="637E02A3" w14:textId="77777777" w:rsidR="009954CE" w:rsidRPr="00D50835" w:rsidRDefault="00000000"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t>This study has completely changed my perspective on voice pedagogy. I now view ATS not as a fixed canon, but as a fluid practice that must respond to the identities it aims to support. For transgender artists, voice is more than just a tool; it is a space for negotiation, affirmation, and resilience. When ATS embraces this complexity, it is no longer limited to performance and becomes praxis. In my role as a teacher, I see myself not just as a technician but as a cultural worker. I create space for artistic expression while challenging dominant norms inclusively. The depth of reflection, reframing, and reimagining I have engaged in has only solidified my conviction that inclusive pedagogy is a crucial first step for any program seeking truth, artistry, and liberation in musical theatre. As one of the students said at our last session, "I find my voice when I sing my truth." This statement encapsulates everything this experience has taught me and my commitment to continuing this work.</w:t>
      </w:r>
    </w:p>
    <w:p w14:paraId="74380732" w14:textId="77777777" w:rsidR="009954CE" w:rsidRPr="00D50835" w:rsidRDefault="009954CE" w:rsidP="00D50835">
      <w:pPr>
        <w:spacing w:line="360" w:lineRule="auto"/>
        <w:jc w:val="both"/>
        <w:rPr>
          <w:rFonts w:ascii="Arial" w:eastAsia="Times New Roman" w:hAnsi="Arial" w:cs="Arial"/>
          <w:kern w:val="0"/>
          <w:sz w:val="22"/>
          <w:szCs w:val="22"/>
          <w:lang w:eastAsia="en-GB"/>
          <w14:ligatures w14:val="none"/>
        </w:rPr>
      </w:pPr>
    </w:p>
    <w:p w14:paraId="2478FD28" w14:textId="2793B75C" w:rsidR="009954CE" w:rsidRPr="00BE3F6F" w:rsidRDefault="00000000" w:rsidP="00D50835">
      <w:pPr>
        <w:spacing w:line="360" w:lineRule="auto"/>
        <w:jc w:val="both"/>
        <w:rPr>
          <w:rFonts w:ascii="Arial" w:eastAsia="Times New Roman" w:hAnsi="Arial" w:cs="Arial"/>
          <w:b/>
          <w:bCs/>
          <w:kern w:val="0"/>
          <w:sz w:val="22"/>
          <w:szCs w:val="22"/>
          <w:lang w:eastAsia="en-GB"/>
          <w14:ligatures w14:val="none"/>
        </w:rPr>
      </w:pPr>
      <w:r w:rsidRPr="00BE3F6F">
        <w:rPr>
          <w:rFonts w:ascii="Arial" w:eastAsia="Times New Roman" w:hAnsi="Arial" w:cs="Arial"/>
          <w:b/>
          <w:bCs/>
          <w:kern w:val="0"/>
          <w:sz w:val="22"/>
          <w:szCs w:val="22"/>
          <w:lang w:eastAsia="en-GB"/>
          <w14:ligatures w14:val="none"/>
        </w:rPr>
        <w:t>Word Count 2</w:t>
      </w:r>
      <w:r w:rsidR="00D50835" w:rsidRPr="00BE3F6F">
        <w:rPr>
          <w:rFonts w:ascii="Arial" w:eastAsia="Times New Roman" w:hAnsi="Arial" w:cs="Arial"/>
          <w:b/>
          <w:bCs/>
          <w:kern w:val="0"/>
          <w:sz w:val="22"/>
          <w:szCs w:val="22"/>
          <w:lang w:eastAsia="en-GB"/>
          <w14:ligatures w14:val="none"/>
        </w:rPr>
        <w:t>684</w:t>
      </w:r>
    </w:p>
    <w:p w14:paraId="5094A1E6" w14:textId="77777777" w:rsidR="009954CE" w:rsidRPr="00D50835" w:rsidRDefault="009954CE" w:rsidP="00D50835">
      <w:pPr>
        <w:spacing w:line="360" w:lineRule="auto"/>
        <w:jc w:val="both"/>
        <w:rPr>
          <w:rFonts w:ascii="Arial" w:eastAsia="Times New Roman" w:hAnsi="Arial" w:cs="Arial"/>
          <w:kern w:val="0"/>
          <w:sz w:val="22"/>
          <w:szCs w:val="22"/>
          <w:lang w:eastAsia="en-GB"/>
          <w14:ligatures w14:val="none"/>
        </w:rPr>
      </w:pPr>
    </w:p>
    <w:p w14:paraId="0DD8B262" w14:textId="77777777" w:rsidR="00D50835" w:rsidRPr="00D50835" w:rsidRDefault="00D50835" w:rsidP="00D50835">
      <w:pPr>
        <w:spacing w:after="160"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br w:type="page"/>
      </w:r>
    </w:p>
    <w:p w14:paraId="7113E17F" w14:textId="68EE023C" w:rsidR="009954CE" w:rsidRPr="00D50835" w:rsidRDefault="00000000" w:rsidP="00D50835">
      <w:pPr>
        <w:spacing w:line="360" w:lineRule="auto"/>
        <w:jc w:val="both"/>
        <w:rPr>
          <w:rFonts w:ascii="Arial" w:eastAsia="Times New Roman" w:hAnsi="Arial" w:cs="Arial"/>
          <w:b/>
          <w:bCs/>
          <w:kern w:val="0"/>
          <w:sz w:val="22"/>
          <w:szCs w:val="22"/>
          <w:lang w:eastAsia="en-GB"/>
          <w14:ligatures w14:val="none"/>
        </w:rPr>
      </w:pPr>
      <w:r w:rsidRPr="00D50835">
        <w:rPr>
          <w:rFonts w:ascii="Arial" w:eastAsia="Times New Roman" w:hAnsi="Arial" w:cs="Arial"/>
          <w:b/>
          <w:bCs/>
          <w:kern w:val="0"/>
          <w:sz w:val="22"/>
          <w:szCs w:val="22"/>
          <w:lang w:eastAsia="en-GB"/>
          <w14:ligatures w14:val="none"/>
        </w:rPr>
        <w:lastRenderedPageBreak/>
        <w:t>Part 2 – Written Assignment</w:t>
      </w:r>
      <w:r w:rsidRPr="00D50835">
        <w:rPr>
          <w:rFonts w:ascii="Arial" w:eastAsia="Times New Roman" w:hAnsi="Arial" w:cs="Arial"/>
          <w:b/>
          <w:bCs/>
          <w:kern w:val="0"/>
          <w:sz w:val="22"/>
          <w:szCs w:val="22"/>
          <w:lang w:eastAsia="en-GB"/>
          <w14:ligatures w14:val="none"/>
        </w:rPr>
        <w:tab/>
      </w:r>
    </w:p>
    <w:p w14:paraId="22BEC963" w14:textId="77777777" w:rsidR="009954CE" w:rsidRPr="00D50835" w:rsidRDefault="00000000" w:rsidP="00D50835">
      <w:pPr>
        <w:spacing w:line="360" w:lineRule="auto"/>
        <w:jc w:val="both"/>
        <w:rPr>
          <w:rFonts w:ascii="Arial" w:eastAsia="Times New Roman" w:hAnsi="Arial" w:cs="Arial"/>
          <w:b/>
          <w:bCs/>
          <w:kern w:val="0"/>
          <w:sz w:val="22"/>
          <w:szCs w:val="22"/>
          <w:lang w:eastAsia="en-GB"/>
          <w14:ligatures w14:val="none"/>
        </w:rPr>
      </w:pPr>
      <w:r w:rsidRPr="00D50835">
        <w:rPr>
          <w:rFonts w:ascii="Arial" w:eastAsia="Times New Roman" w:hAnsi="Arial" w:cs="Arial"/>
          <w:b/>
          <w:bCs/>
          <w:kern w:val="0"/>
          <w:sz w:val="22"/>
          <w:szCs w:val="22"/>
          <w:lang w:eastAsia="en-GB"/>
          <w14:ligatures w14:val="none"/>
        </w:rPr>
        <w:t>Introduction</w:t>
      </w:r>
    </w:p>
    <w:p w14:paraId="0C40A55F" w14:textId="77777777" w:rsidR="009954CE" w:rsidRPr="00D50835" w:rsidRDefault="009954CE" w:rsidP="00D50835">
      <w:pPr>
        <w:spacing w:line="360" w:lineRule="auto"/>
        <w:jc w:val="both"/>
        <w:rPr>
          <w:rFonts w:ascii="Arial" w:eastAsia="Times New Roman" w:hAnsi="Arial" w:cs="Arial"/>
          <w:kern w:val="0"/>
          <w:sz w:val="22"/>
          <w:szCs w:val="22"/>
          <w:lang w:eastAsia="en-GB"/>
          <w14:ligatures w14:val="none"/>
        </w:rPr>
      </w:pPr>
    </w:p>
    <w:p w14:paraId="2714EF27" w14:textId="77777777" w:rsidR="009954CE" w:rsidRPr="00D50835" w:rsidRDefault="00000000"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t>ATS is a nexus of vocal technique, emotional expression, and character embodiment in musical theatre education (Balk, 1985; Harvard, 2014; Allen, 2022). Traditionally rooted in psychological realism and classical vocal training, ATS pedagogy largely reflects cisnormative and binary gender assumptions in voice classification, repertoire, and casting (Jones &amp; Zhang, 2021; Hancock &amp; Helenius, 2012). Such frameworks inadequately address the needs of trans and non-binary performers, whose lived vocal and identity experiences frequently diverge from established norms.</w:t>
      </w:r>
    </w:p>
    <w:p w14:paraId="69276323" w14:textId="77777777" w:rsidR="009954CE" w:rsidRPr="00D50835" w:rsidRDefault="009954CE" w:rsidP="00D50835">
      <w:pPr>
        <w:spacing w:line="360" w:lineRule="auto"/>
        <w:jc w:val="both"/>
        <w:rPr>
          <w:rFonts w:ascii="Arial" w:eastAsia="Times New Roman" w:hAnsi="Arial" w:cs="Arial"/>
          <w:kern w:val="0"/>
          <w:sz w:val="22"/>
          <w:szCs w:val="22"/>
          <w:lang w:eastAsia="en-GB"/>
          <w14:ligatures w14:val="none"/>
        </w:rPr>
      </w:pPr>
    </w:p>
    <w:p w14:paraId="271329DB" w14:textId="77777777" w:rsidR="009954CE" w:rsidRPr="00D50835" w:rsidRDefault="00000000"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t>This study employs a constructivist grounded theory methodology (Charmaz, 2014), integrating thematic analysis of literature across voice pedagogy, gender theory, trans studies, and performance training. It critically examines the disjunction between conventional ATS models and the realities of transgender performers (Azul, 2015; Zimman, 2017; Davies, Papp, &amp; Antoni, 2015), highlighting the limitations of existing pedagogies.</w:t>
      </w:r>
    </w:p>
    <w:p w14:paraId="25397EDE" w14:textId="77777777" w:rsidR="009954CE" w:rsidRPr="00D50835" w:rsidRDefault="009954CE" w:rsidP="00D50835">
      <w:pPr>
        <w:spacing w:line="360" w:lineRule="auto"/>
        <w:jc w:val="both"/>
        <w:rPr>
          <w:rFonts w:ascii="Arial" w:eastAsia="Times New Roman" w:hAnsi="Arial" w:cs="Arial"/>
          <w:kern w:val="0"/>
          <w:sz w:val="22"/>
          <w:szCs w:val="22"/>
          <w:lang w:eastAsia="en-GB"/>
          <w14:ligatures w14:val="none"/>
        </w:rPr>
      </w:pPr>
    </w:p>
    <w:p w14:paraId="29C4C8FE" w14:textId="77777777" w:rsidR="009954CE" w:rsidRPr="00D50835" w:rsidRDefault="00000000"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t>Framed by trauma-informed and gender-affirming perspectives (Daykin, 2020; Dixon, Lee &amp; Ghaye, 2015), the research positions ATS not only as a technical discipline but as a transformative space for vocal reclamation, identity affirmation, and artistic autonomy. Drawing on empirical and experiential insights from musical theatre voice education, this study examines how binary pedagogies contribute to exclusion, misgendering, and technical challenges faced by gender-diverse performers.</w:t>
      </w:r>
    </w:p>
    <w:p w14:paraId="7D5F708B" w14:textId="77777777" w:rsidR="009954CE" w:rsidRPr="00D50835" w:rsidRDefault="009954CE" w:rsidP="00D50835">
      <w:pPr>
        <w:spacing w:line="360" w:lineRule="auto"/>
        <w:jc w:val="both"/>
        <w:rPr>
          <w:rFonts w:ascii="Arial" w:eastAsia="Times New Roman" w:hAnsi="Arial" w:cs="Arial"/>
          <w:kern w:val="0"/>
          <w:sz w:val="22"/>
          <w:szCs w:val="22"/>
          <w:lang w:eastAsia="en-GB"/>
          <w14:ligatures w14:val="none"/>
        </w:rPr>
      </w:pPr>
    </w:p>
    <w:p w14:paraId="516D6E25" w14:textId="77777777" w:rsidR="009954CE" w:rsidRPr="00D50835" w:rsidRDefault="00000000"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t>The investigation pursues three objectives:</w:t>
      </w:r>
    </w:p>
    <w:p w14:paraId="6E275FC6" w14:textId="72C217D9" w:rsidR="009954CE" w:rsidRPr="00BE3F6F" w:rsidRDefault="00000000" w:rsidP="00BE3F6F">
      <w:pPr>
        <w:pStyle w:val="ListParagraph"/>
        <w:numPr>
          <w:ilvl w:val="0"/>
          <w:numId w:val="5"/>
        </w:numPr>
        <w:spacing w:line="360" w:lineRule="auto"/>
        <w:jc w:val="both"/>
        <w:rPr>
          <w:rFonts w:ascii="Arial" w:eastAsia="Times New Roman" w:hAnsi="Arial" w:cs="Arial"/>
          <w:kern w:val="0"/>
          <w:sz w:val="22"/>
          <w:szCs w:val="22"/>
          <w:lang w:eastAsia="en-GB"/>
          <w14:ligatures w14:val="none"/>
        </w:rPr>
      </w:pPr>
      <w:r w:rsidRPr="00BE3F6F">
        <w:rPr>
          <w:rFonts w:ascii="Arial" w:eastAsia="Times New Roman" w:hAnsi="Arial" w:cs="Arial"/>
          <w:kern w:val="0"/>
          <w:sz w:val="22"/>
          <w:szCs w:val="22"/>
          <w:lang w:eastAsia="en-GB"/>
          <w14:ligatures w14:val="none"/>
        </w:rPr>
        <w:t xml:space="preserve">to analyse current ATS pedagogies through a gendered </w:t>
      </w:r>
      <w:proofErr w:type="gramStart"/>
      <w:r w:rsidRPr="00BE3F6F">
        <w:rPr>
          <w:rFonts w:ascii="Arial" w:eastAsia="Times New Roman" w:hAnsi="Arial" w:cs="Arial"/>
          <w:kern w:val="0"/>
          <w:sz w:val="22"/>
          <w:szCs w:val="22"/>
          <w:lang w:eastAsia="en-GB"/>
          <w14:ligatures w14:val="none"/>
        </w:rPr>
        <w:t>lens;</w:t>
      </w:r>
      <w:proofErr w:type="gramEnd"/>
    </w:p>
    <w:p w14:paraId="77922311" w14:textId="4DF502F1" w:rsidR="009954CE" w:rsidRPr="00BE3F6F" w:rsidRDefault="00000000" w:rsidP="00BE3F6F">
      <w:pPr>
        <w:pStyle w:val="ListParagraph"/>
        <w:numPr>
          <w:ilvl w:val="0"/>
          <w:numId w:val="5"/>
        </w:numPr>
        <w:spacing w:line="360" w:lineRule="auto"/>
        <w:jc w:val="both"/>
        <w:rPr>
          <w:rFonts w:ascii="Arial" w:eastAsia="Times New Roman" w:hAnsi="Arial" w:cs="Arial"/>
          <w:kern w:val="0"/>
          <w:sz w:val="22"/>
          <w:szCs w:val="22"/>
          <w:lang w:eastAsia="en-GB"/>
          <w14:ligatures w14:val="none"/>
        </w:rPr>
      </w:pPr>
      <w:r w:rsidRPr="00BE3F6F">
        <w:rPr>
          <w:rFonts w:ascii="Arial" w:eastAsia="Times New Roman" w:hAnsi="Arial" w:cs="Arial"/>
          <w:kern w:val="0"/>
          <w:sz w:val="22"/>
          <w:szCs w:val="22"/>
          <w:lang w:eastAsia="en-GB"/>
          <w14:ligatures w14:val="none"/>
        </w:rPr>
        <w:t xml:space="preserve">to explore the experiences of trans and non-binary performers within these frameworks, </w:t>
      </w:r>
      <w:proofErr w:type="gramStart"/>
      <w:r w:rsidRPr="00BE3F6F">
        <w:rPr>
          <w:rFonts w:ascii="Arial" w:eastAsia="Times New Roman" w:hAnsi="Arial" w:cs="Arial"/>
          <w:kern w:val="0"/>
          <w:sz w:val="22"/>
          <w:szCs w:val="22"/>
          <w:lang w:eastAsia="en-GB"/>
          <w14:ligatures w14:val="none"/>
        </w:rPr>
        <w:t>and;</w:t>
      </w:r>
      <w:proofErr w:type="gramEnd"/>
      <w:r w:rsidRPr="00BE3F6F">
        <w:rPr>
          <w:rFonts w:ascii="Arial" w:eastAsia="Times New Roman" w:hAnsi="Arial" w:cs="Arial"/>
          <w:kern w:val="0"/>
          <w:sz w:val="22"/>
          <w:szCs w:val="22"/>
          <w:lang w:eastAsia="en-GB"/>
          <w14:ligatures w14:val="none"/>
        </w:rPr>
        <w:t xml:space="preserve"> </w:t>
      </w:r>
    </w:p>
    <w:p w14:paraId="3C5831FF" w14:textId="6BA9D83C" w:rsidR="009954CE" w:rsidRPr="00BE3F6F" w:rsidRDefault="00000000" w:rsidP="00BE3F6F">
      <w:pPr>
        <w:pStyle w:val="ListParagraph"/>
        <w:numPr>
          <w:ilvl w:val="0"/>
          <w:numId w:val="5"/>
        </w:numPr>
        <w:spacing w:line="360" w:lineRule="auto"/>
        <w:jc w:val="both"/>
        <w:rPr>
          <w:rFonts w:ascii="Arial" w:eastAsia="Times New Roman" w:hAnsi="Arial" w:cs="Arial"/>
          <w:kern w:val="0"/>
          <w:sz w:val="22"/>
          <w:szCs w:val="22"/>
          <w:lang w:eastAsia="en-GB"/>
          <w14:ligatures w14:val="none"/>
        </w:rPr>
      </w:pPr>
      <w:r w:rsidRPr="00BE3F6F">
        <w:rPr>
          <w:rFonts w:ascii="Arial" w:eastAsia="Times New Roman" w:hAnsi="Arial" w:cs="Arial"/>
          <w:kern w:val="0"/>
          <w:sz w:val="22"/>
          <w:szCs w:val="22"/>
          <w:lang w:eastAsia="en-GB"/>
          <w14:ligatures w14:val="none"/>
        </w:rPr>
        <w:t xml:space="preserve">to propose an adaptive ATS model synthesising gender-affirming voice practices, inclusive pedagogy, and trans performance theory. </w:t>
      </w:r>
    </w:p>
    <w:p w14:paraId="1E82CFFE" w14:textId="77777777" w:rsidR="009954CE" w:rsidRPr="00D50835" w:rsidRDefault="009954CE" w:rsidP="00D50835">
      <w:pPr>
        <w:spacing w:line="360" w:lineRule="auto"/>
        <w:jc w:val="both"/>
        <w:rPr>
          <w:rFonts w:ascii="Arial" w:eastAsia="Times New Roman" w:hAnsi="Arial" w:cs="Arial"/>
          <w:kern w:val="0"/>
          <w:sz w:val="22"/>
          <w:szCs w:val="22"/>
          <w:lang w:eastAsia="en-GB"/>
          <w14:ligatures w14:val="none"/>
        </w:rPr>
      </w:pPr>
    </w:p>
    <w:p w14:paraId="1B71FA46" w14:textId="77777777" w:rsidR="009954CE" w:rsidRPr="00D50835" w:rsidRDefault="00000000"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t xml:space="preserve">The proposed model seeks to empower performers by fostering a more responsive, affirming, and inclusive approach to musical theatre training. The project aims to contribute to an expanding corpus of practitioner-led research advocating for the dismantling of exclusionary norms within theatre training programs, as well as the systematic inclusion of voices that have been historically marginalised in this field (Butler, 1990; Symonds &amp; Taylor, 2014; Halberstam, </w:t>
      </w:r>
      <w:r w:rsidRPr="00D50835">
        <w:rPr>
          <w:rFonts w:ascii="Arial" w:eastAsia="Times New Roman" w:hAnsi="Arial" w:cs="Arial"/>
          <w:kern w:val="0"/>
          <w:sz w:val="22"/>
          <w:szCs w:val="22"/>
          <w:lang w:eastAsia="en-GB"/>
          <w14:ligatures w14:val="none"/>
        </w:rPr>
        <w:lastRenderedPageBreak/>
        <w:t>2005). While preliminary empirical engagement was conducted during Module 3, the current study is primarily based on a desk-based inquiry. Subsequently, a literature review is presented that synthesises interdisciplinary scholarship. This review endeavours to trace the historical origins of Actor Training Systems, scrutinise the embedded assumptions therein and identify emerging pedagogical models which emphasise inclusivity. In this process, the study not only seeks to critique prevailing paradigms but also aspires to highlight the transformative capacity of a pedagogical approach that magnifies all voices, with a specific focus on those that have frequently gone unheard.</w:t>
      </w:r>
    </w:p>
    <w:p w14:paraId="7E9B0F57" w14:textId="77777777" w:rsidR="009954CE" w:rsidRPr="00D50835" w:rsidRDefault="009954CE" w:rsidP="00D50835">
      <w:pPr>
        <w:spacing w:line="360" w:lineRule="auto"/>
        <w:jc w:val="both"/>
        <w:rPr>
          <w:rFonts w:ascii="Arial" w:eastAsia="Times New Roman" w:hAnsi="Arial" w:cs="Arial"/>
          <w:kern w:val="0"/>
          <w:sz w:val="22"/>
          <w:szCs w:val="22"/>
          <w:lang w:eastAsia="en-GB"/>
          <w14:ligatures w14:val="none"/>
        </w:rPr>
      </w:pPr>
    </w:p>
    <w:p w14:paraId="1DA87A7D" w14:textId="77777777" w:rsidR="009954CE" w:rsidRPr="00D50835" w:rsidRDefault="00000000" w:rsidP="00D50835">
      <w:pPr>
        <w:spacing w:line="360" w:lineRule="auto"/>
        <w:jc w:val="both"/>
        <w:rPr>
          <w:rFonts w:ascii="Arial" w:eastAsia="Times New Roman" w:hAnsi="Arial" w:cs="Arial"/>
          <w:b/>
          <w:bCs/>
          <w:kern w:val="0"/>
          <w:sz w:val="22"/>
          <w:szCs w:val="22"/>
          <w:lang w:eastAsia="en-GB"/>
          <w14:ligatures w14:val="none"/>
        </w:rPr>
      </w:pPr>
      <w:r w:rsidRPr="00D50835">
        <w:rPr>
          <w:rFonts w:ascii="Arial" w:eastAsia="Times New Roman" w:hAnsi="Arial" w:cs="Arial"/>
          <w:b/>
          <w:bCs/>
          <w:kern w:val="0"/>
          <w:sz w:val="22"/>
          <w:szCs w:val="22"/>
          <w:lang w:eastAsia="en-GB"/>
          <w14:ligatures w14:val="none"/>
        </w:rPr>
        <w:t>Literature Review</w:t>
      </w:r>
    </w:p>
    <w:p w14:paraId="636FC6E1" w14:textId="77777777" w:rsidR="009954CE" w:rsidRPr="00D50835" w:rsidRDefault="00000000"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t>In performance, voice extends beyond its physiological or musical function; it operates as a socially constructed site where identity is expressed, interpreted, and frequently contested (Azul, 2015; Zimman, 2017). For trans and non-binary individuals, voice mediates the space between internal self-conception and external recognition, shaped more by sociocultural expectations than anatomy (Azul et al., 2017).</w:t>
      </w:r>
    </w:p>
    <w:p w14:paraId="522D8BCA" w14:textId="77777777" w:rsidR="009954CE" w:rsidRPr="00D50835" w:rsidRDefault="009954CE" w:rsidP="00D50835">
      <w:pPr>
        <w:spacing w:line="360" w:lineRule="auto"/>
        <w:jc w:val="both"/>
        <w:rPr>
          <w:rFonts w:ascii="Arial" w:eastAsia="Times New Roman" w:hAnsi="Arial" w:cs="Arial"/>
          <w:kern w:val="0"/>
          <w:sz w:val="22"/>
          <w:szCs w:val="22"/>
          <w:lang w:eastAsia="en-GB"/>
          <w14:ligatures w14:val="none"/>
        </w:rPr>
      </w:pPr>
    </w:p>
    <w:p w14:paraId="3858AD5C" w14:textId="77777777" w:rsidR="009954CE" w:rsidRPr="00D50835" w:rsidRDefault="00000000"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t>Butler's (1990) theory of gender performativity positions gender as a repeated, socially regulated performance, of which voice is a key expressive component. Each utterance or vocal act contributes to gender construction, with perception heavily contingent upon the listener's interpretive framework. Halberstam (2005) extends this by viewing performance spaces as identity laboratories—crucial for trans and queer performers whose vocal and embodied expression may resist binary classification. Musical theatre, with its demand for vocal, emotional, and dramatic synthesis, becomes a particularly potent site for this negotiation.</w:t>
      </w:r>
    </w:p>
    <w:p w14:paraId="3CFF6841" w14:textId="77777777" w:rsidR="009954CE" w:rsidRPr="00D50835" w:rsidRDefault="009954CE" w:rsidP="00D50835">
      <w:pPr>
        <w:spacing w:line="360" w:lineRule="auto"/>
        <w:jc w:val="both"/>
        <w:rPr>
          <w:rFonts w:ascii="Arial" w:eastAsia="Times New Roman" w:hAnsi="Arial" w:cs="Arial"/>
          <w:kern w:val="0"/>
          <w:sz w:val="22"/>
          <w:szCs w:val="22"/>
          <w:lang w:eastAsia="en-GB"/>
          <w14:ligatures w14:val="none"/>
        </w:rPr>
      </w:pPr>
    </w:p>
    <w:p w14:paraId="2D4F6A8B" w14:textId="77777777" w:rsidR="009954CE" w:rsidRPr="00D50835" w:rsidRDefault="00000000"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t>Azul et al. (2017) describe trans vocality as a "field of attribution," where voice is not simply heard but categorised according to gendered norms, often inaccurately. This dissonance can result in misrecognition, emotional labour, and pedagogical harm. As Davies, Papp, and Antoni (2015) argue, voice training for trans individuals goes beyond gender presentation—it implicates wellbeing, agency, and social access. Thorpe (2019) reinforces this, calling for a trauma-informed, trans-affirming pedagogy defined by adaptability, collaboration, and psychological safety.</w:t>
      </w:r>
    </w:p>
    <w:p w14:paraId="5AB723AC" w14:textId="77777777" w:rsidR="009954CE" w:rsidRPr="00D50835" w:rsidRDefault="009954CE" w:rsidP="00D50835">
      <w:pPr>
        <w:spacing w:line="360" w:lineRule="auto"/>
        <w:jc w:val="both"/>
        <w:rPr>
          <w:rFonts w:ascii="Arial" w:eastAsia="Times New Roman" w:hAnsi="Arial" w:cs="Arial"/>
          <w:kern w:val="0"/>
          <w:sz w:val="22"/>
          <w:szCs w:val="22"/>
          <w:lang w:eastAsia="en-GB"/>
          <w14:ligatures w14:val="none"/>
        </w:rPr>
      </w:pPr>
    </w:p>
    <w:p w14:paraId="3EE05AC5" w14:textId="77777777" w:rsidR="009954CE" w:rsidRPr="00D50835" w:rsidRDefault="00000000"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t xml:space="preserve">Nevertheless, musical theatre education still largely adheres to binary vocal taxonomies—soprano, alto, tenor, bass—which are pedagogically exclusionary (Azul, 2015). These typologies overlook transitional processes in transmasculine voices (e.g., range mutation due to testosterone) and the behavioural nature of transfeminine vocal adaptation (Davies &amp; </w:t>
      </w:r>
      <w:r w:rsidRPr="00D50835">
        <w:rPr>
          <w:rFonts w:ascii="Arial" w:eastAsia="Times New Roman" w:hAnsi="Arial" w:cs="Arial"/>
          <w:kern w:val="0"/>
          <w:sz w:val="22"/>
          <w:szCs w:val="22"/>
          <w:lang w:eastAsia="en-GB"/>
          <w14:ligatures w14:val="none"/>
        </w:rPr>
        <w:lastRenderedPageBreak/>
        <w:t>Goldberg, 2006). Both require nuanced and flexible approaches, which are rarely offered in traditional settings (Azul et al., 2017; Zimman, 2017).</w:t>
      </w:r>
    </w:p>
    <w:p w14:paraId="400716E0" w14:textId="77777777" w:rsidR="009954CE" w:rsidRPr="00D50835" w:rsidRDefault="009954CE" w:rsidP="00D50835">
      <w:pPr>
        <w:spacing w:line="360" w:lineRule="auto"/>
        <w:jc w:val="both"/>
        <w:rPr>
          <w:rFonts w:ascii="Arial" w:eastAsia="Times New Roman" w:hAnsi="Arial" w:cs="Arial"/>
          <w:kern w:val="0"/>
          <w:sz w:val="22"/>
          <w:szCs w:val="22"/>
          <w:lang w:eastAsia="en-GB"/>
          <w14:ligatures w14:val="none"/>
        </w:rPr>
      </w:pPr>
    </w:p>
    <w:p w14:paraId="6B056B03" w14:textId="77777777" w:rsidR="009954CE" w:rsidRPr="00D50835" w:rsidRDefault="00000000"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t xml:space="preserve">The coach-student relationship is critical to this discussion. Hancock and Helenius (2012) highlight how misgendering, fixed repertoire assignment, and refusal to use pronouns can make learning spaces feel alienating. </w:t>
      </w:r>
      <w:proofErr w:type="gramStart"/>
      <w:r w:rsidRPr="00D50835">
        <w:rPr>
          <w:rFonts w:ascii="Arial" w:eastAsia="Times New Roman" w:hAnsi="Arial" w:cs="Arial"/>
          <w:kern w:val="0"/>
          <w:sz w:val="22"/>
          <w:szCs w:val="22"/>
          <w:lang w:eastAsia="en-GB"/>
          <w14:ligatures w14:val="none"/>
        </w:rPr>
        <w:t>All of</w:t>
      </w:r>
      <w:proofErr w:type="gramEnd"/>
      <w:r w:rsidRPr="00D50835">
        <w:rPr>
          <w:rFonts w:ascii="Arial" w:eastAsia="Times New Roman" w:hAnsi="Arial" w:cs="Arial"/>
          <w:kern w:val="0"/>
          <w:sz w:val="22"/>
          <w:szCs w:val="22"/>
          <w:lang w:eastAsia="en-GB"/>
          <w14:ligatures w14:val="none"/>
        </w:rPr>
        <w:t xml:space="preserve"> these decisions are predicated on normative assumptions that inhibit the development of trans performers. Daykin (2020) and Dixon et al. (2015) describe identity-conscious, trauma-informed practices as not merely ways to include people but also as means to enhance teaching and supportive pedagogical practices.</w:t>
      </w:r>
    </w:p>
    <w:p w14:paraId="49E7318C" w14:textId="77777777" w:rsidR="009954CE" w:rsidRPr="00D50835" w:rsidRDefault="009954CE" w:rsidP="00D50835">
      <w:pPr>
        <w:spacing w:line="360" w:lineRule="auto"/>
        <w:jc w:val="both"/>
        <w:rPr>
          <w:rFonts w:ascii="Arial" w:eastAsia="Times New Roman" w:hAnsi="Arial" w:cs="Arial"/>
          <w:kern w:val="0"/>
          <w:sz w:val="22"/>
          <w:szCs w:val="22"/>
          <w:lang w:eastAsia="en-GB"/>
          <w14:ligatures w14:val="none"/>
        </w:rPr>
      </w:pPr>
    </w:p>
    <w:p w14:paraId="4564B195" w14:textId="77777777" w:rsidR="009954CE" w:rsidRPr="00D50835" w:rsidRDefault="00000000"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t>The necessity for pedagogical change is essential; the purpose is not merely to provide space, however, but to welcome gender-diverse voices. The ways of pedagogical reformulation included changing the repertoire and recontextualising exercises, as well as altering the markers for a new way of assessing praxis, and challenging educator reflexivity. By reframing Acting Through Song through the methods used in Pedagogical Reform, it opens the possibility of working towards inclusive, rigorous, and artistic empowerment.</w:t>
      </w:r>
    </w:p>
    <w:p w14:paraId="42FD8648" w14:textId="77777777" w:rsidR="009954CE" w:rsidRPr="00D50835" w:rsidRDefault="00000000"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t>Trans Voice Pedagogy and Challenges in Training</w:t>
      </w:r>
    </w:p>
    <w:p w14:paraId="13155A3E" w14:textId="77777777" w:rsidR="009954CE" w:rsidRPr="00D50835" w:rsidRDefault="009954CE" w:rsidP="00D50835">
      <w:pPr>
        <w:spacing w:line="360" w:lineRule="auto"/>
        <w:jc w:val="both"/>
        <w:rPr>
          <w:rFonts w:ascii="Arial" w:eastAsia="Times New Roman" w:hAnsi="Arial" w:cs="Arial"/>
          <w:kern w:val="0"/>
          <w:sz w:val="22"/>
          <w:szCs w:val="22"/>
          <w:lang w:eastAsia="en-GB"/>
          <w14:ligatures w14:val="none"/>
        </w:rPr>
      </w:pPr>
    </w:p>
    <w:p w14:paraId="3533A715" w14:textId="77777777" w:rsidR="009954CE" w:rsidRPr="00D50835" w:rsidRDefault="00000000"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t>In recent years, the field of trans-specific voice training has garnered increased scholarly attention, particularly within the domains of speech-language pathology and vocal health. This body of research is predominantly informed by the tenets of gender-affirming care, which emphasises the importance of alignment between an individual's gender identity and the social and internal perceptions of their voice (Davies, Papp &amp; Antoni, 2015; Azul, 2015). While traditionally situated in therapeutic settings, these insights have begun to permeate applied vocal pedagogy practices within the performing arts.</w:t>
      </w:r>
    </w:p>
    <w:p w14:paraId="199DB110" w14:textId="77777777" w:rsidR="009954CE" w:rsidRPr="00D50835" w:rsidRDefault="009954CE" w:rsidP="00D50835">
      <w:pPr>
        <w:spacing w:line="360" w:lineRule="auto"/>
        <w:jc w:val="both"/>
        <w:rPr>
          <w:rFonts w:ascii="Arial" w:eastAsia="Times New Roman" w:hAnsi="Arial" w:cs="Arial"/>
          <w:kern w:val="0"/>
          <w:sz w:val="22"/>
          <w:szCs w:val="22"/>
          <w:lang w:eastAsia="en-GB"/>
          <w14:ligatures w14:val="none"/>
        </w:rPr>
      </w:pPr>
    </w:p>
    <w:p w14:paraId="519E83E2" w14:textId="77777777" w:rsidR="009954CE" w:rsidRPr="00D50835" w:rsidRDefault="00000000"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t>The dialogue on trans voice training is initiated by Davies et al.'s (2015) argument that this work is more than gender presentation; it is also a matter of wellbeing, self-actualisation, and equitable access to life's social participation. Thorpe (2019) adds to this, advocating for a trans-affirming pedagogy that is flexible, psychologically safe, and collaborative, to counteract the inflexibility of normative training models that impose cisnormative assumptions about vocal range, resonance, and character classification.</w:t>
      </w:r>
    </w:p>
    <w:p w14:paraId="49366378" w14:textId="77777777" w:rsidR="009954CE" w:rsidRPr="00D50835" w:rsidRDefault="009954CE" w:rsidP="00D50835">
      <w:pPr>
        <w:spacing w:line="360" w:lineRule="auto"/>
        <w:jc w:val="both"/>
        <w:rPr>
          <w:rFonts w:ascii="Arial" w:eastAsia="Times New Roman" w:hAnsi="Arial" w:cs="Arial"/>
          <w:kern w:val="0"/>
          <w:sz w:val="22"/>
          <w:szCs w:val="22"/>
          <w:lang w:eastAsia="en-GB"/>
          <w14:ligatures w14:val="none"/>
        </w:rPr>
      </w:pPr>
    </w:p>
    <w:p w14:paraId="4692E1CA" w14:textId="77777777" w:rsidR="009954CE" w:rsidRPr="00D50835" w:rsidRDefault="00000000"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t xml:space="preserve">A significant barrier to musical theatre pedagogy is the persistent reliance on binary voice classification systems, including soprano, mezzo, tenor, and bass. These typologies fail to account for the vocal changes that occur during the gender transition process. For </w:t>
      </w:r>
      <w:r w:rsidRPr="00D50835">
        <w:rPr>
          <w:rFonts w:ascii="Arial" w:eastAsia="Times New Roman" w:hAnsi="Arial" w:cs="Arial"/>
          <w:kern w:val="0"/>
          <w:sz w:val="22"/>
          <w:szCs w:val="22"/>
          <w:lang w:eastAsia="en-GB"/>
          <w14:ligatures w14:val="none"/>
        </w:rPr>
        <w:lastRenderedPageBreak/>
        <w:t xml:space="preserve">transmasculine singers, testosterone often induces a period of voice mutation marked by shifts in range, resonance, and registration, requiring specialist support that is rarely provided in conservatoire environments (Azul et al., 2017; Zimman, 2017). </w:t>
      </w:r>
    </w:p>
    <w:p w14:paraId="0BECCB24" w14:textId="77777777" w:rsidR="009954CE" w:rsidRPr="00D50835" w:rsidRDefault="009954CE" w:rsidP="00D50835">
      <w:pPr>
        <w:spacing w:line="360" w:lineRule="auto"/>
        <w:jc w:val="both"/>
        <w:rPr>
          <w:rFonts w:ascii="Arial" w:eastAsia="Times New Roman" w:hAnsi="Arial" w:cs="Arial"/>
          <w:kern w:val="0"/>
          <w:sz w:val="22"/>
          <w:szCs w:val="22"/>
          <w:lang w:eastAsia="en-GB"/>
          <w14:ligatures w14:val="none"/>
        </w:rPr>
      </w:pPr>
    </w:p>
    <w:p w14:paraId="1639E5DE" w14:textId="6AA1195E" w:rsidR="009954CE" w:rsidRPr="00D50835" w:rsidRDefault="00000000"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t xml:space="preserve">Transfeminine singers face distinct challenges: oestrogen typically does not alter vocal fold structure, so feminisation relies on behavioural techniques such as pitch adjustment, resonance modification, and articulation changes (Davies &amp; Goldberg, 2006; Azul, 2015). These are technically demanding and emotionally </w:t>
      </w:r>
      <w:r w:rsidR="00D50835" w:rsidRPr="00D50835">
        <w:rPr>
          <w:rFonts w:ascii="Arial" w:eastAsia="Times New Roman" w:hAnsi="Arial" w:cs="Arial"/>
          <w:kern w:val="0"/>
          <w:sz w:val="22"/>
          <w:szCs w:val="22"/>
          <w:lang w:eastAsia="en-GB"/>
          <w14:ligatures w14:val="none"/>
        </w:rPr>
        <w:t>significant yet</w:t>
      </w:r>
      <w:r w:rsidRPr="00D50835">
        <w:rPr>
          <w:rFonts w:ascii="Arial" w:eastAsia="Times New Roman" w:hAnsi="Arial" w:cs="Arial"/>
          <w:kern w:val="0"/>
          <w:sz w:val="22"/>
          <w:szCs w:val="22"/>
          <w:lang w:eastAsia="en-GB"/>
          <w14:ligatures w14:val="none"/>
        </w:rPr>
        <w:t xml:space="preserve"> often sidelined in mainstream training that defaults to normative expectations (Thorpe, 2019). The effects of oestrogen do not typically yield the same degree of anatomical modification to the vocal folds; consequently, voice feminisation frequently hinges upon behavioural techniques that involve adjustments to resonance, intonation, and onset (Davies &amp; Goldberg, 2006; Azul, 2015). </w:t>
      </w:r>
    </w:p>
    <w:p w14:paraId="46343B8E" w14:textId="77777777" w:rsidR="009954CE" w:rsidRPr="00D50835" w:rsidRDefault="009954CE" w:rsidP="00D50835">
      <w:pPr>
        <w:spacing w:line="360" w:lineRule="auto"/>
        <w:jc w:val="both"/>
        <w:rPr>
          <w:rFonts w:ascii="Arial" w:eastAsia="Times New Roman" w:hAnsi="Arial" w:cs="Arial"/>
          <w:kern w:val="0"/>
          <w:sz w:val="22"/>
          <w:szCs w:val="22"/>
          <w:lang w:eastAsia="en-GB"/>
          <w14:ligatures w14:val="none"/>
        </w:rPr>
      </w:pPr>
    </w:p>
    <w:p w14:paraId="5CDDA27B" w14:textId="478034DE" w:rsidR="009954CE" w:rsidRPr="00D50835" w:rsidRDefault="00000000"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t xml:space="preserve">A vocal coach's role can be an important element in these contexts. Hancock and Helenius (2012) suggest that the teaching relationship can be a space of affirmation or alienation. Practices that include misgendering, failure to recognise changes in pronouns in lyrics, or set repertoire based on assumed vocal type are not only antiquated but problematic. They sustain a cisnormative </w:t>
      </w:r>
      <w:r w:rsidR="00D50835" w:rsidRPr="00D50835">
        <w:rPr>
          <w:rFonts w:ascii="Arial" w:eastAsia="Times New Roman" w:hAnsi="Arial" w:cs="Arial"/>
          <w:kern w:val="0"/>
          <w:sz w:val="22"/>
          <w:szCs w:val="22"/>
          <w:lang w:eastAsia="en-GB"/>
          <w14:ligatures w14:val="none"/>
        </w:rPr>
        <w:t>ideal and</w:t>
      </w:r>
      <w:r w:rsidRPr="00D50835">
        <w:rPr>
          <w:rFonts w:ascii="Arial" w:eastAsia="Times New Roman" w:hAnsi="Arial" w:cs="Arial"/>
          <w:kern w:val="0"/>
          <w:sz w:val="22"/>
          <w:szCs w:val="22"/>
          <w:lang w:eastAsia="en-GB"/>
          <w14:ligatures w14:val="none"/>
        </w:rPr>
        <w:t xml:space="preserve"> ultimately exclude and preclude trans performers from being fully included in training and performing. There is a growing movement in voice science and education that advocates for the use of trauma-related and identity-aware pedagogy (Daykin, 2020; Dixon, Lee &amp; Ghaye, 2015). </w:t>
      </w:r>
      <w:proofErr w:type="gramStart"/>
      <w:r w:rsidRPr="00D50835">
        <w:rPr>
          <w:rFonts w:ascii="Arial" w:eastAsia="Times New Roman" w:hAnsi="Arial" w:cs="Arial"/>
          <w:kern w:val="0"/>
          <w:sz w:val="22"/>
          <w:szCs w:val="22"/>
          <w:lang w:eastAsia="en-GB"/>
          <w14:ligatures w14:val="none"/>
        </w:rPr>
        <w:t>In light of</w:t>
      </w:r>
      <w:proofErr w:type="gramEnd"/>
      <w:r w:rsidRPr="00D50835">
        <w:rPr>
          <w:rFonts w:ascii="Arial" w:eastAsia="Times New Roman" w:hAnsi="Arial" w:cs="Arial"/>
          <w:kern w:val="0"/>
          <w:sz w:val="22"/>
          <w:szCs w:val="22"/>
          <w:lang w:eastAsia="en-GB"/>
          <w14:ligatures w14:val="none"/>
        </w:rPr>
        <w:t xml:space="preserve"> this discussion, the call for a pedagogical shift becomes clear. Musical theatre educators must adopt a celebratory and affirming approach to incorporating gender-diverse voices. The following section will consider how the ideas and practices of Acting Through Song can be reconceptualised to promote this model and provide a more inclusive, artistically rigorous, and socially responsible approach to training future performers.</w:t>
      </w:r>
    </w:p>
    <w:p w14:paraId="3DAF381A" w14:textId="77777777" w:rsidR="009954CE" w:rsidRPr="00D50835" w:rsidRDefault="009954CE" w:rsidP="00D50835">
      <w:pPr>
        <w:spacing w:line="360" w:lineRule="auto"/>
        <w:jc w:val="both"/>
        <w:rPr>
          <w:rFonts w:ascii="Arial" w:eastAsia="Times New Roman" w:hAnsi="Arial" w:cs="Arial"/>
          <w:kern w:val="0"/>
          <w:sz w:val="22"/>
          <w:szCs w:val="22"/>
          <w:lang w:eastAsia="en-GB"/>
          <w14:ligatures w14:val="none"/>
        </w:rPr>
      </w:pPr>
    </w:p>
    <w:p w14:paraId="0BE5B25F" w14:textId="77777777" w:rsidR="009954CE" w:rsidRPr="00D50835" w:rsidRDefault="00000000" w:rsidP="00D50835">
      <w:pPr>
        <w:spacing w:line="360" w:lineRule="auto"/>
        <w:jc w:val="both"/>
        <w:rPr>
          <w:rFonts w:ascii="Arial" w:eastAsia="Times New Roman" w:hAnsi="Arial" w:cs="Arial"/>
          <w:b/>
          <w:bCs/>
          <w:kern w:val="0"/>
          <w:sz w:val="22"/>
          <w:szCs w:val="22"/>
          <w:lang w:eastAsia="en-GB"/>
          <w14:ligatures w14:val="none"/>
        </w:rPr>
      </w:pPr>
      <w:r w:rsidRPr="00D50835">
        <w:rPr>
          <w:rFonts w:ascii="Arial" w:eastAsia="Times New Roman" w:hAnsi="Arial" w:cs="Arial"/>
          <w:b/>
          <w:bCs/>
          <w:kern w:val="0"/>
          <w:sz w:val="22"/>
          <w:szCs w:val="22"/>
          <w:lang w:eastAsia="en-GB"/>
          <w14:ligatures w14:val="none"/>
        </w:rPr>
        <w:t>ATS as Tradition and Limitation</w:t>
      </w:r>
    </w:p>
    <w:p w14:paraId="05F8A5FB" w14:textId="77777777" w:rsidR="009954CE" w:rsidRPr="00D50835" w:rsidRDefault="009954CE" w:rsidP="00D50835">
      <w:pPr>
        <w:spacing w:line="360" w:lineRule="auto"/>
        <w:jc w:val="both"/>
        <w:rPr>
          <w:rFonts w:ascii="Arial" w:eastAsia="Times New Roman" w:hAnsi="Arial" w:cs="Arial"/>
          <w:kern w:val="0"/>
          <w:sz w:val="22"/>
          <w:szCs w:val="22"/>
          <w:lang w:eastAsia="en-GB"/>
          <w14:ligatures w14:val="none"/>
        </w:rPr>
      </w:pPr>
    </w:p>
    <w:p w14:paraId="2F043BE4" w14:textId="77777777" w:rsidR="009954CE" w:rsidRPr="00D50835" w:rsidRDefault="00000000"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t>ATS remains a central methodology in musical theatre training, valued for its integration of vocal technique, psychological realism, and dramatic interpretation (Harvard, 2014; Allen, 2022). Evolving from classical vocal pedagogy and Stanislavskian principles, ATS positions music and text as vehicles for emotional truth, fostering embodied storytelling as a core artistic competency (Balk, 1985; Ostwald, 2005). However, its pedagogical frameworks frequently reflect and reinforce cisnormative and binary assumptions about gender and voice.</w:t>
      </w:r>
    </w:p>
    <w:p w14:paraId="507A6C06" w14:textId="77777777" w:rsidR="009954CE" w:rsidRPr="00D50835" w:rsidRDefault="009954CE" w:rsidP="00D50835">
      <w:pPr>
        <w:spacing w:line="360" w:lineRule="auto"/>
        <w:jc w:val="both"/>
        <w:rPr>
          <w:rFonts w:ascii="Arial" w:eastAsia="Times New Roman" w:hAnsi="Arial" w:cs="Arial"/>
          <w:kern w:val="0"/>
          <w:sz w:val="22"/>
          <w:szCs w:val="22"/>
          <w:lang w:eastAsia="en-GB"/>
          <w14:ligatures w14:val="none"/>
        </w:rPr>
      </w:pPr>
    </w:p>
    <w:p w14:paraId="038F05FD" w14:textId="77777777" w:rsidR="009954CE" w:rsidRPr="00D50835" w:rsidRDefault="00000000"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lastRenderedPageBreak/>
        <w:t>Voice classification systems—soprano, alto, tenor, bass—are often mapped onto character archetypes that reproduce heteronormative binaries: ingénues, matriarchs, romantic heroes, and patriarchs (Craig, 1990; Moore &amp; Bergman, 2016). These typologies not only restrict the artistic range of performers but also naturalise gendered casting practices that centre cis identities as the default. For transgender and non-binary performers, such systems can result in what Hancock and Helenius (2012) call pedagogical misfit—a disjuncture between institutional expectations and lived vocal or gender identity.</w:t>
      </w:r>
    </w:p>
    <w:p w14:paraId="20E56C4A" w14:textId="77777777" w:rsidR="009954CE" w:rsidRPr="00D50835" w:rsidRDefault="009954CE" w:rsidP="00D50835">
      <w:pPr>
        <w:spacing w:line="360" w:lineRule="auto"/>
        <w:jc w:val="both"/>
        <w:rPr>
          <w:rFonts w:ascii="Arial" w:eastAsia="Times New Roman" w:hAnsi="Arial" w:cs="Arial"/>
          <w:kern w:val="0"/>
          <w:sz w:val="22"/>
          <w:szCs w:val="22"/>
          <w:lang w:eastAsia="en-GB"/>
          <w14:ligatures w14:val="none"/>
        </w:rPr>
      </w:pPr>
    </w:p>
    <w:p w14:paraId="1C782143" w14:textId="77777777" w:rsidR="009954CE" w:rsidRPr="00D50835" w:rsidRDefault="00000000"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t>Moreover, the interpretive frameworks underpinning ATS—such as Stanislavski's given circumstances, Hagen's object exercises, or Meisner's repetition work—rarely interrogate the gendered and heteronormative assumptions embedded in performance analysis. As Butler's (1990) theory of gender performativity suggests, these frameworks often function to reinscribe dominant identity narratives, treating gender as stable and intelligible rather than constructed and contingent. The absence of trans-informed vocal analysis within these methods marginalises performers whose voices fall outside binary paradigms, especially those undergoing vocal transition (Azul, 2015; Zimman, 2017).</w:t>
      </w:r>
    </w:p>
    <w:p w14:paraId="47A0BAAA" w14:textId="77777777" w:rsidR="009954CE" w:rsidRPr="00D50835" w:rsidRDefault="009954CE" w:rsidP="00D50835">
      <w:pPr>
        <w:spacing w:line="360" w:lineRule="auto"/>
        <w:jc w:val="both"/>
        <w:rPr>
          <w:rFonts w:ascii="Arial" w:eastAsia="Times New Roman" w:hAnsi="Arial" w:cs="Arial"/>
          <w:kern w:val="0"/>
          <w:sz w:val="22"/>
          <w:szCs w:val="22"/>
          <w:lang w:eastAsia="en-GB"/>
          <w14:ligatures w14:val="none"/>
        </w:rPr>
      </w:pPr>
    </w:p>
    <w:p w14:paraId="7C25F5DA" w14:textId="77777777" w:rsidR="009954CE" w:rsidRPr="00D50835" w:rsidRDefault="00000000"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t>As such, performers are often left with limited options: assimilate into existing norms or undertake unsanctioned adaptations—such as lyric rewrites or key changes—without institutional guidance (Daykin, 2020). This project responds to such limitations by exploring how ATS can be reconceptualised through a constructivist lens, aligning vocal pedagogy with more inclusive, identity-affirming practices rooted in trans and queer performance theory.</w:t>
      </w:r>
    </w:p>
    <w:p w14:paraId="2E33FF13" w14:textId="77777777" w:rsidR="00D50835" w:rsidRPr="00D50835" w:rsidRDefault="00D50835" w:rsidP="00D50835">
      <w:pPr>
        <w:spacing w:line="360" w:lineRule="auto"/>
        <w:jc w:val="both"/>
        <w:rPr>
          <w:rFonts w:ascii="Arial" w:eastAsia="Times New Roman" w:hAnsi="Arial" w:cs="Arial"/>
          <w:b/>
          <w:bCs/>
          <w:kern w:val="0"/>
          <w:sz w:val="22"/>
          <w:szCs w:val="22"/>
          <w:lang w:eastAsia="en-GB"/>
          <w14:ligatures w14:val="none"/>
        </w:rPr>
      </w:pPr>
    </w:p>
    <w:p w14:paraId="5755B430" w14:textId="4D40135F" w:rsidR="009954CE" w:rsidRPr="00D50835" w:rsidRDefault="00000000" w:rsidP="00D50835">
      <w:pPr>
        <w:spacing w:line="360" w:lineRule="auto"/>
        <w:jc w:val="both"/>
        <w:rPr>
          <w:rFonts w:ascii="Arial" w:eastAsia="Times New Roman" w:hAnsi="Arial" w:cs="Arial"/>
          <w:b/>
          <w:bCs/>
          <w:kern w:val="0"/>
          <w:sz w:val="22"/>
          <w:szCs w:val="22"/>
          <w:lang w:eastAsia="en-GB"/>
          <w14:ligatures w14:val="none"/>
        </w:rPr>
      </w:pPr>
      <w:r w:rsidRPr="00D50835">
        <w:rPr>
          <w:rFonts w:ascii="Arial" w:eastAsia="Times New Roman" w:hAnsi="Arial" w:cs="Arial"/>
          <w:b/>
          <w:bCs/>
          <w:kern w:val="0"/>
          <w:sz w:val="22"/>
          <w:szCs w:val="22"/>
          <w:lang w:eastAsia="en-GB"/>
          <w14:ligatures w14:val="none"/>
        </w:rPr>
        <w:t>Gaps in Literature and Practice</w:t>
      </w:r>
    </w:p>
    <w:p w14:paraId="0DEE895B" w14:textId="77777777" w:rsidR="009954CE" w:rsidRPr="00D50835" w:rsidRDefault="00000000"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t>While recent years have seen an increase in scholarly attention to trans and non-binary vocal practices, much of this work remains situated in clinical or therapeutic contexts, rather than in performance pedagogy. Davies, Papp, and Antoni (2015) lay important groundwork for gender-affirming voice therapy, and Thorpe (2019) introduces inclusive practices in singing instruction. However, these models rarely engage with the specific dramaturgical and emotional demands of Acting Through Song (ATS), which involves navigating codified repertoire and character traditions within musical theatre.</w:t>
      </w:r>
    </w:p>
    <w:p w14:paraId="13181B76" w14:textId="77777777" w:rsidR="009954CE" w:rsidRPr="00D50835" w:rsidRDefault="009954CE" w:rsidP="00D50835">
      <w:pPr>
        <w:spacing w:line="360" w:lineRule="auto"/>
        <w:jc w:val="both"/>
        <w:rPr>
          <w:rFonts w:ascii="Arial" w:eastAsia="Times New Roman" w:hAnsi="Arial" w:cs="Arial"/>
          <w:kern w:val="0"/>
          <w:sz w:val="22"/>
          <w:szCs w:val="22"/>
          <w:lang w:eastAsia="en-GB"/>
          <w14:ligatures w14:val="none"/>
        </w:rPr>
      </w:pPr>
    </w:p>
    <w:p w14:paraId="1EE24893" w14:textId="77777777" w:rsidR="009954CE" w:rsidRPr="00D50835" w:rsidRDefault="00000000"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t xml:space="preserve">Jones and Zhang (2021) examine this disconnect and note that while visibility of trans students is rising, the training programs continue to rely on cisnormative reasoning. While efforts such as changing pronouns or transposing students' names are commendable, they can remain merely superficial gestures if they are not followed by substantive structural action. Casting </w:t>
      </w:r>
      <w:r w:rsidRPr="00D50835">
        <w:rPr>
          <w:rFonts w:ascii="Arial" w:eastAsia="Times New Roman" w:hAnsi="Arial" w:cs="Arial"/>
          <w:kern w:val="0"/>
          <w:sz w:val="22"/>
          <w:szCs w:val="22"/>
          <w:lang w:eastAsia="en-GB"/>
          <w14:ligatures w14:val="none"/>
        </w:rPr>
        <w:lastRenderedPageBreak/>
        <w:t>and assessment still typically operate within binary vocal windows, despite changes that include institutional language acknowledging inclusivity.</w:t>
      </w:r>
    </w:p>
    <w:p w14:paraId="6A06E68C" w14:textId="77777777" w:rsidR="009954CE" w:rsidRPr="00D50835" w:rsidRDefault="009954CE" w:rsidP="00D50835">
      <w:pPr>
        <w:spacing w:line="360" w:lineRule="auto"/>
        <w:jc w:val="both"/>
        <w:rPr>
          <w:rFonts w:ascii="Arial" w:eastAsia="Times New Roman" w:hAnsi="Arial" w:cs="Arial"/>
          <w:kern w:val="0"/>
          <w:sz w:val="22"/>
          <w:szCs w:val="22"/>
          <w:lang w:eastAsia="en-GB"/>
          <w14:ligatures w14:val="none"/>
        </w:rPr>
      </w:pPr>
    </w:p>
    <w:p w14:paraId="25C77D13" w14:textId="77777777" w:rsidR="009954CE" w:rsidRPr="00D50835" w:rsidRDefault="00000000"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t>There is also a significant gap in scholarship that foregrounds trans performers as creative agents within ATS. While literature in speech-language pathology and sociolinguistics has explored trans vocality in depth (Azul et al., 2017; Zimman, 2017), research that speaks from rather than about trans performer experiences remains limited. As a result, valuable insights from trans artist-educators—on pedagogy, process, and innovation—are often excluded from formal discourse.</w:t>
      </w:r>
    </w:p>
    <w:p w14:paraId="7116112C" w14:textId="77777777" w:rsidR="009954CE" w:rsidRPr="00D50835" w:rsidRDefault="009954CE" w:rsidP="00D50835">
      <w:pPr>
        <w:spacing w:line="360" w:lineRule="auto"/>
        <w:jc w:val="both"/>
        <w:rPr>
          <w:rFonts w:ascii="Arial" w:eastAsia="Times New Roman" w:hAnsi="Arial" w:cs="Arial"/>
          <w:kern w:val="0"/>
          <w:sz w:val="22"/>
          <w:szCs w:val="22"/>
          <w:lang w:eastAsia="en-GB"/>
          <w14:ligatures w14:val="none"/>
        </w:rPr>
      </w:pPr>
    </w:p>
    <w:p w14:paraId="769DCBED" w14:textId="77777777" w:rsidR="009954CE" w:rsidRPr="00D50835" w:rsidRDefault="00000000"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t>Existing grassroots innovations, such as adapting warm-ups for transitioning voices, reimagining lyric content, or reframing character arcs through a gender-expansive lens, are often underdocumented or underutilised. Without integration into published work or institutional curricula, these efforts remain isolated (Daykin, 2020; Dixon, Lee &amp; Ghaye, 2015). As these scholars argue, inclusion must be more than just access; it must also foster co-creation, reflexivity, and a sense of belonging. Until ATS pedagogy actively embraces this paradigm, its models will remain incomplete.</w:t>
      </w:r>
    </w:p>
    <w:p w14:paraId="45DCE9AB" w14:textId="77777777" w:rsidR="009954CE" w:rsidRPr="00D50835" w:rsidRDefault="009954CE" w:rsidP="00D50835">
      <w:pPr>
        <w:spacing w:line="360" w:lineRule="auto"/>
        <w:jc w:val="both"/>
        <w:rPr>
          <w:rFonts w:ascii="Arial" w:eastAsia="Times New Roman" w:hAnsi="Arial" w:cs="Arial"/>
          <w:kern w:val="0"/>
          <w:sz w:val="22"/>
          <w:szCs w:val="22"/>
          <w:lang w:eastAsia="en-GB"/>
          <w14:ligatures w14:val="none"/>
        </w:rPr>
      </w:pPr>
    </w:p>
    <w:p w14:paraId="46FD118C" w14:textId="77777777" w:rsidR="009954CE" w:rsidRPr="00D50835" w:rsidRDefault="00000000" w:rsidP="00D50835">
      <w:pPr>
        <w:spacing w:line="360" w:lineRule="auto"/>
        <w:jc w:val="both"/>
        <w:rPr>
          <w:rFonts w:ascii="Arial" w:eastAsia="Times New Roman" w:hAnsi="Arial" w:cs="Arial"/>
          <w:b/>
          <w:bCs/>
          <w:kern w:val="0"/>
          <w:sz w:val="22"/>
          <w:szCs w:val="22"/>
          <w:lang w:eastAsia="en-GB"/>
          <w14:ligatures w14:val="none"/>
        </w:rPr>
      </w:pPr>
      <w:r w:rsidRPr="00D50835">
        <w:rPr>
          <w:rFonts w:ascii="Arial" w:eastAsia="Times New Roman" w:hAnsi="Arial" w:cs="Arial"/>
          <w:b/>
          <w:bCs/>
          <w:kern w:val="0"/>
          <w:sz w:val="22"/>
          <w:szCs w:val="22"/>
          <w:lang w:eastAsia="en-GB"/>
          <w14:ligatures w14:val="none"/>
        </w:rPr>
        <w:t>Toward a Trans-inclusive ATS Pedagogy</w:t>
      </w:r>
    </w:p>
    <w:p w14:paraId="75970C2F" w14:textId="77777777" w:rsidR="009954CE" w:rsidRPr="00D50835" w:rsidRDefault="009954CE" w:rsidP="00D50835">
      <w:pPr>
        <w:spacing w:line="360" w:lineRule="auto"/>
        <w:jc w:val="both"/>
        <w:rPr>
          <w:rFonts w:ascii="Arial" w:eastAsia="Times New Roman" w:hAnsi="Arial" w:cs="Arial"/>
          <w:kern w:val="0"/>
          <w:sz w:val="22"/>
          <w:szCs w:val="22"/>
          <w:lang w:eastAsia="en-GB"/>
          <w14:ligatures w14:val="none"/>
        </w:rPr>
      </w:pPr>
    </w:p>
    <w:p w14:paraId="3EBB6F98" w14:textId="661E3385" w:rsidR="009954CE" w:rsidRPr="00D50835" w:rsidRDefault="00000000"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t xml:space="preserve">This study advocates for recognising trans and non-binary performers as not just receivers of educational interventions, but champions of change in musical theatre training. How these artists engaged with the material, including changes to lyrics or keys, and reimagining character roles in the songs' narratives, demonstrates a significant relationship to the material that goes beyond ATS specificity. Those interactions should not be misinterpreted as exceptions or accommodations, but rather as actions that lead to productive spaces. The claim that these interactions were innovations not exceptions </w:t>
      </w:r>
      <w:r w:rsidR="009346CC" w:rsidRPr="00D50835">
        <w:rPr>
          <w:rFonts w:ascii="Arial" w:eastAsia="Times New Roman" w:hAnsi="Arial" w:cs="Arial"/>
          <w:kern w:val="0"/>
          <w:sz w:val="22"/>
          <w:szCs w:val="22"/>
          <w:lang w:eastAsia="en-GB"/>
          <w14:ligatures w14:val="none"/>
        </w:rPr>
        <w:t>stem</w:t>
      </w:r>
      <w:r w:rsidRPr="00D50835">
        <w:rPr>
          <w:rFonts w:ascii="Arial" w:eastAsia="Times New Roman" w:hAnsi="Arial" w:cs="Arial"/>
          <w:kern w:val="0"/>
          <w:sz w:val="22"/>
          <w:szCs w:val="22"/>
          <w:lang w:eastAsia="en-GB"/>
          <w14:ligatures w14:val="none"/>
        </w:rPr>
        <w:t xml:space="preserve"> from principles derived from critical pedagogy, trauma-informed education, and queer theory. Critical pedagogy emphasises the importance of critical reflection to disrupt normative assumptions, and to amplify the voices of marginalised individuals (Fook &amp; Askeland, 2006). From the critical pedagogy perspective, in ATS, the question to examine is what voices and stories are privileged as competency is demonstrated. When a trans performer shifts song narratives to reflect their reality, i.e., changing pronouns, altering emotional arcs, or queering character motivations, they are reclaiming ownership of their voice and narrative. </w:t>
      </w:r>
    </w:p>
    <w:p w14:paraId="37B4F243" w14:textId="77777777" w:rsidR="009954CE" w:rsidRPr="00D50835" w:rsidRDefault="009954CE" w:rsidP="00D50835">
      <w:pPr>
        <w:spacing w:line="360" w:lineRule="auto"/>
        <w:jc w:val="both"/>
        <w:rPr>
          <w:rFonts w:ascii="Arial" w:eastAsia="Times New Roman" w:hAnsi="Arial" w:cs="Arial"/>
          <w:kern w:val="0"/>
          <w:sz w:val="22"/>
          <w:szCs w:val="22"/>
          <w:lang w:eastAsia="en-GB"/>
          <w14:ligatures w14:val="none"/>
        </w:rPr>
      </w:pPr>
    </w:p>
    <w:p w14:paraId="33BEB83A" w14:textId="77777777" w:rsidR="009954CE" w:rsidRPr="00D50835" w:rsidRDefault="00000000"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lastRenderedPageBreak/>
        <w:t xml:space="preserve">This reconceptualisation supports the ideas put forth by Halberstam (2005) that, for queer and trans people, the institutional pathways are often troubled because they challenge normative logics and find new ways of doing so through performance. While musical theatre values heightened expression and assigned roles, it also has both limitations and possibilities for reconceptualising performance as production. Implicitly, a trans-inclusive framework for ATS is created in the act of moving toward collaboration, rather than simply transferring technique, and a festival of performance, rather than an act of representation, where sharing voice, identity, and emotional truth occurs between teachers and performing artists. </w:t>
      </w:r>
    </w:p>
    <w:p w14:paraId="2F2B6E06" w14:textId="77777777" w:rsidR="00D50835" w:rsidRPr="00D50835" w:rsidRDefault="00D50835" w:rsidP="00D50835">
      <w:pPr>
        <w:spacing w:line="360" w:lineRule="auto"/>
        <w:jc w:val="both"/>
        <w:rPr>
          <w:rFonts w:ascii="Arial" w:eastAsia="Times New Roman" w:hAnsi="Arial" w:cs="Arial"/>
          <w:kern w:val="0"/>
          <w:sz w:val="22"/>
          <w:szCs w:val="22"/>
          <w:lang w:eastAsia="en-GB"/>
          <w14:ligatures w14:val="none"/>
        </w:rPr>
      </w:pPr>
    </w:p>
    <w:p w14:paraId="36AE5247" w14:textId="5EF38A8F" w:rsidR="009954CE" w:rsidRPr="00D50835" w:rsidRDefault="00000000"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t xml:space="preserve">The strengths-based reflective practice framework proposed by Dixon, Lee and Ghaye (2015) offers additional evidence for a possible shift. The framework encourages an acknowledgement of the </w:t>
      </w:r>
      <w:proofErr w:type="gramStart"/>
      <w:r w:rsidRPr="00D50835">
        <w:rPr>
          <w:rFonts w:ascii="Arial" w:eastAsia="Times New Roman" w:hAnsi="Arial" w:cs="Arial"/>
          <w:kern w:val="0"/>
          <w:sz w:val="22"/>
          <w:szCs w:val="22"/>
          <w:lang w:eastAsia="en-GB"/>
          <w14:ligatures w14:val="none"/>
        </w:rPr>
        <w:t>particular resources</w:t>
      </w:r>
      <w:proofErr w:type="gramEnd"/>
      <w:r w:rsidRPr="00D50835">
        <w:rPr>
          <w:rFonts w:ascii="Arial" w:eastAsia="Times New Roman" w:hAnsi="Arial" w:cs="Arial"/>
          <w:kern w:val="0"/>
          <w:sz w:val="22"/>
          <w:szCs w:val="22"/>
          <w:lang w:eastAsia="en-GB"/>
          <w14:ligatures w14:val="none"/>
        </w:rPr>
        <w:t xml:space="preserve"> that bring individual learners to the training context, in relation to their experiences, identity, resilience, and creativity. Within this framework, trans adaptations from learners are no longer viewed as a replacement or compensation for instances of non-alignment, but instead as a manifestation of artistic agency and teaching inventiveness. Such reasoning encourages and shifts educators from simply suggesting technical </w:t>
      </w:r>
      <w:r w:rsidR="009346CC" w:rsidRPr="00D50835">
        <w:rPr>
          <w:rFonts w:ascii="Arial" w:eastAsia="Times New Roman" w:hAnsi="Arial" w:cs="Arial"/>
          <w:kern w:val="0"/>
          <w:sz w:val="22"/>
          <w:szCs w:val="22"/>
          <w:lang w:eastAsia="en-GB"/>
          <w14:ligatures w14:val="none"/>
        </w:rPr>
        <w:t>direction and</w:t>
      </w:r>
      <w:r w:rsidRPr="00D50835">
        <w:rPr>
          <w:rFonts w:ascii="Arial" w:eastAsia="Times New Roman" w:hAnsi="Arial" w:cs="Arial"/>
          <w:kern w:val="0"/>
          <w:sz w:val="22"/>
          <w:szCs w:val="22"/>
          <w:lang w:eastAsia="en-GB"/>
          <w14:ligatures w14:val="none"/>
        </w:rPr>
        <w:t xml:space="preserve"> instead becomes a facilitator of performance that honours and respects each participant's self-expression path.</w:t>
      </w:r>
    </w:p>
    <w:p w14:paraId="535F2996" w14:textId="77777777" w:rsidR="00D50835" w:rsidRPr="00D50835" w:rsidRDefault="00D50835" w:rsidP="00D50835">
      <w:pPr>
        <w:spacing w:line="360" w:lineRule="auto"/>
        <w:jc w:val="both"/>
        <w:rPr>
          <w:rFonts w:ascii="Arial" w:eastAsia="Times New Roman" w:hAnsi="Arial" w:cs="Arial"/>
          <w:kern w:val="0"/>
          <w:sz w:val="22"/>
          <w:szCs w:val="22"/>
          <w:lang w:eastAsia="en-GB"/>
          <w14:ligatures w14:val="none"/>
        </w:rPr>
      </w:pPr>
    </w:p>
    <w:p w14:paraId="58973307" w14:textId="77777777" w:rsidR="009954CE" w:rsidRPr="00D50835" w:rsidRDefault="00000000"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t>Moreover, trauma-informed pedagogies are crucial to restructuring ATS. Daykin (2020) emphasises the need for identity-safe learning environments that encourage risk-taking and performative vulnerability, especially for those identified in marginalised social locations. For trans performers, the stakes of being tasked with creating material that misrepresents their lived experiences can be substantial, both in terms of the risks associated with vocal performance and emotional safety. Practised through a trauma-informed lens, ATS can reconfigure these risks into opportunities for healing, self-definition, and creative empowerment.</w:t>
      </w:r>
    </w:p>
    <w:p w14:paraId="2468B4AA" w14:textId="77777777" w:rsidR="00D50835" w:rsidRPr="00D50835" w:rsidRDefault="00D50835" w:rsidP="00D50835">
      <w:pPr>
        <w:spacing w:line="360" w:lineRule="auto"/>
        <w:jc w:val="both"/>
        <w:rPr>
          <w:rFonts w:ascii="Arial" w:eastAsia="Times New Roman" w:hAnsi="Arial" w:cs="Arial"/>
          <w:kern w:val="0"/>
          <w:sz w:val="22"/>
          <w:szCs w:val="22"/>
          <w:lang w:eastAsia="en-GB"/>
          <w14:ligatures w14:val="none"/>
        </w:rPr>
      </w:pPr>
    </w:p>
    <w:p w14:paraId="3B8D6717" w14:textId="77777777" w:rsidR="009954CE" w:rsidRPr="00D50835" w:rsidRDefault="00000000"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t>Together, all these interdisciplinary approaches evoke a conception of ATS as a fluid, identity-affirming practice—one that marries technical robustness with personal authenticity, rather than forcing performers to choose between the two. In the next section, I describe the methodological framework, its underpinning theoretical rationale, and how desk-based inquiry and reflective practices can serve as evidence for a viable pedagogic model based on lived experience and critical scholarship.</w:t>
      </w:r>
    </w:p>
    <w:p w14:paraId="3AB8A523" w14:textId="77777777" w:rsidR="009954CE" w:rsidRPr="00D50835" w:rsidRDefault="009954CE" w:rsidP="00D50835">
      <w:pPr>
        <w:spacing w:line="360" w:lineRule="auto"/>
        <w:jc w:val="both"/>
        <w:rPr>
          <w:rFonts w:ascii="Arial" w:eastAsia="Times New Roman" w:hAnsi="Arial" w:cs="Arial"/>
          <w:kern w:val="0"/>
          <w:sz w:val="22"/>
          <w:szCs w:val="22"/>
          <w:lang w:eastAsia="en-GB"/>
          <w14:ligatures w14:val="none"/>
        </w:rPr>
      </w:pPr>
    </w:p>
    <w:p w14:paraId="6D4EAC0B" w14:textId="77777777" w:rsidR="00A410BF" w:rsidRDefault="00A410BF" w:rsidP="00D50835">
      <w:pPr>
        <w:spacing w:line="360" w:lineRule="auto"/>
        <w:jc w:val="both"/>
        <w:rPr>
          <w:rFonts w:ascii="Arial" w:eastAsia="Times New Roman" w:hAnsi="Arial" w:cs="Arial"/>
          <w:b/>
          <w:bCs/>
          <w:kern w:val="0"/>
          <w:sz w:val="22"/>
          <w:szCs w:val="22"/>
          <w:lang w:eastAsia="en-GB"/>
          <w14:ligatures w14:val="none"/>
        </w:rPr>
      </w:pPr>
    </w:p>
    <w:p w14:paraId="58A40A01" w14:textId="18C8E039" w:rsidR="009954CE" w:rsidRPr="00D50835" w:rsidRDefault="00000000" w:rsidP="00D50835">
      <w:pPr>
        <w:spacing w:line="360" w:lineRule="auto"/>
        <w:jc w:val="both"/>
        <w:rPr>
          <w:rFonts w:ascii="Arial" w:eastAsia="Times New Roman" w:hAnsi="Arial" w:cs="Arial"/>
          <w:b/>
          <w:bCs/>
          <w:kern w:val="0"/>
          <w:sz w:val="22"/>
          <w:szCs w:val="22"/>
          <w:lang w:eastAsia="en-GB"/>
          <w14:ligatures w14:val="none"/>
        </w:rPr>
      </w:pPr>
      <w:r w:rsidRPr="00D50835">
        <w:rPr>
          <w:rFonts w:ascii="Arial" w:eastAsia="Times New Roman" w:hAnsi="Arial" w:cs="Arial"/>
          <w:b/>
          <w:bCs/>
          <w:kern w:val="0"/>
          <w:sz w:val="22"/>
          <w:szCs w:val="22"/>
          <w:lang w:eastAsia="en-GB"/>
          <w14:ligatures w14:val="none"/>
        </w:rPr>
        <w:lastRenderedPageBreak/>
        <w:t>Methodological Framing</w:t>
      </w:r>
    </w:p>
    <w:p w14:paraId="16DF8A49" w14:textId="77777777" w:rsidR="00A410BF" w:rsidRDefault="00000000"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t xml:space="preserve">The current study employs a qualitative, desk-based approach rooted in constructivist and </w:t>
      </w:r>
    </w:p>
    <w:p w14:paraId="28209D7C" w14:textId="257865A1" w:rsidR="009954CE" w:rsidRPr="00D50835" w:rsidRDefault="00000000"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t>interpretivist epistemologies, which limit understandings of knowledge through social construction within a social context influenced by the positionality and values of both the researcher and the researched (Charmaz, 2014; Smith, Flowers, &amp; Larkin, 2009). Unlike positivist methodologies, which value objectivity and generalizability, the qualitative desk-based approach prioritises depth and complexity, aiming to inform contextual understanding. As such, desk-based qualitative methodology is particularly relevant when exploring issues of gender, identity, and pedagogy within the context of performance. The desk-based methodology employed here does not generate new empirical data; this study offers a critical review of existing areas of scholarship, encompassing various fields, including musical theatre pedagogy, trans voice practices, gender as a theoretical concept, and inclusive education. The review process encompassed a wide range of documents, representing diverse materials, including academic literature, practitioner-produced resources, training manuals, grey literature, and reflective accounts from educators and performers. The intentions of the review process highlighted above were not to generate new statistics; instead, I identified patterns, gaps, and possibilities in the literature that might prompt action to redesign pedagogical practices.</w:t>
      </w:r>
    </w:p>
    <w:p w14:paraId="06465EB7" w14:textId="77777777" w:rsidR="009954CE" w:rsidRPr="00D50835" w:rsidRDefault="00000000"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t xml:space="preserve">This methodological selection underscores the significance of desk-based inquiry while simultaneously reflecting the nascent state of the field. As indicated by Jones and Zhang (2021), the topic of trans-inclusivity in acting training structures remains inadequately theorised in formal academic discourse. A considerable amount of knowledge is disseminated in non-peer-reviewed forms, such as practitioner blogs, industry panels, and informal networks. A desk approach will create a space for critical engagement with a diverse set of knowledge, enabling us to identify examples of effective practice and pinpoint areas for development. A desk approach also allows us to meaningfully engage reflexively with the research we are considering. Authors such as Heyler (2015) and Fook and Askeland (2006) assert that practitioner-researchers engage with theoretical constructs to critically question their own professional experiences and propose new practices. As a trans-informed voice tutor working in musical theatre, the researcher's positionality and professional lens facilitate significant meaning-making in relation to the pedagogical challenges and possibilities articulated in the literature. While this positionality may introduce subjectivity, it offers increased relevance and applicability within the recommendations, which are directly aligned with the lived experiences of teaching and learning. Following this methodological discussion, a literature review will be presented using thematic analysis as described by Braun and Clarke (2006) to identify tensions and points of convergence in the literature as follows: the </w:t>
      </w:r>
      <w:r w:rsidRPr="00D50835">
        <w:rPr>
          <w:rFonts w:ascii="Arial" w:eastAsia="Times New Roman" w:hAnsi="Arial" w:cs="Arial"/>
          <w:kern w:val="0"/>
          <w:sz w:val="22"/>
          <w:szCs w:val="22"/>
          <w:lang w:eastAsia="en-GB"/>
          <w14:ligatures w14:val="none"/>
        </w:rPr>
        <w:lastRenderedPageBreak/>
        <w:t>construction of voice and gender in actor training contexts, how trans practitioners engage or resist these constructions, and what pedagogical approach might be possible as a result of, inclusive and trauma-informed practice. The intention is to identify these, if possible, tensions and points of convergence, adding to the growing body of work that reconceptualises musical theatre training as a practice of identity negotiation, creative resistance, and systems change.</w:t>
      </w:r>
    </w:p>
    <w:p w14:paraId="54AC3C97" w14:textId="77777777" w:rsidR="009954CE" w:rsidRPr="00D50835" w:rsidRDefault="009954CE" w:rsidP="00D50835">
      <w:pPr>
        <w:spacing w:line="360" w:lineRule="auto"/>
        <w:jc w:val="both"/>
        <w:rPr>
          <w:rFonts w:ascii="Arial" w:eastAsia="Times New Roman" w:hAnsi="Arial" w:cs="Arial"/>
          <w:kern w:val="0"/>
          <w:sz w:val="22"/>
          <w:szCs w:val="22"/>
          <w:lang w:eastAsia="en-GB"/>
          <w14:ligatures w14:val="none"/>
        </w:rPr>
      </w:pPr>
    </w:p>
    <w:p w14:paraId="6E9D49D7" w14:textId="77777777" w:rsidR="009954CE" w:rsidRPr="00D50835" w:rsidRDefault="00000000" w:rsidP="00D50835">
      <w:pPr>
        <w:spacing w:line="360" w:lineRule="auto"/>
        <w:jc w:val="both"/>
        <w:rPr>
          <w:rFonts w:ascii="Arial" w:eastAsia="Times New Roman" w:hAnsi="Arial" w:cs="Arial"/>
          <w:b/>
          <w:bCs/>
          <w:kern w:val="0"/>
          <w:sz w:val="22"/>
          <w:szCs w:val="22"/>
          <w:lang w:eastAsia="en-GB"/>
          <w14:ligatures w14:val="none"/>
        </w:rPr>
      </w:pPr>
      <w:r w:rsidRPr="00D50835">
        <w:rPr>
          <w:rFonts w:ascii="Arial" w:eastAsia="Times New Roman" w:hAnsi="Arial" w:cs="Arial"/>
          <w:b/>
          <w:bCs/>
          <w:kern w:val="0"/>
          <w:sz w:val="22"/>
          <w:szCs w:val="22"/>
          <w:lang w:eastAsia="en-GB"/>
          <w14:ligatures w14:val="none"/>
        </w:rPr>
        <w:t>Interpretative and Constructivist Underpinnings</w:t>
      </w:r>
    </w:p>
    <w:p w14:paraId="2326A6E8" w14:textId="77777777" w:rsidR="009954CE" w:rsidRPr="00D50835" w:rsidRDefault="00000000"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t>The epistemological foundation of this study draws on both interpretative and constructivist paradigms, enabling a multi-layered engagement with texts, narratives, and pedagogical frameworks. While no new empirical data were collected for this desk-based inquiry, the research nonetheless employs an interpretative phenomenological orientation to analyse how trans performers' experiences with ATS are articulated in the literature and broader practitioner discourse.</w:t>
      </w:r>
    </w:p>
    <w:p w14:paraId="1CDDD80B" w14:textId="77777777" w:rsidR="009954CE" w:rsidRPr="00D50835" w:rsidRDefault="00000000"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t>Interpretative Phenomenological Analysis (IPA), as developed by Smith, Flowers and Larkin (2009), is traditionally used in small-scale empirical studies to explore how individuals make sense of their personal and social worlds. Although this study does not involve direct interviews or data collection, the IPA framework remains conceptually valuable. It encourages the researcher to attend to the subjective meaning-making of individuals as reflected in first-person testimonials, published case studies, blogs, and reflective accounts from trans artists and educators. These sources are approached not merely as examples but as sites of insight into lived experience and embodied pedagogy, with a sensitivity to how voice and identity are negotiated through performance.</w:t>
      </w:r>
    </w:p>
    <w:p w14:paraId="05B5D599" w14:textId="77777777" w:rsidR="009954CE" w:rsidRPr="00D50835" w:rsidRDefault="00000000"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t>Alongside this interpretative stance, the study is firmly rooted in a constructivist worldview. Constructivism posits that knowledge is not discovered but constructed, shaped by social, cultural, and historical forces (Charmaz, 2014). This lens is particularly appropriate for interrogating ATS pedagogy, a discipline whose traditions have been codified through the norms of Western conservatoire education—often privileging white, cisgender, able-bodied, and heteronormative performers (Harvard, 2014; Moore &amp; Bergman, 2016). Through a constructivist lens, vocal categorisation, character types, and "authentic" performance are not seen as neutral, but as socially contingent constructs that can—and should—be challenged and reimagined. This paradigm supports the central aim of the study: to interrogate how ATS can be reframed to centre trans voices and experiences, thereby contributing to the ongoing reconstruction of inclusive performance pedagogy.</w:t>
      </w:r>
    </w:p>
    <w:p w14:paraId="2BCFF984" w14:textId="77777777" w:rsidR="009954CE" w:rsidRPr="00D50835" w:rsidRDefault="009954CE" w:rsidP="00D50835">
      <w:pPr>
        <w:spacing w:line="360" w:lineRule="auto"/>
        <w:jc w:val="both"/>
        <w:rPr>
          <w:rFonts w:ascii="Arial" w:eastAsia="Times New Roman" w:hAnsi="Arial" w:cs="Arial"/>
          <w:kern w:val="0"/>
          <w:sz w:val="22"/>
          <w:szCs w:val="22"/>
          <w:lang w:eastAsia="en-GB"/>
          <w14:ligatures w14:val="none"/>
        </w:rPr>
      </w:pPr>
    </w:p>
    <w:p w14:paraId="1581648C" w14:textId="77777777" w:rsidR="00BE3F6F" w:rsidRDefault="00BE3F6F" w:rsidP="00D50835">
      <w:pPr>
        <w:spacing w:line="360" w:lineRule="auto"/>
        <w:jc w:val="both"/>
        <w:rPr>
          <w:rFonts w:ascii="Arial" w:eastAsia="Times New Roman" w:hAnsi="Arial" w:cs="Arial"/>
          <w:b/>
          <w:bCs/>
          <w:kern w:val="0"/>
          <w:sz w:val="22"/>
          <w:szCs w:val="22"/>
          <w:lang w:eastAsia="en-GB"/>
          <w14:ligatures w14:val="none"/>
        </w:rPr>
      </w:pPr>
    </w:p>
    <w:p w14:paraId="7BF16AC6" w14:textId="77777777" w:rsidR="00BE3F6F" w:rsidRDefault="00BE3F6F" w:rsidP="00D50835">
      <w:pPr>
        <w:spacing w:line="360" w:lineRule="auto"/>
        <w:jc w:val="both"/>
        <w:rPr>
          <w:rFonts w:ascii="Arial" w:eastAsia="Times New Roman" w:hAnsi="Arial" w:cs="Arial"/>
          <w:b/>
          <w:bCs/>
          <w:kern w:val="0"/>
          <w:sz w:val="22"/>
          <w:szCs w:val="22"/>
          <w:lang w:eastAsia="en-GB"/>
          <w14:ligatures w14:val="none"/>
        </w:rPr>
      </w:pPr>
    </w:p>
    <w:p w14:paraId="64A419DD" w14:textId="1FFB04BC" w:rsidR="009954CE" w:rsidRPr="00D50835" w:rsidRDefault="00000000" w:rsidP="00D50835">
      <w:pPr>
        <w:spacing w:line="360" w:lineRule="auto"/>
        <w:jc w:val="both"/>
        <w:rPr>
          <w:rFonts w:ascii="Arial" w:eastAsia="Times New Roman" w:hAnsi="Arial" w:cs="Arial"/>
          <w:b/>
          <w:bCs/>
          <w:kern w:val="0"/>
          <w:sz w:val="22"/>
          <w:szCs w:val="22"/>
          <w:lang w:eastAsia="en-GB"/>
          <w14:ligatures w14:val="none"/>
        </w:rPr>
      </w:pPr>
      <w:r w:rsidRPr="00D50835">
        <w:rPr>
          <w:rFonts w:ascii="Arial" w:eastAsia="Times New Roman" w:hAnsi="Arial" w:cs="Arial"/>
          <w:b/>
          <w:bCs/>
          <w:kern w:val="0"/>
          <w:sz w:val="22"/>
          <w:szCs w:val="22"/>
          <w:lang w:eastAsia="en-GB"/>
          <w14:ligatures w14:val="none"/>
        </w:rPr>
        <w:lastRenderedPageBreak/>
        <w:t>Critical Pedagogy and Intersectional Methodologies</w:t>
      </w:r>
    </w:p>
    <w:p w14:paraId="0681161F" w14:textId="77777777" w:rsidR="009954CE" w:rsidRPr="00D50835" w:rsidRDefault="00000000"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t>To facilitate an important reframing of educational engagement, this study employs theoretical and methodological frameworks grounded in critical pedagogy, which has been shaped by Paulo Freire and his contributions to queer pedagogical conversation (Freire, 1970; hooks, 1994; Shlasko, 2005). This pedagogical position draws on the relationship between education and power that asks both educators and learners to assess what counts as knowledge, to question whose voices are heard, and whose identities are either recognised or erased in the educational milieu. When the practice involved is musical theatre, the inherent demands for personal expression, vulnerability, and the ability to adhere to established norms, render these questions an ethical imperative Bell Hooks (1994) defines the classroom as a site of "possibility," as a space where personal identity and intellectual engagement may interact to create a transformative experience. In its application to Actor Training Strategies (ATS), this means a pedagogical responsibility to teach not only technical skills, but to teach strategies that acknowledge marginalised identities and a desire to empower them by providing space for trans and non-binary performers to make alterations to works or redefine how they engage with material, which gives them agency to perform as their true selves, while not fearing it is intended for someone else.</w:t>
      </w:r>
    </w:p>
    <w:p w14:paraId="213A46C8" w14:textId="77777777" w:rsidR="009954CE" w:rsidRPr="00D50835" w:rsidRDefault="00000000"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t>The methodological orientation of this study is shaped by the principles of intersectionality as defined by Crenshaw (1991). Although attention is primarily on gender identity, I am careful to consider how trans performers' experiences are not only intersected by gender identity but are also affected by issues of race, class, disability, and sexuality. While many sources discuss voice transition in somewhat individualised terms, only a few explore the process of social inequality showing up in conservatoire admission, access to training, and casting processes in the professional realm. When existing literature has recognised this complexity, it is referenced; when it does not, this absence is acknowledged. If the literature does not consistently include and adopt intersectional perspectives, this does not detract from the existing literature; it merely suggests that there is a need for future research with greater complexity and more diverse representation.</w:t>
      </w:r>
    </w:p>
    <w:p w14:paraId="53BA1DE1" w14:textId="77777777" w:rsidR="009954CE" w:rsidRPr="00D50835" w:rsidRDefault="009954CE" w:rsidP="00D50835">
      <w:pPr>
        <w:spacing w:line="360" w:lineRule="auto"/>
        <w:jc w:val="both"/>
        <w:rPr>
          <w:rFonts w:ascii="Arial" w:eastAsia="Times New Roman" w:hAnsi="Arial" w:cs="Arial"/>
          <w:kern w:val="0"/>
          <w:sz w:val="22"/>
          <w:szCs w:val="22"/>
          <w:lang w:eastAsia="en-GB"/>
          <w14:ligatures w14:val="none"/>
        </w:rPr>
      </w:pPr>
    </w:p>
    <w:p w14:paraId="2619158F" w14:textId="77777777" w:rsidR="009954CE" w:rsidRPr="00D50835" w:rsidRDefault="00000000" w:rsidP="00D50835">
      <w:pPr>
        <w:spacing w:line="360" w:lineRule="auto"/>
        <w:jc w:val="both"/>
        <w:rPr>
          <w:rFonts w:ascii="Arial" w:eastAsia="Times New Roman" w:hAnsi="Arial" w:cs="Arial"/>
          <w:b/>
          <w:bCs/>
          <w:kern w:val="0"/>
          <w:sz w:val="22"/>
          <w:szCs w:val="22"/>
          <w:lang w:eastAsia="en-GB"/>
          <w14:ligatures w14:val="none"/>
        </w:rPr>
      </w:pPr>
      <w:r w:rsidRPr="00D50835">
        <w:rPr>
          <w:rFonts w:ascii="Arial" w:eastAsia="Times New Roman" w:hAnsi="Arial" w:cs="Arial"/>
          <w:b/>
          <w:bCs/>
          <w:kern w:val="0"/>
          <w:sz w:val="22"/>
          <w:szCs w:val="22"/>
          <w:lang w:eastAsia="en-GB"/>
          <w14:ligatures w14:val="none"/>
        </w:rPr>
        <w:t>Textual Analysis and Thematic Synthesis</w:t>
      </w:r>
    </w:p>
    <w:p w14:paraId="2B5CDA1B" w14:textId="77777777" w:rsidR="009954CE" w:rsidRPr="00D50835" w:rsidRDefault="00000000"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t xml:space="preserve">The analytical framework in this research is guided by a qualitative thematic synthesis approach, as defined by Braun and Clarke (2006), a six-phase approach to qualitative research. This involved an initial reading of each source, as needed, ultimately resulting in multiple close readings. Initial codes began to take shape, representing recurring tensions, opportunities, and patterns in the literature. Initial codes were refined and combined to create broader thematic categories which best represented the role of trans performers' experiences </w:t>
      </w:r>
      <w:r w:rsidRPr="00D50835">
        <w:rPr>
          <w:rFonts w:ascii="Arial" w:eastAsia="Times New Roman" w:hAnsi="Arial" w:cs="Arial"/>
          <w:kern w:val="0"/>
          <w:sz w:val="22"/>
          <w:szCs w:val="22"/>
          <w:lang w:eastAsia="en-GB"/>
          <w14:ligatures w14:val="none"/>
        </w:rPr>
        <w:lastRenderedPageBreak/>
        <w:t>of Acting Through Song (ATS). The analysis yielded four interwoven themes: vocal agency, repertoire mismatch, emotional congruence, and performative authenticity. Vocal agency is described as the level of control performers have over their sound and the narrative that accompanies it, thereby claiming control over the evaluation and use of their voices.</w:t>
      </w:r>
    </w:p>
    <w:p w14:paraId="2427F868" w14:textId="77777777" w:rsidR="009954CE" w:rsidRPr="00D50835" w:rsidRDefault="00000000"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t>In contrast, repertoire mismatch embodies the friction between the available song selections and the identities of performers, often necessitating that trans artists adapt or reinterpret existing works. Emotional congruence addresses the relationship—or lack thereof—between a performer's internal self-perception and the external expectations imposed by the performance content. At the same time, performative authenticity encompasses the challenge of reconciling technical demands with authentic self-representation on stage.</w:t>
      </w:r>
    </w:p>
    <w:p w14:paraId="2C7162E8" w14:textId="77777777" w:rsidR="009954CE" w:rsidRPr="00D50835" w:rsidRDefault="00000000"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t>The above themes are not intended to be conceived as empirical outcomes in the usual sense of the term, but rather as interpretive lenses derived from a thorough reading of various sources, including peer-reviewed articles, practitioner reflections, and grey literature. The significant work of authors such as Azul (2015), Davies, Papp, and Antoni (2015), and Thorpe (2019) has all helped demonstrate how trans performers engage with, change, and sometimes disrupt normative pedagogical practices, although they offer different perspectives. Similarly, first-person examples from blogs, panels, and other narrative essays typically provide these examples immediately and in a potentially different way, supplementing what we learn from the academic literature.</w:t>
      </w:r>
    </w:p>
    <w:p w14:paraId="14EC2FCE" w14:textId="77777777" w:rsidR="009954CE" w:rsidRPr="00D50835" w:rsidRDefault="00000000"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t>This research methodology facilitates an inquiry into emerging pedagogical changes, such as flexible voice classifications, lyric changes, and rethinking character roles, which are currently being investigated in silos. Although these practices have not been formally documented, they provide the basis for the recommendations that will be articulated later in this paper. Additionally, these buffer the argument that legitimate systemic change exists not only in theory, but it is happening now, led by performers and educators who are committed to centring identity and authenticity in their practices. A summary table (Table 1) is included below, which captures the main themes identified in the synthesis and will serve as a framework for the recommendations moving forward in the study.</w:t>
      </w:r>
    </w:p>
    <w:p w14:paraId="43F2BD4A" w14:textId="77777777" w:rsidR="009954CE" w:rsidRPr="00D50835" w:rsidRDefault="009954CE" w:rsidP="00D50835">
      <w:pPr>
        <w:spacing w:line="360" w:lineRule="auto"/>
        <w:jc w:val="both"/>
        <w:rPr>
          <w:rFonts w:ascii="Arial" w:eastAsia="Times New Roman" w:hAnsi="Arial" w:cs="Arial"/>
          <w:kern w:val="0"/>
          <w:sz w:val="22"/>
          <w:szCs w:val="22"/>
          <w:lang w:eastAsia="en-GB"/>
          <w14:ligatures w14:val="none"/>
        </w:rPr>
      </w:pPr>
    </w:p>
    <w:p w14:paraId="5B65370C" w14:textId="77777777" w:rsidR="009954CE" w:rsidRPr="00D50835" w:rsidRDefault="00000000" w:rsidP="00D50835">
      <w:pPr>
        <w:spacing w:line="360" w:lineRule="auto"/>
        <w:jc w:val="both"/>
        <w:rPr>
          <w:rFonts w:ascii="Arial" w:eastAsia="Times New Roman" w:hAnsi="Arial" w:cs="Arial"/>
          <w:b/>
          <w:bCs/>
          <w:kern w:val="0"/>
          <w:sz w:val="22"/>
          <w:szCs w:val="22"/>
          <w:lang w:eastAsia="en-GB"/>
          <w14:ligatures w14:val="none"/>
        </w:rPr>
      </w:pPr>
      <w:r w:rsidRPr="00D50835">
        <w:rPr>
          <w:rFonts w:ascii="Arial" w:eastAsia="Times New Roman" w:hAnsi="Arial" w:cs="Arial"/>
          <w:b/>
          <w:bCs/>
          <w:kern w:val="0"/>
          <w:sz w:val="22"/>
          <w:szCs w:val="22"/>
          <w:lang w:eastAsia="en-GB"/>
          <w14:ligatures w14:val="none"/>
        </w:rPr>
        <w:t>Reflexivity and Ethical Considerations</w:t>
      </w:r>
    </w:p>
    <w:p w14:paraId="54FDAB17" w14:textId="083981FA" w:rsidR="009954CE" w:rsidRPr="00D50835" w:rsidRDefault="00000000"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t xml:space="preserve">Although primary data collection is absent from this study, the research process is characterised by a significant degree of reflexivity. The researcher, positioned as both a trans-informed practitioner and a voice educator, critically engages with their lived experiences, consistent with the ethical reflexivity framework proposed by Fook and Askeland (2006). Consequently, subjectivity is embraced as a methodological lens that enriches the analysis, </w:t>
      </w:r>
      <w:r w:rsidRPr="00D50835">
        <w:rPr>
          <w:rFonts w:ascii="Arial" w:eastAsia="Times New Roman" w:hAnsi="Arial" w:cs="Arial"/>
          <w:kern w:val="0"/>
          <w:sz w:val="22"/>
          <w:szCs w:val="22"/>
          <w:lang w:eastAsia="en-GB"/>
          <w14:ligatures w14:val="none"/>
        </w:rPr>
        <w:lastRenderedPageBreak/>
        <w:t xml:space="preserve">revealing the intersections between personal experience and pedagogical critique, thereby facilitating a process of </w:t>
      </w:r>
      <w:r w:rsidR="009346CC" w:rsidRPr="00D50835">
        <w:rPr>
          <w:rFonts w:ascii="Arial" w:eastAsia="Times New Roman" w:hAnsi="Arial" w:cs="Arial"/>
          <w:kern w:val="0"/>
          <w:sz w:val="22"/>
          <w:szCs w:val="22"/>
          <w:lang w:eastAsia="en-GB"/>
          <w14:ligatures w14:val="none"/>
        </w:rPr>
        <w:t>reconstruction.</w:t>
      </w:r>
      <w:r w:rsidRPr="00D50835">
        <w:rPr>
          <w:rFonts w:ascii="Arial" w:eastAsia="Times New Roman" w:hAnsi="Arial" w:cs="Arial"/>
          <w:kern w:val="0"/>
          <w:sz w:val="22"/>
          <w:szCs w:val="22"/>
          <w:lang w:eastAsia="en-GB"/>
          <w14:ligatures w14:val="none"/>
        </w:rPr>
        <w:t xml:space="preserve"> </w:t>
      </w:r>
    </w:p>
    <w:p w14:paraId="22996221" w14:textId="77777777" w:rsidR="009954CE" w:rsidRPr="00D50835" w:rsidRDefault="00000000"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t>To uphold ethical integrity, the research process emphasises the careful attribution of concepts and ideas, a mindful avoidance of appropriating trans narratives, and a persistent, critical awareness of the limitations of articulating perspectives that the researcher does not inhabit. Being ethically conscious about this, sources authored by trans practitioners, educators, and scholars are preferred where possible. This reflects the ethical responsibility to amplify marginalised voices (Daykin, 2020; Thorpe, 2019) while also ensuring the research is rooted in actual experiences and insights from the trans community.</w:t>
      </w:r>
    </w:p>
    <w:p w14:paraId="71565E7B" w14:textId="77777777" w:rsidR="009954CE" w:rsidRPr="00D50835" w:rsidRDefault="009954CE" w:rsidP="00D50835">
      <w:pPr>
        <w:spacing w:line="360" w:lineRule="auto"/>
        <w:jc w:val="both"/>
        <w:rPr>
          <w:rFonts w:ascii="Arial" w:eastAsia="Times New Roman" w:hAnsi="Arial" w:cs="Arial"/>
          <w:kern w:val="0"/>
          <w:sz w:val="22"/>
          <w:szCs w:val="22"/>
          <w:lang w:eastAsia="en-GB"/>
          <w14:ligatures w14:val="none"/>
        </w:rPr>
      </w:pPr>
    </w:p>
    <w:p w14:paraId="1973945D" w14:textId="77777777" w:rsidR="009954CE" w:rsidRPr="00D50835" w:rsidRDefault="00000000" w:rsidP="00D50835">
      <w:pPr>
        <w:spacing w:line="360" w:lineRule="auto"/>
        <w:jc w:val="both"/>
        <w:rPr>
          <w:rFonts w:ascii="Arial" w:eastAsia="Times New Roman" w:hAnsi="Arial" w:cs="Arial"/>
          <w:b/>
          <w:bCs/>
          <w:kern w:val="0"/>
          <w:sz w:val="22"/>
          <w:szCs w:val="22"/>
          <w:lang w:eastAsia="en-GB"/>
          <w14:ligatures w14:val="none"/>
        </w:rPr>
      </w:pPr>
      <w:r w:rsidRPr="00D50835">
        <w:rPr>
          <w:rFonts w:ascii="Arial" w:eastAsia="Times New Roman" w:hAnsi="Arial" w:cs="Arial"/>
          <w:b/>
          <w:bCs/>
          <w:kern w:val="0"/>
          <w:sz w:val="22"/>
          <w:szCs w:val="22"/>
          <w:lang w:eastAsia="en-GB"/>
          <w14:ligatures w14:val="none"/>
        </w:rPr>
        <w:t>Analysis and Discussion</w:t>
      </w:r>
    </w:p>
    <w:p w14:paraId="020F7B0C" w14:textId="77777777" w:rsidR="009954CE" w:rsidRPr="00D50835" w:rsidRDefault="00000000"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t>This chapter provides a critical monitoring of the literature, academic conversations, and practitioner narratives highlighting three central areas; the notion of vocal identity, an experiential, emotional, and embodied construct; the tensions for transgender performers between traditional repertoires and lived experience; and the transformative possibilities of Acting Through Song (ATS), particularly when seen through an inclusive and resilient pedagogical lens. In focusing on the three areas highlighted in the thematic synthesis of the previous chapter, while these areas point to structural weaknesses, they also point to emergent practices that could help shape trans-informed curricula within musical theatre training programs; therefore, this analysis of the literature is educational in two ways; recognising significant areas to improve upon, and exploring alternative practices to further the education of future music theatre practitioners in this sector.</w:t>
      </w:r>
    </w:p>
    <w:p w14:paraId="26F024DF" w14:textId="77777777" w:rsidR="009954CE" w:rsidRPr="00D50835" w:rsidRDefault="009954CE" w:rsidP="00D50835">
      <w:pPr>
        <w:spacing w:line="360" w:lineRule="auto"/>
        <w:jc w:val="both"/>
        <w:rPr>
          <w:rFonts w:ascii="Arial" w:eastAsia="Times New Roman" w:hAnsi="Arial" w:cs="Arial"/>
          <w:kern w:val="0"/>
          <w:sz w:val="22"/>
          <w:szCs w:val="22"/>
          <w:lang w:eastAsia="en-GB"/>
          <w14:ligatures w14:val="none"/>
        </w:rPr>
      </w:pPr>
    </w:p>
    <w:p w14:paraId="65C34A9D" w14:textId="77777777" w:rsidR="009954CE" w:rsidRPr="00D50835" w:rsidRDefault="00000000" w:rsidP="00D50835">
      <w:pPr>
        <w:spacing w:line="360" w:lineRule="auto"/>
        <w:jc w:val="both"/>
        <w:rPr>
          <w:rFonts w:ascii="Arial" w:eastAsia="Times New Roman" w:hAnsi="Arial" w:cs="Arial"/>
          <w:b/>
          <w:bCs/>
          <w:kern w:val="0"/>
          <w:sz w:val="22"/>
          <w:szCs w:val="22"/>
          <w:lang w:eastAsia="en-GB"/>
          <w14:ligatures w14:val="none"/>
        </w:rPr>
      </w:pPr>
      <w:r w:rsidRPr="00D50835">
        <w:rPr>
          <w:rFonts w:ascii="Arial" w:eastAsia="Times New Roman" w:hAnsi="Arial" w:cs="Arial"/>
          <w:b/>
          <w:bCs/>
          <w:kern w:val="0"/>
          <w:sz w:val="22"/>
          <w:szCs w:val="22"/>
          <w:lang w:eastAsia="en-GB"/>
          <w14:ligatures w14:val="none"/>
        </w:rPr>
        <w:t>Vocal Identity as Emotional and Embodied Experience</w:t>
      </w:r>
    </w:p>
    <w:p w14:paraId="10126472" w14:textId="77777777" w:rsidR="009954CE" w:rsidRPr="00D50835" w:rsidRDefault="00000000"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t xml:space="preserve">The literature often has a common thread that conceptualises voice not merely as a tool </w:t>
      </w:r>
      <w:proofErr w:type="gramStart"/>
      <w:r w:rsidRPr="00D50835">
        <w:rPr>
          <w:rFonts w:ascii="Arial" w:eastAsia="Times New Roman" w:hAnsi="Arial" w:cs="Arial"/>
          <w:kern w:val="0"/>
          <w:sz w:val="22"/>
          <w:szCs w:val="22"/>
          <w:lang w:eastAsia="en-GB"/>
          <w14:ligatures w14:val="none"/>
        </w:rPr>
        <w:t>for the production of</w:t>
      </w:r>
      <w:proofErr w:type="gramEnd"/>
      <w:r w:rsidRPr="00D50835">
        <w:rPr>
          <w:rFonts w:ascii="Arial" w:eastAsia="Times New Roman" w:hAnsi="Arial" w:cs="Arial"/>
          <w:kern w:val="0"/>
          <w:sz w:val="22"/>
          <w:szCs w:val="22"/>
          <w:lang w:eastAsia="en-GB"/>
          <w14:ligatures w14:val="none"/>
        </w:rPr>
        <w:t xml:space="preserve"> sound or delivery of drama, but as an identity that is personal and emotional. Azul (2015) articulates this point by positioning voice as a meeting place between self and society, particularly for those who are trans or non-binary, as their voice will often be scrutinised and misaligned into existing frameworks of gender. In agreement, Zimman (2017) proposes the idea that voice is a "stylistic bricolage" that combines distinct acoustic attributes, social meanings, and expressive choices, which listeners interpret as gendered markers. Therefore, voice is not a neutral category; it is performed and perceived through a gendered lens, which can produce vulnerability, empowerment, or dysphoria.</w:t>
      </w:r>
    </w:p>
    <w:p w14:paraId="2CA4231C" w14:textId="77777777" w:rsidR="009954CE" w:rsidRPr="00D50835" w:rsidRDefault="00000000"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t xml:space="preserve">In contrast to these realities within the literature, training practices in ATS often fail to address the emotive components of vocal identity adequately. Traditional pedagogy typically categorises voices into traditional types (soprano, alto, tenor, and bass) that are oriented </w:t>
      </w:r>
      <w:r w:rsidRPr="00D50835">
        <w:rPr>
          <w:rFonts w:ascii="Arial" w:eastAsia="Times New Roman" w:hAnsi="Arial" w:cs="Arial"/>
          <w:kern w:val="0"/>
          <w:sz w:val="22"/>
          <w:szCs w:val="22"/>
          <w:lang w:eastAsia="en-GB"/>
          <w14:ligatures w14:val="none"/>
        </w:rPr>
        <w:lastRenderedPageBreak/>
        <w:t>toward specific characters and development (Harvard, 2014; Moore &amp; Bergman, 2016). This traditional framework fails to address the vocal multiplicity and transitional experiences of trans singers. A transmasculine performer who undertakes testosterone treatment may struggle to create a new vocal identity as a developing baritone while also addressing the behavioural expectations of training as a soprano. The breach that can occur between one's vocal function and gender identity is an added psychological burden and limit for the artist (Davies, Papp &amp; Antoni, 2015). To address these additional layers of complexity, researchers such as Rees and Sweeney (2018, Rees and Koppen (2015) and Smith, Blow and Adam-Lavarack (2012), suggest adopting trauma-informed pedagogy that recognises the dissonance, rather than attempting to ignore the dissonance, that is often built in to traditional vocative pedagogy. Thorpe (2019) emphasises the importance of fostering psychological safety within the studio environment, particularly for transgender performers navigating the complexities of vocal transition. Hancock and Helenius (2012) further suggest that vocal training should be reflexive, affirm one's identity, and encompass the vocal journey for trans students exploring differences (and some not differences - such as grief, euphoria, resistance, and self-discovery). When ATS is constructed in this way, it could encourage it to be a re-integrative and healing practice, whereby performers integrate the sonic, vocal, and emotional sides of their voice. Instead of viewing vocal differences as a deficit that needs to be corrected, an inclusive approach to ATS could create space for people to acknowledge those differences as genuine expressions of gender and genuine forms of artistry. This requires a shift not only from normalisation to affirmation, but also to critically rethink the wider cultural and educational norms that dictate what is expected vocally.</w:t>
      </w:r>
    </w:p>
    <w:p w14:paraId="2FE3BDC4" w14:textId="77777777" w:rsidR="009954CE" w:rsidRPr="00D50835" w:rsidRDefault="009954CE" w:rsidP="00D50835">
      <w:pPr>
        <w:spacing w:line="360" w:lineRule="auto"/>
        <w:jc w:val="both"/>
        <w:rPr>
          <w:rFonts w:ascii="Arial" w:eastAsia="Times New Roman" w:hAnsi="Arial" w:cs="Arial"/>
          <w:kern w:val="0"/>
          <w:sz w:val="22"/>
          <w:szCs w:val="22"/>
          <w:lang w:eastAsia="en-GB"/>
          <w14:ligatures w14:val="none"/>
        </w:rPr>
      </w:pPr>
    </w:p>
    <w:p w14:paraId="4EF3E4D0" w14:textId="77777777" w:rsidR="009954CE" w:rsidRPr="00D50835" w:rsidRDefault="00000000" w:rsidP="00D50835">
      <w:pPr>
        <w:spacing w:line="360" w:lineRule="auto"/>
        <w:jc w:val="both"/>
        <w:rPr>
          <w:rFonts w:ascii="Arial" w:eastAsia="Times New Roman" w:hAnsi="Arial" w:cs="Arial"/>
          <w:b/>
          <w:bCs/>
          <w:kern w:val="0"/>
          <w:sz w:val="22"/>
          <w:szCs w:val="22"/>
          <w:lang w:eastAsia="en-GB"/>
          <w14:ligatures w14:val="none"/>
        </w:rPr>
      </w:pPr>
      <w:r w:rsidRPr="00D50835">
        <w:rPr>
          <w:rFonts w:ascii="Arial" w:eastAsia="Times New Roman" w:hAnsi="Arial" w:cs="Arial"/>
          <w:b/>
          <w:bCs/>
          <w:kern w:val="0"/>
          <w:sz w:val="22"/>
          <w:szCs w:val="22"/>
          <w:lang w:eastAsia="en-GB"/>
          <w14:ligatures w14:val="none"/>
        </w:rPr>
        <w:t>Repertoire Mismatch and Adaptive Strategies</w:t>
      </w:r>
    </w:p>
    <w:p w14:paraId="7D9DECE1" w14:textId="77777777" w:rsidR="009954CE" w:rsidRPr="00D50835" w:rsidRDefault="00000000"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t>The literature often presents a recurring theme that views the voice not just as an instrument of sound or dramatic representation, but as a representation of identity that is deeply personal and affective. Azul (2015), approaching the voice from this perspective, identifies the voice as a crossroads of personal event and societal understanding, particularly for trans or non-binary people who are often evaluated, or mis-categorised, within their normative gender. In this vein, Zimman (2017) states that voice is a "stylistic bricolage" composed of the different acoustic notes, social signifiers, and performative choices that listeners are taught to interpret as indicators of gender, or otherwise. Therefore, voice is not a neutral tool but is performed and perceived through a gendered lens, turning it into an area that could offer risks of vulnerability, empowered expression, or, sadly, idiosyncratic dysphoria.</w:t>
      </w:r>
    </w:p>
    <w:p w14:paraId="2E957477" w14:textId="77777777" w:rsidR="009954CE" w:rsidRPr="00D50835" w:rsidRDefault="009954CE" w:rsidP="00D50835">
      <w:pPr>
        <w:spacing w:line="360" w:lineRule="auto"/>
        <w:jc w:val="both"/>
        <w:rPr>
          <w:rFonts w:ascii="Arial" w:eastAsia="Times New Roman" w:hAnsi="Arial" w:cs="Arial"/>
          <w:kern w:val="0"/>
          <w:sz w:val="22"/>
          <w:szCs w:val="22"/>
          <w:lang w:eastAsia="en-GB"/>
          <w14:ligatures w14:val="none"/>
        </w:rPr>
      </w:pPr>
    </w:p>
    <w:p w14:paraId="36A1D578" w14:textId="328B9370" w:rsidR="009954CE" w:rsidRPr="00D50835" w:rsidRDefault="00000000"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lastRenderedPageBreak/>
        <w:t xml:space="preserve">Although the training models in Acting Through Song (ATS) disregard the nature of voice, they neglect the emotional aspects of vocal identity. Traditional pedagogical models categorise voices categorically, usually as soprano, alto, tenor, and bass, </w:t>
      </w:r>
      <w:r w:rsidR="009346CC" w:rsidRPr="00D50835">
        <w:rPr>
          <w:rFonts w:ascii="Arial" w:eastAsia="Times New Roman" w:hAnsi="Arial" w:cs="Arial"/>
          <w:kern w:val="0"/>
          <w:sz w:val="22"/>
          <w:szCs w:val="22"/>
          <w:lang w:eastAsia="en-GB"/>
          <w14:ligatures w14:val="none"/>
        </w:rPr>
        <w:t>which</w:t>
      </w:r>
      <w:r w:rsidRPr="00D50835">
        <w:rPr>
          <w:rFonts w:ascii="Arial" w:eastAsia="Times New Roman" w:hAnsi="Arial" w:cs="Arial"/>
          <w:kern w:val="0"/>
          <w:sz w:val="22"/>
          <w:szCs w:val="22"/>
          <w:lang w:eastAsia="en-GB"/>
          <w14:ligatures w14:val="none"/>
        </w:rPr>
        <w:t xml:space="preserve"> are also linked to roles and narratives (Harvard, 2014; Moore &amp; Bergman, 2016). These categories often do not account for the vocal fluidity and transitional processes of trans singers. To illustrate, a transmasculine performer, who is undergoing trans testosterone therapy, may struggle with a developing baritone range while needing to negotiate the expectations that stem from previous soprano training. It can be overwhelming to note the discrepancy between their vocal function and gender identity, leading to emotional fallout, as well as limitations to one artistic expression (Davies, Papp &amp; Antoni, 2015). In response to these experiences, numerous scholars have suggested a trauma-informed pedagogical model that acknowledges the dissonance rather than restricts or denies it. Thorpe (2019) emphasises the importance of fostering psychological safety within the studio environment, particularly for transgender performers navigating the complexities of vocal transition. Concurrently, Hancock and Helenius (2012) advocate for vocal training that is both reflexive and affirming of identity, acknowledging that the vocal journey for trans students can encompass a range of experiences, including grief, euphoria, resistance, and self-discovery. By framing ATS in this way, it becomes possible to shift it into a soulful and holistic practice that enables performers to integrate the sonic and emotional qualities of their voice, instead of seeing vocal differences as a deficit needing to be 'fixed', an inclusive perspective of ATS acknowledges vocal differences as tangible manifestations of, both, gender and artistic identity. This reframing, from a pathologising normalisation to an affirming inclusion, requires a deeper scrutiny of our vocal expectations and the prevailing pedagogical cosmology that frames them.</w:t>
      </w:r>
    </w:p>
    <w:p w14:paraId="79872712" w14:textId="77777777" w:rsidR="009954CE" w:rsidRPr="00D50835" w:rsidRDefault="009954CE" w:rsidP="00D50835">
      <w:pPr>
        <w:spacing w:line="360" w:lineRule="auto"/>
        <w:jc w:val="both"/>
        <w:rPr>
          <w:rFonts w:ascii="Arial" w:eastAsia="Times New Roman" w:hAnsi="Arial" w:cs="Arial"/>
          <w:kern w:val="0"/>
          <w:sz w:val="22"/>
          <w:szCs w:val="22"/>
          <w:lang w:eastAsia="en-GB"/>
          <w14:ligatures w14:val="none"/>
        </w:rPr>
      </w:pPr>
    </w:p>
    <w:p w14:paraId="50F2CC82" w14:textId="77777777" w:rsidR="009954CE" w:rsidRPr="00D50835" w:rsidRDefault="00000000" w:rsidP="00D50835">
      <w:pPr>
        <w:spacing w:line="360" w:lineRule="auto"/>
        <w:jc w:val="both"/>
        <w:rPr>
          <w:rFonts w:ascii="Arial" w:eastAsia="Times New Roman" w:hAnsi="Arial" w:cs="Arial"/>
          <w:b/>
          <w:bCs/>
          <w:kern w:val="0"/>
          <w:sz w:val="22"/>
          <w:szCs w:val="22"/>
          <w:lang w:eastAsia="en-GB"/>
          <w14:ligatures w14:val="none"/>
        </w:rPr>
      </w:pPr>
      <w:r w:rsidRPr="00D50835">
        <w:rPr>
          <w:rFonts w:ascii="Arial" w:eastAsia="Times New Roman" w:hAnsi="Arial" w:cs="Arial"/>
          <w:b/>
          <w:bCs/>
          <w:kern w:val="0"/>
          <w:sz w:val="22"/>
          <w:szCs w:val="22"/>
          <w:lang w:eastAsia="en-GB"/>
          <w14:ligatures w14:val="none"/>
        </w:rPr>
        <w:t>ATS as Transformative Practice</w:t>
      </w:r>
    </w:p>
    <w:p w14:paraId="0D9C7185" w14:textId="77777777" w:rsidR="009954CE" w:rsidRPr="00D50835" w:rsidRDefault="00000000"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t xml:space="preserve">Finally, the third theme utilises ATS inclusively and provides a space to engage with voice, identity, and artistry in a meaningful way. Allen (2022) outlines the potential of ATS as a site for performers to engage in identity development and transition due to its integration of emotional authenticity, corporeal identity, and storytelling. The legacy of voices, particularly among transgender performers, and their challenges of changing vocal features, shifting societal perceptions, and continually processing personal identity may find affirmative significance in ATS, given the level of thoughtful intentionality and self-reflection. </w:t>
      </w:r>
    </w:p>
    <w:p w14:paraId="45BBAA12" w14:textId="77777777" w:rsidR="009954CE" w:rsidRPr="00D50835" w:rsidRDefault="009954CE" w:rsidP="00D50835">
      <w:pPr>
        <w:spacing w:line="360" w:lineRule="auto"/>
        <w:jc w:val="both"/>
        <w:rPr>
          <w:rFonts w:ascii="Arial" w:eastAsia="Times New Roman" w:hAnsi="Arial" w:cs="Arial"/>
          <w:kern w:val="0"/>
          <w:sz w:val="22"/>
          <w:szCs w:val="22"/>
          <w:lang w:eastAsia="en-GB"/>
          <w14:ligatures w14:val="none"/>
        </w:rPr>
      </w:pPr>
    </w:p>
    <w:p w14:paraId="4B785B91" w14:textId="77777777" w:rsidR="009954CE" w:rsidRPr="00D50835" w:rsidRDefault="00000000"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t xml:space="preserve">The empirical work of Daykin (2020) and Thorpe (2019) shows that "affirming students' identity" in ATS environments – in ways such as respect with pronouns, using adaptive practices, and emotional safety – promotes increased self-confidence, inclination for risks, and </w:t>
      </w:r>
      <w:r w:rsidRPr="00D50835">
        <w:rPr>
          <w:rFonts w:ascii="Arial" w:eastAsia="Times New Roman" w:hAnsi="Arial" w:cs="Arial"/>
          <w:kern w:val="0"/>
          <w:sz w:val="22"/>
          <w:szCs w:val="22"/>
          <w:lang w:eastAsia="en-GB"/>
          <w14:ligatures w14:val="none"/>
        </w:rPr>
        <w:lastRenderedPageBreak/>
        <w:t>communicative freedom. Conversely, misgendering, coercive repertoire assignment, and strict technical expectation regularly lead to psychological withdrawal and disengagement (Davies, Papp, &amp; Antoni, 2015). This links with Charmaz's (2014) constructivism, which emphasises the relational and context-laden concept of meaning-making. Ultimately, the works of hooks (1994) and Shlasko (2005) prove education can be liberatory, as opposed to assimilatory. Thus, ATS becomes a space for identity formation and self-affirmation.</w:t>
      </w:r>
    </w:p>
    <w:p w14:paraId="0523AF61" w14:textId="77777777" w:rsidR="00D50835" w:rsidRPr="00D50835" w:rsidRDefault="00D50835" w:rsidP="00D50835">
      <w:pPr>
        <w:spacing w:line="360" w:lineRule="auto"/>
        <w:jc w:val="both"/>
        <w:rPr>
          <w:rFonts w:ascii="Arial" w:eastAsia="Times New Roman" w:hAnsi="Arial" w:cs="Arial"/>
          <w:kern w:val="0"/>
          <w:sz w:val="22"/>
          <w:szCs w:val="22"/>
          <w:lang w:eastAsia="en-GB"/>
          <w14:ligatures w14:val="none"/>
        </w:rPr>
      </w:pPr>
    </w:p>
    <w:p w14:paraId="727FA1E4" w14:textId="77777777" w:rsidR="00D50835" w:rsidRPr="00D50835" w:rsidRDefault="00D50835" w:rsidP="00D50835">
      <w:pPr>
        <w:spacing w:line="360" w:lineRule="auto"/>
        <w:jc w:val="both"/>
        <w:rPr>
          <w:rFonts w:ascii="Arial" w:eastAsia="Times New Roman" w:hAnsi="Arial" w:cs="Arial"/>
          <w:kern w:val="0"/>
          <w:sz w:val="22"/>
          <w:szCs w:val="22"/>
          <w:lang w:eastAsia="en-GB"/>
          <w14:ligatures w14:val="none"/>
        </w:rPr>
      </w:pPr>
    </w:p>
    <w:p w14:paraId="635D9A26" w14:textId="450BD88E" w:rsidR="009954CE" w:rsidRPr="00D50835" w:rsidRDefault="00000000" w:rsidP="00D50835">
      <w:pPr>
        <w:spacing w:line="360" w:lineRule="auto"/>
        <w:jc w:val="both"/>
        <w:rPr>
          <w:rFonts w:ascii="Arial" w:eastAsia="Times New Roman" w:hAnsi="Arial" w:cs="Arial"/>
          <w:b/>
          <w:bCs/>
          <w:kern w:val="0"/>
          <w:sz w:val="22"/>
          <w:szCs w:val="22"/>
          <w:lang w:eastAsia="en-GB"/>
          <w14:ligatures w14:val="none"/>
        </w:rPr>
      </w:pPr>
      <w:r w:rsidRPr="00D50835">
        <w:rPr>
          <w:rFonts w:ascii="Arial" w:eastAsia="Times New Roman" w:hAnsi="Arial" w:cs="Arial"/>
          <w:b/>
          <w:bCs/>
          <w:kern w:val="0"/>
          <w:sz w:val="22"/>
          <w:szCs w:val="22"/>
          <w:lang w:eastAsia="en-GB"/>
          <w14:ligatures w14:val="none"/>
        </w:rPr>
        <w:t>Reimagining Pedagogical Frameworks</w:t>
      </w:r>
    </w:p>
    <w:p w14:paraId="18EF80CB" w14:textId="77777777" w:rsidR="009954CE" w:rsidRPr="00D50835" w:rsidRDefault="00000000"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t>The study reveals the need to challenge binary and normative assumptions embedded in traditional ATS models, particularly those based on gendered vocal classifications and fixed character templates (Moore &amp; Bergman, 2016; Ostwald, 2005). One key recommendation is to de-gender voice classification by using descriptive terminology—e.g., "upper mix extending to E5"—instead of terms like "soprano" or "baritone" (Davies, Papp, &amp; Antoni, 2015; Azul, 2015). This shift promotes inclusive, functional, and embodied training for all students.</w:t>
      </w:r>
    </w:p>
    <w:p w14:paraId="372CAF2F" w14:textId="77777777" w:rsidR="009954CE" w:rsidRPr="00D50835" w:rsidRDefault="00000000"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t>The selection of repertoire also necessitates critical reconsideration. The repertoire must strike a balance between technical ability and narrative connection. Students should be supported in modifying the lyrics and adapting the protagonist's journey to reflect their own experiences (Thorpe, 2019). In doing so, ATS becomes a site of critical dramaturgy and community engagement with identity. There should also be some transformation of institutional assessment criteria. To penalise the alteration of lyrics or keys reinforces a method of exclusion. Assessments should consider aspects of storytelling clarity, technical ability and emotional honesty (Symonds &amp; Taylor, 2014).</w:t>
      </w:r>
    </w:p>
    <w:p w14:paraId="484963D5" w14:textId="77777777" w:rsidR="009954CE" w:rsidRPr="00D50835" w:rsidRDefault="00000000"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t>The Role of the Educator</w:t>
      </w:r>
    </w:p>
    <w:p w14:paraId="4287C057" w14:textId="77777777" w:rsidR="009954CE" w:rsidRPr="00D50835" w:rsidRDefault="00000000"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t>As Freire (1970) asserts, education is never neutral; it either reinforces oppression or enables emancipation. Within ATS, educators must move beyond traditional roles to become critical facilitators of social and emotional complexity (hooks, 1994; Shlasko, 2005). Trauma-informed and trans-affirming training is essential to support students navigating vocal dysphoria and to create psychologically safe learning environments (Daykin, 2020; Davies, Papp &amp; Antoni, 2015). Such training might include reflective practice, case study analysis, and collaboration with trans artist-educators.</w:t>
      </w:r>
    </w:p>
    <w:p w14:paraId="6CEA9AE6" w14:textId="77777777" w:rsidR="009954CE" w:rsidRPr="00D50835" w:rsidRDefault="00000000"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t>According to Dixon, Lee, and Ghaye (2015), relational pedagogy also emphasises trust, dialogue, and shared responsibility for learning. Students should not be viewed as an anomaly or exception, but as participants on equal terms. Educators who adopt this view can transition ATS from a fixed use to a fluid process of inclusion (Fook &amp; Askeland, 2006).</w:t>
      </w:r>
    </w:p>
    <w:p w14:paraId="7F456CD3" w14:textId="77777777" w:rsidR="009954CE" w:rsidRPr="00D50835" w:rsidRDefault="00000000"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t>Institutional change, longer-term approaches</w:t>
      </w:r>
    </w:p>
    <w:p w14:paraId="256CE3D9" w14:textId="77777777" w:rsidR="009954CE" w:rsidRPr="00D50835" w:rsidRDefault="00000000"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lastRenderedPageBreak/>
        <w:t>While individual educators can initiate these changes, effective change mechanisms must involve institutions to ensure that inclusivity is integrated into curricula, assessments, auditions, and staff development (Jones &amp; Zhang, 2021; Symonds &amp; Taylor, 2014). For example, repertoire banks serve as a pragmatic intervention, having been created to provide students with a diverse representation of voices and stories that are co-created with students and industry members (Daykin, 2020; Hancock &amp; Helenius, 2012).</w:t>
      </w:r>
    </w:p>
    <w:p w14:paraId="5D6DC5C9" w14:textId="77777777" w:rsidR="009954CE" w:rsidRPr="00D50835" w:rsidRDefault="00000000"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t>Casting practices should adopt gender-expansive models that honour identity while maintaining artistic integrity (Moore &amp; Bergman, 2016; Thorpe, 2019). Integrating support for vocal transition into academic and pastoral structures—through interdisciplinary partnerships with voice coaches, SLPs, and mental health providers—demonstrates a holistic commitment to trans students' wellbeing (Davies, Papp &amp; Antoni, 2015; Azul, 2015).</w:t>
      </w:r>
    </w:p>
    <w:p w14:paraId="57499492" w14:textId="77777777" w:rsidR="009954CE" w:rsidRPr="00D50835" w:rsidRDefault="00000000"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t>In the long term, these reforms foster a more representative training culture. When trans and non-binary performers feel valued, they are more likely to thrive artistically and contribute to the field as innovators and educators (Thorpe, 2019; Daykin, 2020). Thus, inclusive ATS pedagogy enriches not only individual development but the future of musical theatre itself.</w:t>
      </w:r>
    </w:p>
    <w:p w14:paraId="36B13A2D" w14:textId="77777777" w:rsidR="00D50835" w:rsidRPr="00D50835" w:rsidRDefault="00D50835" w:rsidP="00D50835">
      <w:pPr>
        <w:spacing w:line="360" w:lineRule="auto"/>
        <w:jc w:val="both"/>
        <w:rPr>
          <w:rFonts w:ascii="Arial" w:eastAsia="Times New Roman" w:hAnsi="Arial" w:cs="Arial"/>
          <w:kern w:val="0"/>
          <w:sz w:val="22"/>
          <w:szCs w:val="22"/>
          <w:lang w:eastAsia="en-GB"/>
          <w14:ligatures w14:val="none"/>
        </w:rPr>
      </w:pPr>
    </w:p>
    <w:p w14:paraId="772DAD12" w14:textId="4811A983" w:rsidR="009954CE" w:rsidRPr="00D50835" w:rsidRDefault="00000000" w:rsidP="00D50835">
      <w:pPr>
        <w:spacing w:line="360" w:lineRule="auto"/>
        <w:jc w:val="both"/>
        <w:rPr>
          <w:rFonts w:ascii="Arial" w:eastAsia="Times New Roman" w:hAnsi="Arial" w:cs="Arial"/>
          <w:b/>
          <w:bCs/>
          <w:kern w:val="0"/>
          <w:sz w:val="22"/>
          <w:szCs w:val="22"/>
          <w:lang w:eastAsia="en-GB"/>
          <w14:ligatures w14:val="none"/>
        </w:rPr>
      </w:pPr>
      <w:r w:rsidRPr="00D50835">
        <w:rPr>
          <w:rFonts w:ascii="Arial" w:eastAsia="Times New Roman" w:hAnsi="Arial" w:cs="Arial"/>
          <w:b/>
          <w:bCs/>
          <w:kern w:val="0"/>
          <w:sz w:val="22"/>
          <w:szCs w:val="22"/>
          <w:lang w:eastAsia="en-GB"/>
          <w14:ligatures w14:val="none"/>
        </w:rPr>
        <w:t>Recommendations</w:t>
      </w:r>
    </w:p>
    <w:p w14:paraId="2E55854D" w14:textId="77777777" w:rsidR="009954CE" w:rsidRPr="00D50835" w:rsidRDefault="00000000"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t>The limitations of existing frameworks for Acting Through Song (ATS), especially regarding the inclusion of trans performers, have been analysed in detail. These frameworks often perpetuate binary cultural beliefs about voice, gender, and character, thereby constraining inclusivity (Jones &amp; Zhang, 2021; Moore &amp; Bergman, 2016). To create adaptable, inclusive, and identity-affirming pedagogies, a series of recommendations has been developed which are closely interrelated. The first is to de-gender voice classifications. Instead of "male voice" and "female role," educators may use terms that describe range, tessitura, tone, and their respective functions. Teachers could refer to a "high mix," "light chest-dominant belt," or "mid-range character voice" for vocal specificity without imposing gender-laden assumptions (Davies, Papp &amp; Antoni, 2015). This change would encourage transgender singers to select repertoire related to their abilities and contextual relevance, rather than adhering to prescriptive gender norms.</w:t>
      </w:r>
    </w:p>
    <w:p w14:paraId="21E794E5" w14:textId="77777777" w:rsidR="009954CE" w:rsidRPr="00D50835" w:rsidRDefault="009954CE" w:rsidP="00D50835">
      <w:pPr>
        <w:spacing w:line="360" w:lineRule="auto"/>
        <w:jc w:val="both"/>
        <w:rPr>
          <w:rFonts w:ascii="Arial" w:eastAsia="Times New Roman" w:hAnsi="Arial" w:cs="Arial"/>
          <w:kern w:val="0"/>
          <w:sz w:val="22"/>
          <w:szCs w:val="22"/>
          <w:lang w:eastAsia="en-GB"/>
          <w14:ligatures w14:val="none"/>
        </w:rPr>
      </w:pPr>
    </w:p>
    <w:p w14:paraId="4C47D854" w14:textId="192706CF" w:rsidR="009954CE" w:rsidRPr="00D50835" w:rsidRDefault="00000000"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t xml:space="preserve">Furthermore, in the selection of repertoire, there will be a purposeful focus on identity. Educators will approach material with an open and inquisitive </w:t>
      </w:r>
      <w:r w:rsidR="009346CC" w:rsidRPr="00D50835">
        <w:rPr>
          <w:rFonts w:ascii="Arial" w:eastAsia="Times New Roman" w:hAnsi="Arial" w:cs="Arial"/>
          <w:kern w:val="0"/>
          <w:sz w:val="22"/>
          <w:szCs w:val="22"/>
          <w:lang w:eastAsia="en-GB"/>
          <w14:ligatures w14:val="none"/>
        </w:rPr>
        <w:t>mindset and</w:t>
      </w:r>
      <w:r w:rsidRPr="00D50835">
        <w:rPr>
          <w:rFonts w:ascii="Arial" w:eastAsia="Times New Roman" w:hAnsi="Arial" w:cs="Arial"/>
          <w:kern w:val="0"/>
          <w:sz w:val="22"/>
          <w:szCs w:val="22"/>
          <w:lang w:eastAsia="en-GB"/>
          <w14:ligatures w14:val="none"/>
        </w:rPr>
        <w:t xml:space="preserve"> adapt pronouns and lyrics to reflect the gender identity of each singer as needed, ensuring more accurate representation. They will support transpositions for changing hormones or other idiosyncratic vocal characteristics, and they will encourage the reimagining of characters who share a lived experience with the performers (Thorpe, 2019). As such, repertoire should be understood as </w:t>
      </w:r>
      <w:r w:rsidRPr="00D50835">
        <w:rPr>
          <w:rFonts w:ascii="Arial" w:eastAsia="Times New Roman" w:hAnsi="Arial" w:cs="Arial"/>
          <w:kern w:val="0"/>
          <w:sz w:val="22"/>
          <w:szCs w:val="22"/>
          <w:lang w:eastAsia="en-GB"/>
          <w14:ligatures w14:val="none"/>
        </w:rPr>
        <w:lastRenderedPageBreak/>
        <w:t>a much broader concept than text to be performed, and an opportunity to help normalise identity and facilitate artistic ownership (Daykin, 2020). Ensuring that assessment criteria align with these inclusive principles would require modifying existing assessment procedures to reflect these principles. Updated assessment processes should recognise the artistic value of adapted repertoire and character interrogation, without penalising a performer if their choices differ from the 'original' versions when those choices enhance authenticity. Notably, assessment should prioritise storytelling, emotion, and interpretation over rigid adherence to gendered tropes (Symonds &amp; Taylor, 2014). Institutions that require adherence to cisnormative templates limit the creativity of trans performers, who curate the way they tell their story to present an authentic performance in a dramatised moment on stage to an audience.</w:t>
      </w:r>
    </w:p>
    <w:p w14:paraId="7B42DEC3" w14:textId="77777777" w:rsidR="009954CE" w:rsidRPr="00D50835" w:rsidRDefault="009954CE" w:rsidP="00D50835">
      <w:pPr>
        <w:spacing w:line="360" w:lineRule="auto"/>
        <w:jc w:val="both"/>
        <w:rPr>
          <w:rFonts w:ascii="Arial" w:eastAsia="Times New Roman" w:hAnsi="Arial" w:cs="Arial"/>
          <w:kern w:val="0"/>
          <w:sz w:val="22"/>
          <w:szCs w:val="22"/>
          <w:lang w:eastAsia="en-GB"/>
          <w14:ligatures w14:val="none"/>
        </w:rPr>
      </w:pPr>
    </w:p>
    <w:p w14:paraId="33A77ACE" w14:textId="77777777" w:rsidR="00D50835" w:rsidRPr="00D50835" w:rsidRDefault="00D50835"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t>Continuing education on trans-affirming pedagogy should be mandatory for practitioners. Educators need training in trauma-informed coaching, voice transition implications, and strategies for reducing unconscious bias in repertoire selection, feedback, and character development (Hancock &amp; Helenius, 2012). This should be integrated into ongoing educational initiatives across voice, acting, and musical theatre departments as standard practice.</w:t>
      </w:r>
    </w:p>
    <w:p w14:paraId="3B1F0ECC" w14:textId="77777777" w:rsidR="00D50835" w:rsidRPr="00D50835" w:rsidRDefault="00D50835"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t>A radical paradigm shift is required in curriculum and casting approaches. Performance casting should incorporate gender-inclusive or gender-expansive methods as standard student practice. Character assignment briefs should allow flexibility, enabling performers to include pronouns, identity information, and additional details for any auditioned character (Halberstam, 2005; Harvard, 2014).</w:t>
      </w:r>
    </w:p>
    <w:p w14:paraId="31877968" w14:textId="77777777" w:rsidR="00D50835" w:rsidRPr="00D50835" w:rsidRDefault="00D50835"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t>Student performers should regularly learn songs traditionally assigned to either gender, creating new possibilities for identity-related experiences and connections. Institutions can align with industry changes by showcasing inclusive rehearsal and casting methods.</w:t>
      </w:r>
    </w:p>
    <w:p w14:paraId="354967B1" w14:textId="77777777" w:rsidR="00D50835" w:rsidRPr="00D50835" w:rsidRDefault="00D50835"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t>Supporting trans vocal development during gender transition is both pedagogical and pastoral responsibility. Institutions should provide vocal health services and coaching from specialists trained in trans vocal needs (Davies &amp; Goldberg, 2006). Establishing reflective peer-group spaces allows students to share and navigate vocal identity work together (p.361). Both informal and formal group support spaces should be standard practice, not merely crisis responses.</w:t>
      </w:r>
    </w:p>
    <w:p w14:paraId="24E1832B" w14:textId="77777777" w:rsidR="009954CE" w:rsidRPr="00D50835" w:rsidRDefault="009954CE" w:rsidP="00D50835">
      <w:pPr>
        <w:spacing w:line="360" w:lineRule="auto"/>
        <w:jc w:val="both"/>
        <w:rPr>
          <w:rFonts w:ascii="Arial" w:eastAsia="Times New Roman" w:hAnsi="Arial" w:cs="Arial"/>
          <w:kern w:val="0"/>
          <w:sz w:val="22"/>
          <w:szCs w:val="22"/>
          <w:lang w:eastAsia="en-GB"/>
          <w14:ligatures w14:val="none"/>
        </w:rPr>
      </w:pPr>
    </w:p>
    <w:p w14:paraId="7A71C28A" w14:textId="77777777" w:rsidR="009954CE" w:rsidRPr="00D50835" w:rsidRDefault="00000000"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t>Lastly, supporting practitioner-led innovation is crucial. Trans educators and performers should inform the specifics of the curriculum and pedagogical approaches through aspects of practice which may include guest mentoring, advisory committees, developing student-led and collaborative inquiry (Fook &amp; Askeland, 2006), by acknowledging trans artists as co-creators—</w:t>
      </w:r>
      <w:r w:rsidRPr="00D50835">
        <w:rPr>
          <w:rFonts w:ascii="Arial" w:eastAsia="Times New Roman" w:hAnsi="Arial" w:cs="Arial"/>
          <w:kern w:val="0"/>
          <w:sz w:val="22"/>
          <w:szCs w:val="22"/>
          <w:lang w:eastAsia="en-GB"/>
          <w14:ligatures w14:val="none"/>
        </w:rPr>
        <w:lastRenderedPageBreak/>
        <w:t>not just as ambassadors of an agenda of inclusiveness—this honours their contributions and will facilitate the development of ATS practices. Taken together, these suggestions envision an ATS framework that is both technologically competent and equitable, socially just, creative, and liberating, and develops a pedagogy where all performers have the right to claim their space, be authentic, and engage meaningfully in the future of musical theatre.</w:t>
      </w:r>
    </w:p>
    <w:p w14:paraId="794128A2" w14:textId="77777777" w:rsidR="009954CE" w:rsidRPr="00D50835" w:rsidRDefault="009954CE" w:rsidP="00D50835">
      <w:pPr>
        <w:spacing w:line="360" w:lineRule="auto"/>
        <w:jc w:val="both"/>
        <w:rPr>
          <w:rFonts w:ascii="Arial" w:eastAsia="Times New Roman" w:hAnsi="Arial" w:cs="Arial"/>
          <w:kern w:val="0"/>
          <w:sz w:val="22"/>
          <w:szCs w:val="22"/>
          <w:lang w:eastAsia="en-GB"/>
          <w14:ligatures w14:val="none"/>
        </w:rPr>
      </w:pPr>
    </w:p>
    <w:p w14:paraId="240B3DE8" w14:textId="77777777" w:rsidR="009954CE" w:rsidRPr="00D50835" w:rsidRDefault="00000000" w:rsidP="00D50835">
      <w:pPr>
        <w:spacing w:line="360" w:lineRule="auto"/>
        <w:jc w:val="both"/>
        <w:rPr>
          <w:rFonts w:ascii="Arial" w:eastAsia="Times New Roman" w:hAnsi="Arial" w:cs="Arial"/>
          <w:b/>
          <w:bCs/>
          <w:kern w:val="0"/>
          <w:sz w:val="22"/>
          <w:szCs w:val="22"/>
          <w:lang w:eastAsia="en-GB"/>
          <w14:ligatures w14:val="none"/>
        </w:rPr>
      </w:pPr>
      <w:r w:rsidRPr="00D50835">
        <w:rPr>
          <w:rFonts w:ascii="Arial" w:eastAsia="Times New Roman" w:hAnsi="Arial" w:cs="Arial"/>
          <w:b/>
          <w:bCs/>
          <w:kern w:val="0"/>
          <w:sz w:val="22"/>
          <w:szCs w:val="22"/>
          <w:lang w:eastAsia="en-GB"/>
          <w14:ligatures w14:val="none"/>
        </w:rPr>
        <w:t>Conclusion</w:t>
      </w:r>
    </w:p>
    <w:p w14:paraId="71FBCB51" w14:textId="77777777" w:rsidR="00D50835" w:rsidRPr="00D50835" w:rsidRDefault="00D50835"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t>This study examines trans and non-binary performers' experiences in Acting Through Song (ATS) to develop inclusive pedagogical strategies for musical theatre training. Through literature review, voice theory, and practitioner reflections, it reveals tensions between conventional ATS frameworks built on cisnormative assumptions and trans performers' lived experiences (Allen, 2022; Davies, Papp, &amp; Antoni, 2015; Jones &amp; Zhang, 2021).</w:t>
      </w:r>
    </w:p>
    <w:p w14:paraId="63B3C900" w14:textId="77777777" w:rsidR="00D50835" w:rsidRPr="00D50835" w:rsidRDefault="00D50835"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t>While ATS emphasizes emotional connectivity and technical execution (Harvard, 2014; Baulk, 1985), it inadequately addresses trans and non-binary artists' identity-centric experiences. Voice becomes profoundly personal and politicized (Azul, 2015; Thorpe, 2019; Zimman, 2017). Traditional training systems remain rigidly binary, reinforced through gendered repertoire selection (Moore &amp; Bergman, 2016; Ostwald, 2005), creating pedagogical constraints and psychological impediments.</w:t>
      </w:r>
    </w:p>
    <w:p w14:paraId="0332F878" w14:textId="77777777" w:rsidR="00D50835" w:rsidRPr="00D50835" w:rsidRDefault="00D50835"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t>However, research reveals creative opportunities when trans performers modify, reinterpret, and reclaim ATS practices. Adaptations including lyric alterations, character reconceptualization, and vocal experimentation constitute innovative augmentations enriching the discipline (Halberstam, 2005; Allen, 2022). Inclusive ATS becomes transformative for voice ownership, identity affirmation, and authentic emotional narrative (Butler, 1990; Fook &amp; Askeland, 2006).</w:t>
      </w:r>
    </w:p>
    <w:p w14:paraId="5572C38C" w14:textId="77777777" w:rsidR="00D50835" w:rsidRPr="00D50835" w:rsidRDefault="00D50835"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t>This redefines trans performers as imperative contributors to pedagogical development, challenging normative conceptions and expanding creative languages (Charmaz, 2014; Dixon, Lee, &amp; Ghaye, 2015). Educators must move beyond deficit-based approaches toward positive models positioning trans voices as vital for the field's future. This requires reconsidering curriculum, assessment methods, and institutional positioning (Symonds &amp; Taylor, 2014; Thorpe, 2019).</w:t>
      </w:r>
    </w:p>
    <w:p w14:paraId="2EC4B54B" w14:textId="77777777" w:rsidR="00D50835" w:rsidRPr="00D50835" w:rsidRDefault="00D50835"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t>Performance education must address inclusion, visibility, and social justice transparently (Daykin, 2020; Heyler, 2015). Trans and non-binary performers offer new perspectives on voice, identity, and storytelling reflecting contemporary complexities. ATS has unprecedented transformation opportunity if educators reflect on practices and commit to retraining (Harvard, 2014; Zazzali, 2016).</w:t>
      </w:r>
    </w:p>
    <w:p w14:paraId="4B6BCA26" w14:textId="77777777" w:rsidR="00D50835" w:rsidRPr="00D50835" w:rsidRDefault="00D50835" w:rsidP="00D50835">
      <w:pPr>
        <w:spacing w:line="360" w:lineRule="auto"/>
        <w:jc w:val="both"/>
        <w:rPr>
          <w:rFonts w:ascii="Arial" w:eastAsia="Times New Roman" w:hAnsi="Arial" w:cs="Arial"/>
          <w:kern w:val="0"/>
          <w:sz w:val="22"/>
          <w:szCs w:val="22"/>
          <w:lang w:eastAsia="en-GB"/>
          <w14:ligatures w14:val="none"/>
        </w:rPr>
      </w:pPr>
      <w:r w:rsidRPr="00D50835">
        <w:rPr>
          <w:rFonts w:ascii="Arial" w:eastAsia="Times New Roman" w:hAnsi="Arial" w:cs="Arial"/>
          <w:kern w:val="0"/>
          <w:sz w:val="22"/>
          <w:szCs w:val="22"/>
          <w:lang w:eastAsia="en-GB"/>
          <w14:ligatures w14:val="none"/>
        </w:rPr>
        <w:lastRenderedPageBreak/>
        <w:t xml:space="preserve">This study demonstrates the essential need for gender-inclusive voice pedagogy in mainstream ATS education. Acknowledging voice and identity fluidity creates authentic, resonant, and equitable opportunities (Davies et al., 2015; Azul et al., 2017). This aligns with musical theatre's </w:t>
      </w:r>
      <w:proofErr w:type="gramStart"/>
      <w:r w:rsidRPr="00D50835">
        <w:rPr>
          <w:rFonts w:ascii="Arial" w:eastAsia="Times New Roman" w:hAnsi="Arial" w:cs="Arial"/>
          <w:kern w:val="0"/>
          <w:sz w:val="22"/>
          <w:szCs w:val="22"/>
          <w:lang w:eastAsia="en-GB"/>
          <w14:ligatures w14:val="none"/>
        </w:rPr>
        <w:t>ultimate goal</w:t>
      </w:r>
      <w:proofErr w:type="gramEnd"/>
      <w:r w:rsidRPr="00D50835">
        <w:rPr>
          <w:rFonts w:ascii="Arial" w:eastAsia="Times New Roman" w:hAnsi="Arial" w:cs="Arial"/>
          <w:kern w:val="0"/>
          <w:sz w:val="22"/>
          <w:szCs w:val="22"/>
          <w:lang w:eastAsia="en-GB"/>
          <w14:ligatures w14:val="none"/>
        </w:rPr>
        <w:t>: telling human stories through song for any voice moving beyond normative frameworks.</w:t>
      </w:r>
    </w:p>
    <w:p w14:paraId="4874BD37" w14:textId="77777777" w:rsidR="009954CE" w:rsidRPr="00D50835" w:rsidRDefault="009954CE" w:rsidP="00D50835">
      <w:pPr>
        <w:spacing w:line="360" w:lineRule="auto"/>
        <w:jc w:val="both"/>
        <w:rPr>
          <w:rFonts w:ascii="Arial" w:eastAsia="Times New Roman" w:hAnsi="Arial" w:cs="Arial"/>
          <w:kern w:val="0"/>
          <w:sz w:val="22"/>
          <w:szCs w:val="22"/>
          <w:lang w:eastAsia="en-GB"/>
          <w14:ligatures w14:val="none"/>
        </w:rPr>
      </w:pPr>
    </w:p>
    <w:p w14:paraId="418BB6C8" w14:textId="11CFECD6" w:rsidR="009954CE" w:rsidRPr="00BE3F6F" w:rsidRDefault="00000000" w:rsidP="00D50835">
      <w:pPr>
        <w:spacing w:line="360" w:lineRule="auto"/>
        <w:jc w:val="both"/>
        <w:rPr>
          <w:rFonts w:ascii="Arial" w:eastAsia="Times New Roman" w:hAnsi="Arial" w:cs="Arial"/>
          <w:b/>
          <w:bCs/>
          <w:kern w:val="0"/>
          <w:sz w:val="22"/>
          <w:szCs w:val="22"/>
          <w:lang w:eastAsia="en-GB"/>
          <w14:ligatures w14:val="none"/>
        </w:rPr>
      </w:pPr>
      <w:r w:rsidRPr="00BE3F6F">
        <w:rPr>
          <w:rFonts w:ascii="Arial" w:eastAsia="Times New Roman" w:hAnsi="Arial" w:cs="Arial"/>
          <w:b/>
          <w:bCs/>
          <w:kern w:val="0"/>
          <w:sz w:val="22"/>
          <w:szCs w:val="22"/>
          <w:lang w:eastAsia="en-GB"/>
          <w14:ligatures w14:val="none"/>
        </w:rPr>
        <w:t xml:space="preserve">Word Count: </w:t>
      </w:r>
      <w:r w:rsidR="00D50835" w:rsidRPr="00BE3F6F">
        <w:rPr>
          <w:rFonts w:ascii="Arial" w:eastAsia="Times New Roman" w:hAnsi="Arial" w:cs="Arial"/>
          <w:b/>
          <w:bCs/>
          <w:kern w:val="0"/>
          <w:sz w:val="22"/>
          <w:szCs w:val="22"/>
          <w:lang w:eastAsia="en-GB"/>
          <w14:ligatures w14:val="none"/>
        </w:rPr>
        <w:t>6878</w:t>
      </w:r>
    </w:p>
    <w:p w14:paraId="27EFDB4B" w14:textId="77777777" w:rsidR="009954CE" w:rsidRPr="00D50835" w:rsidRDefault="009954CE" w:rsidP="00D50835">
      <w:pPr>
        <w:spacing w:line="360" w:lineRule="auto"/>
        <w:jc w:val="both"/>
        <w:rPr>
          <w:rFonts w:ascii="Arial" w:eastAsia="Times New Roman" w:hAnsi="Arial" w:cs="Arial"/>
          <w:kern w:val="0"/>
          <w:sz w:val="22"/>
          <w:szCs w:val="22"/>
          <w:lang w:eastAsia="en-GB"/>
          <w14:ligatures w14:val="none"/>
        </w:rPr>
      </w:pPr>
    </w:p>
    <w:p w14:paraId="30FEF3EC" w14:textId="77777777" w:rsidR="00D50835" w:rsidRPr="00D50835" w:rsidRDefault="00D50835" w:rsidP="00D50835">
      <w:pPr>
        <w:spacing w:line="360" w:lineRule="auto"/>
        <w:jc w:val="both"/>
        <w:rPr>
          <w:rFonts w:ascii="Arial" w:eastAsia="Times New Roman" w:hAnsi="Arial" w:cs="Arial"/>
          <w:kern w:val="0"/>
          <w:sz w:val="22"/>
          <w:szCs w:val="22"/>
          <w:lang w:eastAsia="en-GB"/>
          <w14:ligatures w14:val="none"/>
        </w:rPr>
      </w:pPr>
    </w:p>
    <w:p w14:paraId="2B0D9CBE" w14:textId="77777777" w:rsidR="0078237A" w:rsidRDefault="0078237A">
      <w:pPr>
        <w:spacing w:after="160" w:line="278"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br w:type="page"/>
      </w:r>
    </w:p>
    <w:p w14:paraId="37BC8E69" w14:textId="2C754CBC" w:rsidR="009954CE" w:rsidRPr="0078237A" w:rsidRDefault="00000000" w:rsidP="00D50835">
      <w:pPr>
        <w:spacing w:line="360" w:lineRule="auto"/>
        <w:jc w:val="both"/>
        <w:rPr>
          <w:rFonts w:ascii="Arial" w:eastAsia="Times New Roman" w:hAnsi="Arial" w:cs="Arial"/>
          <w:b/>
          <w:bCs/>
          <w:kern w:val="0"/>
          <w:sz w:val="22"/>
          <w:szCs w:val="22"/>
          <w:lang w:eastAsia="en-GB"/>
          <w14:ligatures w14:val="none"/>
        </w:rPr>
      </w:pPr>
      <w:r w:rsidRPr="0078237A">
        <w:rPr>
          <w:rFonts w:ascii="Arial" w:eastAsia="Times New Roman" w:hAnsi="Arial" w:cs="Arial"/>
          <w:b/>
          <w:bCs/>
          <w:kern w:val="0"/>
          <w:sz w:val="22"/>
          <w:szCs w:val="22"/>
          <w:lang w:eastAsia="en-GB"/>
          <w14:ligatures w14:val="none"/>
        </w:rPr>
        <w:lastRenderedPageBreak/>
        <w:t>References</w:t>
      </w:r>
    </w:p>
    <w:p w14:paraId="73699A48" w14:textId="77777777" w:rsidR="000D4978" w:rsidRPr="000D4978" w:rsidRDefault="000D4978" w:rsidP="000D4978">
      <w:pPr>
        <w:spacing w:line="360" w:lineRule="auto"/>
        <w:jc w:val="both"/>
        <w:rPr>
          <w:rFonts w:ascii="Arial" w:hAnsi="Arial" w:cs="Arial"/>
          <w:sz w:val="22"/>
          <w:szCs w:val="22"/>
        </w:rPr>
      </w:pPr>
      <w:r w:rsidRPr="000D4978">
        <w:rPr>
          <w:rFonts w:ascii="Arial" w:hAnsi="Arial" w:cs="Arial"/>
          <w:sz w:val="22"/>
          <w:szCs w:val="22"/>
        </w:rPr>
        <w:t xml:space="preserve">Allen, G. (2022). </w:t>
      </w:r>
      <w:r w:rsidRPr="000D4978">
        <w:rPr>
          <w:rFonts w:ascii="Arial" w:hAnsi="Arial" w:cs="Arial"/>
          <w:i/>
          <w:iCs/>
          <w:sz w:val="22"/>
          <w:szCs w:val="22"/>
        </w:rPr>
        <w:t>The singer acts, the actor sings: a performance companion for the singing actor</w:t>
      </w:r>
      <w:r w:rsidRPr="000D4978">
        <w:rPr>
          <w:rFonts w:ascii="Arial" w:hAnsi="Arial" w:cs="Arial"/>
          <w:sz w:val="22"/>
          <w:szCs w:val="22"/>
        </w:rPr>
        <w:t>. New York: Applause Theatre &amp; Cinema Books.</w:t>
      </w:r>
    </w:p>
    <w:p w14:paraId="3550A355" w14:textId="77777777" w:rsidR="000D4978" w:rsidRPr="000D4978" w:rsidRDefault="000D4978" w:rsidP="000D4978">
      <w:pPr>
        <w:spacing w:line="360" w:lineRule="auto"/>
        <w:jc w:val="both"/>
        <w:rPr>
          <w:rFonts w:ascii="Arial" w:hAnsi="Arial" w:cs="Arial"/>
          <w:sz w:val="22"/>
          <w:szCs w:val="22"/>
        </w:rPr>
      </w:pPr>
      <w:r w:rsidRPr="000D4978">
        <w:rPr>
          <w:rFonts w:ascii="Arial" w:hAnsi="Arial" w:cs="Arial"/>
          <w:sz w:val="22"/>
          <w:szCs w:val="22"/>
        </w:rPr>
        <w:t xml:space="preserve">Allen, M. (2022). </w:t>
      </w:r>
      <w:r w:rsidRPr="000D4978">
        <w:rPr>
          <w:rFonts w:ascii="Arial" w:hAnsi="Arial" w:cs="Arial"/>
          <w:i/>
          <w:iCs/>
          <w:sz w:val="22"/>
          <w:szCs w:val="22"/>
        </w:rPr>
        <w:t>Acting through song: techniques and exercises for musical-theatre actors</w:t>
      </w:r>
      <w:r w:rsidRPr="000D4978">
        <w:rPr>
          <w:rFonts w:ascii="Arial" w:hAnsi="Arial" w:cs="Arial"/>
          <w:sz w:val="22"/>
          <w:szCs w:val="22"/>
        </w:rPr>
        <w:t xml:space="preserve">. 2nd </w:t>
      </w:r>
      <w:proofErr w:type="spellStart"/>
      <w:r w:rsidRPr="000D4978">
        <w:rPr>
          <w:rFonts w:ascii="Arial" w:hAnsi="Arial" w:cs="Arial"/>
          <w:sz w:val="22"/>
          <w:szCs w:val="22"/>
        </w:rPr>
        <w:t>edn</w:t>
      </w:r>
      <w:proofErr w:type="spellEnd"/>
      <w:r w:rsidRPr="000D4978">
        <w:rPr>
          <w:rFonts w:ascii="Arial" w:hAnsi="Arial" w:cs="Arial"/>
          <w:sz w:val="22"/>
          <w:szCs w:val="22"/>
        </w:rPr>
        <w:t>. London: Methuen Drama.</w:t>
      </w:r>
    </w:p>
    <w:p w14:paraId="7196D25C" w14:textId="77777777" w:rsidR="000D4978" w:rsidRPr="000D4978" w:rsidRDefault="000D4978" w:rsidP="000D4978">
      <w:pPr>
        <w:spacing w:line="360" w:lineRule="auto"/>
        <w:jc w:val="both"/>
        <w:rPr>
          <w:rFonts w:ascii="Arial" w:hAnsi="Arial" w:cs="Arial"/>
          <w:sz w:val="22"/>
          <w:szCs w:val="22"/>
        </w:rPr>
      </w:pPr>
      <w:r w:rsidRPr="000D4978">
        <w:rPr>
          <w:rFonts w:ascii="Arial" w:hAnsi="Arial" w:cs="Arial"/>
          <w:sz w:val="22"/>
          <w:szCs w:val="22"/>
        </w:rPr>
        <w:t xml:space="preserve">Azul, D. (2015). 'Transmasculine people's vocal situations: a critical phenomenology of gender attribution processes in gendered voice', </w:t>
      </w:r>
      <w:r w:rsidRPr="000D4978">
        <w:rPr>
          <w:rFonts w:ascii="Arial" w:hAnsi="Arial" w:cs="Arial"/>
          <w:i/>
          <w:iCs/>
          <w:sz w:val="22"/>
          <w:szCs w:val="22"/>
        </w:rPr>
        <w:t>Voice and Speech Review</w:t>
      </w:r>
      <w:r w:rsidRPr="000D4978">
        <w:rPr>
          <w:rFonts w:ascii="Arial" w:hAnsi="Arial" w:cs="Arial"/>
          <w:sz w:val="22"/>
          <w:szCs w:val="22"/>
        </w:rPr>
        <w:t>, 9(1), pp. 1–7.</w:t>
      </w:r>
    </w:p>
    <w:p w14:paraId="4211157F" w14:textId="77777777" w:rsidR="000D4978" w:rsidRPr="000D4978" w:rsidRDefault="000D4978" w:rsidP="000D4978">
      <w:pPr>
        <w:spacing w:line="360" w:lineRule="auto"/>
        <w:jc w:val="both"/>
        <w:rPr>
          <w:rFonts w:ascii="Arial" w:hAnsi="Arial" w:cs="Arial"/>
          <w:sz w:val="22"/>
          <w:szCs w:val="22"/>
        </w:rPr>
      </w:pPr>
      <w:r w:rsidRPr="000D4978">
        <w:rPr>
          <w:rFonts w:ascii="Arial" w:hAnsi="Arial" w:cs="Arial"/>
          <w:sz w:val="22"/>
          <w:szCs w:val="22"/>
        </w:rPr>
        <w:t xml:space="preserve">Azul, D. (2015). 'The lived experience of voice: a phenomenological analysis of transmasculine vocal practices', </w:t>
      </w:r>
      <w:r w:rsidRPr="000D4978">
        <w:rPr>
          <w:rFonts w:ascii="Arial" w:hAnsi="Arial" w:cs="Arial"/>
          <w:i/>
          <w:iCs/>
          <w:sz w:val="22"/>
          <w:szCs w:val="22"/>
        </w:rPr>
        <w:t>Voice and Speech Review</w:t>
      </w:r>
      <w:r w:rsidRPr="000D4978">
        <w:rPr>
          <w:rFonts w:ascii="Arial" w:hAnsi="Arial" w:cs="Arial"/>
          <w:sz w:val="22"/>
          <w:szCs w:val="22"/>
        </w:rPr>
        <w:t>, 9(1), pp. 48–61.</w:t>
      </w:r>
    </w:p>
    <w:p w14:paraId="24728F91" w14:textId="77777777" w:rsidR="000D4978" w:rsidRPr="000D4978" w:rsidRDefault="000D4978" w:rsidP="000D4978">
      <w:pPr>
        <w:spacing w:line="360" w:lineRule="auto"/>
        <w:jc w:val="both"/>
        <w:rPr>
          <w:rFonts w:ascii="Arial" w:hAnsi="Arial" w:cs="Arial"/>
          <w:sz w:val="22"/>
          <w:szCs w:val="22"/>
        </w:rPr>
      </w:pPr>
      <w:r w:rsidRPr="000D4978">
        <w:rPr>
          <w:rFonts w:ascii="Arial" w:hAnsi="Arial" w:cs="Arial"/>
          <w:sz w:val="22"/>
          <w:szCs w:val="22"/>
        </w:rPr>
        <w:t xml:space="preserve">Azul, D., Nygren, U. and </w:t>
      </w:r>
      <w:proofErr w:type="spellStart"/>
      <w:r w:rsidRPr="000D4978">
        <w:rPr>
          <w:rFonts w:ascii="Arial" w:hAnsi="Arial" w:cs="Arial"/>
          <w:sz w:val="22"/>
          <w:szCs w:val="22"/>
        </w:rPr>
        <w:t>Södersten</w:t>
      </w:r>
      <w:proofErr w:type="spellEnd"/>
      <w:r w:rsidRPr="000D4978">
        <w:rPr>
          <w:rFonts w:ascii="Arial" w:hAnsi="Arial" w:cs="Arial"/>
          <w:sz w:val="22"/>
          <w:szCs w:val="22"/>
        </w:rPr>
        <w:t xml:space="preserve">, M. (2017). 'Transmasculine people's vocal situations: voice function, voice use, and voice-related quality of life', </w:t>
      </w:r>
      <w:r w:rsidRPr="000D4978">
        <w:rPr>
          <w:rFonts w:ascii="Arial" w:hAnsi="Arial" w:cs="Arial"/>
          <w:i/>
          <w:iCs/>
          <w:sz w:val="22"/>
          <w:szCs w:val="22"/>
        </w:rPr>
        <w:t>International Journal of Transgenderism</w:t>
      </w:r>
      <w:r w:rsidRPr="000D4978">
        <w:rPr>
          <w:rFonts w:ascii="Arial" w:hAnsi="Arial" w:cs="Arial"/>
          <w:sz w:val="22"/>
          <w:szCs w:val="22"/>
        </w:rPr>
        <w:t>, 18(2), pp. 139–155.</w:t>
      </w:r>
    </w:p>
    <w:p w14:paraId="59FA6CC4" w14:textId="77777777" w:rsidR="000D4978" w:rsidRPr="000D4978" w:rsidRDefault="000D4978" w:rsidP="000D4978">
      <w:pPr>
        <w:spacing w:line="360" w:lineRule="auto"/>
        <w:jc w:val="both"/>
        <w:rPr>
          <w:rFonts w:ascii="Arial" w:hAnsi="Arial" w:cs="Arial"/>
          <w:sz w:val="22"/>
          <w:szCs w:val="22"/>
        </w:rPr>
      </w:pPr>
      <w:r w:rsidRPr="000D4978">
        <w:rPr>
          <w:rFonts w:ascii="Arial" w:hAnsi="Arial" w:cs="Arial"/>
          <w:sz w:val="22"/>
          <w:szCs w:val="22"/>
        </w:rPr>
        <w:t xml:space="preserve">Azul, D., Nygren, U., </w:t>
      </w:r>
      <w:proofErr w:type="spellStart"/>
      <w:r w:rsidRPr="000D4978">
        <w:rPr>
          <w:rFonts w:ascii="Arial" w:hAnsi="Arial" w:cs="Arial"/>
          <w:sz w:val="22"/>
          <w:szCs w:val="22"/>
        </w:rPr>
        <w:t>Södersten</w:t>
      </w:r>
      <w:proofErr w:type="spellEnd"/>
      <w:r w:rsidRPr="000D4978">
        <w:rPr>
          <w:rFonts w:ascii="Arial" w:hAnsi="Arial" w:cs="Arial"/>
          <w:sz w:val="22"/>
          <w:szCs w:val="22"/>
        </w:rPr>
        <w:t xml:space="preserve">, M. and Neuschaefer-Rube, C. (2017). 'Transmasculine people's voice function: a review of the literature on the vocal effects of testosterone therapy and gender role expression', </w:t>
      </w:r>
      <w:r w:rsidRPr="000D4978">
        <w:rPr>
          <w:rFonts w:ascii="Arial" w:hAnsi="Arial" w:cs="Arial"/>
          <w:i/>
          <w:iCs/>
          <w:sz w:val="22"/>
          <w:szCs w:val="22"/>
        </w:rPr>
        <w:t>Journal of Voice</w:t>
      </w:r>
      <w:r w:rsidRPr="000D4978">
        <w:rPr>
          <w:rFonts w:ascii="Arial" w:hAnsi="Arial" w:cs="Arial"/>
          <w:sz w:val="22"/>
          <w:szCs w:val="22"/>
        </w:rPr>
        <w:t>, 31(2), pp. 247.e1–247.e11.</w:t>
      </w:r>
    </w:p>
    <w:p w14:paraId="772B72CB" w14:textId="77777777" w:rsidR="000D4978" w:rsidRPr="000D4978" w:rsidRDefault="000D4978" w:rsidP="000D4978">
      <w:pPr>
        <w:spacing w:line="360" w:lineRule="auto"/>
        <w:jc w:val="both"/>
        <w:rPr>
          <w:rFonts w:ascii="Arial" w:hAnsi="Arial" w:cs="Arial"/>
          <w:sz w:val="22"/>
          <w:szCs w:val="22"/>
        </w:rPr>
      </w:pPr>
      <w:r w:rsidRPr="000D4978">
        <w:rPr>
          <w:rFonts w:ascii="Arial" w:hAnsi="Arial" w:cs="Arial"/>
          <w:sz w:val="22"/>
          <w:szCs w:val="22"/>
        </w:rPr>
        <w:t xml:space="preserve">Balk, W. (1985). </w:t>
      </w:r>
      <w:r w:rsidRPr="000D4978">
        <w:rPr>
          <w:rFonts w:ascii="Arial" w:hAnsi="Arial" w:cs="Arial"/>
          <w:i/>
          <w:iCs/>
          <w:sz w:val="22"/>
          <w:szCs w:val="22"/>
        </w:rPr>
        <w:t xml:space="preserve">The complete singer-actor: training for music </w:t>
      </w:r>
      <w:proofErr w:type="spellStart"/>
      <w:r w:rsidRPr="000D4978">
        <w:rPr>
          <w:rFonts w:ascii="Arial" w:hAnsi="Arial" w:cs="Arial"/>
          <w:i/>
          <w:iCs/>
          <w:sz w:val="22"/>
          <w:szCs w:val="22"/>
        </w:rPr>
        <w:t>theater</w:t>
      </w:r>
      <w:proofErr w:type="spellEnd"/>
      <w:r w:rsidRPr="000D4978">
        <w:rPr>
          <w:rFonts w:ascii="Arial" w:hAnsi="Arial" w:cs="Arial"/>
          <w:sz w:val="22"/>
          <w:szCs w:val="22"/>
        </w:rPr>
        <w:t>. Minneapolis: University of Minnesota Press.</w:t>
      </w:r>
    </w:p>
    <w:p w14:paraId="58DFBC8C" w14:textId="77777777" w:rsidR="000D4978" w:rsidRPr="000D4978" w:rsidRDefault="000D4978" w:rsidP="000D4978">
      <w:pPr>
        <w:spacing w:line="360" w:lineRule="auto"/>
        <w:jc w:val="both"/>
        <w:rPr>
          <w:rFonts w:ascii="Arial" w:hAnsi="Arial" w:cs="Arial"/>
          <w:sz w:val="22"/>
          <w:szCs w:val="22"/>
        </w:rPr>
      </w:pPr>
      <w:r w:rsidRPr="000D4978">
        <w:rPr>
          <w:rFonts w:ascii="Arial" w:hAnsi="Arial" w:cs="Arial"/>
          <w:sz w:val="22"/>
          <w:szCs w:val="22"/>
        </w:rPr>
        <w:t xml:space="preserve">Braun, V. and Clarke, V. (2006). 'Using thematic analysis in psychology', </w:t>
      </w:r>
      <w:r w:rsidRPr="000D4978">
        <w:rPr>
          <w:rFonts w:ascii="Arial" w:hAnsi="Arial" w:cs="Arial"/>
          <w:i/>
          <w:iCs/>
          <w:sz w:val="22"/>
          <w:szCs w:val="22"/>
        </w:rPr>
        <w:t>Qualitative Research in Psychology</w:t>
      </w:r>
      <w:r w:rsidRPr="000D4978">
        <w:rPr>
          <w:rFonts w:ascii="Arial" w:hAnsi="Arial" w:cs="Arial"/>
          <w:sz w:val="22"/>
          <w:szCs w:val="22"/>
        </w:rPr>
        <w:t>, 3(2), pp. 77–101.</w:t>
      </w:r>
    </w:p>
    <w:p w14:paraId="1A5128CB" w14:textId="77777777" w:rsidR="000D4978" w:rsidRPr="000D4978" w:rsidRDefault="000D4978" w:rsidP="000D4978">
      <w:pPr>
        <w:spacing w:line="360" w:lineRule="auto"/>
        <w:jc w:val="both"/>
        <w:rPr>
          <w:rFonts w:ascii="Arial" w:hAnsi="Arial" w:cs="Arial"/>
          <w:sz w:val="22"/>
          <w:szCs w:val="22"/>
        </w:rPr>
      </w:pPr>
      <w:r w:rsidRPr="000D4978">
        <w:rPr>
          <w:rFonts w:ascii="Arial" w:hAnsi="Arial" w:cs="Arial"/>
          <w:sz w:val="22"/>
          <w:szCs w:val="22"/>
        </w:rPr>
        <w:t xml:space="preserve">Butler, J. (1990). </w:t>
      </w:r>
      <w:r w:rsidRPr="000D4978">
        <w:rPr>
          <w:rFonts w:ascii="Arial" w:hAnsi="Arial" w:cs="Arial"/>
          <w:i/>
          <w:iCs/>
          <w:sz w:val="22"/>
          <w:szCs w:val="22"/>
        </w:rPr>
        <w:t>Gender trouble: feminism and the subversion of identity</w:t>
      </w:r>
      <w:r w:rsidRPr="000D4978">
        <w:rPr>
          <w:rFonts w:ascii="Arial" w:hAnsi="Arial" w:cs="Arial"/>
          <w:sz w:val="22"/>
          <w:szCs w:val="22"/>
        </w:rPr>
        <w:t>. New York: Routledge.</w:t>
      </w:r>
    </w:p>
    <w:p w14:paraId="3696B6BC" w14:textId="77777777" w:rsidR="000D4978" w:rsidRPr="000D4978" w:rsidRDefault="000D4978" w:rsidP="000D4978">
      <w:pPr>
        <w:spacing w:line="360" w:lineRule="auto"/>
        <w:jc w:val="both"/>
        <w:rPr>
          <w:rFonts w:ascii="Arial" w:hAnsi="Arial" w:cs="Arial"/>
          <w:sz w:val="22"/>
          <w:szCs w:val="22"/>
        </w:rPr>
      </w:pPr>
      <w:r w:rsidRPr="000D4978">
        <w:rPr>
          <w:rFonts w:ascii="Arial" w:hAnsi="Arial" w:cs="Arial"/>
          <w:sz w:val="22"/>
          <w:szCs w:val="22"/>
        </w:rPr>
        <w:t xml:space="preserve">Carnelia, C. (2006). </w:t>
      </w:r>
      <w:r w:rsidRPr="000D4978">
        <w:rPr>
          <w:rFonts w:ascii="Arial" w:hAnsi="Arial" w:cs="Arial"/>
          <w:i/>
          <w:iCs/>
          <w:sz w:val="22"/>
          <w:szCs w:val="22"/>
        </w:rPr>
        <w:t>The reason to sing: a guide to acting while singing</w:t>
      </w:r>
      <w:r w:rsidRPr="000D4978">
        <w:rPr>
          <w:rFonts w:ascii="Arial" w:hAnsi="Arial" w:cs="Arial"/>
          <w:sz w:val="22"/>
          <w:szCs w:val="22"/>
        </w:rPr>
        <w:t>. New York: Applause.</w:t>
      </w:r>
    </w:p>
    <w:p w14:paraId="4EED0C9C" w14:textId="77777777" w:rsidR="000D4978" w:rsidRPr="000D4978" w:rsidRDefault="000D4978" w:rsidP="000D4978">
      <w:pPr>
        <w:spacing w:line="360" w:lineRule="auto"/>
        <w:jc w:val="both"/>
        <w:rPr>
          <w:rFonts w:ascii="Arial" w:hAnsi="Arial" w:cs="Arial"/>
          <w:sz w:val="22"/>
          <w:szCs w:val="22"/>
        </w:rPr>
      </w:pPr>
      <w:r w:rsidRPr="000D4978">
        <w:rPr>
          <w:rFonts w:ascii="Arial" w:hAnsi="Arial" w:cs="Arial"/>
          <w:sz w:val="22"/>
          <w:szCs w:val="22"/>
        </w:rPr>
        <w:t xml:space="preserve">Charmaz, K. (2014). </w:t>
      </w:r>
      <w:r w:rsidRPr="000D4978">
        <w:rPr>
          <w:rFonts w:ascii="Arial" w:hAnsi="Arial" w:cs="Arial"/>
          <w:i/>
          <w:iCs/>
          <w:sz w:val="22"/>
          <w:szCs w:val="22"/>
        </w:rPr>
        <w:t>Constructing grounded theory</w:t>
      </w:r>
      <w:r w:rsidRPr="000D4978">
        <w:rPr>
          <w:rFonts w:ascii="Arial" w:hAnsi="Arial" w:cs="Arial"/>
          <w:sz w:val="22"/>
          <w:szCs w:val="22"/>
        </w:rPr>
        <w:t xml:space="preserve">. 2nd </w:t>
      </w:r>
      <w:proofErr w:type="spellStart"/>
      <w:r w:rsidRPr="000D4978">
        <w:rPr>
          <w:rFonts w:ascii="Arial" w:hAnsi="Arial" w:cs="Arial"/>
          <w:sz w:val="22"/>
          <w:szCs w:val="22"/>
        </w:rPr>
        <w:t>edn</w:t>
      </w:r>
      <w:proofErr w:type="spellEnd"/>
      <w:r w:rsidRPr="000D4978">
        <w:rPr>
          <w:rFonts w:ascii="Arial" w:hAnsi="Arial" w:cs="Arial"/>
          <w:sz w:val="22"/>
          <w:szCs w:val="22"/>
        </w:rPr>
        <w:t>. London: Sage.</w:t>
      </w:r>
    </w:p>
    <w:p w14:paraId="77098CFE" w14:textId="77777777" w:rsidR="000D4978" w:rsidRPr="000D4978" w:rsidRDefault="000D4978" w:rsidP="000D4978">
      <w:pPr>
        <w:spacing w:line="360" w:lineRule="auto"/>
        <w:jc w:val="both"/>
        <w:rPr>
          <w:rFonts w:ascii="Arial" w:hAnsi="Arial" w:cs="Arial"/>
          <w:sz w:val="22"/>
          <w:szCs w:val="22"/>
        </w:rPr>
      </w:pPr>
      <w:r w:rsidRPr="000D4978">
        <w:rPr>
          <w:rFonts w:ascii="Arial" w:hAnsi="Arial" w:cs="Arial"/>
          <w:sz w:val="22"/>
          <w:szCs w:val="22"/>
        </w:rPr>
        <w:t xml:space="preserve">Craig, D. (1990). </w:t>
      </w:r>
      <w:r w:rsidRPr="000D4978">
        <w:rPr>
          <w:rFonts w:ascii="Arial" w:hAnsi="Arial" w:cs="Arial"/>
          <w:i/>
          <w:iCs/>
          <w:sz w:val="22"/>
          <w:szCs w:val="22"/>
        </w:rPr>
        <w:t>On singing onstage</w:t>
      </w:r>
      <w:r w:rsidRPr="000D4978">
        <w:rPr>
          <w:rFonts w:ascii="Arial" w:hAnsi="Arial" w:cs="Arial"/>
          <w:sz w:val="22"/>
          <w:szCs w:val="22"/>
        </w:rPr>
        <w:t>. New York: Applause Books.</w:t>
      </w:r>
    </w:p>
    <w:p w14:paraId="4472E1B0" w14:textId="77777777" w:rsidR="000D4978" w:rsidRPr="000D4978" w:rsidRDefault="000D4978" w:rsidP="000D4978">
      <w:pPr>
        <w:spacing w:line="360" w:lineRule="auto"/>
        <w:jc w:val="both"/>
        <w:rPr>
          <w:rFonts w:ascii="Arial" w:hAnsi="Arial" w:cs="Arial"/>
          <w:sz w:val="22"/>
          <w:szCs w:val="22"/>
        </w:rPr>
      </w:pPr>
      <w:r w:rsidRPr="000D4978">
        <w:rPr>
          <w:rFonts w:ascii="Arial" w:hAnsi="Arial" w:cs="Arial"/>
          <w:sz w:val="22"/>
          <w:szCs w:val="22"/>
        </w:rPr>
        <w:t xml:space="preserve">Crenshaw, K. (1991). 'Mapping the margins: intersectionality, identity politics, and violence against women of </w:t>
      </w:r>
      <w:proofErr w:type="spellStart"/>
      <w:r w:rsidRPr="000D4978">
        <w:rPr>
          <w:rFonts w:ascii="Arial" w:hAnsi="Arial" w:cs="Arial"/>
          <w:sz w:val="22"/>
          <w:szCs w:val="22"/>
        </w:rPr>
        <w:t>color</w:t>
      </w:r>
      <w:proofErr w:type="spellEnd"/>
      <w:r w:rsidRPr="000D4978">
        <w:rPr>
          <w:rFonts w:ascii="Arial" w:hAnsi="Arial" w:cs="Arial"/>
          <w:sz w:val="22"/>
          <w:szCs w:val="22"/>
        </w:rPr>
        <w:t xml:space="preserve">', </w:t>
      </w:r>
      <w:r w:rsidRPr="000D4978">
        <w:rPr>
          <w:rFonts w:ascii="Arial" w:hAnsi="Arial" w:cs="Arial"/>
          <w:i/>
          <w:iCs/>
          <w:sz w:val="22"/>
          <w:szCs w:val="22"/>
        </w:rPr>
        <w:t>Stanford Law Review</w:t>
      </w:r>
      <w:r w:rsidRPr="000D4978">
        <w:rPr>
          <w:rFonts w:ascii="Arial" w:hAnsi="Arial" w:cs="Arial"/>
          <w:sz w:val="22"/>
          <w:szCs w:val="22"/>
        </w:rPr>
        <w:t>, 43(6), pp. 1241–1299.</w:t>
      </w:r>
    </w:p>
    <w:p w14:paraId="0648E8B2" w14:textId="77777777" w:rsidR="000D4978" w:rsidRPr="000D4978" w:rsidRDefault="000D4978" w:rsidP="000D4978">
      <w:pPr>
        <w:spacing w:line="360" w:lineRule="auto"/>
        <w:jc w:val="both"/>
        <w:rPr>
          <w:rFonts w:ascii="Arial" w:hAnsi="Arial" w:cs="Arial"/>
          <w:sz w:val="22"/>
          <w:szCs w:val="22"/>
        </w:rPr>
      </w:pPr>
      <w:r w:rsidRPr="000D4978">
        <w:rPr>
          <w:rFonts w:ascii="Arial" w:hAnsi="Arial" w:cs="Arial"/>
          <w:sz w:val="22"/>
          <w:szCs w:val="22"/>
        </w:rPr>
        <w:t xml:space="preserve">Creswell, J.W. and </w:t>
      </w:r>
      <w:proofErr w:type="spellStart"/>
      <w:r w:rsidRPr="000D4978">
        <w:rPr>
          <w:rFonts w:ascii="Arial" w:hAnsi="Arial" w:cs="Arial"/>
          <w:sz w:val="22"/>
          <w:szCs w:val="22"/>
        </w:rPr>
        <w:t>Poth</w:t>
      </w:r>
      <w:proofErr w:type="spellEnd"/>
      <w:r w:rsidRPr="000D4978">
        <w:rPr>
          <w:rFonts w:ascii="Arial" w:hAnsi="Arial" w:cs="Arial"/>
          <w:sz w:val="22"/>
          <w:szCs w:val="22"/>
        </w:rPr>
        <w:t xml:space="preserve">, C.N. (2018). </w:t>
      </w:r>
      <w:r w:rsidRPr="000D4978">
        <w:rPr>
          <w:rFonts w:ascii="Arial" w:hAnsi="Arial" w:cs="Arial"/>
          <w:i/>
          <w:iCs/>
          <w:sz w:val="22"/>
          <w:szCs w:val="22"/>
        </w:rPr>
        <w:t>Qualitative inquiry and research design: choosing among five approaches</w:t>
      </w:r>
      <w:r w:rsidRPr="000D4978">
        <w:rPr>
          <w:rFonts w:ascii="Arial" w:hAnsi="Arial" w:cs="Arial"/>
          <w:sz w:val="22"/>
          <w:szCs w:val="22"/>
        </w:rPr>
        <w:t xml:space="preserve">. 4th </w:t>
      </w:r>
      <w:proofErr w:type="spellStart"/>
      <w:r w:rsidRPr="000D4978">
        <w:rPr>
          <w:rFonts w:ascii="Arial" w:hAnsi="Arial" w:cs="Arial"/>
          <w:sz w:val="22"/>
          <w:szCs w:val="22"/>
        </w:rPr>
        <w:t>edn</w:t>
      </w:r>
      <w:proofErr w:type="spellEnd"/>
      <w:r w:rsidRPr="000D4978">
        <w:rPr>
          <w:rFonts w:ascii="Arial" w:hAnsi="Arial" w:cs="Arial"/>
          <w:sz w:val="22"/>
          <w:szCs w:val="22"/>
        </w:rPr>
        <w:t>. London: Sage.</w:t>
      </w:r>
    </w:p>
    <w:p w14:paraId="36139A47" w14:textId="77777777" w:rsidR="000D4978" w:rsidRPr="000D4978" w:rsidRDefault="000D4978" w:rsidP="000D4978">
      <w:pPr>
        <w:spacing w:line="360" w:lineRule="auto"/>
        <w:jc w:val="both"/>
        <w:rPr>
          <w:rFonts w:ascii="Arial" w:hAnsi="Arial" w:cs="Arial"/>
          <w:sz w:val="22"/>
          <w:szCs w:val="22"/>
        </w:rPr>
      </w:pPr>
      <w:r w:rsidRPr="000D4978">
        <w:rPr>
          <w:rFonts w:ascii="Arial" w:hAnsi="Arial" w:cs="Arial"/>
          <w:sz w:val="22"/>
          <w:szCs w:val="22"/>
        </w:rPr>
        <w:t xml:space="preserve">Davies, S. and Goldberg, J. (2006). 'Clinical voice training for the transgender client', in Adler, R.K., Hirsch, S. and Mordaunt, M. (eds.) </w:t>
      </w:r>
      <w:r w:rsidRPr="000D4978">
        <w:rPr>
          <w:rFonts w:ascii="Arial" w:hAnsi="Arial" w:cs="Arial"/>
          <w:i/>
          <w:iCs/>
          <w:sz w:val="22"/>
          <w:szCs w:val="22"/>
        </w:rPr>
        <w:t>Voice and communication therapy for the transgender/transsexual client</w:t>
      </w:r>
      <w:r w:rsidRPr="000D4978">
        <w:rPr>
          <w:rFonts w:ascii="Arial" w:hAnsi="Arial" w:cs="Arial"/>
          <w:sz w:val="22"/>
          <w:szCs w:val="22"/>
        </w:rPr>
        <w:t>. San Diego: Plural Publishing, pp. 149–176.</w:t>
      </w:r>
    </w:p>
    <w:p w14:paraId="291276AD" w14:textId="77777777" w:rsidR="000D4978" w:rsidRPr="000D4978" w:rsidRDefault="000D4978" w:rsidP="000D4978">
      <w:pPr>
        <w:spacing w:line="360" w:lineRule="auto"/>
        <w:jc w:val="both"/>
        <w:rPr>
          <w:rFonts w:ascii="Arial" w:hAnsi="Arial" w:cs="Arial"/>
          <w:sz w:val="22"/>
          <w:szCs w:val="22"/>
        </w:rPr>
      </w:pPr>
      <w:r w:rsidRPr="000D4978">
        <w:rPr>
          <w:rFonts w:ascii="Arial" w:hAnsi="Arial" w:cs="Arial"/>
          <w:sz w:val="22"/>
          <w:szCs w:val="22"/>
        </w:rPr>
        <w:t xml:space="preserve">Davies, S., Papp, V. and Antoni, C. (2015). 'Voice and communication therapy with trans and gender-diverse people', </w:t>
      </w:r>
      <w:r w:rsidRPr="000D4978">
        <w:rPr>
          <w:rFonts w:ascii="Arial" w:hAnsi="Arial" w:cs="Arial"/>
          <w:i/>
          <w:iCs/>
          <w:sz w:val="22"/>
          <w:szCs w:val="22"/>
        </w:rPr>
        <w:t>International Journal of Speech-Language Pathology</w:t>
      </w:r>
      <w:r w:rsidRPr="000D4978">
        <w:rPr>
          <w:rFonts w:ascii="Arial" w:hAnsi="Arial" w:cs="Arial"/>
          <w:sz w:val="22"/>
          <w:szCs w:val="22"/>
        </w:rPr>
        <w:t>, 17(2), pp. 197–210.</w:t>
      </w:r>
    </w:p>
    <w:p w14:paraId="445F9F5E" w14:textId="77777777" w:rsidR="000D4978" w:rsidRPr="000D4978" w:rsidRDefault="000D4978" w:rsidP="000D4978">
      <w:pPr>
        <w:spacing w:line="360" w:lineRule="auto"/>
        <w:jc w:val="both"/>
        <w:rPr>
          <w:rFonts w:ascii="Arial" w:hAnsi="Arial" w:cs="Arial"/>
          <w:sz w:val="22"/>
          <w:szCs w:val="22"/>
        </w:rPr>
      </w:pPr>
      <w:r w:rsidRPr="000D4978">
        <w:rPr>
          <w:rFonts w:ascii="Arial" w:hAnsi="Arial" w:cs="Arial"/>
          <w:sz w:val="22"/>
          <w:szCs w:val="22"/>
        </w:rPr>
        <w:t xml:space="preserve">Daykin, N. (2020). </w:t>
      </w:r>
      <w:r w:rsidRPr="000D4978">
        <w:rPr>
          <w:rFonts w:ascii="Arial" w:hAnsi="Arial" w:cs="Arial"/>
          <w:i/>
          <w:iCs/>
          <w:sz w:val="22"/>
          <w:szCs w:val="22"/>
        </w:rPr>
        <w:t>Arts, health and wellbeing: a theoretical inquiry for practice</w:t>
      </w:r>
      <w:r w:rsidRPr="000D4978">
        <w:rPr>
          <w:rFonts w:ascii="Arial" w:hAnsi="Arial" w:cs="Arial"/>
          <w:sz w:val="22"/>
          <w:szCs w:val="22"/>
        </w:rPr>
        <w:t>. London: Routledge.</w:t>
      </w:r>
    </w:p>
    <w:p w14:paraId="2371AECB" w14:textId="77777777" w:rsidR="000D4978" w:rsidRPr="000D4978" w:rsidRDefault="000D4978" w:rsidP="000D4978">
      <w:pPr>
        <w:spacing w:line="360" w:lineRule="auto"/>
        <w:jc w:val="both"/>
        <w:rPr>
          <w:rFonts w:ascii="Arial" w:hAnsi="Arial" w:cs="Arial"/>
          <w:sz w:val="22"/>
          <w:szCs w:val="22"/>
        </w:rPr>
      </w:pPr>
      <w:r w:rsidRPr="000D4978">
        <w:rPr>
          <w:rFonts w:ascii="Arial" w:hAnsi="Arial" w:cs="Arial"/>
          <w:sz w:val="22"/>
          <w:szCs w:val="22"/>
        </w:rPr>
        <w:lastRenderedPageBreak/>
        <w:t xml:space="preserve">de Beauvoir, S. (1949). </w:t>
      </w:r>
      <w:r w:rsidRPr="000D4978">
        <w:rPr>
          <w:rFonts w:ascii="Arial" w:hAnsi="Arial" w:cs="Arial"/>
          <w:i/>
          <w:iCs/>
          <w:sz w:val="22"/>
          <w:szCs w:val="22"/>
        </w:rPr>
        <w:t>The second sex</w:t>
      </w:r>
      <w:r w:rsidRPr="000D4978">
        <w:rPr>
          <w:rFonts w:ascii="Arial" w:hAnsi="Arial" w:cs="Arial"/>
          <w:sz w:val="22"/>
          <w:szCs w:val="22"/>
        </w:rPr>
        <w:t>. Translated by H.M. Parshley. New York: Vintage Books, 1989.</w:t>
      </w:r>
    </w:p>
    <w:p w14:paraId="5B4B6CD3" w14:textId="77777777" w:rsidR="000D4978" w:rsidRPr="000D4978" w:rsidRDefault="000D4978" w:rsidP="000D4978">
      <w:pPr>
        <w:spacing w:line="360" w:lineRule="auto"/>
        <w:jc w:val="both"/>
        <w:rPr>
          <w:rFonts w:ascii="Arial" w:hAnsi="Arial" w:cs="Arial"/>
          <w:sz w:val="22"/>
          <w:szCs w:val="22"/>
        </w:rPr>
      </w:pPr>
      <w:r w:rsidRPr="000D4978">
        <w:rPr>
          <w:rFonts w:ascii="Arial" w:hAnsi="Arial" w:cs="Arial"/>
          <w:sz w:val="22"/>
          <w:szCs w:val="22"/>
        </w:rPr>
        <w:t xml:space="preserve">Dewey, J. (1933). </w:t>
      </w:r>
      <w:r w:rsidRPr="000D4978">
        <w:rPr>
          <w:rFonts w:ascii="Arial" w:hAnsi="Arial" w:cs="Arial"/>
          <w:i/>
          <w:iCs/>
          <w:sz w:val="22"/>
          <w:szCs w:val="22"/>
        </w:rPr>
        <w:t>How we think: a restatement of the relation of reflective thinking to the educative process</w:t>
      </w:r>
      <w:r w:rsidRPr="000D4978">
        <w:rPr>
          <w:rFonts w:ascii="Arial" w:hAnsi="Arial" w:cs="Arial"/>
          <w:sz w:val="22"/>
          <w:szCs w:val="22"/>
        </w:rPr>
        <w:t>. Boston: D.C. Heath.</w:t>
      </w:r>
    </w:p>
    <w:p w14:paraId="779AB4A3" w14:textId="77777777" w:rsidR="000D4978" w:rsidRPr="000D4978" w:rsidRDefault="000D4978" w:rsidP="000D4978">
      <w:pPr>
        <w:spacing w:line="360" w:lineRule="auto"/>
        <w:jc w:val="both"/>
        <w:rPr>
          <w:rFonts w:ascii="Arial" w:hAnsi="Arial" w:cs="Arial"/>
          <w:sz w:val="22"/>
          <w:szCs w:val="22"/>
        </w:rPr>
      </w:pPr>
      <w:r w:rsidRPr="000D4978">
        <w:rPr>
          <w:rFonts w:ascii="Arial" w:hAnsi="Arial" w:cs="Arial"/>
          <w:sz w:val="22"/>
          <w:szCs w:val="22"/>
        </w:rPr>
        <w:t xml:space="preserve">Dixon, N., Lee, D. and Ghaye, T. (2015). 'Strengths-based reflective practice: a new approach to professional development for educators', </w:t>
      </w:r>
      <w:r w:rsidRPr="000D4978">
        <w:rPr>
          <w:rFonts w:ascii="Arial" w:hAnsi="Arial" w:cs="Arial"/>
          <w:i/>
          <w:iCs/>
          <w:sz w:val="22"/>
          <w:szCs w:val="22"/>
        </w:rPr>
        <w:t>Reflective Practice</w:t>
      </w:r>
      <w:r w:rsidRPr="000D4978">
        <w:rPr>
          <w:rFonts w:ascii="Arial" w:hAnsi="Arial" w:cs="Arial"/>
          <w:sz w:val="22"/>
          <w:szCs w:val="22"/>
        </w:rPr>
        <w:t>, 16(1), pp. 97–110.</w:t>
      </w:r>
    </w:p>
    <w:p w14:paraId="0510D731" w14:textId="77777777" w:rsidR="000D4978" w:rsidRPr="000D4978" w:rsidRDefault="000D4978" w:rsidP="000D4978">
      <w:pPr>
        <w:spacing w:line="360" w:lineRule="auto"/>
        <w:jc w:val="both"/>
        <w:rPr>
          <w:rFonts w:ascii="Arial" w:hAnsi="Arial" w:cs="Arial"/>
          <w:sz w:val="22"/>
          <w:szCs w:val="22"/>
        </w:rPr>
      </w:pPr>
      <w:r w:rsidRPr="000D4978">
        <w:rPr>
          <w:rFonts w:ascii="Arial" w:hAnsi="Arial" w:cs="Arial"/>
          <w:sz w:val="22"/>
          <w:szCs w:val="22"/>
        </w:rPr>
        <w:t xml:space="preserve">Fook, J. and Askeland, G.A. (2006). 'The "critical" in critical reflection', in White, S., Fook, J. and Gardner, F. (eds.) </w:t>
      </w:r>
      <w:r w:rsidRPr="000D4978">
        <w:rPr>
          <w:rFonts w:ascii="Arial" w:hAnsi="Arial" w:cs="Arial"/>
          <w:i/>
          <w:iCs/>
          <w:sz w:val="22"/>
          <w:szCs w:val="22"/>
        </w:rPr>
        <w:t>Critical reflection in health and social care</w:t>
      </w:r>
      <w:r w:rsidRPr="000D4978">
        <w:rPr>
          <w:rFonts w:ascii="Arial" w:hAnsi="Arial" w:cs="Arial"/>
          <w:sz w:val="22"/>
          <w:szCs w:val="22"/>
        </w:rPr>
        <w:t>. Maidenhead: Open University Press, pp. 40–53.</w:t>
      </w:r>
    </w:p>
    <w:p w14:paraId="721C1D95" w14:textId="77777777" w:rsidR="000D4978" w:rsidRPr="000D4978" w:rsidRDefault="000D4978" w:rsidP="000D4978">
      <w:pPr>
        <w:spacing w:line="360" w:lineRule="auto"/>
        <w:jc w:val="both"/>
        <w:rPr>
          <w:rFonts w:ascii="Arial" w:hAnsi="Arial" w:cs="Arial"/>
          <w:sz w:val="22"/>
          <w:szCs w:val="22"/>
        </w:rPr>
      </w:pPr>
      <w:r w:rsidRPr="000D4978">
        <w:rPr>
          <w:rFonts w:ascii="Arial" w:hAnsi="Arial" w:cs="Arial"/>
          <w:sz w:val="22"/>
          <w:szCs w:val="22"/>
        </w:rPr>
        <w:t xml:space="preserve">Halberstam, J. (2005). </w:t>
      </w:r>
      <w:r w:rsidRPr="000D4978">
        <w:rPr>
          <w:rFonts w:ascii="Arial" w:hAnsi="Arial" w:cs="Arial"/>
          <w:i/>
          <w:iCs/>
          <w:sz w:val="22"/>
          <w:szCs w:val="22"/>
        </w:rPr>
        <w:t>In a queer time and place: transgender bodies, subcultural lives</w:t>
      </w:r>
      <w:r w:rsidRPr="000D4978">
        <w:rPr>
          <w:rFonts w:ascii="Arial" w:hAnsi="Arial" w:cs="Arial"/>
          <w:sz w:val="22"/>
          <w:szCs w:val="22"/>
        </w:rPr>
        <w:t>. New York: New York University Press.</w:t>
      </w:r>
    </w:p>
    <w:p w14:paraId="3BA7D278" w14:textId="77777777" w:rsidR="000D4978" w:rsidRPr="000D4978" w:rsidRDefault="000D4978" w:rsidP="000D4978">
      <w:pPr>
        <w:spacing w:line="360" w:lineRule="auto"/>
        <w:jc w:val="both"/>
        <w:rPr>
          <w:rFonts w:ascii="Arial" w:hAnsi="Arial" w:cs="Arial"/>
          <w:sz w:val="22"/>
          <w:szCs w:val="22"/>
        </w:rPr>
      </w:pPr>
      <w:r w:rsidRPr="000D4978">
        <w:rPr>
          <w:rFonts w:ascii="Arial" w:hAnsi="Arial" w:cs="Arial"/>
          <w:sz w:val="22"/>
          <w:szCs w:val="22"/>
        </w:rPr>
        <w:t xml:space="preserve">Hancock, A.B. and Helenius, L. (2012). 'Advising transgender clients in voice and communication: the role of the speech-language pathologist', </w:t>
      </w:r>
      <w:r w:rsidRPr="000D4978">
        <w:rPr>
          <w:rFonts w:ascii="Arial" w:hAnsi="Arial" w:cs="Arial"/>
          <w:i/>
          <w:iCs/>
          <w:sz w:val="22"/>
          <w:szCs w:val="22"/>
        </w:rPr>
        <w:t>Perspectives on Voice and Voice Disorders</w:t>
      </w:r>
      <w:r w:rsidRPr="000D4978">
        <w:rPr>
          <w:rFonts w:ascii="Arial" w:hAnsi="Arial" w:cs="Arial"/>
          <w:sz w:val="22"/>
          <w:szCs w:val="22"/>
        </w:rPr>
        <w:t>, 22(1), pp. 5–13.</w:t>
      </w:r>
    </w:p>
    <w:p w14:paraId="30420A74" w14:textId="77777777" w:rsidR="000D4978" w:rsidRPr="000D4978" w:rsidRDefault="000D4978" w:rsidP="000D4978">
      <w:pPr>
        <w:spacing w:line="360" w:lineRule="auto"/>
        <w:jc w:val="both"/>
        <w:rPr>
          <w:rFonts w:ascii="Arial" w:hAnsi="Arial" w:cs="Arial"/>
          <w:sz w:val="22"/>
          <w:szCs w:val="22"/>
        </w:rPr>
      </w:pPr>
      <w:r w:rsidRPr="000D4978">
        <w:rPr>
          <w:rFonts w:ascii="Arial" w:hAnsi="Arial" w:cs="Arial"/>
          <w:sz w:val="22"/>
          <w:szCs w:val="22"/>
        </w:rPr>
        <w:t xml:space="preserve">Harvard, P. (2014). </w:t>
      </w:r>
      <w:r w:rsidRPr="000D4978">
        <w:rPr>
          <w:rFonts w:ascii="Arial" w:hAnsi="Arial" w:cs="Arial"/>
          <w:i/>
          <w:iCs/>
          <w:sz w:val="22"/>
          <w:szCs w:val="22"/>
        </w:rPr>
        <w:t>Acting through song: techniques and exercises for musical-theatre actors</w:t>
      </w:r>
      <w:r w:rsidRPr="000D4978">
        <w:rPr>
          <w:rFonts w:ascii="Arial" w:hAnsi="Arial" w:cs="Arial"/>
          <w:sz w:val="22"/>
          <w:szCs w:val="22"/>
        </w:rPr>
        <w:t>. London: Nick Hern Books.</w:t>
      </w:r>
    </w:p>
    <w:p w14:paraId="7097DB34" w14:textId="77777777" w:rsidR="000D4978" w:rsidRPr="000D4978" w:rsidRDefault="000D4978" w:rsidP="000D4978">
      <w:pPr>
        <w:spacing w:line="360" w:lineRule="auto"/>
        <w:jc w:val="both"/>
        <w:rPr>
          <w:rFonts w:ascii="Arial" w:hAnsi="Arial" w:cs="Arial"/>
          <w:sz w:val="22"/>
          <w:szCs w:val="22"/>
        </w:rPr>
      </w:pPr>
      <w:r w:rsidRPr="000D4978">
        <w:rPr>
          <w:rFonts w:ascii="Arial" w:hAnsi="Arial" w:cs="Arial"/>
          <w:sz w:val="22"/>
          <w:szCs w:val="22"/>
        </w:rPr>
        <w:t xml:space="preserve">Heyler, R. (ed.) (2015). </w:t>
      </w:r>
      <w:r w:rsidRPr="000D4978">
        <w:rPr>
          <w:rFonts w:ascii="Arial" w:hAnsi="Arial" w:cs="Arial"/>
          <w:i/>
          <w:iCs/>
          <w:sz w:val="22"/>
          <w:szCs w:val="22"/>
        </w:rPr>
        <w:t>Learning through work: approaches to learning for the 21st century</w:t>
      </w:r>
      <w:r w:rsidRPr="000D4978">
        <w:rPr>
          <w:rFonts w:ascii="Arial" w:hAnsi="Arial" w:cs="Arial"/>
          <w:sz w:val="22"/>
          <w:szCs w:val="22"/>
        </w:rPr>
        <w:t>. London: Palgrave Macmillan.</w:t>
      </w:r>
    </w:p>
    <w:p w14:paraId="0CC15CA5" w14:textId="77777777" w:rsidR="000D4978" w:rsidRPr="000D4978" w:rsidRDefault="000D4978" w:rsidP="000D4978">
      <w:pPr>
        <w:spacing w:line="360" w:lineRule="auto"/>
        <w:jc w:val="both"/>
        <w:rPr>
          <w:rFonts w:ascii="Arial" w:hAnsi="Arial" w:cs="Arial"/>
          <w:sz w:val="22"/>
          <w:szCs w:val="22"/>
        </w:rPr>
      </w:pPr>
      <w:r w:rsidRPr="000D4978">
        <w:rPr>
          <w:rFonts w:ascii="Arial" w:hAnsi="Arial" w:cs="Arial"/>
          <w:sz w:val="22"/>
          <w:szCs w:val="22"/>
        </w:rPr>
        <w:t xml:space="preserve">Jones, A. and Zhang, R. (2021). 'Rethinking the binary: trans performers and the limitations of musical theatre pedagogy', </w:t>
      </w:r>
      <w:r w:rsidRPr="000D4978">
        <w:rPr>
          <w:rFonts w:ascii="Arial" w:hAnsi="Arial" w:cs="Arial"/>
          <w:i/>
          <w:iCs/>
          <w:sz w:val="22"/>
          <w:szCs w:val="22"/>
        </w:rPr>
        <w:t>Studies in Musical Theatre</w:t>
      </w:r>
      <w:r w:rsidRPr="000D4978">
        <w:rPr>
          <w:rFonts w:ascii="Arial" w:hAnsi="Arial" w:cs="Arial"/>
          <w:sz w:val="22"/>
          <w:szCs w:val="22"/>
        </w:rPr>
        <w:t>, 15(1), pp. 31–48.</w:t>
      </w:r>
    </w:p>
    <w:p w14:paraId="710BD811" w14:textId="77777777" w:rsidR="000D4978" w:rsidRPr="000D4978" w:rsidRDefault="000D4978" w:rsidP="000D4978">
      <w:pPr>
        <w:spacing w:line="360" w:lineRule="auto"/>
        <w:jc w:val="both"/>
        <w:rPr>
          <w:rFonts w:ascii="Arial" w:hAnsi="Arial" w:cs="Arial"/>
          <w:sz w:val="22"/>
          <w:szCs w:val="22"/>
        </w:rPr>
      </w:pPr>
      <w:r w:rsidRPr="000D4978">
        <w:rPr>
          <w:rFonts w:ascii="Arial" w:hAnsi="Arial" w:cs="Arial"/>
          <w:sz w:val="22"/>
          <w:szCs w:val="22"/>
        </w:rPr>
        <w:t xml:space="preserve">Jones, A. and Zhang, W. (2021). 'Performing gender: trans identities in musical theatre', </w:t>
      </w:r>
      <w:r w:rsidRPr="000D4978">
        <w:rPr>
          <w:rFonts w:ascii="Arial" w:hAnsi="Arial" w:cs="Arial"/>
          <w:i/>
          <w:iCs/>
          <w:sz w:val="22"/>
          <w:szCs w:val="22"/>
        </w:rPr>
        <w:t>Studies in Musical Theatre</w:t>
      </w:r>
      <w:r w:rsidRPr="000D4978">
        <w:rPr>
          <w:rFonts w:ascii="Arial" w:hAnsi="Arial" w:cs="Arial"/>
          <w:sz w:val="22"/>
          <w:szCs w:val="22"/>
        </w:rPr>
        <w:t>, 15(3), pp. 255–270.</w:t>
      </w:r>
    </w:p>
    <w:p w14:paraId="6E6CF1DE" w14:textId="77777777" w:rsidR="000D4978" w:rsidRPr="000D4978" w:rsidRDefault="000D4978" w:rsidP="000D4978">
      <w:pPr>
        <w:spacing w:line="360" w:lineRule="auto"/>
        <w:jc w:val="both"/>
        <w:rPr>
          <w:rFonts w:ascii="Arial" w:hAnsi="Arial" w:cs="Arial"/>
          <w:sz w:val="22"/>
          <w:szCs w:val="22"/>
        </w:rPr>
      </w:pPr>
      <w:r w:rsidRPr="000D4978">
        <w:rPr>
          <w:rFonts w:ascii="Arial" w:hAnsi="Arial" w:cs="Arial"/>
          <w:sz w:val="22"/>
          <w:szCs w:val="22"/>
        </w:rPr>
        <w:t xml:space="preserve">Kolb, D.A. (1984). </w:t>
      </w:r>
      <w:r w:rsidRPr="000D4978">
        <w:rPr>
          <w:rFonts w:ascii="Arial" w:hAnsi="Arial" w:cs="Arial"/>
          <w:i/>
          <w:iCs/>
          <w:sz w:val="22"/>
          <w:szCs w:val="22"/>
        </w:rPr>
        <w:t>Experiential learning: experience as the source of learning and development</w:t>
      </w:r>
      <w:r w:rsidRPr="000D4978">
        <w:rPr>
          <w:rFonts w:ascii="Arial" w:hAnsi="Arial" w:cs="Arial"/>
          <w:sz w:val="22"/>
          <w:szCs w:val="22"/>
        </w:rPr>
        <w:t>. Englewood Cliffs, NJ: Prentice Hall.</w:t>
      </w:r>
    </w:p>
    <w:p w14:paraId="6487CEDA" w14:textId="77777777" w:rsidR="000D4978" w:rsidRPr="000D4978" w:rsidRDefault="000D4978" w:rsidP="000D4978">
      <w:pPr>
        <w:spacing w:line="360" w:lineRule="auto"/>
        <w:jc w:val="both"/>
        <w:rPr>
          <w:rFonts w:ascii="Arial" w:hAnsi="Arial" w:cs="Arial"/>
          <w:sz w:val="22"/>
          <w:szCs w:val="22"/>
        </w:rPr>
      </w:pPr>
      <w:r w:rsidRPr="000D4978">
        <w:rPr>
          <w:rFonts w:ascii="Arial" w:hAnsi="Arial" w:cs="Arial"/>
          <w:sz w:val="22"/>
          <w:szCs w:val="22"/>
        </w:rPr>
        <w:t xml:space="preserve">Marchand Knight, J., Sares, A.G. and Deroche, M.L.D. (2023). 'Visual biases in evaluation of speakers' and singers' voice type by cis and trans listeners', </w:t>
      </w:r>
      <w:r w:rsidRPr="000D4978">
        <w:rPr>
          <w:rFonts w:ascii="Arial" w:hAnsi="Arial" w:cs="Arial"/>
          <w:i/>
          <w:iCs/>
          <w:sz w:val="22"/>
          <w:szCs w:val="22"/>
        </w:rPr>
        <w:t>Frontiers in Psychology</w:t>
      </w:r>
      <w:r w:rsidRPr="000D4978">
        <w:rPr>
          <w:rFonts w:ascii="Arial" w:hAnsi="Arial" w:cs="Arial"/>
          <w:sz w:val="22"/>
          <w:szCs w:val="22"/>
        </w:rPr>
        <w:t xml:space="preserve">, 14, 1046672. </w:t>
      </w:r>
      <w:hyperlink r:id="rId10" w:history="1">
        <w:r w:rsidRPr="000D4978">
          <w:rPr>
            <w:rStyle w:val="Hyperlink"/>
            <w:rFonts w:ascii="Arial" w:hAnsi="Arial" w:cs="Arial"/>
            <w:sz w:val="22"/>
            <w:szCs w:val="22"/>
          </w:rPr>
          <w:t>https://doi.org/10.3389/fpsyg.2023.1046672</w:t>
        </w:r>
      </w:hyperlink>
    </w:p>
    <w:p w14:paraId="49176F1D" w14:textId="77777777" w:rsidR="000D4978" w:rsidRPr="000D4978" w:rsidRDefault="000D4978" w:rsidP="000D4978">
      <w:pPr>
        <w:spacing w:line="360" w:lineRule="auto"/>
        <w:jc w:val="both"/>
        <w:rPr>
          <w:rFonts w:ascii="Arial" w:hAnsi="Arial" w:cs="Arial"/>
          <w:sz w:val="22"/>
          <w:szCs w:val="22"/>
        </w:rPr>
      </w:pPr>
      <w:r w:rsidRPr="000D4978">
        <w:rPr>
          <w:rFonts w:ascii="Arial" w:hAnsi="Arial" w:cs="Arial"/>
          <w:sz w:val="22"/>
          <w:szCs w:val="22"/>
        </w:rPr>
        <w:t xml:space="preserve">Melton, J. (2007). </w:t>
      </w:r>
      <w:r w:rsidRPr="000D4978">
        <w:rPr>
          <w:rFonts w:ascii="Arial" w:hAnsi="Arial" w:cs="Arial"/>
          <w:i/>
          <w:iCs/>
          <w:sz w:val="22"/>
          <w:szCs w:val="22"/>
        </w:rPr>
        <w:t>Singing in musical theatre: the training of singers and actors</w:t>
      </w:r>
      <w:r w:rsidRPr="000D4978">
        <w:rPr>
          <w:rFonts w:ascii="Arial" w:hAnsi="Arial" w:cs="Arial"/>
          <w:sz w:val="22"/>
          <w:szCs w:val="22"/>
        </w:rPr>
        <w:t>. New York: Allworth Press.</w:t>
      </w:r>
    </w:p>
    <w:p w14:paraId="230E9749" w14:textId="77777777" w:rsidR="000D4978" w:rsidRPr="000D4978" w:rsidRDefault="000D4978" w:rsidP="000D4978">
      <w:pPr>
        <w:spacing w:line="360" w:lineRule="auto"/>
        <w:jc w:val="both"/>
        <w:rPr>
          <w:rFonts w:ascii="Arial" w:hAnsi="Arial" w:cs="Arial"/>
          <w:sz w:val="22"/>
          <w:szCs w:val="22"/>
        </w:rPr>
      </w:pPr>
      <w:r w:rsidRPr="000D4978">
        <w:rPr>
          <w:rFonts w:ascii="Arial" w:hAnsi="Arial" w:cs="Arial"/>
          <w:sz w:val="22"/>
          <w:szCs w:val="22"/>
        </w:rPr>
        <w:t xml:space="preserve">Moore, T. and Bergman, A. (2016). </w:t>
      </w:r>
      <w:r w:rsidRPr="000D4978">
        <w:rPr>
          <w:rFonts w:ascii="Arial" w:hAnsi="Arial" w:cs="Arial"/>
          <w:i/>
          <w:iCs/>
          <w:sz w:val="22"/>
          <w:szCs w:val="22"/>
        </w:rPr>
        <w:t>Acting the song: performance skills for the musical theatre</w:t>
      </w:r>
      <w:r w:rsidRPr="000D4978">
        <w:rPr>
          <w:rFonts w:ascii="Arial" w:hAnsi="Arial" w:cs="Arial"/>
          <w:sz w:val="22"/>
          <w:szCs w:val="22"/>
        </w:rPr>
        <w:t>. New York: Allworth Press.</w:t>
      </w:r>
    </w:p>
    <w:p w14:paraId="01CE86A4" w14:textId="77777777" w:rsidR="000D4978" w:rsidRPr="000D4978" w:rsidRDefault="000D4978" w:rsidP="000D4978">
      <w:pPr>
        <w:spacing w:line="360" w:lineRule="auto"/>
        <w:jc w:val="both"/>
        <w:rPr>
          <w:rFonts w:ascii="Arial" w:hAnsi="Arial" w:cs="Arial"/>
          <w:sz w:val="22"/>
          <w:szCs w:val="22"/>
        </w:rPr>
      </w:pPr>
      <w:r w:rsidRPr="000D4978">
        <w:rPr>
          <w:rFonts w:ascii="Arial" w:hAnsi="Arial" w:cs="Arial"/>
          <w:sz w:val="22"/>
          <w:szCs w:val="22"/>
        </w:rPr>
        <w:t xml:space="preserve">Ostwald, D.F. (2005). </w:t>
      </w:r>
      <w:r w:rsidRPr="000D4978">
        <w:rPr>
          <w:rFonts w:ascii="Arial" w:hAnsi="Arial" w:cs="Arial"/>
          <w:i/>
          <w:iCs/>
          <w:sz w:val="22"/>
          <w:szCs w:val="22"/>
        </w:rPr>
        <w:t>Acting for singers: creating believable singing characters</w:t>
      </w:r>
      <w:r w:rsidRPr="000D4978">
        <w:rPr>
          <w:rFonts w:ascii="Arial" w:hAnsi="Arial" w:cs="Arial"/>
          <w:sz w:val="22"/>
          <w:szCs w:val="22"/>
        </w:rPr>
        <w:t>. Oxford: Oxford University Press.</w:t>
      </w:r>
    </w:p>
    <w:p w14:paraId="6B10011D" w14:textId="77777777" w:rsidR="000D4978" w:rsidRPr="000D4978" w:rsidRDefault="000D4978" w:rsidP="000D4978">
      <w:pPr>
        <w:spacing w:line="360" w:lineRule="auto"/>
        <w:jc w:val="both"/>
        <w:rPr>
          <w:rFonts w:ascii="Arial" w:hAnsi="Arial" w:cs="Arial"/>
          <w:sz w:val="22"/>
          <w:szCs w:val="22"/>
        </w:rPr>
      </w:pPr>
      <w:r w:rsidRPr="000D4978">
        <w:rPr>
          <w:rFonts w:ascii="Arial" w:hAnsi="Arial" w:cs="Arial"/>
          <w:sz w:val="22"/>
          <w:szCs w:val="22"/>
        </w:rPr>
        <w:t xml:space="preserve">Purdy, S. (2016). </w:t>
      </w:r>
      <w:r w:rsidRPr="000D4978">
        <w:rPr>
          <w:rFonts w:ascii="Arial" w:hAnsi="Arial" w:cs="Arial"/>
          <w:i/>
          <w:iCs/>
          <w:sz w:val="22"/>
          <w:szCs w:val="22"/>
        </w:rPr>
        <w:t>Musical theatre song: a comprehensive course in selection, preparation and presentation for the modern performer</w:t>
      </w:r>
      <w:r w:rsidRPr="000D4978">
        <w:rPr>
          <w:rFonts w:ascii="Arial" w:hAnsi="Arial" w:cs="Arial"/>
          <w:sz w:val="22"/>
          <w:szCs w:val="22"/>
        </w:rPr>
        <w:t>. London: Methuen Drama.</w:t>
      </w:r>
    </w:p>
    <w:p w14:paraId="6007B6F0" w14:textId="77777777" w:rsidR="000D4978" w:rsidRPr="000D4978" w:rsidRDefault="000D4978" w:rsidP="000D4978">
      <w:pPr>
        <w:spacing w:line="360" w:lineRule="auto"/>
        <w:jc w:val="both"/>
        <w:rPr>
          <w:rFonts w:ascii="Arial" w:hAnsi="Arial" w:cs="Arial"/>
          <w:sz w:val="22"/>
          <w:szCs w:val="22"/>
        </w:rPr>
      </w:pPr>
      <w:r w:rsidRPr="000D4978">
        <w:rPr>
          <w:rFonts w:ascii="Arial" w:hAnsi="Arial" w:cs="Arial"/>
          <w:sz w:val="22"/>
          <w:szCs w:val="22"/>
        </w:rPr>
        <w:lastRenderedPageBreak/>
        <w:t xml:space="preserve">Rees, S. and Koppen, F. (2015). 'Sounding bodies: voice and gender in contemporary performance', </w:t>
      </w:r>
      <w:r w:rsidRPr="000D4978">
        <w:rPr>
          <w:rFonts w:ascii="Arial" w:hAnsi="Arial" w:cs="Arial"/>
          <w:i/>
          <w:iCs/>
          <w:sz w:val="22"/>
          <w:szCs w:val="22"/>
        </w:rPr>
        <w:t>Studies in Theatre and Performance</w:t>
      </w:r>
      <w:r w:rsidRPr="000D4978">
        <w:rPr>
          <w:rFonts w:ascii="Arial" w:hAnsi="Arial" w:cs="Arial"/>
          <w:sz w:val="22"/>
          <w:szCs w:val="22"/>
        </w:rPr>
        <w:t>, 35(3), pp. 304–317.</w:t>
      </w:r>
    </w:p>
    <w:p w14:paraId="2301FA45" w14:textId="77777777" w:rsidR="000D4978" w:rsidRPr="000D4978" w:rsidRDefault="000D4978" w:rsidP="000D4978">
      <w:pPr>
        <w:spacing w:line="360" w:lineRule="auto"/>
        <w:jc w:val="both"/>
        <w:rPr>
          <w:rFonts w:ascii="Arial" w:hAnsi="Arial" w:cs="Arial"/>
          <w:sz w:val="22"/>
          <w:szCs w:val="22"/>
        </w:rPr>
      </w:pPr>
      <w:r w:rsidRPr="000D4978">
        <w:rPr>
          <w:rFonts w:ascii="Arial" w:hAnsi="Arial" w:cs="Arial"/>
          <w:sz w:val="22"/>
          <w:szCs w:val="22"/>
        </w:rPr>
        <w:t xml:space="preserve">Rees, S. and Sweeney, C. (2018). 'Trans voices: crossing thresholds', </w:t>
      </w:r>
      <w:r w:rsidRPr="000D4978">
        <w:rPr>
          <w:rFonts w:ascii="Arial" w:hAnsi="Arial" w:cs="Arial"/>
          <w:i/>
          <w:iCs/>
          <w:sz w:val="22"/>
          <w:szCs w:val="22"/>
        </w:rPr>
        <w:t>Voice and Speech Review</w:t>
      </w:r>
      <w:r w:rsidRPr="000D4978">
        <w:rPr>
          <w:rFonts w:ascii="Arial" w:hAnsi="Arial" w:cs="Arial"/>
          <w:sz w:val="22"/>
          <w:szCs w:val="22"/>
        </w:rPr>
        <w:t>, 12(1), pp. 43–57.</w:t>
      </w:r>
    </w:p>
    <w:p w14:paraId="1DEADDD1" w14:textId="77777777" w:rsidR="000D4978" w:rsidRPr="000D4978" w:rsidRDefault="000D4978" w:rsidP="000D4978">
      <w:pPr>
        <w:spacing w:line="360" w:lineRule="auto"/>
        <w:jc w:val="both"/>
        <w:rPr>
          <w:rFonts w:ascii="Arial" w:hAnsi="Arial" w:cs="Arial"/>
          <w:sz w:val="22"/>
          <w:szCs w:val="22"/>
        </w:rPr>
      </w:pPr>
      <w:r w:rsidRPr="000D4978">
        <w:rPr>
          <w:rFonts w:ascii="Arial" w:hAnsi="Arial" w:cs="Arial"/>
          <w:sz w:val="22"/>
          <w:szCs w:val="22"/>
        </w:rPr>
        <w:t xml:space="preserve">Schön, D.A. (1983). </w:t>
      </w:r>
      <w:r w:rsidRPr="000D4978">
        <w:rPr>
          <w:rFonts w:ascii="Arial" w:hAnsi="Arial" w:cs="Arial"/>
          <w:i/>
          <w:iCs/>
          <w:sz w:val="22"/>
          <w:szCs w:val="22"/>
        </w:rPr>
        <w:t>The reflective practitioner: how professionals think in action</w:t>
      </w:r>
      <w:r w:rsidRPr="000D4978">
        <w:rPr>
          <w:rFonts w:ascii="Arial" w:hAnsi="Arial" w:cs="Arial"/>
          <w:sz w:val="22"/>
          <w:szCs w:val="22"/>
        </w:rPr>
        <w:t>. New York: Basic Books.</w:t>
      </w:r>
    </w:p>
    <w:p w14:paraId="564C6FF8" w14:textId="77777777" w:rsidR="000D4978" w:rsidRPr="000D4978" w:rsidRDefault="000D4978" w:rsidP="000D4978">
      <w:pPr>
        <w:spacing w:line="360" w:lineRule="auto"/>
        <w:jc w:val="both"/>
        <w:rPr>
          <w:rFonts w:ascii="Arial" w:hAnsi="Arial" w:cs="Arial"/>
          <w:sz w:val="22"/>
          <w:szCs w:val="22"/>
        </w:rPr>
      </w:pPr>
      <w:proofErr w:type="spellStart"/>
      <w:r w:rsidRPr="000D4978">
        <w:rPr>
          <w:rFonts w:ascii="Arial" w:hAnsi="Arial" w:cs="Arial"/>
          <w:sz w:val="22"/>
          <w:szCs w:val="22"/>
        </w:rPr>
        <w:t>Shlasko</w:t>
      </w:r>
      <w:proofErr w:type="spellEnd"/>
      <w:r w:rsidRPr="000D4978">
        <w:rPr>
          <w:rFonts w:ascii="Arial" w:hAnsi="Arial" w:cs="Arial"/>
          <w:sz w:val="22"/>
          <w:szCs w:val="22"/>
        </w:rPr>
        <w:t xml:space="preserve">, D. (2005). 'Queer (v.) pedagogy', in </w:t>
      </w:r>
      <w:proofErr w:type="spellStart"/>
      <w:r w:rsidRPr="000D4978">
        <w:rPr>
          <w:rFonts w:ascii="Arial" w:hAnsi="Arial" w:cs="Arial"/>
          <w:sz w:val="22"/>
          <w:szCs w:val="22"/>
        </w:rPr>
        <w:t>Kumashiro</w:t>
      </w:r>
      <w:proofErr w:type="spellEnd"/>
      <w:r w:rsidRPr="000D4978">
        <w:rPr>
          <w:rFonts w:ascii="Arial" w:hAnsi="Arial" w:cs="Arial"/>
          <w:sz w:val="22"/>
          <w:szCs w:val="22"/>
        </w:rPr>
        <w:t xml:space="preserve">, K. (ed.) </w:t>
      </w:r>
      <w:r w:rsidRPr="000D4978">
        <w:rPr>
          <w:rFonts w:ascii="Arial" w:hAnsi="Arial" w:cs="Arial"/>
          <w:i/>
          <w:iCs/>
          <w:sz w:val="22"/>
          <w:szCs w:val="22"/>
        </w:rPr>
        <w:t>Restorative practices: teaching and learning queer</w:t>
      </w:r>
      <w:r w:rsidRPr="000D4978">
        <w:rPr>
          <w:rFonts w:ascii="Arial" w:hAnsi="Arial" w:cs="Arial"/>
          <w:sz w:val="22"/>
          <w:szCs w:val="22"/>
        </w:rPr>
        <w:t>. New York: Peter Lang, pp. 123–140.</w:t>
      </w:r>
    </w:p>
    <w:p w14:paraId="4D705D27" w14:textId="77777777" w:rsidR="000D4978" w:rsidRPr="000D4978" w:rsidRDefault="000D4978" w:rsidP="000D4978">
      <w:pPr>
        <w:spacing w:line="360" w:lineRule="auto"/>
        <w:jc w:val="both"/>
        <w:rPr>
          <w:rFonts w:ascii="Arial" w:hAnsi="Arial" w:cs="Arial"/>
          <w:sz w:val="22"/>
          <w:szCs w:val="22"/>
        </w:rPr>
      </w:pPr>
      <w:r w:rsidRPr="000D4978">
        <w:rPr>
          <w:rFonts w:ascii="Arial" w:hAnsi="Arial" w:cs="Arial"/>
          <w:sz w:val="22"/>
          <w:szCs w:val="22"/>
        </w:rPr>
        <w:t xml:space="preserve">Smith, H., Blow, C. and Adam-Lavarack, S. (2012). 'Voice, identity and </w:t>
      </w:r>
      <w:proofErr w:type="gramStart"/>
      <w:r w:rsidRPr="000D4978">
        <w:rPr>
          <w:rFonts w:ascii="Arial" w:hAnsi="Arial" w:cs="Arial"/>
          <w:sz w:val="22"/>
          <w:szCs w:val="22"/>
        </w:rPr>
        <w:t>belonging:</w:t>
      </w:r>
      <w:proofErr w:type="gramEnd"/>
      <w:r w:rsidRPr="000D4978">
        <w:rPr>
          <w:rFonts w:ascii="Arial" w:hAnsi="Arial" w:cs="Arial"/>
          <w:sz w:val="22"/>
          <w:szCs w:val="22"/>
        </w:rPr>
        <w:t xml:space="preserve"> experiences of transgender and non-binary singers in choral contexts', </w:t>
      </w:r>
      <w:r w:rsidRPr="000D4978">
        <w:rPr>
          <w:rFonts w:ascii="Arial" w:hAnsi="Arial" w:cs="Arial"/>
          <w:i/>
          <w:iCs/>
          <w:sz w:val="22"/>
          <w:szCs w:val="22"/>
        </w:rPr>
        <w:t>Choral Journal</w:t>
      </w:r>
      <w:r w:rsidRPr="000D4978">
        <w:rPr>
          <w:rFonts w:ascii="Arial" w:hAnsi="Arial" w:cs="Arial"/>
          <w:sz w:val="22"/>
          <w:szCs w:val="22"/>
        </w:rPr>
        <w:t>, 53(4), pp. 30–41.</w:t>
      </w:r>
    </w:p>
    <w:p w14:paraId="6AB275C2" w14:textId="77777777" w:rsidR="000D4978" w:rsidRPr="000D4978" w:rsidRDefault="000D4978" w:rsidP="000D4978">
      <w:pPr>
        <w:spacing w:line="360" w:lineRule="auto"/>
        <w:jc w:val="both"/>
        <w:rPr>
          <w:rFonts w:ascii="Arial" w:hAnsi="Arial" w:cs="Arial"/>
          <w:sz w:val="22"/>
          <w:szCs w:val="22"/>
        </w:rPr>
      </w:pPr>
      <w:r w:rsidRPr="000D4978">
        <w:rPr>
          <w:rFonts w:ascii="Arial" w:hAnsi="Arial" w:cs="Arial"/>
          <w:sz w:val="22"/>
          <w:szCs w:val="22"/>
        </w:rPr>
        <w:t xml:space="preserve">Smith, J.A., Flowers, P. and Larkin, M. (2009). </w:t>
      </w:r>
      <w:r w:rsidRPr="000D4978">
        <w:rPr>
          <w:rFonts w:ascii="Arial" w:hAnsi="Arial" w:cs="Arial"/>
          <w:i/>
          <w:iCs/>
          <w:sz w:val="22"/>
          <w:szCs w:val="22"/>
        </w:rPr>
        <w:t>Interpretative phenomenological analysis: theory, method and research</w:t>
      </w:r>
      <w:r w:rsidRPr="000D4978">
        <w:rPr>
          <w:rFonts w:ascii="Arial" w:hAnsi="Arial" w:cs="Arial"/>
          <w:sz w:val="22"/>
          <w:szCs w:val="22"/>
        </w:rPr>
        <w:t>. London: Sage.</w:t>
      </w:r>
    </w:p>
    <w:p w14:paraId="5B5C9673" w14:textId="77777777" w:rsidR="000D4978" w:rsidRPr="000D4978" w:rsidRDefault="000D4978" w:rsidP="000D4978">
      <w:pPr>
        <w:spacing w:line="360" w:lineRule="auto"/>
        <w:jc w:val="both"/>
        <w:rPr>
          <w:rFonts w:ascii="Arial" w:hAnsi="Arial" w:cs="Arial"/>
          <w:sz w:val="22"/>
          <w:szCs w:val="22"/>
        </w:rPr>
      </w:pPr>
      <w:r w:rsidRPr="000D4978">
        <w:rPr>
          <w:rFonts w:ascii="Arial" w:hAnsi="Arial" w:cs="Arial"/>
          <w:sz w:val="22"/>
          <w:szCs w:val="22"/>
        </w:rPr>
        <w:t xml:space="preserve">Symonds, D. and Taylor, M. (eds.) (2014). </w:t>
      </w:r>
      <w:r w:rsidRPr="000D4978">
        <w:rPr>
          <w:rFonts w:ascii="Arial" w:hAnsi="Arial" w:cs="Arial"/>
          <w:i/>
          <w:iCs/>
          <w:sz w:val="22"/>
          <w:szCs w:val="22"/>
        </w:rPr>
        <w:t xml:space="preserve">Gestures of music </w:t>
      </w:r>
      <w:proofErr w:type="spellStart"/>
      <w:r w:rsidRPr="000D4978">
        <w:rPr>
          <w:rFonts w:ascii="Arial" w:hAnsi="Arial" w:cs="Arial"/>
          <w:i/>
          <w:iCs/>
          <w:sz w:val="22"/>
          <w:szCs w:val="22"/>
        </w:rPr>
        <w:t>theater</w:t>
      </w:r>
      <w:proofErr w:type="spellEnd"/>
      <w:r w:rsidRPr="000D4978">
        <w:rPr>
          <w:rFonts w:ascii="Arial" w:hAnsi="Arial" w:cs="Arial"/>
          <w:i/>
          <w:iCs/>
          <w:sz w:val="22"/>
          <w:szCs w:val="22"/>
        </w:rPr>
        <w:t>: the performativity of song and dance</w:t>
      </w:r>
      <w:r w:rsidRPr="000D4978">
        <w:rPr>
          <w:rFonts w:ascii="Arial" w:hAnsi="Arial" w:cs="Arial"/>
          <w:sz w:val="22"/>
          <w:szCs w:val="22"/>
        </w:rPr>
        <w:t>. Oxford: Oxford University Press.</w:t>
      </w:r>
    </w:p>
    <w:p w14:paraId="0A04A71A" w14:textId="77777777" w:rsidR="000D4978" w:rsidRPr="000D4978" w:rsidRDefault="000D4978" w:rsidP="000D4978">
      <w:pPr>
        <w:spacing w:line="360" w:lineRule="auto"/>
        <w:jc w:val="both"/>
        <w:rPr>
          <w:rFonts w:ascii="Arial" w:hAnsi="Arial" w:cs="Arial"/>
          <w:sz w:val="22"/>
          <w:szCs w:val="22"/>
        </w:rPr>
      </w:pPr>
      <w:r w:rsidRPr="000D4978">
        <w:rPr>
          <w:rFonts w:ascii="Arial" w:hAnsi="Arial" w:cs="Arial"/>
          <w:sz w:val="22"/>
          <w:szCs w:val="22"/>
        </w:rPr>
        <w:t xml:space="preserve">Thorpe, D. (2019). 'Voicing the self: gender identity and vocal expression in transgender performance', </w:t>
      </w:r>
      <w:r w:rsidRPr="000D4978">
        <w:rPr>
          <w:rFonts w:ascii="Arial" w:hAnsi="Arial" w:cs="Arial"/>
          <w:i/>
          <w:iCs/>
          <w:sz w:val="22"/>
          <w:szCs w:val="22"/>
        </w:rPr>
        <w:t>Journal of Voice</w:t>
      </w:r>
      <w:r w:rsidRPr="000D4978">
        <w:rPr>
          <w:rFonts w:ascii="Arial" w:hAnsi="Arial" w:cs="Arial"/>
          <w:sz w:val="22"/>
          <w:szCs w:val="22"/>
        </w:rPr>
        <w:t>, 33(2), pp. 220.e1–220.e5.</w:t>
      </w:r>
    </w:p>
    <w:p w14:paraId="6F8B4471" w14:textId="77777777" w:rsidR="000D4978" w:rsidRPr="000D4978" w:rsidRDefault="000D4978" w:rsidP="000D4978">
      <w:pPr>
        <w:spacing w:line="360" w:lineRule="auto"/>
        <w:jc w:val="both"/>
        <w:rPr>
          <w:rFonts w:ascii="Arial" w:hAnsi="Arial" w:cs="Arial"/>
          <w:sz w:val="22"/>
          <w:szCs w:val="22"/>
        </w:rPr>
      </w:pPr>
      <w:r w:rsidRPr="000D4978">
        <w:rPr>
          <w:rFonts w:ascii="Arial" w:hAnsi="Arial" w:cs="Arial"/>
          <w:sz w:val="22"/>
          <w:szCs w:val="22"/>
        </w:rPr>
        <w:t xml:space="preserve">Thorpe, L. (2019). 'Voice and gender identity: a trans-affirming approach to vocal pedagogy', </w:t>
      </w:r>
      <w:r w:rsidRPr="000D4978">
        <w:rPr>
          <w:rFonts w:ascii="Arial" w:hAnsi="Arial" w:cs="Arial"/>
          <w:i/>
          <w:iCs/>
          <w:sz w:val="22"/>
          <w:szCs w:val="22"/>
        </w:rPr>
        <w:t>Journal of Singing</w:t>
      </w:r>
      <w:r w:rsidRPr="000D4978">
        <w:rPr>
          <w:rFonts w:ascii="Arial" w:hAnsi="Arial" w:cs="Arial"/>
          <w:sz w:val="22"/>
          <w:szCs w:val="22"/>
        </w:rPr>
        <w:t>, 76(1), pp. 19–26.</w:t>
      </w:r>
    </w:p>
    <w:p w14:paraId="4CCDA580" w14:textId="77777777" w:rsidR="000D4978" w:rsidRPr="000D4978" w:rsidRDefault="000D4978" w:rsidP="000D4978">
      <w:pPr>
        <w:spacing w:line="360" w:lineRule="auto"/>
        <w:jc w:val="both"/>
        <w:rPr>
          <w:rFonts w:ascii="Arial" w:hAnsi="Arial" w:cs="Arial"/>
          <w:sz w:val="22"/>
          <w:szCs w:val="22"/>
        </w:rPr>
      </w:pPr>
      <w:r w:rsidRPr="000D4978">
        <w:rPr>
          <w:rFonts w:ascii="Arial" w:hAnsi="Arial" w:cs="Arial"/>
          <w:sz w:val="22"/>
          <w:szCs w:val="22"/>
        </w:rPr>
        <w:t xml:space="preserve">Zazzali, P. (2016). </w:t>
      </w:r>
      <w:r w:rsidRPr="000D4978">
        <w:rPr>
          <w:rFonts w:ascii="Arial" w:hAnsi="Arial" w:cs="Arial"/>
          <w:i/>
          <w:iCs/>
          <w:sz w:val="22"/>
          <w:szCs w:val="22"/>
        </w:rPr>
        <w:t>Acting in the academy: the history of professional actor training in US higher education</w:t>
      </w:r>
      <w:r w:rsidRPr="000D4978">
        <w:rPr>
          <w:rFonts w:ascii="Arial" w:hAnsi="Arial" w:cs="Arial"/>
          <w:sz w:val="22"/>
          <w:szCs w:val="22"/>
        </w:rPr>
        <w:t>. New York: Routledge.</w:t>
      </w:r>
    </w:p>
    <w:p w14:paraId="0853027C" w14:textId="77777777" w:rsidR="000D4978" w:rsidRPr="000D4978" w:rsidRDefault="000D4978" w:rsidP="000D4978">
      <w:pPr>
        <w:spacing w:line="360" w:lineRule="auto"/>
        <w:jc w:val="both"/>
        <w:rPr>
          <w:rFonts w:ascii="Arial" w:hAnsi="Arial" w:cs="Arial"/>
          <w:sz w:val="22"/>
          <w:szCs w:val="22"/>
        </w:rPr>
      </w:pPr>
      <w:r w:rsidRPr="000D4978">
        <w:rPr>
          <w:rFonts w:ascii="Arial" w:hAnsi="Arial" w:cs="Arial"/>
          <w:sz w:val="22"/>
          <w:szCs w:val="22"/>
        </w:rPr>
        <w:t xml:space="preserve">Zimman, L. (2017). 'Gender as stylistic bricolage: transmasculine voices and the relationship between fundamental frequency and /s/', </w:t>
      </w:r>
      <w:r w:rsidRPr="000D4978">
        <w:rPr>
          <w:rFonts w:ascii="Arial" w:hAnsi="Arial" w:cs="Arial"/>
          <w:i/>
          <w:iCs/>
          <w:sz w:val="22"/>
          <w:szCs w:val="22"/>
        </w:rPr>
        <w:t>Language in Society</w:t>
      </w:r>
      <w:r w:rsidRPr="000D4978">
        <w:rPr>
          <w:rFonts w:ascii="Arial" w:hAnsi="Arial" w:cs="Arial"/>
          <w:sz w:val="22"/>
          <w:szCs w:val="22"/>
        </w:rPr>
        <w:t>, 46(3), pp. 339–370.</w:t>
      </w:r>
    </w:p>
    <w:p w14:paraId="7393007F" w14:textId="77777777" w:rsidR="000D4978" w:rsidRPr="000D4978" w:rsidRDefault="000D4978" w:rsidP="000D4978">
      <w:pPr>
        <w:spacing w:line="360" w:lineRule="auto"/>
        <w:jc w:val="both"/>
        <w:rPr>
          <w:rFonts w:ascii="Arial" w:hAnsi="Arial" w:cs="Arial"/>
          <w:sz w:val="22"/>
          <w:szCs w:val="22"/>
        </w:rPr>
      </w:pPr>
      <w:r w:rsidRPr="000D4978">
        <w:rPr>
          <w:rFonts w:ascii="Arial" w:hAnsi="Arial" w:cs="Arial"/>
          <w:sz w:val="22"/>
          <w:szCs w:val="22"/>
        </w:rPr>
        <w:t xml:space="preserve">Zimman, L. (2017). 'Transgender voices: insights on identity, embodiment, and the gendering of speech', </w:t>
      </w:r>
      <w:r w:rsidRPr="000D4978">
        <w:rPr>
          <w:rFonts w:ascii="Arial" w:hAnsi="Arial" w:cs="Arial"/>
          <w:i/>
          <w:iCs/>
          <w:sz w:val="22"/>
          <w:szCs w:val="22"/>
        </w:rPr>
        <w:t>Language and Linguistics Compass</w:t>
      </w:r>
      <w:r w:rsidRPr="000D4978">
        <w:rPr>
          <w:rFonts w:ascii="Arial" w:hAnsi="Arial" w:cs="Arial"/>
          <w:sz w:val="22"/>
          <w:szCs w:val="22"/>
        </w:rPr>
        <w:t>, 11(8), pp. 1–15.</w:t>
      </w:r>
    </w:p>
    <w:p w14:paraId="794A102D" w14:textId="02F0B3DE" w:rsidR="009E721F" w:rsidRPr="00FA5C76" w:rsidRDefault="009E721F" w:rsidP="000D4978">
      <w:pPr>
        <w:spacing w:line="360" w:lineRule="auto"/>
        <w:jc w:val="both"/>
        <w:rPr>
          <w:rFonts w:ascii="Arial" w:hAnsi="Arial" w:cs="Arial"/>
          <w:b/>
          <w:bCs/>
        </w:rPr>
      </w:pPr>
    </w:p>
    <w:sectPr w:rsidR="009E721F" w:rsidRPr="00FA5C76">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8DB81A" w14:textId="77777777" w:rsidR="00EB652A" w:rsidRDefault="00EB652A" w:rsidP="009346CC">
      <w:r>
        <w:separator/>
      </w:r>
    </w:p>
  </w:endnote>
  <w:endnote w:type="continuationSeparator" w:id="0">
    <w:p w14:paraId="7F7EBC6A" w14:textId="77777777" w:rsidR="00EB652A" w:rsidRDefault="00EB652A" w:rsidP="009346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6421727"/>
      <w:docPartObj>
        <w:docPartGallery w:val="Page Numbers (Bottom of Page)"/>
        <w:docPartUnique/>
      </w:docPartObj>
    </w:sdtPr>
    <w:sdtEndPr>
      <w:rPr>
        <w:noProof/>
        <w:sz w:val="20"/>
        <w:szCs w:val="20"/>
      </w:rPr>
    </w:sdtEndPr>
    <w:sdtContent>
      <w:p w14:paraId="50B73E98" w14:textId="190C8833" w:rsidR="009346CC" w:rsidRPr="009346CC" w:rsidRDefault="009346CC">
        <w:pPr>
          <w:pStyle w:val="Footer"/>
          <w:jc w:val="center"/>
          <w:rPr>
            <w:sz w:val="20"/>
            <w:szCs w:val="20"/>
          </w:rPr>
        </w:pPr>
        <w:r w:rsidRPr="009346CC">
          <w:rPr>
            <w:sz w:val="20"/>
            <w:szCs w:val="20"/>
          </w:rPr>
          <w:fldChar w:fldCharType="begin"/>
        </w:r>
        <w:r w:rsidRPr="009346CC">
          <w:rPr>
            <w:sz w:val="20"/>
            <w:szCs w:val="20"/>
          </w:rPr>
          <w:instrText xml:space="preserve"> PAGE   \* MERGEFORMAT </w:instrText>
        </w:r>
        <w:r w:rsidRPr="009346CC">
          <w:rPr>
            <w:sz w:val="20"/>
            <w:szCs w:val="20"/>
          </w:rPr>
          <w:fldChar w:fldCharType="separate"/>
        </w:r>
        <w:r w:rsidRPr="009346CC">
          <w:rPr>
            <w:noProof/>
            <w:sz w:val="20"/>
            <w:szCs w:val="20"/>
          </w:rPr>
          <w:t>2</w:t>
        </w:r>
        <w:r w:rsidRPr="009346CC">
          <w:rPr>
            <w:noProof/>
            <w:sz w:val="20"/>
            <w:szCs w:val="20"/>
          </w:rPr>
          <w:fldChar w:fldCharType="end"/>
        </w:r>
      </w:p>
    </w:sdtContent>
  </w:sdt>
  <w:p w14:paraId="7899EC20" w14:textId="77777777" w:rsidR="009346CC" w:rsidRDefault="009346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EA1BD4" w14:textId="77777777" w:rsidR="00EB652A" w:rsidRDefault="00EB652A" w:rsidP="009346CC">
      <w:r>
        <w:separator/>
      </w:r>
    </w:p>
  </w:footnote>
  <w:footnote w:type="continuationSeparator" w:id="0">
    <w:p w14:paraId="0E4FE851" w14:textId="77777777" w:rsidR="00EB652A" w:rsidRDefault="00EB652A" w:rsidP="009346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B60E58" w14:textId="26D0155B" w:rsidR="009346CC" w:rsidRPr="009346CC" w:rsidRDefault="009346CC">
    <w:pPr>
      <w:pStyle w:val="Header"/>
      <w:rPr>
        <w:sz w:val="22"/>
        <w:szCs w:val="22"/>
      </w:rPr>
    </w:pPr>
    <w:r w:rsidRPr="009346CC">
      <w:rPr>
        <w:sz w:val="22"/>
        <w:szCs w:val="22"/>
      </w:rPr>
      <w:t>Ian Massa\-Harris-McFeely</w:t>
    </w:r>
  </w:p>
  <w:p w14:paraId="23C1ED21" w14:textId="18C07890" w:rsidR="009346CC" w:rsidRPr="009346CC" w:rsidRDefault="009346CC">
    <w:pPr>
      <w:pStyle w:val="Header"/>
      <w:rPr>
        <w:sz w:val="22"/>
        <w:szCs w:val="22"/>
      </w:rPr>
    </w:pPr>
    <w:r w:rsidRPr="009346CC">
      <w:rPr>
        <w:sz w:val="22"/>
        <w:szCs w:val="22"/>
      </w:rPr>
      <w:t>Student Number: 2029174</w:t>
    </w:r>
  </w:p>
  <w:p w14:paraId="1CD67A72" w14:textId="1EDFC295" w:rsidR="009346CC" w:rsidRPr="009346CC" w:rsidRDefault="009346CC">
    <w:pPr>
      <w:pStyle w:val="Header"/>
      <w:rPr>
        <w:sz w:val="22"/>
        <w:szCs w:val="22"/>
      </w:rPr>
    </w:pPr>
    <w:r w:rsidRPr="009346CC">
      <w:rPr>
        <w:sz w:val="22"/>
        <w:szCs w:val="22"/>
      </w:rPr>
      <w:t>Module 4 Independent Study Module (BMPF7013)</w:t>
    </w:r>
  </w:p>
  <w:p w14:paraId="5A4C2C66" w14:textId="77777777" w:rsidR="009346CC" w:rsidRDefault="009346C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0066CE"/>
    <w:multiLevelType w:val="multilevel"/>
    <w:tmpl w:val="87984D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CB51F4D"/>
    <w:multiLevelType w:val="multilevel"/>
    <w:tmpl w:val="105CD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E7C329D"/>
    <w:multiLevelType w:val="multilevel"/>
    <w:tmpl w:val="D7E04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515195F"/>
    <w:multiLevelType w:val="hybridMultilevel"/>
    <w:tmpl w:val="17E4F464"/>
    <w:lvl w:ilvl="0" w:tplc="CC50990E">
      <w:numFmt w:val="bullet"/>
      <w:lvlText w:val="-"/>
      <w:lvlJc w:val="left"/>
      <w:pPr>
        <w:ind w:left="420" w:hanging="360"/>
      </w:pPr>
      <w:rPr>
        <w:rFonts w:ascii="Arial" w:eastAsia="Times New Roman"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4" w15:restartNumberingAfterBreak="0">
    <w:nsid w:val="73B06DCF"/>
    <w:multiLevelType w:val="multilevel"/>
    <w:tmpl w:val="C50AB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35059704">
    <w:abstractNumId w:val="2"/>
  </w:num>
  <w:num w:numId="2" w16cid:durableId="1862738526">
    <w:abstractNumId w:val="4"/>
  </w:num>
  <w:num w:numId="3" w16cid:durableId="1512453817">
    <w:abstractNumId w:val="1"/>
  </w:num>
  <w:num w:numId="4" w16cid:durableId="865874970">
    <w:abstractNumId w:val="0"/>
  </w:num>
  <w:num w:numId="5" w16cid:durableId="6270080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3CA0"/>
    <w:rsid w:val="0001154C"/>
    <w:rsid w:val="000129D6"/>
    <w:rsid w:val="00027726"/>
    <w:rsid w:val="00031D1A"/>
    <w:rsid w:val="00062C8A"/>
    <w:rsid w:val="0006600F"/>
    <w:rsid w:val="00075CCA"/>
    <w:rsid w:val="000838F7"/>
    <w:rsid w:val="000942F9"/>
    <w:rsid w:val="00097859"/>
    <w:rsid w:val="000A0153"/>
    <w:rsid w:val="000A49D3"/>
    <w:rsid w:val="000B5ABF"/>
    <w:rsid w:val="000D072B"/>
    <w:rsid w:val="000D4978"/>
    <w:rsid w:val="000E7145"/>
    <w:rsid w:val="000F0931"/>
    <w:rsid w:val="000F7BFF"/>
    <w:rsid w:val="00100006"/>
    <w:rsid w:val="001317F7"/>
    <w:rsid w:val="00146EC4"/>
    <w:rsid w:val="00176CF9"/>
    <w:rsid w:val="0018331C"/>
    <w:rsid w:val="001A3B06"/>
    <w:rsid w:val="001B03FB"/>
    <w:rsid w:val="001C1DC9"/>
    <w:rsid w:val="001E21BB"/>
    <w:rsid w:val="001F10C5"/>
    <w:rsid w:val="001F72D3"/>
    <w:rsid w:val="00223DCF"/>
    <w:rsid w:val="002B279F"/>
    <w:rsid w:val="002C7120"/>
    <w:rsid w:val="002E6656"/>
    <w:rsid w:val="002F2772"/>
    <w:rsid w:val="002F748E"/>
    <w:rsid w:val="00305221"/>
    <w:rsid w:val="00310DC7"/>
    <w:rsid w:val="00311F44"/>
    <w:rsid w:val="003426BA"/>
    <w:rsid w:val="00343A3B"/>
    <w:rsid w:val="00343EFC"/>
    <w:rsid w:val="003441EE"/>
    <w:rsid w:val="0035387D"/>
    <w:rsid w:val="00355A6B"/>
    <w:rsid w:val="003C2651"/>
    <w:rsid w:val="003C3FB8"/>
    <w:rsid w:val="00440FC5"/>
    <w:rsid w:val="004446C3"/>
    <w:rsid w:val="004777D8"/>
    <w:rsid w:val="004804D0"/>
    <w:rsid w:val="0048480E"/>
    <w:rsid w:val="004A14FF"/>
    <w:rsid w:val="004B60D0"/>
    <w:rsid w:val="004C43F8"/>
    <w:rsid w:val="004F3F51"/>
    <w:rsid w:val="004F4078"/>
    <w:rsid w:val="004F66A6"/>
    <w:rsid w:val="00506A94"/>
    <w:rsid w:val="00516AE4"/>
    <w:rsid w:val="0055007E"/>
    <w:rsid w:val="00574321"/>
    <w:rsid w:val="00575AC5"/>
    <w:rsid w:val="005A7A2E"/>
    <w:rsid w:val="005C35FD"/>
    <w:rsid w:val="005C4AF2"/>
    <w:rsid w:val="005C4CDB"/>
    <w:rsid w:val="005D350F"/>
    <w:rsid w:val="005F1DD0"/>
    <w:rsid w:val="005F3857"/>
    <w:rsid w:val="006011F1"/>
    <w:rsid w:val="00621671"/>
    <w:rsid w:val="00623C9C"/>
    <w:rsid w:val="00687FEE"/>
    <w:rsid w:val="00691EF3"/>
    <w:rsid w:val="00693185"/>
    <w:rsid w:val="006A2432"/>
    <w:rsid w:val="006A3F19"/>
    <w:rsid w:val="006D3B51"/>
    <w:rsid w:val="006E36CA"/>
    <w:rsid w:val="006E429E"/>
    <w:rsid w:val="00701199"/>
    <w:rsid w:val="00704BC9"/>
    <w:rsid w:val="0071413F"/>
    <w:rsid w:val="00760106"/>
    <w:rsid w:val="0076172E"/>
    <w:rsid w:val="0078237A"/>
    <w:rsid w:val="00795E48"/>
    <w:rsid w:val="007B0ABF"/>
    <w:rsid w:val="007D09B1"/>
    <w:rsid w:val="00807399"/>
    <w:rsid w:val="0082416F"/>
    <w:rsid w:val="0083721D"/>
    <w:rsid w:val="00863487"/>
    <w:rsid w:val="00863A0E"/>
    <w:rsid w:val="00864BB2"/>
    <w:rsid w:val="00887F28"/>
    <w:rsid w:val="008927DA"/>
    <w:rsid w:val="00897A4D"/>
    <w:rsid w:val="008C2F15"/>
    <w:rsid w:val="008C3596"/>
    <w:rsid w:val="008E0FF8"/>
    <w:rsid w:val="008E3E68"/>
    <w:rsid w:val="008F2159"/>
    <w:rsid w:val="008F3835"/>
    <w:rsid w:val="0090377E"/>
    <w:rsid w:val="00933970"/>
    <w:rsid w:val="009346CC"/>
    <w:rsid w:val="0095312D"/>
    <w:rsid w:val="0095336C"/>
    <w:rsid w:val="00953DC3"/>
    <w:rsid w:val="00973CBD"/>
    <w:rsid w:val="009954CE"/>
    <w:rsid w:val="009C6009"/>
    <w:rsid w:val="009E44F9"/>
    <w:rsid w:val="009E721F"/>
    <w:rsid w:val="00A32B0F"/>
    <w:rsid w:val="00A410BF"/>
    <w:rsid w:val="00A64F64"/>
    <w:rsid w:val="00A702B4"/>
    <w:rsid w:val="00A81FA5"/>
    <w:rsid w:val="00A971E5"/>
    <w:rsid w:val="00AB68CF"/>
    <w:rsid w:val="00AD0BE6"/>
    <w:rsid w:val="00AD50AA"/>
    <w:rsid w:val="00AE2246"/>
    <w:rsid w:val="00AE6161"/>
    <w:rsid w:val="00B03F98"/>
    <w:rsid w:val="00B12F69"/>
    <w:rsid w:val="00B33016"/>
    <w:rsid w:val="00B33A4C"/>
    <w:rsid w:val="00B348E5"/>
    <w:rsid w:val="00B53FDC"/>
    <w:rsid w:val="00B63B60"/>
    <w:rsid w:val="00BA1EE1"/>
    <w:rsid w:val="00BA489F"/>
    <w:rsid w:val="00BB4BEC"/>
    <w:rsid w:val="00BE3F6F"/>
    <w:rsid w:val="00BF200E"/>
    <w:rsid w:val="00C013B6"/>
    <w:rsid w:val="00C134BD"/>
    <w:rsid w:val="00C200A6"/>
    <w:rsid w:val="00C3178C"/>
    <w:rsid w:val="00C32A39"/>
    <w:rsid w:val="00C330E5"/>
    <w:rsid w:val="00C40366"/>
    <w:rsid w:val="00C4376A"/>
    <w:rsid w:val="00C6089B"/>
    <w:rsid w:val="00C73513"/>
    <w:rsid w:val="00CB52AD"/>
    <w:rsid w:val="00CF352C"/>
    <w:rsid w:val="00D21CC2"/>
    <w:rsid w:val="00D4569E"/>
    <w:rsid w:val="00D50835"/>
    <w:rsid w:val="00D518A5"/>
    <w:rsid w:val="00D525EE"/>
    <w:rsid w:val="00D528B9"/>
    <w:rsid w:val="00D73AB3"/>
    <w:rsid w:val="00D81336"/>
    <w:rsid w:val="00D921E5"/>
    <w:rsid w:val="00E52BCD"/>
    <w:rsid w:val="00E84C4B"/>
    <w:rsid w:val="00EA2EAC"/>
    <w:rsid w:val="00EA6033"/>
    <w:rsid w:val="00EA74A8"/>
    <w:rsid w:val="00EB4755"/>
    <w:rsid w:val="00EB5770"/>
    <w:rsid w:val="00EB652A"/>
    <w:rsid w:val="00EC0075"/>
    <w:rsid w:val="00EC3CA0"/>
    <w:rsid w:val="00EE2A35"/>
    <w:rsid w:val="00EE2C6A"/>
    <w:rsid w:val="00F02510"/>
    <w:rsid w:val="00F13DB6"/>
    <w:rsid w:val="00F22CE5"/>
    <w:rsid w:val="00F57C4B"/>
    <w:rsid w:val="00F70ECC"/>
    <w:rsid w:val="00F805DF"/>
    <w:rsid w:val="00F86463"/>
    <w:rsid w:val="00F95192"/>
    <w:rsid w:val="00FA355A"/>
    <w:rsid w:val="00FA3AE4"/>
    <w:rsid w:val="00FA5C76"/>
    <w:rsid w:val="00FC6B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42C141"/>
  <w15:chartTrackingRefBased/>
  <w15:docId w15:val="{BC1FEE3F-ABD6-41AF-B1CD-86C575E2D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3CA0"/>
    <w:pPr>
      <w:spacing w:after="0" w:line="240" w:lineRule="auto"/>
    </w:pPr>
  </w:style>
  <w:style w:type="paragraph" w:styleId="Heading1">
    <w:name w:val="heading 1"/>
    <w:basedOn w:val="Normal"/>
    <w:next w:val="Normal"/>
    <w:link w:val="Heading1Char"/>
    <w:uiPriority w:val="9"/>
    <w:qFormat/>
    <w:rsid w:val="00EC3CA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C3CA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C3CA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C3CA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C3CA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C3CA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C3CA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C3CA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C3CA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3CA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C3CA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C3CA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C3CA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C3CA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C3C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C3C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C3C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C3CA0"/>
    <w:rPr>
      <w:rFonts w:eastAsiaTheme="majorEastAsia" w:cstheme="majorBidi"/>
      <w:color w:val="272727" w:themeColor="text1" w:themeTint="D8"/>
    </w:rPr>
  </w:style>
  <w:style w:type="paragraph" w:styleId="Title">
    <w:name w:val="Title"/>
    <w:basedOn w:val="Normal"/>
    <w:next w:val="Normal"/>
    <w:link w:val="TitleChar"/>
    <w:uiPriority w:val="10"/>
    <w:qFormat/>
    <w:rsid w:val="00EC3CA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C3C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C3CA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C3C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C3CA0"/>
    <w:pPr>
      <w:spacing w:before="160"/>
      <w:jc w:val="center"/>
    </w:pPr>
    <w:rPr>
      <w:i/>
      <w:iCs/>
      <w:color w:val="404040" w:themeColor="text1" w:themeTint="BF"/>
    </w:rPr>
  </w:style>
  <w:style w:type="character" w:customStyle="1" w:styleId="QuoteChar">
    <w:name w:val="Quote Char"/>
    <w:basedOn w:val="DefaultParagraphFont"/>
    <w:link w:val="Quote"/>
    <w:uiPriority w:val="29"/>
    <w:rsid w:val="00EC3CA0"/>
    <w:rPr>
      <w:i/>
      <w:iCs/>
      <w:color w:val="404040" w:themeColor="text1" w:themeTint="BF"/>
    </w:rPr>
  </w:style>
  <w:style w:type="paragraph" w:styleId="ListParagraph">
    <w:name w:val="List Paragraph"/>
    <w:basedOn w:val="Normal"/>
    <w:uiPriority w:val="34"/>
    <w:qFormat/>
    <w:rsid w:val="00EC3CA0"/>
    <w:pPr>
      <w:ind w:left="720"/>
      <w:contextualSpacing/>
    </w:pPr>
  </w:style>
  <w:style w:type="character" w:styleId="IntenseEmphasis">
    <w:name w:val="Intense Emphasis"/>
    <w:basedOn w:val="DefaultParagraphFont"/>
    <w:uiPriority w:val="21"/>
    <w:qFormat/>
    <w:rsid w:val="00EC3CA0"/>
    <w:rPr>
      <w:i/>
      <w:iCs/>
      <w:color w:val="0F4761" w:themeColor="accent1" w:themeShade="BF"/>
    </w:rPr>
  </w:style>
  <w:style w:type="paragraph" w:styleId="IntenseQuote">
    <w:name w:val="Intense Quote"/>
    <w:basedOn w:val="Normal"/>
    <w:next w:val="Normal"/>
    <w:link w:val="IntenseQuoteChar"/>
    <w:uiPriority w:val="30"/>
    <w:qFormat/>
    <w:rsid w:val="00EC3CA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C3CA0"/>
    <w:rPr>
      <w:i/>
      <w:iCs/>
      <w:color w:val="0F4761" w:themeColor="accent1" w:themeShade="BF"/>
    </w:rPr>
  </w:style>
  <w:style w:type="character" w:styleId="IntenseReference">
    <w:name w:val="Intense Reference"/>
    <w:basedOn w:val="DefaultParagraphFont"/>
    <w:uiPriority w:val="32"/>
    <w:qFormat/>
    <w:rsid w:val="00EC3CA0"/>
    <w:rPr>
      <w:b/>
      <w:bCs/>
      <w:smallCaps/>
      <w:color w:val="0F4761" w:themeColor="accent1" w:themeShade="BF"/>
      <w:spacing w:val="5"/>
    </w:rPr>
  </w:style>
  <w:style w:type="paragraph" w:styleId="Revision">
    <w:name w:val="Revision"/>
    <w:hidden/>
    <w:uiPriority w:val="99"/>
    <w:semiHidden/>
    <w:rsid w:val="005C4AF2"/>
    <w:pPr>
      <w:spacing w:after="0" w:line="240" w:lineRule="auto"/>
    </w:pPr>
  </w:style>
  <w:style w:type="character" w:customStyle="1" w:styleId="apple-converted-space">
    <w:name w:val="apple-converted-space"/>
    <w:basedOn w:val="DefaultParagraphFont"/>
    <w:rsid w:val="005C4AF2"/>
  </w:style>
  <w:style w:type="paragraph" w:styleId="NormalWeb">
    <w:name w:val="Normal (Web)"/>
    <w:basedOn w:val="Normal"/>
    <w:uiPriority w:val="99"/>
    <w:semiHidden/>
    <w:unhideWhenUsed/>
    <w:rsid w:val="005C4AF2"/>
    <w:pPr>
      <w:spacing w:before="100" w:beforeAutospacing="1" w:after="100" w:afterAutospacing="1"/>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5C4AF2"/>
    <w:rPr>
      <w:b/>
      <w:bCs/>
    </w:rPr>
  </w:style>
  <w:style w:type="character" w:styleId="Emphasis">
    <w:name w:val="Emphasis"/>
    <w:basedOn w:val="DefaultParagraphFont"/>
    <w:uiPriority w:val="20"/>
    <w:qFormat/>
    <w:rsid w:val="005C4AF2"/>
    <w:rPr>
      <w:i/>
      <w:iCs/>
    </w:rPr>
  </w:style>
  <w:style w:type="paragraph" w:styleId="Header">
    <w:name w:val="header"/>
    <w:basedOn w:val="Normal"/>
    <w:link w:val="HeaderChar"/>
    <w:uiPriority w:val="99"/>
    <w:unhideWhenUsed/>
    <w:rsid w:val="009346CC"/>
    <w:pPr>
      <w:tabs>
        <w:tab w:val="center" w:pos="4513"/>
        <w:tab w:val="right" w:pos="9026"/>
      </w:tabs>
    </w:pPr>
  </w:style>
  <w:style w:type="character" w:customStyle="1" w:styleId="HeaderChar">
    <w:name w:val="Header Char"/>
    <w:basedOn w:val="DefaultParagraphFont"/>
    <w:link w:val="Header"/>
    <w:uiPriority w:val="99"/>
    <w:rsid w:val="009346CC"/>
  </w:style>
  <w:style w:type="paragraph" w:styleId="Footer">
    <w:name w:val="footer"/>
    <w:basedOn w:val="Normal"/>
    <w:link w:val="FooterChar"/>
    <w:uiPriority w:val="99"/>
    <w:unhideWhenUsed/>
    <w:rsid w:val="009346CC"/>
    <w:pPr>
      <w:tabs>
        <w:tab w:val="center" w:pos="4513"/>
        <w:tab w:val="right" w:pos="9026"/>
      </w:tabs>
    </w:pPr>
  </w:style>
  <w:style w:type="character" w:customStyle="1" w:styleId="FooterChar">
    <w:name w:val="Footer Char"/>
    <w:basedOn w:val="DefaultParagraphFont"/>
    <w:link w:val="Footer"/>
    <w:uiPriority w:val="99"/>
    <w:rsid w:val="009346CC"/>
  </w:style>
  <w:style w:type="character" w:styleId="Hyperlink">
    <w:name w:val="Hyperlink"/>
    <w:basedOn w:val="DefaultParagraphFont"/>
    <w:uiPriority w:val="99"/>
    <w:unhideWhenUsed/>
    <w:rsid w:val="000D4978"/>
    <w:rPr>
      <w:color w:val="467886" w:themeColor="hyperlink"/>
      <w:u w:val="single"/>
    </w:rPr>
  </w:style>
  <w:style w:type="character" w:styleId="UnresolvedMention">
    <w:name w:val="Unresolved Mention"/>
    <w:basedOn w:val="DefaultParagraphFont"/>
    <w:uiPriority w:val="99"/>
    <w:semiHidden/>
    <w:unhideWhenUsed/>
    <w:rsid w:val="000D49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589591">
      <w:bodyDiv w:val="1"/>
      <w:marLeft w:val="0"/>
      <w:marRight w:val="0"/>
      <w:marTop w:val="0"/>
      <w:marBottom w:val="0"/>
      <w:divBdr>
        <w:top w:val="none" w:sz="0" w:space="0" w:color="auto"/>
        <w:left w:val="none" w:sz="0" w:space="0" w:color="auto"/>
        <w:bottom w:val="none" w:sz="0" w:space="0" w:color="auto"/>
        <w:right w:val="none" w:sz="0" w:space="0" w:color="auto"/>
      </w:divBdr>
    </w:div>
    <w:div w:id="131336125">
      <w:bodyDiv w:val="1"/>
      <w:marLeft w:val="0"/>
      <w:marRight w:val="0"/>
      <w:marTop w:val="0"/>
      <w:marBottom w:val="0"/>
      <w:divBdr>
        <w:top w:val="none" w:sz="0" w:space="0" w:color="auto"/>
        <w:left w:val="none" w:sz="0" w:space="0" w:color="auto"/>
        <w:bottom w:val="none" w:sz="0" w:space="0" w:color="auto"/>
        <w:right w:val="none" w:sz="0" w:space="0" w:color="auto"/>
      </w:divBdr>
    </w:div>
    <w:div w:id="203911066">
      <w:bodyDiv w:val="1"/>
      <w:marLeft w:val="0"/>
      <w:marRight w:val="0"/>
      <w:marTop w:val="0"/>
      <w:marBottom w:val="0"/>
      <w:divBdr>
        <w:top w:val="none" w:sz="0" w:space="0" w:color="auto"/>
        <w:left w:val="none" w:sz="0" w:space="0" w:color="auto"/>
        <w:bottom w:val="none" w:sz="0" w:space="0" w:color="auto"/>
        <w:right w:val="none" w:sz="0" w:space="0" w:color="auto"/>
      </w:divBdr>
    </w:div>
    <w:div w:id="561603234">
      <w:bodyDiv w:val="1"/>
      <w:marLeft w:val="0"/>
      <w:marRight w:val="0"/>
      <w:marTop w:val="0"/>
      <w:marBottom w:val="0"/>
      <w:divBdr>
        <w:top w:val="none" w:sz="0" w:space="0" w:color="auto"/>
        <w:left w:val="none" w:sz="0" w:space="0" w:color="auto"/>
        <w:bottom w:val="none" w:sz="0" w:space="0" w:color="auto"/>
        <w:right w:val="none" w:sz="0" w:space="0" w:color="auto"/>
      </w:divBdr>
    </w:div>
    <w:div w:id="573469217">
      <w:bodyDiv w:val="1"/>
      <w:marLeft w:val="0"/>
      <w:marRight w:val="0"/>
      <w:marTop w:val="0"/>
      <w:marBottom w:val="0"/>
      <w:divBdr>
        <w:top w:val="none" w:sz="0" w:space="0" w:color="auto"/>
        <w:left w:val="none" w:sz="0" w:space="0" w:color="auto"/>
        <w:bottom w:val="none" w:sz="0" w:space="0" w:color="auto"/>
        <w:right w:val="none" w:sz="0" w:space="0" w:color="auto"/>
      </w:divBdr>
    </w:div>
    <w:div w:id="1224486427">
      <w:bodyDiv w:val="1"/>
      <w:marLeft w:val="0"/>
      <w:marRight w:val="0"/>
      <w:marTop w:val="0"/>
      <w:marBottom w:val="0"/>
      <w:divBdr>
        <w:top w:val="none" w:sz="0" w:space="0" w:color="auto"/>
        <w:left w:val="none" w:sz="0" w:space="0" w:color="auto"/>
        <w:bottom w:val="none" w:sz="0" w:space="0" w:color="auto"/>
        <w:right w:val="none" w:sz="0" w:space="0" w:color="auto"/>
      </w:divBdr>
    </w:div>
    <w:div w:id="1483696340">
      <w:bodyDiv w:val="1"/>
      <w:marLeft w:val="0"/>
      <w:marRight w:val="0"/>
      <w:marTop w:val="0"/>
      <w:marBottom w:val="0"/>
      <w:divBdr>
        <w:top w:val="none" w:sz="0" w:space="0" w:color="auto"/>
        <w:left w:val="none" w:sz="0" w:space="0" w:color="auto"/>
        <w:bottom w:val="none" w:sz="0" w:space="0" w:color="auto"/>
        <w:right w:val="none" w:sz="0" w:space="0" w:color="auto"/>
      </w:divBdr>
    </w:div>
    <w:div w:id="1901553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doi.org/10.3389/fpsyg.2023.1046672" TargetMode="Externa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31</Pages>
  <Words>11445</Words>
  <Characters>65239</Characters>
  <Application>Microsoft Office Word</Application>
  <DocSecurity>0</DocSecurity>
  <Lines>543</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Ian Massa-Harris-McFeely</dc:creator>
  <cp:lastModifiedBy>Ian Massa-Harris-McFeely</cp:lastModifiedBy>
  <cp:revision>6</cp:revision>
  <dcterms:created xsi:type="dcterms:W3CDTF">2025-07-09T12:26:00Z</dcterms:created>
  <dcterms:modified xsi:type="dcterms:W3CDTF">2025-07-09T13:43:00Z</dcterms:modified>
</cp:coreProperties>
</file>