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正文"/>
        <w:tabs>
          <w:tab w:val="left" w:pos="426"/>
        </w:tabs>
        <w:bidi w:val="0"/>
        <w:ind w:left="0" w:right="0" w:firstLine="0"/>
        <w:jc w:val="center"/>
        <w:rPr>
          <w:rFonts w:ascii="Calibri" w:cs="Calibri" w:hAnsi="Calibri" w:eastAsia="Calibri"/>
          <w:b w:val="1"/>
          <w:bCs w:val="1"/>
          <w:i w:val="1"/>
          <w:iCs w:val="1"/>
          <w:sz w:val="30"/>
          <w:szCs w:val="30"/>
          <w:u w:color="000000"/>
          <w:rtl w:val="0"/>
        </w:rPr>
      </w:pPr>
      <w:r>
        <w:rPr>
          <w:rFonts w:ascii="Calibri" w:cs="Calibri" w:hAnsi="Calibri" w:eastAsia="Calibri"/>
          <w:b w:val="1"/>
          <w:bCs w:val="1"/>
          <w:i w:val="1"/>
          <w:iCs w:val="1"/>
          <w:sz w:val="30"/>
          <w:szCs w:val="30"/>
          <w:u w:color="000000"/>
          <w:rtl w:val="0"/>
          <w:lang w:val="en-US"/>
        </w:rPr>
        <w:t xml:space="preserve">Critically review Lightbown, P.M. and Spada, N (2000) </w:t>
      </w:r>
      <w:r>
        <w:rPr>
          <w:rFonts w:ascii="Calibri" w:cs="Calibri" w:hAnsi="Calibri" w:eastAsia="Calibri" w:hint="default"/>
          <w:b w:val="1"/>
          <w:bCs w:val="1"/>
          <w:i w:val="1"/>
          <w:iCs w:val="1"/>
          <w:sz w:val="30"/>
          <w:szCs w:val="30"/>
          <w:u w:color="000000"/>
          <w:rtl w:val="0"/>
          <w:lang w:val="en-US"/>
        </w:rPr>
        <w:t>‘</w:t>
      </w:r>
      <w:r>
        <w:rPr>
          <w:rFonts w:ascii="Calibri" w:cs="Calibri" w:hAnsi="Calibri" w:eastAsia="Calibri"/>
          <w:b w:val="1"/>
          <w:bCs w:val="1"/>
          <w:i w:val="1"/>
          <w:iCs w:val="1"/>
          <w:sz w:val="30"/>
          <w:szCs w:val="30"/>
          <w:u w:color="000000"/>
          <w:rtl w:val="0"/>
          <w:lang w:val="en-US"/>
        </w:rPr>
        <w:t xml:space="preserve"> Factors Affecting Second Language Learning</w:t>
      </w:r>
      <w:r>
        <w:rPr>
          <w:rFonts w:ascii="Calibri" w:cs="Calibri" w:hAnsi="Calibri" w:eastAsia="Calibri" w:hint="default"/>
          <w:b w:val="1"/>
          <w:bCs w:val="1"/>
          <w:i w:val="1"/>
          <w:iCs w:val="1"/>
          <w:sz w:val="30"/>
          <w:szCs w:val="30"/>
          <w:u w:color="000000"/>
          <w:rtl w:val="0"/>
          <w:lang w:val="en-US"/>
        </w:rPr>
        <w:t>’</w:t>
      </w:r>
      <w:r>
        <w:rPr>
          <w:rFonts w:ascii="Calibri" w:cs="Calibri" w:hAnsi="Calibri" w:eastAsia="Calibri"/>
          <w:b w:val="1"/>
          <w:bCs w:val="1"/>
          <w:i w:val="1"/>
          <w:iCs w:val="1"/>
          <w:sz w:val="30"/>
          <w:szCs w:val="30"/>
          <w:u w:color="000000"/>
          <w:rtl w:val="0"/>
        </w:rPr>
        <w:t xml:space="preserve">. </w:t>
      </w:r>
    </w:p>
    <w:p>
      <w:pPr>
        <w:pStyle w:val="正文"/>
        <w:tabs>
          <w:tab w:val="left" w:pos="426"/>
        </w:tabs>
        <w:bidi w:val="0"/>
        <w:ind w:left="0" w:right="0" w:firstLine="0"/>
        <w:jc w:val="both"/>
        <w:rPr>
          <w:rFonts w:ascii="Calibri" w:cs="Calibri" w:hAnsi="Calibri" w:eastAsia="Calibri"/>
          <w:sz w:val="28"/>
          <w:szCs w:val="28"/>
          <w:u w:color="000000"/>
          <w:shd w:val="clear" w:color="auto" w:fill="ffffff"/>
          <w:rtl w:val="0"/>
        </w:rPr>
      </w:pPr>
      <w:r>
        <w:rPr>
          <w:rFonts w:ascii="Calibri" w:cs="Calibri" w:hAnsi="Calibri" w:eastAsia="Calibri"/>
          <w:sz w:val="28"/>
          <w:szCs w:val="28"/>
          <w:u w:color="000000"/>
          <w:rtl w:val="0"/>
          <w:lang w:val="en-US"/>
        </w:rPr>
        <w:t xml:space="preserve">Second language learning (SLL) is complex and has been investigated by researchers from various perspectives. </w:t>
      </w:r>
      <w:r>
        <w:rPr>
          <w:rFonts w:ascii="Calibri" w:cs="Calibri" w:hAnsi="Calibri" w:eastAsia="Calibri"/>
          <w:sz w:val="28"/>
          <w:szCs w:val="28"/>
          <w:u w:color="000000"/>
          <w:rtl w:val="0"/>
          <w:lang w:val="en-US"/>
        </w:rPr>
        <w:t>Gass and Mackey (2012), when talking about dependant variables in learners</w:t>
      </w:r>
      <w:r>
        <w:rPr>
          <w:rFonts w:ascii="Calibri" w:cs="Calibri" w:hAnsi="Calibri" w:eastAsia="Calibri"/>
          <w:sz w:val="28"/>
          <w:szCs w:val="28"/>
          <w:u w:color="000000"/>
          <w:rtl w:val="0"/>
          <w:lang w:val="en-US"/>
        </w:rPr>
        <w:t xml:space="preserve">’ </w:t>
      </w:r>
      <w:r>
        <w:rPr>
          <w:rFonts w:ascii="Calibri" w:cs="Calibri" w:hAnsi="Calibri" w:eastAsia="Calibri"/>
          <w:sz w:val="28"/>
          <w:szCs w:val="28"/>
          <w:u w:color="000000"/>
          <w:rtl w:val="0"/>
          <w:lang w:val="en-US"/>
        </w:rPr>
        <w:t xml:space="preserve">L2 proficiency, state that </w:t>
      </w:r>
      <w:r>
        <w:rPr>
          <w:rFonts w:ascii="Calibri" w:cs="Calibri" w:hAnsi="Calibri" w:eastAsia="Calibri"/>
          <w:sz w:val="28"/>
          <w:szCs w:val="28"/>
          <w:u w:color="000000"/>
          <w:rtl w:val="0"/>
          <w:lang w:val="en-US"/>
        </w:rPr>
        <w:t>“</w:t>
      </w:r>
      <w:r>
        <w:rPr>
          <w:rFonts w:ascii="Calibri" w:cs="Calibri" w:hAnsi="Calibri" w:eastAsia="Calibri"/>
          <w:sz w:val="28"/>
          <w:szCs w:val="28"/>
          <w:u w:color="000000"/>
          <w:shd w:val="clear" w:color="auto" w:fill="ffffff"/>
          <w:rtl w:val="0"/>
          <w:lang w:val="en-US"/>
        </w:rPr>
        <w:t>Linguists traditionally distinguish phonology, morphosyntax, and lexicon (educators may prefer the largely equivalent terms pronunciation, grammar, and vocabulary) (p. 444)</w:t>
      </w:r>
      <w:r>
        <w:rPr>
          <w:rFonts w:ascii="Calibri" w:cs="Calibri" w:hAnsi="Calibri" w:eastAsia="Calibri"/>
          <w:sz w:val="28"/>
          <w:szCs w:val="28"/>
          <w:u w:color="000000"/>
          <w:shd w:val="clear" w:color="auto" w:fill="ffffff"/>
          <w:rtl w:val="0"/>
          <w:lang w:val="en-US"/>
        </w:rPr>
        <w:t>”</w:t>
      </w:r>
      <w:r>
        <w:rPr>
          <w:rFonts w:ascii="Calibri" w:cs="Calibri" w:hAnsi="Calibri" w:eastAsia="Calibri"/>
          <w:sz w:val="28"/>
          <w:szCs w:val="28"/>
          <w:u w:color="000000"/>
          <w:shd w:val="clear" w:color="auto" w:fill="ffffff"/>
          <w:rtl w:val="0"/>
          <w:lang w:val="en-US"/>
        </w:rPr>
        <w:t>. Therefore, I believe SLL fundamentally involves pronunciation, grammar and vocabulary which are the driven force behind learners</w:t>
      </w:r>
      <w:r>
        <w:rPr>
          <w:rFonts w:ascii="Calibri" w:cs="Calibri" w:hAnsi="Calibri" w:eastAsia="Calibri"/>
          <w:sz w:val="28"/>
          <w:szCs w:val="28"/>
          <w:u w:color="000000"/>
          <w:shd w:val="clear" w:color="auto" w:fill="ffffff"/>
          <w:rtl w:val="0"/>
          <w:lang w:val="en-US"/>
        </w:rPr>
        <w:t xml:space="preserve">’ </w:t>
      </w:r>
      <w:r>
        <w:rPr>
          <w:rFonts w:ascii="Calibri" w:cs="Calibri" w:hAnsi="Calibri" w:eastAsia="Calibri"/>
          <w:sz w:val="28"/>
          <w:szCs w:val="28"/>
          <w:u w:color="000000"/>
          <w:shd w:val="clear" w:color="auto" w:fill="ffffff"/>
          <w:rtl w:val="0"/>
          <w:lang w:val="en-US"/>
        </w:rPr>
        <w:t>speaking, listening, reading and writing.</w:t>
      </w:r>
    </w:p>
    <w:p>
      <w:pPr>
        <w:pStyle w:val="正文"/>
        <w:tabs>
          <w:tab w:val="left" w:pos="426"/>
        </w:tabs>
        <w:bidi w:val="0"/>
        <w:ind w:left="0" w:right="0" w:firstLine="0"/>
        <w:jc w:val="both"/>
        <w:rPr>
          <w:rFonts w:ascii="Calibri" w:cs="Calibri" w:hAnsi="Calibri" w:eastAsia="Calibri"/>
          <w:sz w:val="28"/>
          <w:szCs w:val="28"/>
          <w:u w:color="000000"/>
          <w:rtl w:val="0"/>
          <w:lang w:val="en-US"/>
        </w:rPr>
      </w:pPr>
      <w:r>
        <w:rPr>
          <w:rFonts w:ascii="Calibri" w:cs="Calibri" w:hAnsi="Calibri" w:eastAsia="Calibri"/>
          <w:sz w:val="28"/>
          <w:szCs w:val="28"/>
          <w:u w:color="000000"/>
          <w:shd w:val="clear" w:color="auto" w:fill="ffffff"/>
          <w:rtl w:val="0"/>
          <w:lang w:val="en-US"/>
        </w:rPr>
        <w:t xml:space="preserve">The chapter </w:t>
      </w:r>
      <w:r>
        <w:rPr>
          <w:rFonts w:ascii="Calibri" w:cs="Calibri" w:hAnsi="Calibri" w:eastAsia="Calibri"/>
          <w:sz w:val="28"/>
          <w:szCs w:val="28"/>
          <w:u w:color="000000"/>
          <w:rtl w:val="0"/>
          <w:lang w:val="en-US"/>
        </w:rPr>
        <w:t xml:space="preserve">reviews six factors in learner characteristics. </w:t>
      </w:r>
      <w:r>
        <w:rPr>
          <w:rFonts w:ascii="Calibri" w:cs="Calibri" w:hAnsi="Calibri" w:eastAsia="Calibri"/>
          <w:sz w:val="28"/>
          <w:szCs w:val="28"/>
          <w:u w:color="000000"/>
          <w:rtl w:val="0"/>
          <w:lang w:val="en-US"/>
        </w:rPr>
        <w:t xml:space="preserve">The first is intelligence, which </w:t>
      </w:r>
      <w:r>
        <w:rPr>
          <w:rFonts w:ascii="Calibri" w:cs="Calibri" w:hAnsi="Calibri" w:eastAsia="Calibri"/>
          <w:sz w:val="28"/>
          <w:szCs w:val="28"/>
          <w:u w:color="000000"/>
          <w:rtl w:val="0"/>
          <w:lang w:val="en-US"/>
        </w:rPr>
        <w:t>“</w:t>
      </w:r>
      <w:r>
        <w:rPr>
          <w:rFonts w:ascii="Calibri" w:cs="Calibri" w:hAnsi="Calibri" w:eastAsia="Calibri"/>
          <w:sz w:val="28"/>
          <w:szCs w:val="28"/>
          <w:u w:color="000000"/>
          <w:rtl w:val="0"/>
          <w:lang w:val="en-US"/>
        </w:rPr>
        <w:t>has traditionally been used to refer to performance on certain kinds of tests</w:t>
      </w:r>
      <w:r>
        <w:rPr>
          <w:rFonts w:ascii="Calibri" w:cs="Calibri" w:hAnsi="Calibri" w:eastAsia="Calibri"/>
          <w:sz w:val="28"/>
          <w:szCs w:val="28"/>
          <w:u w:color="000000"/>
          <w:rtl w:val="0"/>
          <w:lang w:val="en-US"/>
        </w:rPr>
        <w:t>”</w:t>
      </w:r>
      <w:r>
        <w:rPr>
          <w:rFonts w:ascii="Calibri" w:cs="Calibri" w:hAnsi="Calibri" w:eastAsia="Calibri"/>
          <w:sz w:val="28"/>
          <w:szCs w:val="28"/>
          <w:u w:color="000000"/>
          <w:rtl w:val="0"/>
          <w:lang w:val="en-US"/>
        </w:rPr>
        <w:t>(</w:t>
      </w:r>
      <w:r>
        <w:rPr>
          <w:rFonts w:ascii="Calibri" w:cs="Calibri" w:hAnsi="Calibri" w:eastAsia="Calibri"/>
          <w:sz w:val="28"/>
          <w:szCs w:val="28"/>
          <w:u w:color="000000"/>
          <w:rtl w:val="0"/>
          <w:lang w:val="en-US"/>
        </w:rPr>
        <w:t>Lightbown and Spada</w:t>
      </w:r>
      <w:r>
        <w:rPr>
          <w:rFonts w:ascii="Calibri" w:cs="Calibri" w:hAnsi="Calibri" w:eastAsia="Calibri"/>
          <w:sz w:val="28"/>
          <w:szCs w:val="28"/>
          <w:u w:color="000000"/>
          <w:rtl w:val="0"/>
          <w:lang w:val="en-US"/>
        </w:rPr>
        <w:t xml:space="preserve">, 2000). The authors introduce researchers are seeking to employ various IQ tests to assess to what extent learners would be successful in SLL. However, since intelligence is so complex and the IQ tests are usually </w:t>
      </w:r>
      <w:r>
        <w:rPr>
          <w:rFonts w:ascii="Calibri" w:cs="Calibri" w:hAnsi="Calibri" w:eastAsia="Calibri"/>
          <w:sz w:val="28"/>
          <w:szCs w:val="28"/>
          <w:u w:color="000000"/>
          <w:rtl w:val="0"/>
          <w:lang w:val="en-US"/>
        </w:rPr>
        <w:t>“</w:t>
      </w:r>
      <w:r>
        <w:rPr>
          <w:rFonts w:ascii="Calibri" w:cs="Calibri" w:hAnsi="Calibri" w:eastAsia="Calibri"/>
          <w:sz w:val="28"/>
          <w:szCs w:val="28"/>
          <w:u w:color="000000"/>
          <w:rtl w:val="0"/>
          <w:lang w:val="en-US"/>
        </w:rPr>
        <w:t>more strongly related to certain kinds of second language abilities than to others</w:t>
      </w:r>
      <w:r>
        <w:rPr>
          <w:rFonts w:ascii="Calibri" w:cs="Calibri" w:hAnsi="Calibri" w:eastAsia="Calibri"/>
          <w:sz w:val="28"/>
          <w:szCs w:val="28"/>
          <w:u w:color="000000"/>
          <w:rtl w:val="0"/>
          <w:lang w:val="en-US"/>
        </w:rPr>
        <w:t>”</w:t>
      </w:r>
      <w:r>
        <w:rPr>
          <w:rFonts w:ascii="Calibri" w:cs="Calibri" w:hAnsi="Calibri" w:eastAsia="Calibri"/>
          <w:sz w:val="28"/>
          <w:szCs w:val="28"/>
          <w:u w:color="000000"/>
          <w:rtl w:val="0"/>
          <w:lang w:val="en-US"/>
        </w:rPr>
        <w:t>(ibid), it is beyond the capability of the IQ tests to predict learners</w:t>
      </w:r>
      <w:r>
        <w:rPr>
          <w:rFonts w:ascii="Calibri" w:cs="Calibri" w:hAnsi="Calibri" w:eastAsia="Calibri"/>
          <w:sz w:val="28"/>
          <w:szCs w:val="28"/>
          <w:u w:color="000000"/>
          <w:rtl w:val="0"/>
          <w:lang w:val="en-US"/>
        </w:rPr>
        <w:t xml:space="preserve">’ </w:t>
      </w:r>
      <w:r>
        <w:rPr>
          <w:rFonts w:ascii="Calibri" w:cs="Calibri" w:hAnsi="Calibri" w:eastAsia="Calibri"/>
          <w:sz w:val="28"/>
          <w:szCs w:val="28"/>
          <w:u w:color="000000"/>
          <w:rtl w:val="0"/>
          <w:lang w:val="en-US"/>
        </w:rPr>
        <w:t>performance in SLL.</w:t>
      </w:r>
    </w:p>
    <w:p>
      <w:pPr>
        <w:pStyle w:val="正文"/>
        <w:tabs>
          <w:tab w:val="left" w:pos="426"/>
        </w:tabs>
        <w:bidi w:val="0"/>
        <w:ind w:left="0" w:right="0" w:firstLine="0"/>
        <w:jc w:val="both"/>
        <w:rPr>
          <w:rFonts w:ascii="Times" w:cs="Times" w:hAnsi="Times" w:eastAsia="Times"/>
          <w:sz w:val="28"/>
          <w:szCs w:val="28"/>
          <w:u w:color="000000"/>
          <w:rtl w:val="0"/>
          <w:lang w:val="en-US"/>
        </w:rPr>
      </w:pPr>
      <w:r>
        <w:rPr>
          <w:rFonts w:ascii="Times New Roman" w:hAnsi="Times New Roman"/>
          <w:sz w:val="28"/>
          <w:szCs w:val="28"/>
          <w:u w:color="000000"/>
          <w:rtl w:val="0"/>
          <w:lang w:val="en-US"/>
        </w:rPr>
        <w:t xml:space="preserve">The second is aptitude. The discussion begins with reviewing a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remarkable talent</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(ibid) CJ, pointing out aptitude means learners</w:t>
      </w:r>
      <w:r>
        <w:rPr>
          <w:rFonts w:ascii="Times New Roman" w:hAnsi="Times New Roman" w:hint="default"/>
          <w:sz w:val="28"/>
          <w:szCs w:val="28"/>
          <w:u w:color="000000"/>
          <w:rtl w:val="0"/>
          <w:lang w:val="en-US"/>
        </w:rPr>
        <w:t xml:space="preserve">’ </w:t>
      </w:r>
      <w:r>
        <w:rPr>
          <w:rFonts w:ascii="Times New Roman" w:hAnsi="Times New Roman"/>
          <w:sz w:val="28"/>
          <w:szCs w:val="28"/>
          <w:u w:color="000000"/>
          <w:rtl w:val="0"/>
          <w:lang w:val="en-US"/>
        </w:rPr>
        <w:t xml:space="preserve">ability to learn a language in a classroom setting. Besides, Modern Language Aptitude Test (MLAT) and the Pimsleur Language Aptitude Battery (PLAB), are introduced. Both are designed on taking aptitude as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the ability to identify and memorize new sounds</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 xml:space="preserve">(ibid),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the ability to understand the function of particular words in sentences</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 xml:space="preserve">(ibid),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the ability to figure out grammatical rules from language samples</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 xml:space="preserve">(ibid) and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memory for new words</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 xml:space="preserve">(ibid). Lightbown and Spada claim they are conducted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at a time when second language teaching was based on grammar translation or audiolingual methods</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(ibid) thus cannot properly identify learners</w:t>
      </w:r>
      <w:r>
        <w:rPr>
          <w:rFonts w:ascii="Times New Roman" w:hAnsi="Times New Roman" w:hint="default"/>
          <w:sz w:val="28"/>
          <w:szCs w:val="28"/>
          <w:u w:color="000000"/>
          <w:rtl w:val="0"/>
          <w:lang w:val="en-US"/>
        </w:rPr>
        <w:t xml:space="preserve">’ </w:t>
      </w:r>
      <w:r>
        <w:rPr>
          <w:rFonts w:ascii="Times New Roman" w:hAnsi="Times New Roman"/>
          <w:sz w:val="28"/>
          <w:szCs w:val="28"/>
          <w:u w:color="000000"/>
          <w:rtl w:val="0"/>
          <w:lang w:val="en-US"/>
        </w:rPr>
        <w:t xml:space="preserve">aptitude in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a more communicative approach to teaching</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(ibid). In addition, aptitude consists of four components and there is no need for a successful learner to be strong in all of them. In this case, it is impractical to place learners into an appropriate class according to their aptitude. Therefore, the implication of aptitude in teaching may just give rise to sufficient varied teaching activities.</w:t>
      </w:r>
    </w:p>
    <w:p>
      <w:pPr>
        <w:pStyle w:val="正文"/>
        <w:tabs>
          <w:tab w:val="left" w:pos="426"/>
        </w:tabs>
        <w:bidi w:val="0"/>
        <w:ind w:left="0" w:right="0" w:firstLine="0"/>
        <w:jc w:val="both"/>
        <w:rPr>
          <w:rFonts w:ascii="Times New Roman" w:cs="Times New Roman" w:hAnsi="Times New Roman" w:eastAsia="Times New Roman"/>
          <w:sz w:val="28"/>
          <w:szCs w:val="28"/>
          <w:u w:color="000000"/>
          <w:rtl w:val="0"/>
          <w:lang w:val="en-US"/>
        </w:rPr>
      </w:pPr>
      <w:r>
        <w:rPr>
          <w:rFonts w:ascii="Times New Roman" w:hAnsi="Times New Roman"/>
          <w:sz w:val="28"/>
          <w:szCs w:val="28"/>
          <w:u w:color="000000"/>
          <w:rtl w:val="0"/>
          <w:lang w:val="en-US"/>
        </w:rPr>
        <w:t>The third is personality, which the author believe, is difficult to identify and measure in empirical studies. Literature on personality characteristics such as extroversion and inhibition are reviewed, revealing in SLL, extroversion is not always playing a positive role and inhibition negative. Personality alone cannot determine learners</w:t>
      </w:r>
      <w:r>
        <w:rPr>
          <w:rFonts w:ascii="Times New Roman" w:hAnsi="Times New Roman" w:hint="default"/>
          <w:sz w:val="28"/>
          <w:szCs w:val="28"/>
          <w:u w:color="000000"/>
          <w:rtl w:val="0"/>
          <w:lang w:val="en-US"/>
        </w:rPr>
        <w:t xml:space="preserve">’ </w:t>
      </w:r>
      <w:r>
        <w:rPr>
          <w:rFonts w:ascii="Times New Roman" w:hAnsi="Times New Roman"/>
          <w:sz w:val="28"/>
          <w:szCs w:val="28"/>
          <w:u w:color="000000"/>
          <w:rtl w:val="0"/>
          <w:lang w:val="en-US"/>
        </w:rPr>
        <w:t xml:space="preserve">success, but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combines with other factors, that contributes to second language learning</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w:t>
      </w:r>
      <w:r>
        <w:rPr>
          <w:rFonts w:ascii="Times New Roman" w:hAnsi="Times New Roman"/>
          <w:sz w:val="28"/>
          <w:szCs w:val="28"/>
          <w:u w:color="000000"/>
          <w:rtl w:val="0"/>
          <w:lang w:val="en-US"/>
        </w:rPr>
        <w:t>Lightbown and Spada</w:t>
      </w:r>
      <w:r>
        <w:rPr>
          <w:rFonts w:ascii="Times New Roman" w:hAnsi="Times New Roman"/>
          <w:sz w:val="28"/>
          <w:szCs w:val="28"/>
          <w:u w:color="000000"/>
          <w:rtl w:val="0"/>
          <w:lang w:val="en-US"/>
        </w:rPr>
        <w:t>, 2000).</w:t>
      </w:r>
    </w:p>
    <w:p>
      <w:pPr>
        <w:pStyle w:val="正文"/>
        <w:tabs>
          <w:tab w:val="left" w:pos="426"/>
        </w:tabs>
        <w:bidi w:val="0"/>
        <w:ind w:left="0" w:right="0" w:firstLine="0"/>
        <w:jc w:val="both"/>
        <w:rPr>
          <w:rFonts w:ascii="Times New Roman" w:cs="Times New Roman" w:hAnsi="Times New Roman" w:eastAsia="Times New Roman"/>
          <w:sz w:val="28"/>
          <w:szCs w:val="28"/>
          <w:u w:color="000000"/>
          <w:rtl w:val="0"/>
          <w:lang w:val="en-US"/>
        </w:rPr>
      </w:pPr>
      <w:r>
        <w:rPr>
          <w:rFonts w:ascii="Times New Roman" w:hAnsi="Times New Roman"/>
          <w:sz w:val="28"/>
          <w:szCs w:val="28"/>
          <w:u w:color="000000"/>
          <w:rtl w:val="0"/>
          <w:lang w:val="en-US"/>
        </w:rPr>
        <w:t xml:space="preserve">The fourth factor is motivation and attitude which can be defined by two factors: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learners' communicative needs</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w:t>
      </w:r>
      <w:r>
        <w:rPr>
          <w:rFonts w:ascii="Times New Roman" w:hAnsi="Times New Roman"/>
          <w:sz w:val="28"/>
          <w:szCs w:val="28"/>
          <w:u w:color="000000"/>
          <w:rtl w:val="0"/>
          <w:lang w:val="en-US"/>
        </w:rPr>
        <w:t>Lightbown and Spada</w:t>
      </w:r>
      <w:r>
        <w:rPr>
          <w:rFonts w:ascii="Times New Roman" w:hAnsi="Times New Roman"/>
          <w:sz w:val="28"/>
          <w:szCs w:val="28"/>
          <w:u w:color="000000"/>
          <w:rtl w:val="0"/>
          <w:lang w:val="en-US"/>
        </w:rPr>
        <w:t xml:space="preserve">, 2000), and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their attitudes towards the second language community</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(ibid).  After that, the author introduce two types of frequently discussed motivation invented by Gardner and Lambert: integrative motivation and instrumental motivation. The former refers to learners</w:t>
      </w:r>
      <w:r>
        <w:rPr>
          <w:rFonts w:ascii="Times New Roman" w:hAnsi="Times New Roman" w:hint="default"/>
          <w:sz w:val="28"/>
          <w:szCs w:val="28"/>
          <w:u w:color="000000"/>
          <w:rtl w:val="0"/>
          <w:lang w:val="en-US"/>
        </w:rPr>
        <w:t>’ “</w:t>
      </w:r>
      <w:r>
        <w:rPr>
          <w:rFonts w:ascii="Times New Roman" w:hAnsi="Times New Roman"/>
          <w:sz w:val="28"/>
          <w:szCs w:val="28"/>
          <w:u w:color="000000"/>
          <w:rtl w:val="0"/>
          <w:lang w:val="en-US"/>
        </w:rPr>
        <w:t>personal growth and cultural enrichment</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(ibid) and the latter relates more to learners</w:t>
      </w:r>
      <w:r>
        <w:rPr>
          <w:rFonts w:ascii="Times New Roman" w:hAnsi="Times New Roman" w:hint="default"/>
          <w:sz w:val="28"/>
          <w:szCs w:val="28"/>
          <w:u w:color="000000"/>
          <w:rtl w:val="0"/>
          <w:lang w:val="en-US"/>
        </w:rPr>
        <w:t>’ “</w:t>
      </w:r>
      <w:r>
        <w:rPr>
          <w:rFonts w:ascii="Times New Roman" w:hAnsi="Times New Roman"/>
          <w:sz w:val="28"/>
          <w:szCs w:val="28"/>
          <w:u w:color="000000"/>
          <w:rtl w:val="0"/>
          <w:lang w:val="en-US"/>
        </w:rPr>
        <w:t>immediate or practical goals</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 xml:space="preserve">(ibid). Furthermore,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an individual's identity</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 xml:space="preserve">(ibid) and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the social dynamic or power relationship between the languages</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(ibid) are presented as factors affecting learners</w:t>
      </w:r>
      <w:r>
        <w:rPr>
          <w:rFonts w:ascii="Times New Roman" w:hAnsi="Times New Roman" w:hint="default"/>
          <w:sz w:val="28"/>
          <w:szCs w:val="28"/>
          <w:u w:color="000000"/>
          <w:rtl w:val="0"/>
          <w:lang w:val="en-US"/>
        </w:rPr>
        <w:t xml:space="preserve">’ </w:t>
      </w:r>
      <w:r>
        <w:rPr>
          <w:rFonts w:ascii="Times New Roman" w:hAnsi="Times New Roman"/>
          <w:sz w:val="28"/>
          <w:szCs w:val="28"/>
          <w:u w:color="000000"/>
          <w:rtl w:val="0"/>
          <w:lang w:val="en-US"/>
        </w:rPr>
        <w:t>motivation. Finally, the authors turn to the implication of motivation researches on teaching in classroom, indicating culture and age are the determiners for teachers to design appropriate activities, like competitive or cooperative activities, to motivate their students.</w:t>
      </w:r>
    </w:p>
    <w:p>
      <w:pPr>
        <w:pStyle w:val="正文"/>
        <w:tabs>
          <w:tab w:val="left" w:pos="426"/>
        </w:tabs>
        <w:bidi w:val="0"/>
        <w:ind w:left="0" w:right="0" w:firstLine="0"/>
        <w:jc w:val="both"/>
        <w:rPr>
          <w:rFonts w:ascii="Times New Roman" w:cs="Times New Roman" w:hAnsi="Times New Roman" w:eastAsia="Times New Roman"/>
          <w:sz w:val="28"/>
          <w:szCs w:val="28"/>
          <w:u w:color="000000"/>
          <w:rtl w:val="0"/>
          <w:lang w:val="en-US"/>
        </w:rPr>
      </w:pPr>
      <w:r>
        <w:rPr>
          <w:rFonts w:ascii="Times New Roman" w:hAnsi="Times New Roman"/>
          <w:sz w:val="28"/>
          <w:szCs w:val="28"/>
          <w:u w:color="000000"/>
          <w:rtl w:val="0"/>
          <w:lang w:val="en-US"/>
        </w:rPr>
        <w:t xml:space="preserve">The fifth one is learner preference. Learning style and learner beliefs are explored to describe a clear picture of it. Learners can be classified as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visual</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 xml:space="preserve">,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aural</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 xml:space="preserve">, or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kinaesthetic</w:t>
      </w:r>
      <w:r>
        <w:rPr>
          <w:rFonts w:ascii="Times New Roman" w:hAnsi="Times New Roman" w:hint="default"/>
          <w:sz w:val="28"/>
          <w:szCs w:val="28"/>
          <w:u w:color="000000"/>
          <w:rtl w:val="0"/>
          <w:lang w:val="en-US"/>
        </w:rPr>
        <w:t xml:space="preserve">” </w:t>
      </w:r>
      <w:r>
        <w:rPr>
          <w:rFonts w:ascii="Times New Roman" w:hAnsi="Times New Roman"/>
          <w:sz w:val="28"/>
          <w:szCs w:val="28"/>
          <w:u w:color="000000"/>
          <w:rtl w:val="0"/>
          <w:lang w:val="en-US"/>
        </w:rPr>
        <w:t xml:space="preserve">if they have the corresponding preference. Nevertheless, the most extensively observed learning style is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the distinction between field independent and field dependent learners</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w:t>
      </w:r>
      <w:r>
        <w:rPr>
          <w:rFonts w:ascii="Times New Roman" w:hAnsi="Times New Roman"/>
          <w:sz w:val="28"/>
          <w:szCs w:val="28"/>
          <w:u w:color="000000"/>
          <w:rtl w:val="0"/>
          <w:lang w:val="en-US"/>
        </w:rPr>
        <w:t>Lightbown and Spada</w:t>
      </w:r>
      <w:r>
        <w:rPr>
          <w:rFonts w:ascii="Times New Roman" w:hAnsi="Times New Roman"/>
          <w:sz w:val="28"/>
          <w:szCs w:val="28"/>
          <w:u w:color="000000"/>
          <w:rtl w:val="0"/>
          <w:lang w:val="en-US"/>
        </w:rPr>
        <w:t xml:space="preserve">, 2000), which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refers to whether an individual tends to separate details from the general background or to see things more holistically</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 xml:space="preserve">(ibid). Researches, however, show that either field dependent or field independent, is not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 xml:space="preserve">a good predictor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(ibid) on learners</w:t>
      </w:r>
      <w:r>
        <w:rPr>
          <w:rFonts w:ascii="Times New Roman" w:hAnsi="Times New Roman" w:hint="default"/>
          <w:sz w:val="28"/>
          <w:szCs w:val="28"/>
          <w:u w:color="000000"/>
          <w:rtl w:val="0"/>
          <w:lang w:val="en-US"/>
        </w:rPr>
        <w:t xml:space="preserve">’ </w:t>
      </w:r>
      <w:r>
        <w:rPr>
          <w:rFonts w:ascii="Times New Roman" w:hAnsi="Times New Roman"/>
          <w:sz w:val="28"/>
          <w:szCs w:val="28"/>
          <w:u w:color="000000"/>
          <w:rtl w:val="0"/>
          <w:lang w:val="en-US"/>
        </w:rPr>
        <w:t xml:space="preserve">performance in SLL. In terms of learner beliefs, the author assume, playing as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strong mediating factors in their experience in the classroom</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(ibid), it can be perceived by all learners especially the old ones. It is based on learners</w:t>
      </w:r>
      <w:r>
        <w:rPr>
          <w:rFonts w:ascii="Times New Roman" w:hAnsi="Times New Roman" w:hint="default"/>
          <w:sz w:val="28"/>
          <w:szCs w:val="28"/>
          <w:u w:color="000000"/>
          <w:rtl w:val="0"/>
          <w:lang w:val="en-US"/>
        </w:rPr>
        <w:t>’ “</w:t>
      </w:r>
      <w:r>
        <w:rPr>
          <w:rFonts w:ascii="Times New Roman" w:hAnsi="Times New Roman"/>
          <w:sz w:val="28"/>
          <w:szCs w:val="28"/>
          <w:u w:color="000000"/>
          <w:rtl w:val="0"/>
          <w:lang w:val="en-US"/>
        </w:rPr>
        <w:t>previous learning experiences and the assumption (right or wrong) that a particular type of instruction is the best way for them to learn</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 xml:space="preserve">(ibid), which enlighten teachers to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help learners expand their repertoire of learning strategies and thus develop greater flexibility in their way of approaching language learning</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(ibid).</w:t>
      </w:r>
    </w:p>
    <w:p>
      <w:pPr>
        <w:pStyle w:val="正文"/>
        <w:tabs>
          <w:tab w:val="left" w:pos="426"/>
        </w:tabs>
        <w:bidi w:val="0"/>
        <w:ind w:left="0" w:right="0" w:firstLine="0"/>
        <w:jc w:val="both"/>
        <w:rPr>
          <w:rFonts w:ascii="Times New Roman" w:cs="Times New Roman" w:hAnsi="Times New Roman" w:eastAsia="Times New Roman"/>
          <w:sz w:val="28"/>
          <w:szCs w:val="28"/>
          <w:u w:color="000000"/>
          <w:rtl w:val="0"/>
          <w:lang w:val="en-US"/>
        </w:rPr>
      </w:pPr>
      <w:r>
        <w:rPr>
          <w:rFonts w:ascii="Times New Roman" w:hAnsi="Times New Roman"/>
          <w:sz w:val="28"/>
          <w:szCs w:val="28"/>
          <w:u w:color="000000"/>
          <w:rtl w:val="0"/>
          <w:lang w:val="en-US"/>
        </w:rPr>
        <w:t xml:space="preserve">The last factor is age which is scrutinised with specific references, depicting a comprehensive image of age as a factor affecting SLL. The author first proclaim a widely accepted phenomenon: children, compared with adults, are more likely to achieve a native-like mastery in SLL with exceptions like Joseph Conrad though. This naturally turns to the discussion on Critical Period Hypothesis (CPH), which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suggests that there is a time in human development when the brain is predisposed for success in language learning</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w:t>
      </w:r>
      <w:r>
        <w:rPr>
          <w:rFonts w:ascii="Times New Roman" w:hAnsi="Times New Roman"/>
          <w:sz w:val="28"/>
          <w:szCs w:val="28"/>
          <w:u w:color="000000"/>
          <w:rtl w:val="0"/>
          <w:lang w:val="en-US"/>
        </w:rPr>
        <w:t>Lightbown and Spada</w:t>
      </w:r>
      <w:r>
        <w:rPr>
          <w:rFonts w:ascii="Times New Roman" w:hAnsi="Times New Roman"/>
          <w:sz w:val="28"/>
          <w:szCs w:val="28"/>
          <w:u w:color="000000"/>
          <w:rtl w:val="0"/>
          <w:lang w:val="en-US"/>
        </w:rPr>
        <w:t xml:space="preserve">, 2000). With maturation of the brain, the innate biological structure will disappear so learners who begin language learning after the period can only rely on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general learning abilities</w:t>
      </w:r>
      <w:r>
        <w:rPr>
          <w:rFonts w:ascii="Times New Roman" w:hAnsi="Times New Roman" w:hint="default"/>
          <w:sz w:val="28"/>
          <w:szCs w:val="28"/>
          <w:u w:color="000000"/>
          <w:rtl w:val="0"/>
          <w:lang w:val="en-US"/>
        </w:rPr>
        <w:t xml:space="preserve">” </w:t>
      </w:r>
      <w:r>
        <w:rPr>
          <w:rFonts w:ascii="Times New Roman" w:hAnsi="Times New Roman"/>
          <w:sz w:val="28"/>
          <w:szCs w:val="28"/>
          <w:u w:color="000000"/>
          <w:rtl w:val="0"/>
          <w:lang w:val="en-US"/>
        </w:rPr>
        <w:t>(ibid) and thus lose the chance to achieve native-like proficiency. Aside from the possible biological structure, children</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s advantages in language learning are summarised as follows: First, children, in most cases, learning in a informal environment, devote more time and have more opportunities to expose to the language; second, compared with adults, children do not feel much pressure to make mistakes and their imperfect efforts are always appreciated. However, it doesn</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 xml:space="preserve">t mean that adults, with no exception, cannot perform better than children. On the contrary, the hypothesis is frequently challenged by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countless anecdotes about older learners (adolescents and adults) who have reached high levels of proficiency in a second language</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 xml:space="preserve">(ibid). </w:t>
      </w:r>
    </w:p>
    <w:p>
      <w:pPr>
        <w:pStyle w:val="正文"/>
        <w:tabs>
          <w:tab w:val="left" w:pos="426"/>
        </w:tabs>
        <w:bidi w:val="0"/>
        <w:ind w:left="0" w:right="0" w:firstLine="0"/>
        <w:jc w:val="both"/>
        <w:rPr>
          <w:rFonts w:ascii="Times" w:cs="Times" w:hAnsi="Times" w:eastAsia="Times"/>
          <w:sz w:val="28"/>
          <w:szCs w:val="28"/>
          <w:u w:color="000000"/>
          <w:rtl w:val="0"/>
          <w:lang w:val="en-US"/>
        </w:rPr>
      </w:pPr>
      <w:r>
        <w:rPr>
          <w:rFonts w:ascii="Times New Roman" w:hAnsi="Times New Roman"/>
          <w:sz w:val="28"/>
          <w:szCs w:val="28"/>
          <w:u w:color="000000"/>
          <w:rtl w:val="0"/>
          <w:lang w:val="en-US"/>
        </w:rPr>
        <w:t>The author employ three studies in literature, two for the Hypothesis and one against, to present a full image to the readers. The one for the Hypothesis is conducted to examine learners</w:t>
      </w:r>
      <w:r>
        <w:rPr>
          <w:rFonts w:ascii="Times New Roman" w:hAnsi="Times New Roman" w:hint="default"/>
          <w:sz w:val="28"/>
          <w:szCs w:val="28"/>
          <w:u w:color="000000"/>
          <w:rtl w:val="0"/>
          <w:lang w:val="en-US"/>
        </w:rPr>
        <w:t xml:space="preserve">’ </w:t>
      </w:r>
      <w:r>
        <w:rPr>
          <w:rFonts w:ascii="Times New Roman" w:hAnsi="Times New Roman"/>
          <w:sz w:val="28"/>
          <w:szCs w:val="28"/>
          <w:u w:color="000000"/>
          <w:rtl w:val="0"/>
          <w:lang w:val="en-US"/>
        </w:rPr>
        <w:t>spoken English by Mark Patkowski. 82 participants are involved, among which 67 with various ages are well-educated immigrants living in the US for over five years; 15 are native speakers with similar level of education, serving as the baseline of the target language and ensure validity of the research. The study investigates participants</w:t>
      </w:r>
      <w:r>
        <w:rPr>
          <w:rFonts w:ascii="Times New Roman" w:hAnsi="Times New Roman" w:hint="default"/>
          <w:sz w:val="28"/>
          <w:szCs w:val="28"/>
          <w:u w:color="000000"/>
          <w:rtl w:val="0"/>
          <w:lang w:val="en-US"/>
        </w:rPr>
        <w:t xml:space="preserve">’ </w:t>
      </w:r>
      <w:r>
        <w:rPr>
          <w:rFonts w:ascii="Times New Roman" w:hAnsi="Times New Roman"/>
          <w:sz w:val="28"/>
          <w:szCs w:val="28"/>
          <w:u w:color="000000"/>
          <w:rtl w:val="0"/>
          <w:lang w:val="en-US"/>
        </w:rPr>
        <w:t xml:space="preserve">spoken English by tape-recording in a lengthy interview which is transcribed into scripts to ignore accent as a feature of acquisition. The scripts are  rated </w:t>
      </w:r>
      <w:r>
        <w:rPr>
          <w:rFonts w:ascii="Times New Roman" w:hAnsi="Times New Roman" w:hint="default"/>
          <w:sz w:val="28"/>
          <w:szCs w:val="28"/>
          <w:u w:color="000000"/>
          <w:rtl w:val="0"/>
          <w:lang w:val="en-US"/>
        </w:rPr>
        <w:t>“</w:t>
      </w:r>
      <w:r>
        <w:rPr>
          <w:rFonts w:ascii="Times" w:hAnsi="Times"/>
          <w:sz w:val="28"/>
          <w:szCs w:val="28"/>
          <w:u w:color="000000"/>
          <w:rtl w:val="0"/>
          <w:lang w:val="en-US"/>
        </w:rPr>
        <w:t>by trained native</w:t>
      </w:r>
      <w:r>
        <w:rPr>
          <w:rFonts w:ascii="Arial Unicode MS" w:cs="Arial Unicode MS" w:hAnsi="Arial Unicode MS" w:eastAsia="Arial Unicode MS"/>
          <w:b w:val="0"/>
          <w:bCs w:val="0"/>
          <w:i w:val="0"/>
          <w:iCs w:val="0"/>
          <w:sz w:val="28"/>
          <w:szCs w:val="28"/>
          <w:u w:color="000000"/>
          <w:rtl w:val="0"/>
          <w:lang w:val="en-US"/>
        </w:rPr>
        <w:sym w:font="Arial Unicode MS" w:char="1E"/>
      </w:r>
      <w:r>
        <w:rPr>
          <w:rFonts w:ascii="Times" w:hAnsi="Times"/>
          <w:sz w:val="28"/>
          <w:szCs w:val="28"/>
          <w:u w:color="000000"/>
          <w:rtl w:val="0"/>
          <w:lang w:val="en-US"/>
        </w:rPr>
        <w:t>speaker judges</w:t>
      </w:r>
      <w:r>
        <w:rPr>
          <w:rFonts w:ascii="Times" w:hAnsi="Times" w:hint="default"/>
          <w:sz w:val="28"/>
          <w:szCs w:val="28"/>
          <w:u w:color="000000"/>
          <w:rtl w:val="0"/>
          <w:lang w:val="en-US"/>
        </w:rPr>
        <w:t>”</w:t>
      </w:r>
      <w:r>
        <w:rPr>
          <w:rFonts w:ascii="Times" w:hAnsi="Times"/>
          <w:sz w:val="28"/>
          <w:szCs w:val="28"/>
          <w:u w:color="000000"/>
          <w:rtl w:val="0"/>
          <w:lang w:val="en-US"/>
        </w:rPr>
        <w:t xml:space="preserve">(ibid) </w:t>
      </w:r>
      <w:r>
        <w:rPr>
          <w:rFonts w:ascii="Times" w:hAnsi="Times" w:hint="default"/>
          <w:sz w:val="28"/>
          <w:szCs w:val="28"/>
          <w:u w:color="000000"/>
          <w:rtl w:val="0"/>
          <w:lang w:val="en-US"/>
        </w:rPr>
        <w:t>“</w:t>
      </w:r>
      <w:r>
        <w:rPr>
          <w:rFonts w:ascii="Times" w:hAnsi="Times"/>
          <w:sz w:val="28"/>
          <w:szCs w:val="28"/>
          <w:u w:color="000000"/>
          <w:rtl w:val="0"/>
          <w:lang w:val="en-US"/>
        </w:rPr>
        <w:t>on a rating scale from 0, representing no knowledge of the language, to 5, representing a level of English expected from an educated native speaker</w:t>
      </w:r>
      <w:r>
        <w:rPr>
          <w:rFonts w:ascii="Times" w:hAnsi="Times" w:hint="default"/>
          <w:sz w:val="28"/>
          <w:szCs w:val="28"/>
          <w:u w:color="000000"/>
          <w:rtl w:val="0"/>
          <w:lang w:val="en-US"/>
        </w:rPr>
        <w:t>”</w:t>
      </w:r>
      <w:r>
        <w:rPr>
          <w:rFonts w:ascii="Times" w:hAnsi="Times"/>
          <w:sz w:val="28"/>
          <w:szCs w:val="28"/>
          <w:u w:color="000000"/>
          <w:rtl w:val="0"/>
          <w:lang w:val="en-US"/>
        </w:rPr>
        <w:t xml:space="preserve">(ibid). The result of the study can be summarised in the following table. It is easy for </w:t>
      </w:r>
      <w:r>
        <w:rPr>
          <w:rFonts w:ascii="Times New Roman" w:hAnsi="Times New Roman"/>
          <w:sz w:val="28"/>
          <w:szCs w:val="28"/>
          <w:u w:color="000000"/>
          <w:rtl w:val="0"/>
          <w:lang w:val="en-US"/>
        </w:rPr>
        <w:t>Patkowski to draw a conclusion that age plays a critical role in language learning thus providing evident support for CPH.</w:t>
      </w: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408"/>
        <w:gridCol w:w="2408"/>
        <w:gridCol w:w="2408"/>
        <w:gridCol w:w="2408"/>
      </w:tblGrid>
      <w:tr>
        <w:tblPrEx>
          <w:shd w:val="clear" w:color="auto" w:fill="auto"/>
        </w:tblPrEx>
        <w:trPr>
          <w:trHeight w:val="595"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表格样式 2"/>
            </w:pPr>
            <w:r>
              <w:rPr>
                <w:rFonts w:ascii="Times New Roman" w:hAnsi="Times New Roman"/>
                <w:sz w:val="24"/>
                <w:szCs w:val="24"/>
                <w:rtl w:val="0"/>
              </w:rPr>
              <w:t>Age groups</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表格样式 2"/>
            </w:pPr>
            <w:r>
              <w:rPr>
                <w:rFonts w:ascii="Times New Roman" w:hAnsi="Times New Roman"/>
                <w:sz w:val="24"/>
                <w:szCs w:val="24"/>
                <w:rtl w:val="0"/>
              </w:rPr>
              <w:t>Proficiency of spoken English</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表格样式 2"/>
            </w:pPr>
            <w:r>
              <w:rPr>
                <w:rFonts w:ascii="Times New Roman" w:hAnsi="Times New Roman"/>
                <w:sz w:val="24"/>
                <w:szCs w:val="24"/>
                <w:rtl w:val="0"/>
              </w:rPr>
              <w:t>Length of residence</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表格样式 2"/>
            </w:pPr>
            <w:r>
              <w:rPr>
                <w:rFonts w:ascii="Times New Roman" w:hAnsi="Times New Roman"/>
                <w:sz w:val="24"/>
                <w:szCs w:val="24"/>
                <w:rtl w:val="0"/>
              </w:rPr>
              <w:t>Amount of instruction</w:t>
            </w:r>
          </w:p>
        </w:tc>
      </w:tr>
      <w:tr>
        <w:tblPrEx>
          <w:shd w:val="clear" w:color="auto" w:fill="auto"/>
        </w:tblPrEx>
        <w:trPr>
          <w:trHeight w:val="1195"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表格样式 2"/>
            </w:pPr>
            <w:r>
              <w:rPr>
                <w:rFonts w:ascii="Times New Roman" w:hAnsi="Times New Roman"/>
                <w:sz w:val="24"/>
                <w:szCs w:val="24"/>
                <w:rtl w:val="0"/>
              </w:rPr>
              <w:t>Pre-puberty</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表格样式 2"/>
            </w:pPr>
            <w:r>
              <w:rPr>
                <w:rFonts w:ascii="Times New Roman" w:hAnsi="Times New Roman"/>
                <w:sz w:val="24"/>
                <w:szCs w:val="24"/>
                <w:rtl w:val="0"/>
              </w:rPr>
              <w:t>4+ or 5 level</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表格样式 2"/>
            </w:pPr>
            <w:r>
              <w:rPr>
                <w:rFonts w:ascii="Times New Roman" w:hAnsi="Times New Roman"/>
                <w:sz w:val="24"/>
                <w:szCs w:val="24"/>
                <w:rtl w:val="0"/>
              </w:rPr>
              <w:t>People who live for 15 years perform better than those who live for 10 years</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表格样式 2"/>
            </w:pPr>
            <w:r>
              <w:rPr>
                <w:rFonts w:ascii="Times New Roman" w:hAnsi="Times New Roman"/>
                <w:sz w:val="24"/>
                <w:szCs w:val="24"/>
                <w:rtl w:val="0"/>
              </w:rPr>
              <w:t>Significance between those who receive more instruction</w:t>
            </w:r>
          </w:p>
        </w:tc>
      </w:tr>
      <w:tr>
        <w:tblPrEx>
          <w:shd w:val="clear" w:color="auto" w:fill="auto"/>
        </w:tblPrEx>
        <w:trPr>
          <w:trHeight w:val="1195" w:hRule="atLeast"/>
        </w:trPr>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表格样式 2"/>
            </w:pPr>
            <w:r>
              <w:rPr>
                <w:rFonts w:ascii="Times New Roman" w:hAnsi="Times New Roman"/>
                <w:sz w:val="24"/>
                <w:szCs w:val="24"/>
                <w:rtl w:val="0"/>
              </w:rPr>
              <w:t>Post-puberty</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表格样式 2"/>
            </w:pPr>
            <w:r>
              <w:rPr>
                <w:rFonts w:ascii="Times New Roman" w:hAnsi="Times New Roman"/>
                <w:sz w:val="24"/>
                <w:szCs w:val="24"/>
                <w:rtl w:val="0"/>
              </w:rPr>
              <w:t>A variety of levels with a majority of 3+ level</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表格样式 2"/>
            </w:pPr>
            <w:r>
              <w:rPr>
                <w:rFonts w:ascii="Times New Roman" w:hAnsi="Times New Roman"/>
                <w:sz w:val="24"/>
                <w:szCs w:val="24"/>
                <w:rtl w:val="0"/>
              </w:rPr>
              <w:t>No significance between people who live for 20 years and 10 years</w:t>
            </w:r>
          </w:p>
        </w:tc>
        <w:tc>
          <w:tcPr>
            <w:tcW w:type="dxa" w:w="240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表格样式 2"/>
            </w:pPr>
            <w:r>
              <w:rPr>
                <w:rFonts w:ascii="Times New Roman" w:hAnsi="Times New Roman"/>
                <w:sz w:val="24"/>
                <w:szCs w:val="24"/>
                <w:rtl w:val="0"/>
              </w:rPr>
              <w:t>No significance between those who receive more instruction</w:t>
            </w:r>
          </w:p>
        </w:tc>
      </w:tr>
    </w:tbl>
    <w:p>
      <w:pPr>
        <w:pStyle w:val="正文"/>
        <w:tabs>
          <w:tab w:val="left" w:pos="426"/>
        </w:tabs>
        <w:bidi w:val="0"/>
        <w:ind w:left="0" w:right="0" w:firstLine="0"/>
        <w:jc w:val="both"/>
        <w:rPr>
          <w:rFonts w:ascii="Times New Roman" w:cs="Times New Roman" w:hAnsi="Times New Roman" w:eastAsia="Times New Roman"/>
          <w:sz w:val="28"/>
          <w:szCs w:val="28"/>
          <w:u w:color="000000"/>
          <w:rtl w:val="0"/>
          <w:lang w:val="en-US"/>
        </w:rPr>
      </w:pPr>
    </w:p>
    <w:p>
      <w:pPr>
        <w:pStyle w:val="正文"/>
        <w:tabs>
          <w:tab w:val="left" w:pos="426"/>
        </w:tabs>
        <w:bidi w:val="0"/>
        <w:ind w:left="0" w:right="0" w:firstLine="0"/>
        <w:jc w:val="both"/>
        <w:rPr>
          <w:rFonts w:ascii="Times New Roman" w:cs="Times New Roman" w:hAnsi="Times New Roman" w:eastAsia="Times New Roman"/>
          <w:sz w:val="28"/>
          <w:szCs w:val="28"/>
          <w:u w:color="000000"/>
          <w:rtl w:val="0"/>
          <w:lang w:val="en-US"/>
        </w:rPr>
      </w:pPr>
      <w:r>
        <w:rPr>
          <w:rFonts w:ascii="Times New Roman" w:hAnsi="Times New Roman"/>
          <w:sz w:val="28"/>
          <w:szCs w:val="28"/>
          <w:u w:color="000000"/>
          <w:rtl w:val="0"/>
          <w:lang w:val="en-US"/>
        </w:rPr>
        <w:t xml:space="preserve">The other study for the Hypothesis is done by </w:t>
      </w:r>
      <w:r>
        <w:rPr>
          <w:rFonts w:ascii="Times New Roman" w:hAnsi="Times New Roman"/>
          <w:sz w:val="28"/>
          <w:szCs w:val="28"/>
          <w:u w:color="000000"/>
          <w:rtl w:val="0"/>
          <w:lang w:val="en-US"/>
        </w:rPr>
        <w:t>Johnson and Newport</w:t>
      </w:r>
      <w:r>
        <w:rPr>
          <w:rFonts w:ascii="Times New Roman" w:hAnsi="Times New Roman"/>
          <w:sz w:val="28"/>
          <w:szCs w:val="28"/>
          <w:u w:color="000000"/>
          <w:rtl w:val="0"/>
          <w:lang w:val="en-US"/>
        </w:rPr>
        <w:t>, investigating learners</w:t>
      </w:r>
      <w:r>
        <w:rPr>
          <w:rFonts w:ascii="Times New Roman" w:hAnsi="Times New Roman" w:hint="default"/>
          <w:sz w:val="28"/>
          <w:szCs w:val="28"/>
          <w:u w:color="000000"/>
          <w:rtl w:val="0"/>
          <w:lang w:val="en-US"/>
        </w:rPr>
        <w:t xml:space="preserve">’ </w:t>
      </w:r>
      <w:r>
        <w:rPr>
          <w:rFonts w:ascii="Times New Roman" w:hAnsi="Times New Roman"/>
          <w:sz w:val="28"/>
          <w:szCs w:val="28"/>
          <w:u w:color="000000"/>
          <w:rtl w:val="0"/>
          <w:lang w:val="en-US"/>
        </w:rPr>
        <w:t xml:space="preserve">grammatical ability. 46 Chinese and Korean learners with different ages but similar educational background are taking part in. They are living in America for at least three years and asked to decide the given sentence grammatically correct or incorrect, thus investigating their mastery of English morphology and syntax. Johnson and Newport find that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age of arrival in the United States was a significant predictor of success on the test</w:t>
      </w:r>
      <w:r>
        <w:rPr>
          <w:rFonts w:ascii="Times New Roman" w:hAnsi="Times New Roman" w:hint="default"/>
          <w:sz w:val="28"/>
          <w:szCs w:val="28"/>
          <w:u w:color="000000"/>
          <w:rtl w:val="0"/>
          <w:lang w:val="en-US"/>
        </w:rPr>
        <w:t xml:space="preserve">” </w:t>
      </w:r>
      <w:r>
        <w:rPr>
          <w:rFonts w:ascii="Times New Roman" w:hAnsi="Times New Roman"/>
          <w:sz w:val="28"/>
          <w:szCs w:val="28"/>
          <w:u w:color="000000"/>
          <w:rtl w:val="0"/>
          <w:lang w:val="en-US"/>
        </w:rPr>
        <w:t>and they gain the same result as Patkowski when dividing learners into different age groups, which further supports CPH.</w:t>
      </w:r>
    </w:p>
    <w:p>
      <w:pPr>
        <w:pStyle w:val="正文"/>
        <w:tabs>
          <w:tab w:val="left" w:pos="426"/>
        </w:tabs>
        <w:bidi w:val="0"/>
        <w:ind w:left="0" w:right="0" w:firstLine="0"/>
        <w:jc w:val="both"/>
        <w:rPr>
          <w:rFonts w:ascii="Times New Roman" w:cs="Times New Roman" w:hAnsi="Times New Roman" w:eastAsia="Times New Roman"/>
          <w:sz w:val="28"/>
          <w:szCs w:val="28"/>
          <w:u w:color="000000"/>
          <w:rtl w:val="0"/>
          <w:lang w:val="en-US"/>
        </w:rPr>
      </w:pPr>
      <w:r>
        <w:rPr>
          <w:rFonts w:ascii="Times New Roman" w:hAnsi="Times New Roman"/>
          <w:sz w:val="28"/>
          <w:szCs w:val="28"/>
          <w:u w:color="000000"/>
          <w:rtl w:val="0"/>
          <w:lang w:val="en-US"/>
        </w:rPr>
        <w:t xml:space="preserve">The one against CPH is carried out by </w:t>
      </w:r>
      <w:r>
        <w:rPr>
          <w:rFonts w:ascii="Times New Roman" w:hAnsi="Times New Roman"/>
          <w:sz w:val="28"/>
          <w:szCs w:val="28"/>
          <w:u w:color="000000"/>
          <w:rtl w:val="0"/>
          <w:lang w:val="en-US"/>
        </w:rPr>
        <w:t>Snow and Hoefnagel-H</w:t>
      </w:r>
      <w:r>
        <w:rPr>
          <w:rFonts w:ascii="Times New Roman" w:hAnsi="Times New Roman" w:hint="default"/>
          <w:sz w:val="28"/>
          <w:szCs w:val="28"/>
          <w:u w:color="000000"/>
          <w:rtl w:val="0"/>
          <w:lang w:val="en-US"/>
        </w:rPr>
        <w:t>ö</w:t>
      </w:r>
      <w:r>
        <w:rPr>
          <w:rFonts w:ascii="Times New Roman" w:hAnsi="Times New Roman"/>
          <w:sz w:val="28"/>
          <w:szCs w:val="28"/>
          <w:u w:color="000000"/>
          <w:rtl w:val="0"/>
          <w:lang w:val="en-US"/>
        </w:rPr>
        <w:t>hle</w:t>
      </w:r>
      <w:r>
        <w:rPr>
          <w:rFonts w:ascii="Times New Roman" w:hAnsi="Times New Roman"/>
          <w:sz w:val="28"/>
          <w:szCs w:val="28"/>
          <w:u w:color="000000"/>
          <w:rtl w:val="0"/>
          <w:lang w:val="en-US"/>
        </w:rPr>
        <w:t>, investigating learners</w:t>
      </w:r>
      <w:r>
        <w:rPr>
          <w:rFonts w:ascii="Times New Roman" w:hAnsi="Times New Roman" w:hint="default"/>
          <w:sz w:val="28"/>
          <w:szCs w:val="28"/>
          <w:u w:color="000000"/>
          <w:rtl w:val="0"/>
          <w:lang w:val="en-US"/>
        </w:rPr>
        <w:t xml:space="preserve">’ </w:t>
      </w:r>
      <w:r>
        <w:rPr>
          <w:rFonts w:ascii="Times New Roman" w:hAnsi="Times New Roman"/>
          <w:sz w:val="28"/>
          <w:szCs w:val="28"/>
          <w:u w:color="000000"/>
          <w:rtl w:val="0"/>
          <w:lang w:val="en-US"/>
        </w:rPr>
        <w:t xml:space="preserve">pronunciation and grammaticality through various tasks. Three groups of English speakers, namely, children (3-10 years), adolescents (12-15 years), and adults (18-60 years), are learning Dutch in </w:t>
      </w:r>
      <w:r>
        <w:rPr>
          <w:rFonts w:ascii="Times New Roman" w:hAnsi="Times New Roman"/>
          <w:sz w:val="28"/>
          <w:szCs w:val="28"/>
          <w:u w:color="000000"/>
          <w:rtl w:val="0"/>
          <w:lang w:val="en-US"/>
        </w:rPr>
        <w:t>Holland</w:t>
      </w:r>
      <w:r>
        <w:rPr>
          <w:rFonts w:ascii="Times New Roman" w:hAnsi="Times New Roman"/>
          <w:sz w:val="28"/>
          <w:szCs w:val="28"/>
          <w:u w:color="000000"/>
          <w:rtl w:val="0"/>
          <w:lang w:val="en-US"/>
        </w:rPr>
        <w:t xml:space="preserve">. Their findings reveal that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the adolescents were by far the most successful learners</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w:t>
      </w:r>
      <w:r>
        <w:rPr>
          <w:rFonts w:ascii="Times New Roman" w:hAnsi="Times New Roman"/>
          <w:sz w:val="28"/>
          <w:szCs w:val="28"/>
          <w:u w:color="000000"/>
          <w:rtl w:val="0"/>
          <w:lang w:val="en-US"/>
        </w:rPr>
        <w:t>Lightbown and Spada</w:t>
      </w:r>
      <w:r>
        <w:rPr>
          <w:rFonts w:ascii="Times New Roman" w:hAnsi="Times New Roman"/>
          <w:sz w:val="28"/>
          <w:szCs w:val="28"/>
          <w:u w:color="000000"/>
          <w:rtl w:val="0"/>
          <w:lang w:val="en-US"/>
        </w:rPr>
        <w:t>, 2000), and adolescents and adults are learning faster, more efficient and performing better than children in the first few months whereas children can catch up and even surpass at the end. Therefore, Snow and Hoefnagel-Hohle conclude that their is no critical period in language learning. However, the result that children don</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 xml:space="preserve">t perform better than adolescents and adults may be affected by the designed tasks like sentence translation which is difficult young native speakers, let alone the children learning as a second language. </w:t>
      </w:r>
    </w:p>
    <w:p>
      <w:pPr>
        <w:pStyle w:val="正文"/>
        <w:tabs>
          <w:tab w:val="left" w:pos="426"/>
        </w:tabs>
        <w:bidi w:val="0"/>
        <w:ind w:left="0" w:right="0" w:firstLine="0"/>
        <w:jc w:val="both"/>
        <w:rPr>
          <w:rFonts w:ascii="Times New Roman" w:cs="Times New Roman" w:hAnsi="Times New Roman" w:eastAsia="Times New Roman"/>
          <w:sz w:val="28"/>
          <w:szCs w:val="28"/>
          <w:u w:color="000000"/>
          <w:rtl w:val="0"/>
          <w:lang w:val="en-US"/>
        </w:rPr>
      </w:pPr>
      <w:r>
        <w:rPr>
          <w:rFonts w:ascii="Times New Roman" w:hAnsi="Times New Roman"/>
          <w:sz w:val="28"/>
          <w:szCs w:val="28"/>
          <w:u w:color="000000"/>
          <w:rtl w:val="0"/>
          <w:lang w:val="en-US"/>
        </w:rPr>
        <w:t xml:space="preserve">Based on the literature, </w:t>
      </w:r>
      <w:r>
        <w:rPr>
          <w:rFonts w:ascii="Times New Roman" w:hAnsi="Times New Roman"/>
          <w:sz w:val="28"/>
          <w:szCs w:val="28"/>
          <w:u w:color="000000"/>
          <w:rtl w:val="0"/>
          <w:lang w:val="en-US"/>
        </w:rPr>
        <w:t>Lightbrown and Spada conclude that CPH</w:t>
      </w:r>
      <w:r>
        <w:rPr>
          <w:rFonts w:ascii="Times New Roman" w:hAnsi="Times New Roman"/>
          <w:sz w:val="28"/>
          <w:szCs w:val="28"/>
          <w:u w:color="000000"/>
          <w:rtl w:val="0"/>
          <w:lang w:val="en-US"/>
        </w:rPr>
        <w:t xml:space="preserve"> is still a much-debated issue. They suggest that at what age should second language instruction begin depends on the set goal of language learning, which means that if the goal is native-like mastery of the target language, it is desirable to begin to learn a language as early as possible; if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the goal is basic communicative ability for all students in a school setting</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(ibid), it is preferable to begin a second language later.</w:t>
      </w:r>
    </w:p>
    <w:p>
      <w:pPr>
        <w:pStyle w:val="正文"/>
        <w:tabs>
          <w:tab w:val="left" w:pos="426"/>
        </w:tabs>
        <w:bidi w:val="0"/>
        <w:ind w:left="0" w:right="0" w:firstLine="0"/>
        <w:jc w:val="both"/>
        <w:rPr>
          <w:rFonts w:ascii="Times New Roman" w:cs="Times New Roman" w:hAnsi="Times New Roman" w:eastAsia="Times New Roman"/>
          <w:sz w:val="28"/>
          <w:szCs w:val="28"/>
          <w:u w:color="000000"/>
          <w:rtl w:val="0"/>
          <w:lang w:val="en-US"/>
        </w:rPr>
      </w:pPr>
      <w:r>
        <w:rPr>
          <w:rFonts w:ascii="Times New Roman" w:hAnsi="Times New Roman"/>
          <w:sz w:val="28"/>
          <w:szCs w:val="28"/>
          <w:u w:color="000000"/>
          <w:rtl w:val="0"/>
          <w:lang w:val="en-US"/>
        </w:rPr>
        <w:t>After decades of exploration, interest in research on age in language learning has not waned in recent decade (</w:t>
      </w:r>
      <w:r>
        <w:rPr>
          <w:rFonts w:ascii="Times New Roman" w:hAnsi="Times New Roman"/>
          <w:sz w:val="28"/>
          <w:szCs w:val="28"/>
          <w:u w:color="000000"/>
          <w:rtl w:val="0"/>
          <w:lang w:val="en-US"/>
        </w:rPr>
        <w:t>Schwieter &amp; Benati</w:t>
      </w:r>
      <w:r>
        <w:rPr>
          <w:rFonts w:ascii="Times New Roman" w:hAnsi="Times New Roman"/>
          <w:sz w:val="28"/>
          <w:szCs w:val="28"/>
          <w:u w:color="000000"/>
          <w:rtl w:val="0"/>
          <w:lang w:val="en-US"/>
        </w:rPr>
        <w:t xml:space="preserve">, 2019) which attract my attention as a mother of a five-year-old daughter. It is widely accepted in literature that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children are popularly believed to be better at learning second languages than adults</w:t>
      </w:r>
      <w:r>
        <w:rPr>
          <w:rFonts w:ascii="Times New Roman" w:hAnsi="Times New Roman" w:hint="default"/>
          <w:sz w:val="28"/>
          <w:szCs w:val="28"/>
          <w:u w:color="000000"/>
          <w:rtl w:val="0"/>
          <w:lang w:val="en-US"/>
        </w:rPr>
        <w:t xml:space="preserve">” </w:t>
      </w:r>
      <w:r>
        <w:rPr>
          <w:rFonts w:ascii="Times New Roman" w:hAnsi="Times New Roman"/>
          <w:sz w:val="28"/>
          <w:szCs w:val="28"/>
          <w:u w:color="000000"/>
          <w:rtl w:val="0"/>
          <w:lang w:val="en-US"/>
        </w:rPr>
        <w:t>(Cook, 2013, p. 147).  And it is widespread that it is easier for children to realise a native-like mastery in the context of second language environment though studies like Cenoz (2009), Cook (2013) and</w:t>
      </w:r>
      <w:r>
        <w:rPr>
          <w:rFonts w:ascii="Times New Roman" w:hAnsi="Times New Roman"/>
          <w:sz w:val="28"/>
          <w:szCs w:val="28"/>
          <w:u w:color="000000"/>
          <w:rtl w:val="0"/>
          <w:lang w:val="en-US"/>
        </w:rPr>
        <w:t xml:space="preserve"> Genesee</w:t>
      </w:r>
      <w:r>
        <w:rPr>
          <w:rFonts w:ascii="Times New Roman" w:hAnsi="Times New Roman"/>
          <w:sz w:val="28"/>
          <w:szCs w:val="28"/>
          <w:u w:color="000000"/>
          <w:rtl w:val="0"/>
          <w:lang w:val="en-US"/>
        </w:rPr>
        <w:t xml:space="preserve"> (2014) assume a</w:t>
      </w:r>
      <w:r>
        <w:rPr>
          <w:rFonts w:ascii="Times New Roman" w:hAnsi="Times New Roman"/>
          <w:sz w:val="28"/>
          <w:szCs w:val="28"/>
          <w:u w:color="000000"/>
          <w:rtl w:val="0"/>
          <w:lang w:val="en-US"/>
        </w:rPr>
        <w:t xml:space="preserve">ge in itself is </w:t>
      </w:r>
      <w:r>
        <w:rPr>
          <w:rFonts w:ascii="Times New Roman" w:hAnsi="Times New Roman"/>
          <w:sz w:val="28"/>
          <w:szCs w:val="28"/>
          <w:u w:color="000000"/>
          <w:rtl w:val="0"/>
          <w:lang w:val="en-US"/>
        </w:rPr>
        <w:t xml:space="preserve">not explicable to SLL. Recent studies fill the gap and turn to the context of foreign language learning, Boyson &amp; Summer (2013) and </w:t>
      </w:r>
      <w:r>
        <w:rPr>
          <w:rFonts w:ascii="Times New Roman" w:hAnsi="Times New Roman"/>
          <w:sz w:val="28"/>
          <w:szCs w:val="28"/>
          <w:u w:color="000000"/>
          <w:rtl w:val="0"/>
          <w:lang w:val="en-US"/>
        </w:rPr>
        <w:t xml:space="preserve">Pfenninger (2014) also confirm a preference on a young starting age. One of the recent studies which is worth to mention is </w:t>
      </w:r>
      <w:r>
        <w:rPr>
          <w:rFonts w:ascii="Times New Roman" w:hAnsi="Times New Roman"/>
          <w:sz w:val="28"/>
          <w:szCs w:val="28"/>
          <w:u w:color="000000"/>
          <w:rtl w:val="0"/>
          <w:lang w:val="de-DE"/>
        </w:rPr>
        <w:t>Hartshorne, Tenenbaum, Pinker (2018)</w:t>
      </w:r>
      <w:r>
        <w:rPr>
          <w:rFonts w:ascii="Times New Roman" w:hAnsi="Times New Roman"/>
          <w:sz w:val="28"/>
          <w:szCs w:val="28"/>
          <w:u w:color="000000"/>
          <w:rtl w:val="0"/>
          <w:lang w:val="en-US"/>
        </w:rPr>
        <w:t xml:space="preserve">. Their study employs an unprecedented size of database </w:t>
      </w:r>
      <w:r>
        <w:rPr>
          <w:rFonts w:ascii="Times New Roman" w:hAnsi="Times New Roman"/>
          <w:sz w:val="28"/>
          <w:szCs w:val="28"/>
          <w:u w:color="000000"/>
          <w:rtl w:val="0"/>
          <w:lang w:val="en-US"/>
        </w:rPr>
        <w:t>(669,498 native and non-native English speakers)</w:t>
      </w:r>
      <w:r>
        <w:rPr>
          <w:rFonts w:ascii="Times New Roman" w:hAnsi="Times New Roman"/>
          <w:sz w:val="28"/>
          <w:szCs w:val="28"/>
          <w:u w:color="000000"/>
          <w:rtl w:val="0"/>
          <w:lang w:val="en-US"/>
        </w:rPr>
        <w:t xml:space="preserve"> and a computational model to estimate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the trajectory of underlying learning ability by disentangling current age, age at first exposure, and years of experience</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w:t>
      </w:r>
      <w:r>
        <w:rPr>
          <w:rFonts w:ascii="Times New Roman" w:hAnsi="Times New Roman"/>
          <w:sz w:val="28"/>
          <w:szCs w:val="28"/>
          <w:u w:color="000000"/>
          <w:rtl w:val="0"/>
          <w:lang w:val="en-US"/>
        </w:rPr>
        <w:t>Hartshorne, Tenenbaum, Pinker</w:t>
      </w:r>
      <w:r>
        <w:rPr>
          <w:rFonts w:ascii="Times New Roman" w:hAnsi="Times New Roman"/>
          <w:sz w:val="28"/>
          <w:szCs w:val="28"/>
          <w:u w:color="000000"/>
          <w:rtl w:val="0"/>
          <w:lang w:val="en-US"/>
        </w:rPr>
        <w:t xml:space="preserve">, </w:t>
      </w:r>
      <w:r>
        <w:rPr>
          <w:rFonts w:ascii="Times New Roman" w:hAnsi="Times New Roman"/>
          <w:sz w:val="28"/>
          <w:szCs w:val="28"/>
          <w:u w:color="000000"/>
          <w:rtl w:val="0"/>
          <w:lang w:val="en-US"/>
        </w:rPr>
        <w:t>2018</w:t>
      </w:r>
      <w:r>
        <w:rPr>
          <w:rFonts w:ascii="Times New Roman" w:hAnsi="Times New Roman"/>
          <w:sz w:val="28"/>
          <w:szCs w:val="28"/>
          <w:u w:color="000000"/>
          <w:rtl w:val="0"/>
          <w:lang w:val="en-US"/>
        </w:rPr>
        <w:t>)</w:t>
      </w:r>
      <w:r>
        <w:rPr>
          <w:rFonts w:ascii="Times New Roman" w:hAnsi="Times New Roman"/>
          <w:sz w:val="28"/>
          <w:szCs w:val="28"/>
          <w:u w:color="000000"/>
          <w:rtl w:val="0"/>
          <w:lang w:val="en-US"/>
        </w:rPr>
        <w:t xml:space="preserve">. The findings support CPH for language acquisition, but </w:t>
      </w:r>
      <w:r>
        <w:rPr>
          <w:rFonts w:ascii="Times New Roman" w:hAnsi="Times New Roman"/>
          <w:sz w:val="28"/>
          <w:szCs w:val="28"/>
          <w:u w:color="000000"/>
          <w:rtl w:val="0"/>
          <w:lang w:val="en-US"/>
        </w:rPr>
        <w:t>the age of offset is much later</w:t>
      </w:r>
      <w:r>
        <w:rPr>
          <w:rFonts w:ascii="Times New Roman" w:hAnsi="Times New Roman"/>
          <w:sz w:val="28"/>
          <w:szCs w:val="28"/>
          <w:u w:color="000000"/>
          <w:rtl w:val="0"/>
          <w:lang w:val="en-US"/>
        </w:rPr>
        <w:t xml:space="preserve"> (17.4 years old) than the previously speculated age, which to some extent confirms the existence of multiple critical/sensitive period as Huang (2014) establishes in her study. This reminds me of my and my learning experience. I began learning English at 12 through formal instruction in classroom. During the six years</w:t>
      </w:r>
      <w:r>
        <w:rPr>
          <w:rFonts w:ascii="Times New Roman" w:hAnsi="Times New Roman" w:hint="default"/>
          <w:sz w:val="28"/>
          <w:szCs w:val="28"/>
          <w:u w:color="000000"/>
          <w:rtl w:val="0"/>
          <w:lang w:val="en-US"/>
        </w:rPr>
        <w:t xml:space="preserve">’ </w:t>
      </w:r>
      <w:r>
        <w:rPr>
          <w:rFonts w:ascii="Times New Roman" w:hAnsi="Times New Roman"/>
          <w:sz w:val="28"/>
          <w:szCs w:val="28"/>
          <w:u w:color="000000"/>
          <w:rtl w:val="0"/>
          <w:lang w:val="en-US"/>
        </w:rPr>
        <w:t>middle school, I received 6 periods (45 minutes per period) once a week, 36 weeks a year. In my four years</w:t>
      </w:r>
      <w:r>
        <w:rPr>
          <w:rFonts w:ascii="Times New Roman" w:hAnsi="Times New Roman" w:hint="default"/>
          <w:sz w:val="28"/>
          <w:szCs w:val="28"/>
          <w:u w:color="000000"/>
          <w:rtl w:val="0"/>
          <w:lang w:val="en-US"/>
        </w:rPr>
        <w:t xml:space="preserve">’ </w:t>
      </w:r>
      <w:r>
        <w:rPr>
          <w:rFonts w:ascii="Times New Roman" w:hAnsi="Times New Roman"/>
          <w:sz w:val="28"/>
          <w:szCs w:val="28"/>
          <w:u w:color="000000"/>
          <w:rtl w:val="0"/>
          <w:lang w:val="en-US"/>
        </w:rPr>
        <w:t>college life, and three years</w:t>
      </w:r>
      <w:r>
        <w:rPr>
          <w:rFonts w:ascii="Times New Roman" w:hAnsi="Times New Roman" w:hint="default"/>
          <w:sz w:val="28"/>
          <w:szCs w:val="28"/>
          <w:u w:color="000000"/>
          <w:rtl w:val="0"/>
          <w:lang w:val="en-US"/>
        </w:rPr>
        <w:t xml:space="preserve">’ </w:t>
      </w:r>
      <w:r>
        <w:rPr>
          <w:rFonts w:ascii="Times New Roman" w:hAnsi="Times New Roman"/>
          <w:sz w:val="28"/>
          <w:szCs w:val="28"/>
          <w:u w:color="000000"/>
          <w:rtl w:val="0"/>
          <w:lang w:val="en-US"/>
        </w:rPr>
        <w:t>postgraduate student life, I was an English major, which means 90% plus of my classes are delivered in English. However, I am very certain that I don</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 xml:space="preserve">t achieve a native-like mastery of English, not only spoken English but also written English. This is also the case for my fellow classmates in this programme. Therefore, based on the above mentioned advantage of children in SLL, </w:t>
      </w:r>
      <w:r>
        <w:rPr>
          <w:rFonts w:ascii="Times New Roman" w:hAnsi="Times New Roman"/>
          <w:sz w:val="28"/>
          <w:szCs w:val="28"/>
          <w:u w:color="000000"/>
          <w:rtl w:val="0"/>
          <w:lang w:val="en-US"/>
        </w:rPr>
        <w:t xml:space="preserve">although it is not clear about the onset and offset of the critical period, I prefer my daughter to learn a second language at her young age. </w:t>
      </w:r>
    </w:p>
    <w:p>
      <w:pPr>
        <w:pStyle w:val="正文"/>
        <w:tabs>
          <w:tab w:val="left" w:pos="426"/>
        </w:tabs>
        <w:bidi w:val="0"/>
        <w:ind w:left="0" w:right="0" w:firstLine="0"/>
        <w:jc w:val="both"/>
        <w:rPr>
          <w:rFonts w:ascii="Calibri" w:cs="Calibri" w:hAnsi="Calibri" w:eastAsia="Calibri"/>
          <w:sz w:val="28"/>
          <w:szCs w:val="28"/>
          <w:u w:color="000000"/>
          <w:rtl w:val="0"/>
          <w:lang w:val="en-US"/>
        </w:rPr>
      </w:pPr>
      <w:r>
        <w:rPr>
          <w:rFonts w:ascii="Calibri" w:cs="Calibri" w:hAnsi="Calibri" w:eastAsia="Calibri"/>
          <w:sz w:val="28"/>
          <w:szCs w:val="28"/>
          <w:u w:color="000000"/>
          <w:shd w:val="clear" w:color="auto" w:fill="ffffff"/>
          <w:rtl w:val="0"/>
          <w:lang w:val="en-US"/>
        </w:rPr>
        <w:t xml:space="preserve">The chapter </w:t>
      </w:r>
      <w:r>
        <w:rPr>
          <w:rFonts w:ascii="Calibri" w:cs="Calibri" w:hAnsi="Calibri" w:eastAsia="Calibri"/>
          <w:sz w:val="28"/>
          <w:szCs w:val="28"/>
          <w:u w:color="000000"/>
          <w:rtl w:val="0"/>
          <w:lang w:val="en-US"/>
        </w:rPr>
        <w:t xml:space="preserve">starts with an activity which asks the readers to score a set of features based on how much they value a </w:t>
      </w:r>
      <w:r>
        <w:rPr>
          <w:rFonts w:ascii="Calibri" w:cs="Calibri" w:hAnsi="Calibri" w:eastAsia="Calibri"/>
          <w:sz w:val="28"/>
          <w:szCs w:val="28"/>
          <w:u w:color="000000"/>
          <w:rtl w:val="0"/>
          <w:lang w:val="en-US"/>
        </w:rPr>
        <w:t>“</w:t>
      </w:r>
      <w:r>
        <w:rPr>
          <w:rFonts w:ascii="Calibri" w:cs="Calibri" w:hAnsi="Calibri" w:eastAsia="Calibri"/>
          <w:sz w:val="28"/>
          <w:szCs w:val="28"/>
          <w:u w:color="000000"/>
          <w:rtl w:val="0"/>
          <w:lang w:val="en-US"/>
        </w:rPr>
        <w:t>good language learner</w:t>
      </w:r>
      <w:r>
        <w:rPr>
          <w:rFonts w:ascii="Calibri" w:cs="Calibri" w:hAnsi="Calibri" w:eastAsia="Calibri"/>
          <w:sz w:val="28"/>
          <w:szCs w:val="28"/>
          <w:u w:color="000000"/>
          <w:rtl w:val="0"/>
          <w:lang w:val="en-US"/>
        </w:rPr>
        <w:t>”</w:t>
      </w:r>
      <w:r>
        <w:rPr>
          <w:rFonts w:ascii="Calibri" w:cs="Calibri" w:hAnsi="Calibri" w:eastAsia="Calibri"/>
          <w:sz w:val="28"/>
          <w:szCs w:val="28"/>
          <w:u w:color="000000"/>
          <w:rtl w:val="0"/>
          <w:lang w:val="en-US"/>
        </w:rPr>
        <w:t>(</w:t>
      </w:r>
      <w:r>
        <w:rPr>
          <w:rFonts w:ascii="Calibri" w:cs="Calibri" w:hAnsi="Calibri" w:eastAsia="Calibri"/>
          <w:sz w:val="28"/>
          <w:szCs w:val="28"/>
          <w:u w:color="000000"/>
          <w:rtl w:val="0"/>
          <w:lang w:val="en-US"/>
        </w:rPr>
        <w:t>Lightbown and Spada</w:t>
      </w:r>
      <w:r>
        <w:rPr>
          <w:rFonts w:ascii="Calibri" w:cs="Calibri" w:hAnsi="Calibri" w:eastAsia="Calibri"/>
          <w:sz w:val="28"/>
          <w:szCs w:val="28"/>
          <w:u w:color="000000"/>
          <w:rtl w:val="0"/>
          <w:lang w:val="en-US"/>
        </w:rPr>
        <w:t>, 2000)</w:t>
      </w:r>
      <w:r>
        <w:rPr>
          <w:rFonts w:ascii="Calibri" w:cs="Calibri" w:hAnsi="Calibri" w:eastAsia="Calibri"/>
          <w:sz w:val="28"/>
          <w:szCs w:val="28"/>
          <w:u w:color="000000"/>
          <w:rtl w:val="0"/>
          <w:lang w:val="en-US"/>
        </w:rPr>
        <w:t xml:space="preserve">, with twelve characteristics listed. Take the first one </w:t>
      </w:r>
      <w:r>
        <w:rPr>
          <w:rFonts w:ascii="Calibri" w:cs="Calibri" w:hAnsi="Calibri" w:eastAsia="Calibri"/>
          <w:sz w:val="28"/>
          <w:szCs w:val="28"/>
          <w:u w:color="000000"/>
          <w:rtl w:val="0"/>
          <w:lang w:val="en-US"/>
        </w:rPr>
        <w:t>“</w:t>
      </w:r>
      <w:r>
        <w:rPr>
          <w:rFonts w:ascii="Calibri" w:cs="Calibri" w:hAnsi="Calibri" w:eastAsia="Calibri"/>
          <w:sz w:val="28"/>
          <w:szCs w:val="28"/>
          <w:u w:color="000000"/>
          <w:rtl w:val="0"/>
          <w:lang w:val="en-US"/>
        </w:rPr>
        <w:t>is a willing and accurate guesser</w:t>
      </w:r>
      <w:r>
        <w:rPr>
          <w:rFonts w:ascii="Calibri" w:cs="Calibri" w:hAnsi="Calibri" w:eastAsia="Calibri"/>
          <w:sz w:val="28"/>
          <w:szCs w:val="28"/>
          <w:u w:color="000000"/>
          <w:rtl w:val="0"/>
          <w:lang w:val="en-US"/>
        </w:rPr>
        <w:t>”</w:t>
      </w:r>
      <w:r>
        <w:rPr>
          <w:rFonts w:ascii="Calibri" w:cs="Calibri" w:hAnsi="Calibri" w:eastAsia="Calibri"/>
          <w:sz w:val="28"/>
          <w:szCs w:val="28"/>
          <w:u w:color="000000"/>
          <w:rtl w:val="0"/>
          <w:lang w:val="en-US"/>
        </w:rPr>
        <w:t xml:space="preserve">(ibid) for example. Readers, </w:t>
      </w:r>
      <w:r>
        <w:rPr>
          <w:rFonts w:ascii="Calibri" w:cs="Calibri" w:hAnsi="Calibri" w:eastAsia="Calibri"/>
          <w:sz w:val="28"/>
          <w:szCs w:val="28"/>
          <w:u w:color="000000"/>
          <w:rtl w:val="0"/>
          <w:lang w:val="en-US"/>
        </w:rPr>
        <w:t>based on a scale of 1-5</w:t>
      </w:r>
      <w:r>
        <w:rPr>
          <w:rFonts w:ascii="Calibri" w:cs="Calibri" w:hAnsi="Calibri" w:eastAsia="Calibri"/>
          <w:sz w:val="28"/>
          <w:szCs w:val="28"/>
          <w:u w:color="000000"/>
          <w:rtl w:val="0"/>
          <w:lang w:val="en-US"/>
        </w:rPr>
        <w:t xml:space="preserve">, are asked to consider how important it is, which is a particularly good introduction for those who have no idea about learner characteristics and is also especially suitable </w:t>
      </w:r>
      <w:r>
        <w:rPr>
          <w:rFonts w:ascii="Calibri" w:cs="Calibri" w:hAnsi="Calibri" w:eastAsia="Calibri"/>
          <w:sz w:val="28"/>
          <w:szCs w:val="28"/>
          <w:u w:color="000000"/>
          <w:rtl w:val="0"/>
          <w:lang w:val="en-US"/>
        </w:rPr>
        <w:t>for classroom teachers who may have opinions on learner characteristics but are not familiar with the subject research.</w:t>
      </w:r>
      <w:r>
        <w:rPr>
          <w:rFonts w:ascii="Calibri" w:cs="Calibri" w:hAnsi="Calibri" w:eastAsia="Calibri"/>
          <w:sz w:val="28"/>
          <w:szCs w:val="28"/>
          <w:u w:color="000000"/>
          <w:rtl w:val="0"/>
          <w:lang w:val="en-US"/>
        </w:rPr>
        <w:t xml:space="preserve"> </w:t>
      </w:r>
      <w:r>
        <w:rPr>
          <w:rFonts w:ascii="Calibri" w:cs="Calibri" w:hAnsi="Calibri" w:eastAsia="Calibri"/>
          <w:sz w:val="28"/>
          <w:szCs w:val="28"/>
          <w:u w:color="000000"/>
          <w:rtl w:val="0"/>
          <w:lang w:val="en-US"/>
        </w:rPr>
        <w:t xml:space="preserve">The six factors, either cognitive or affective, are discussed with </w:t>
      </w:r>
      <w:r>
        <w:rPr>
          <w:rFonts w:ascii="Calibri" w:cs="Calibri" w:hAnsi="Calibri" w:eastAsia="Calibri"/>
          <w:sz w:val="28"/>
          <w:szCs w:val="28"/>
          <w:u w:color="000000"/>
          <w:rtl w:val="0"/>
          <w:lang w:val="en-US"/>
        </w:rPr>
        <w:t xml:space="preserve">reference to specific research </w:t>
      </w:r>
      <w:r>
        <w:rPr>
          <w:rFonts w:ascii="Calibri" w:cs="Calibri" w:hAnsi="Calibri" w:eastAsia="Calibri"/>
          <w:sz w:val="28"/>
          <w:szCs w:val="28"/>
          <w:u w:color="000000"/>
          <w:rtl w:val="0"/>
          <w:lang w:val="en-US"/>
        </w:rPr>
        <w:t xml:space="preserve">and comments on the problems raised by </w:t>
      </w:r>
      <w:r>
        <w:rPr>
          <w:rFonts w:ascii="Calibri" w:cs="Calibri" w:hAnsi="Calibri" w:eastAsia="Calibri"/>
          <w:sz w:val="28"/>
          <w:szCs w:val="28"/>
          <w:u w:color="000000"/>
          <w:rtl w:val="0"/>
          <w:lang w:val="en-US"/>
        </w:rPr>
        <w:t>different research methodologies.</w:t>
      </w:r>
    </w:p>
    <w:p>
      <w:pPr>
        <w:pStyle w:val="正文"/>
        <w:tabs>
          <w:tab w:val="left" w:pos="426"/>
        </w:tabs>
        <w:bidi w:val="0"/>
        <w:ind w:left="0" w:right="0" w:firstLine="0"/>
        <w:jc w:val="both"/>
        <w:rPr>
          <w:rFonts w:ascii="Times" w:cs="Times" w:hAnsi="Times" w:eastAsia="Times"/>
          <w:sz w:val="28"/>
          <w:szCs w:val="28"/>
          <w:u w:color="000000"/>
          <w:rtl w:val="0"/>
          <w:lang w:val="en-US"/>
        </w:rPr>
      </w:pPr>
      <w:r>
        <w:rPr>
          <w:rFonts w:ascii="Times New Roman" w:hAnsi="Times New Roman"/>
          <w:sz w:val="28"/>
          <w:szCs w:val="28"/>
          <w:u w:color="000000"/>
          <w:rtl w:val="0"/>
          <w:lang w:val="en-US"/>
        </w:rPr>
        <w:t xml:space="preserve">Overall, Lightbown and Spada provide a comprehensive discussion on learner characteristics, which is reader friendly, especially for laypeople or parents or language teachers. Nevertheless, from the perspective of researchers, the first five factors are not as well-developed and thoroughly discusses as age because the authors just pick up some key concepts without providing sufficient specific references to support their view. In addition, some of the terms used like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basic communicative ability</w:t>
      </w:r>
      <w:r>
        <w:rPr>
          <w:rFonts w:ascii="Times New Roman" w:hAnsi="Times New Roman" w:hint="default"/>
          <w:sz w:val="28"/>
          <w:szCs w:val="28"/>
          <w:u w:color="000000"/>
          <w:rtl w:val="0"/>
          <w:lang w:val="en-US"/>
        </w:rPr>
        <w:t xml:space="preserve">” </w:t>
      </w:r>
      <w:r>
        <w:rPr>
          <w:rFonts w:ascii="Times New Roman" w:hAnsi="Times New Roman"/>
          <w:sz w:val="28"/>
          <w:szCs w:val="28"/>
          <w:u w:color="000000"/>
          <w:rtl w:val="0"/>
          <w:lang w:val="en-US"/>
        </w:rPr>
        <w:t xml:space="preserve">are not well defined, which is abrupt to be used without any definition, explanation or references. In this case, readers may not be persuaded by the claim that there is a preference for learners starting language learning at a later age (10, 11, or 12) in the context of formal instruction when basic communicative ability is taken as the goal. My fellows and I, starting learning English at 12 through formal instruction, are just the case who are not confident in smooth communication with natives. Last but not least, the authors poses a point of view that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zh-CN" w:eastAsia="zh-CN"/>
        </w:rPr>
        <w:t>early</w:t>
      </w:r>
      <w:r>
        <w:rPr>
          <w:rFonts w:ascii="Times New Roman" w:hAnsi="Times New Roman"/>
          <w:sz w:val="28"/>
          <w:szCs w:val="28"/>
          <w:u w:color="000000"/>
          <w:rtl w:val="0"/>
          <w:lang w:val="en-US"/>
        </w:rPr>
        <w:t xml:space="preserve"> </w:t>
      </w:r>
      <w:r>
        <w:rPr>
          <w:rFonts w:ascii="Times New Roman" w:hAnsi="Times New Roman"/>
          <w:sz w:val="28"/>
          <w:szCs w:val="28"/>
          <w:u w:color="000000"/>
          <w:rtl w:val="0"/>
          <w:lang w:val="zh-CN" w:eastAsia="zh-CN"/>
        </w:rPr>
        <w:t>intensive exposure to the second language may entail the loss or incomplete development of the child's first language</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w:t>
      </w:r>
      <w:r>
        <w:rPr>
          <w:rFonts w:ascii="Times New Roman" w:hAnsi="Times New Roman"/>
          <w:sz w:val="28"/>
          <w:szCs w:val="28"/>
          <w:u w:color="000000"/>
          <w:rtl w:val="0"/>
          <w:lang w:val="en-US"/>
        </w:rPr>
        <w:t>Lightbown and Spada</w:t>
      </w:r>
      <w:r>
        <w:rPr>
          <w:rFonts w:ascii="Times New Roman" w:hAnsi="Times New Roman"/>
          <w:sz w:val="28"/>
          <w:szCs w:val="28"/>
          <w:u w:color="000000"/>
          <w:rtl w:val="0"/>
          <w:lang w:val="en-US"/>
        </w:rPr>
        <w:t>, 2000) is not justified as it is the typical view of the balanced theory which proved invalid by cognitive science</w:t>
      </w:r>
      <w:r>
        <w:rPr>
          <w:rFonts w:ascii="Times New Roman" w:hAnsi="Times New Roman"/>
          <w:sz w:val="28"/>
          <w:szCs w:val="28"/>
          <w:u w:color="000000"/>
          <w:rtl w:val="0"/>
          <w:lang w:val="zh-CN" w:eastAsia="zh-CN"/>
        </w:rPr>
        <w:t>.</w:t>
      </w:r>
    </w:p>
    <w:p>
      <w:pPr>
        <w:pStyle w:val="正文"/>
        <w:tabs>
          <w:tab w:val="left" w:pos="426"/>
        </w:tabs>
        <w:bidi w:val="0"/>
        <w:ind w:left="0" w:right="0" w:firstLine="0"/>
        <w:jc w:val="both"/>
        <w:rPr>
          <w:rFonts w:ascii="Times New Roman" w:cs="Times New Roman" w:hAnsi="Times New Roman" w:eastAsia="Times New Roman"/>
          <w:sz w:val="28"/>
          <w:szCs w:val="28"/>
          <w:u w:color="000000"/>
          <w:rtl w:val="0"/>
          <w:lang w:val="en-US"/>
        </w:rPr>
      </w:pPr>
    </w:p>
    <w:p>
      <w:pPr>
        <w:pStyle w:val="正文"/>
        <w:tabs>
          <w:tab w:val="left" w:pos="426"/>
        </w:tabs>
        <w:bidi w:val="0"/>
        <w:ind w:left="0" w:right="0" w:firstLine="0"/>
        <w:jc w:val="both"/>
        <w:rPr>
          <w:rFonts w:ascii="Times New Roman" w:cs="Times New Roman" w:hAnsi="Times New Roman" w:eastAsia="Times New Roman"/>
          <w:sz w:val="28"/>
          <w:szCs w:val="28"/>
          <w:u w:color="000000"/>
          <w:rtl w:val="0"/>
        </w:rPr>
      </w:pPr>
    </w:p>
    <w:p>
      <w:pPr>
        <w:pStyle w:val="正文"/>
        <w:tabs>
          <w:tab w:val="left" w:pos="426"/>
        </w:tabs>
        <w:bidi w:val="0"/>
        <w:ind w:left="0" w:right="0" w:firstLine="0"/>
        <w:jc w:val="both"/>
        <w:rPr>
          <w:rFonts w:ascii="Times New Roman" w:cs="Times New Roman" w:hAnsi="Times New Roman" w:eastAsia="Times New Roman"/>
          <w:sz w:val="28"/>
          <w:szCs w:val="28"/>
          <w:u w:color="000000"/>
          <w:rtl w:val="0"/>
        </w:rPr>
      </w:pPr>
      <w:r>
        <w:rPr>
          <w:rFonts w:ascii="Times New Roman" w:hAnsi="Times New Roman"/>
          <w:sz w:val="28"/>
          <w:szCs w:val="28"/>
          <w:u w:color="000000"/>
          <w:rtl w:val="0"/>
          <w:lang w:val="en-US"/>
        </w:rPr>
        <w:t>References</w:t>
      </w:r>
    </w:p>
    <w:p>
      <w:pPr>
        <w:pStyle w:val="正文"/>
        <w:tabs>
          <w:tab w:val="left" w:pos="426"/>
        </w:tabs>
        <w:bidi w:val="0"/>
        <w:ind w:left="0" w:right="0" w:firstLine="0"/>
        <w:jc w:val="both"/>
        <w:rPr>
          <w:rFonts w:ascii="Times New Roman" w:cs="Times New Roman" w:hAnsi="Times New Roman" w:eastAsia="Times New Roman"/>
          <w:sz w:val="28"/>
          <w:szCs w:val="28"/>
          <w:u w:color="000000"/>
          <w:rtl w:val="0"/>
        </w:rPr>
      </w:pPr>
      <w:r>
        <w:rPr>
          <w:rFonts w:ascii="Times New Roman" w:hAnsi="Times New Roman"/>
          <w:sz w:val="28"/>
          <w:szCs w:val="28"/>
          <w:u w:color="000000"/>
          <w:rtl w:val="0"/>
          <w:lang w:val="en-US"/>
        </w:rPr>
        <w:t>Boyson</w:t>
      </w:r>
      <w:r>
        <w:rPr>
          <w:rFonts w:ascii="Times New Roman" w:hAnsi="Times New Roman"/>
          <w:sz w:val="28"/>
          <w:szCs w:val="28"/>
          <w:u w:color="000000"/>
          <w:rtl w:val="0"/>
          <w:lang w:val="en-US"/>
        </w:rPr>
        <w:t xml:space="preserve">, A. B., Semmer </w:t>
      </w:r>
      <w:r>
        <w:rPr>
          <w:rFonts w:ascii="Times New Roman" w:hAnsi="Times New Roman"/>
          <w:sz w:val="28"/>
          <w:szCs w:val="28"/>
          <w:u w:color="000000"/>
          <w:rtl w:val="0"/>
        </w:rPr>
        <w:t>M</w:t>
      </w:r>
      <w:r>
        <w:rPr>
          <w:rFonts w:ascii="Times New Roman" w:hAnsi="Times New Roman"/>
          <w:sz w:val="28"/>
          <w:szCs w:val="28"/>
          <w:u w:color="000000"/>
          <w:rtl w:val="0"/>
          <w:lang w:val="en-US"/>
        </w:rPr>
        <w:t xml:space="preserve">., </w:t>
      </w:r>
      <w:r>
        <w:rPr>
          <w:rFonts w:ascii="Times New Roman" w:hAnsi="Times New Roman"/>
          <w:sz w:val="28"/>
          <w:szCs w:val="28"/>
          <w:u w:color="000000"/>
          <w:rtl w:val="0"/>
          <w:lang w:val="en-US"/>
        </w:rPr>
        <w:t>Thompson</w:t>
      </w:r>
      <w:r>
        <w:rPr>
          <w:rFonts w:ascii="Times New Roman" w:hAnsi="Times New Roman"/>
          <w:sz w:val="28"/>
          <w:szCs w:val="28"/>
          <w:u w:color="000000"/>
          <w:rtl w:val="0"/>
          <w:lang w:val="en-US"/>
        </w:rPr>
        <w:t>,</w:t>
      </w:r>
      <w:r>
        <w:rPr>
          <w:rFonts w:ascii="Times New Roman" w:hAnsi="Times New Roman"/>
          <w:sz w:val="28"/>
          <w:szCs w:val="28"/>
          <w:u w:color="000000"/>
          <w:rtl w:val="0"/>
        </w:rPr>
        <w:t xml:space="preserve"> </w:t>
      </w:r>
      <w:r>
        <w:rPr>
          <w:rFonts w:ascii="Times New Roman" w:hAnsi="Times New Roman"/>
          <w:sz w:val="28"/>
          <w:szCs w:val="28"/>
          <w:u w:color="000000"/>
          <w:rtl w:val="0"/>
          <w:lang w:val="en-US"/>
        </w:rPr>
        <w:t>E.</w:t>
      </w:r>
      <w:r>
        <w:rPr>
          <w:rFonts w:ascii="Times New Roman" w:hAnsi="Times New Roman"/>
          <w:sz w:val="28"/>
          <w:szCs w:val="28"/>
          <w:u w:color="000000"/>
          <w:rtl w:val="0"/>
        </w:rPr>
        <w:t xml:space="preserve"> L</w:t>
      </w:r>
      <w:r>
        <w:rPr>
          <w:rFonts w:ascii="Times New Roman" w:hAnsi="Times New Roman"/>
          <w:sz w:val="28"/>
          <w:szCs w:val="28"/>
          <w:u w:color="000000"/>
          <w:rtl w:val="0"/>
          <w:lang w:val="en-US"/>
        </w:rPr>
        <w:t xml:space="preserve">., and </w:t>
      </w:r>
      <w:r>
        <w:rPr>
          <w:rFonts w:ascii="Times New Roman" w:hAnsi="Times New Roman"/>
          <w:sz w:val="28"/>
          <w:szCs w:val="28"/>
          <w:u w:color="000000"/>
          <w:rtl w:val="0"/>
          <w:lang w:val="de-DE"/>
        </w:rPr>
        <w:t>Rosenbusch</w:t>
      </w:r>
      <w:r>
        <w:rPr>
          <w:rFonts w:ascii="Times New Roman" w:hAnsi="Times New Roman"/>
          <w:sz w:val="28"/>
          <w:szCs w:val="28"/>
          <w:u w:color="000000"/>
          <w:rtl w:val="0"/>
          <w:lang w:val="en-US"/>
        </w:rPr>
        <w:t xml:space="preserve">, H. M. </w:t>
      </w:r>
      <w:r>
        <w:rPr>
          <w:rFonts w:ascii="Times New Roman" w:hAnsi="Times New Roman"/>
          <w:sz w:val="24"/>
          <w:szCs w:val="24"/>
          <w:u w:color="000000"/>
          <w:rtl w:val="0"/>
          <w:lang w:val="en-US"/>
        </w:rPr>
        <w:t xml:space="preserve">2013. </w:t>
      </w:r>
      <w:r>
        <w:rPr>
          <w:rFonts w:ascii="Times New Roman" w:hAnsi="Times New Roman"/>
          <w:sz w:val="28"/>
          <w:szCs w:val="28"/>
          <w:u w:color="000000"/>
          <w:rtl w:val="0"/>
          <w:lang w:val="en-US"/>
        </w:rPr>
        <w:t>Does Beginning Foreign Language in Kindergarten Make a Difference? Results of One District</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 xml:space="preserve">s Study. </w:t>
      </w:r>
      <w:r>
        <w:rPr>
          <w:rFonts w:ascii="Times New Roman" w:hAnsi="Times New Roman"/>
          <w:i w:val="1"/>
          <w:iCs w:val="1"/>
          <w:sz w:val="28"/>
          <w:szCs w:val="28"/>
          <w:u w:color="000000"/>
          <w:rtl w:val="0"/>
          <w:lang w:val="en-US"/>
        </w:rPr>
        <w:t>Foreign Language Annals</w:t>
      </w:r>
      <w:r>
        <w:rPr>
          <w:rFonts w:ascii="Times New Roman" w:hAnsi="Times New Roman"/>
          <w:sz w:val="28"/>
          <w:szCs w:val="28"/>
          <w:u w:color="000000"/>
          <w:rtl w:val="0"/>
          <w:lang w:val="en-US"/>
        </w:rPr>
        <w:t>, 46(2), pp.246</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 xml:space="preserve">263.                </w:t>
      </w:r>
    </w:p>
    <w:p>
      <w:pPr>
        <w:pStyle w:val="正文"/>
        <w:tabs>
          <w:tab w:val="left" w:pos="426"/>
        </w:tabs>
        <w:bidi w:val="0"/>
        <w:ind w:left="0" w:right="0" w:firstLine="0"/>
        <w:jc w:val="both"/>
        <w:rPr>
          <w:rFonts w:ascii="Times New Roman" w:cs="Times New Roman" w:hAnsi="Times New Roman" w:eastAsia="Times New Roman"/>
          <w:sz w:val="28"/>
          <w:szCs w:val="28"/>
          <w:u w:color="000000"/>
          <w:rtl w:val="0"/>
        </w:rPr>
      </w:pPr>
      <w:r>
        <w:rPr>
          <w:rFonts w:ascii="Times New Roman" w:hAnsi="Times New Roman"/>
          <w:sz w:val="28"/>
          <w:szCs w:val="28"/>
          <w:u w:color="000000"/>
          <w:rtl w:val="0"/>
        </w:rPr>
        <w:t>Cenoz, J. 2009</w:t>
      </w:r>
      <w:r>
        <w:rPr>
          <w:rFonts w:ascii="Times New Roman" w:hAnsi="Times New Roman"/>
          <w:sz w:val="28"/>
          <w:szCs w:val="28"/>
          <w:u w:color="000000"/>
          <w:rtl w:val="0"/>
          <w:lang w:val="en-US"/>
        </w:rPr>
        <w:t>.</w:t>
      </w:r>
      <w:r>
        <w:rPr>
          <w:rFonts w:ascii="Times New Roman" w:hAnsi="Times New Roman"/>
          <w:sz w:val="28"/>
          <w:szCs w:val="28"/>
          <w:u w:color="000000"/>
          <w:rtl w:val="0"/>
        </w:rPr>
        <w:t xml:space="preserve"> </w:t>
      </w:r>
      <w:r>
        <w:rPr>
          <w:rFonts w:ascii="Times New Roman" w:hAnsi="Times New Roman"/>
          <w:i w:val="1"/>
          <w:iCs w:val="1"/>
          <w:sz w:val="28"/>
          <w:szCs w:val="28"/>
          <w:u w:color="000000"/>
          <w:rtl w:val="0"/>
          <w:lang w:val="en-US"/>
        </w:rPr>
        <w:t>Towards multilingual education: Basque educational research from an international perspective (vol. 72)</w:t>
      </w:r>
      <w:r>
        <w:rPr>
          <w:rFonts w:ascii="Times New Roman" w:hAnsi="Times New Roman"/>
          <w:sz w:val="28"/>
          <w:szCs w:val="28"/>
          <w:u w:color="000000"/>
          <w:rtl w:val="0"/>
          <w:lang w:val="it-IT"/>
        </w:rPr>
        <w:t xml:space="preserve">. Clevedon, UK: Multilingual Matters. </w:t>
      </w:r>
    </w:p>
    <w:p>
      <w:pPr>
        <w:pStyle w:val="正文"/>
        <w:tabs>
          <w:tab w:val="left" w:pos="426"/>
        </w:tabs>
        <w:bidi w:val="0"/>
        <w:ind w:left="0" w:right="0" w:firstLine="0"/>
        <w:jc w:val="both"/>
        <w:rPr>
          <w:rFonts w:ascii="Times New Roman" w:cs="Times New Roman" w:hAnsi="Times New Roman" w:eastAsia="Times New Roman"/>
          <w:sz w:val="28"/>
          <w:szCs w:val="28"/>
          <w:u w:color="000000"/>
          <w:rtl w:val="0"/>
        </w:rPr>
      </w:pPr>
      <w:r>
        <w:rPr>
          <w:rFonts w:ascii="Times New Roman" w:hAnsi="Times New Roman"/>
          <w:sz w:val="28"/>
          <w:szCs w:val="28"/>
          <w:u w:color="000000"/>
          <w:rtl w:val="0"/>
          <w:lang w:val="en-US"/>
        </w:rPr>
        <w:t xml:space="preserve">Cook, V. 2008. </w:t>
      </w:r>
      <w:r>
        <w:rPr>
          <w:rFonts w:ascii="Times New Roman" w:hAnsi="Times New Roman"/>
          <w:i w:val="1"/>
          <w:iCs w:val="1"/>
          <w:sz w:val="28"/>
          <w:szCs w:val="28"/>
          <w:u w:color="000000"/>
          <w:rtl w:val="0"/>
          <w:lang w:val="en-US"/>
        </w:rPr>
        <w:t>Second Language Learning and Language Teaching.</w:t>
      </w:r>
      <w:r>
        <w:rPr>
          <w:rFonts w:ascii="Times New Roman" w:hAnsi="Times New Roman"/>
          <w:sz w:val="28"/>
          <w:szCs w:val="28"/>
          <w:u w:color="000000"/>
          <w:rtl w:val="0"/>
          <w:lang w:val="en-US"/>
        </w:rPr>
        <w:t xml:space="preserve"> London: Hodder Education.</w:t>
      </w:r>
    </w:p>
    <w:p>
      <w:pPr>
        <w:pStyle w:val="正文"/>
        <w:tabs>
          <w:tab w:val="left" w:pos="426"/>
        </w:tabs>
        <w:bidi w:val="0"/>
        <w:ind w:left="0" w:right="0" w:firstLine="0"/>
        <w:jc w:val="both"/>
        <w:rPr>
          <w:rFonts w:ascii="Times New Roman" w:cs="Times New Roman" w:hAnsi="Times New Roman" w:eastAsia="Times New Roman"/>
          <w:sz w:val="28"/>
          <w:szCs w:val="28"/>
          <w:u w:color="000000"/>
          <w:rtl w:val="0"/>
        </w:rPr>
      </w:pPr>
      <w:r>
        <w:rPr>
          <w:rFonts w:ascii="Times New Roman" w:hAnsi="Times New Roman"/>
          <w:sz w:val="28"/>
          <w:szCs w:val="28"/>
          <w:u w:color="000000"/>
          <w:rtl w:val="0"/>
          <w:lang w:val="en-US"/>
        </w:rPr>
        <w:t xml:space="preserve">Gass, S. and Mackey, A. (Ed.) 2012. </w:t>
      </w:r>
      <w:r>
        <w:rPr>
          <w:rFonts w:ascii="Times New Roman" w:hAnsi="Times New Roman"/>
          <w:i w:val="1"/>
          <w:iCs w:val="1"/>
          <w:sz w:val="28"/>
          <w:szCs w:val="28"/>
          <w:u w:color="000000"/>
          <w:rtl w:val="0"/>
          <w:lang w:val="en-US"/>
        </w:rPr>
        <w:t>The Routledge handbook of second language acquisition</w:t>
      </w:r>
      <w:r>
        <w:rPr>
          <w:rFonts w:ascii="Times New Roman" w:hAnsi="Times New Roman"/>
          <w:sz w:val="28"/>
          <w:szCs w:val="28"/>
          <w:u w:color="000000"/>
          <w:rtl w:val="0"/>
          <w:lang w:val="en-US"/>
        </w:rPr>
        <w:t>. London: Routledge.</w:t>
      </w:r>
    </w:p>
    <w:p>
      <w:pPr>
        <w:pStyle w:val="正文"/>
        <w:tabs>
          <w:tab w:val="left" w:pos="426"/>
        </w:tabs>
        <w:bidi w:val="0"/>
        <w:ind w:left="0" w:right="0" w:firstLine="0"/>
        <w:jc w:val="both"/>
        <w:rPr>
          <w:rFonts w:ascii="Times New Roman" w:cs="Times New Roman" w:hAnsi="Times New Roman" w:eastAsia="Times New Roman"/>
          <w:sz w:val="28"/>
          <w:szCs w:val="28"/>
          <w:u w:color="000000"/>
          <w:rtl w:val="0"/>
        </w:rPr>
      </w:pPr>
      <w:r>
        <w:rPr>
          <w:rFonts w:ascii="Times New Roman" w:hAnsi="Times New Roman"/>
          <w:sz w:val="28"/>
          <w:szCs w:val="28"/>
          <w:u w:color="000000"/>
          <w:rtl w:val="0"/>
          <w:lang w:val="en-US"/>
        </w:rPr>
        <w:t xml:space="preserve">Genesee, </w:t>
      </w:r>
      <w:r>
        <w:rPr>
          <w:rFonts w:ascii="Times New Roman" w:hAnsi="Times New Roman"/>
          <w:sz w:val="28"/>
          <w:szCs w:val="28"/>
          <w:u w:color="000000"/>
          <w:rtl w:val="0"/>
        </w:rPr>
        <w:t>F</w:t>
      </w:r>
      <w:r>
        <w:rPr>
          <w:rFonts w:ascii="Times New Roman" w:hAnsi="Times New Roman"/>
          <w:sz w:val="28"/>
          <w:szCs w:val="28"/>
          <w:u w:color="000000"/>
          <w:rtl w:val="0"/>
          <w:lang w:val="en-US"/>
        </w:rPr>
        <w:t xml:space="preserve">. 2014. Is early second language learning really better? </w:t>
      </w:r>
      <w:r>
        <w:rPr>
          <w:rFonts w:ascii="Times New Roman" w:hAnsi="Times New Roman"/>
          <w:i w:val="1"/>
          <w:iCs w:val="1"/>
          <w:sz w:val="28"/>
          <w:szCs w:val="28"/>
          <w:u w:color="000000"/>
          <w:rtl w:val="0"/>
          <w:lang w:val="en-US"/>
        </w:rPr>
        <w:t>Babylonia</w:t>
      </w:r>
      <w:r>
        <w:rPr>
          <w:rFonts w:ascii="Times New Roman" w:hAnsi="Times New Roman"/>
          <w:sz w:val="28"/>
          <w:szCs w:val="28"/>
          <w:u w:color="000000"/>
          <w:rtl w:val="0"/>
          <w:lang w:val="en-US"/>
        </w:rPr>
        <w:t xml:space="preserve">, 1, pp.26-30. </w:t>
      </w:r>
    </w:p>
    <w:p>
      <w:pPr>
        <w:pStyle w:val="正文"/>
        <w:tabs>
          <w:tab w:val="left" w:pos="426"/>
        </w:tabs>
        <w:bidi w:val="0"/>
        <w:ind w:left="0" w:right="0" w:firstLine="0"/>
        <w:jc w:val="both"/>
        <w:rPr>
          <w:rFonts w:ascii="Times New Roman" w:cs="Times New Roman" w:hAnsi="Times New Roman" w:eastAsia="Times New Roman"/>
          <w:sz w:val="28"/>
          <w:szCs w:val="28"/>
          <w:u w:color="000000"/>
          <w:rtl w:val="0"/>
        </w:rPr>
      </w:pPr>
      <w:r>
        <w:rPr>
          <w:rFonts w:ascii="Times New Roman" w:hAnsi="Times New Roman"/>
          <w:sz w:val="28"/>
          <w:szCs w:val="28"/>
          <w:u w:color="000000"/>
          <w:rtl w:val="0"/>
          <w:lang w:val="en-US"/>
        </w:rPr>
        <w:t xml:space="preserve">Hartshorne, K. </w:t>
      </w:r>
      <w:r>
        <w:rPr>
          <w:rFonts w:ascii="Times New Roman" w:hAnsi="Times New Roman"/>
          <w:sz w:val="28"/>
          <w:szCs w:val="28"/>
          <w:u w:color="000000"/>
          <w:rtl w:val="0"/>
        </w:rPr>
        <w:t>J</w:t>
      </w:r>
      <w:r>
        <w:rPr>
          <w:rFonts w:ascii="Times New Roman" w:hAnsi="Times New Roman"/>
          <w:sz w:val="28"/>
          <w:szCs w:val="28"/>
          <w:u w:color="000000"/>
          <w:rtl w:val="0"/>
          <w:lang w:val="en-US"/>
        </w:rPr>
        <w:t>.,</w:t>
      </w:r>
      <w:r>
        <w:rPr>
          <w:rFonts w:ascii="Times New Roman" w:hAnsi="Times New Roman"/>
          <w:sz w:val="28"/>
          <w:szCs w:val="28"/>
          <w:u w:color="000000"/>
          <w:rtl w:val="0"/>
          <w:lang w:val="de-DE"/>
        </w:rPr>
        <w:t xml:space="preserve"> Tenenbaum</w:t>
      </w:r>
      <w:r>
        <w:rPr>
          <w:rFonts w:ascii="Times New Roman" w:hAnsi="Times New Roman"/>
          <w:sz w:val="28"/>
          <w:szCs w:val="28"/>
          <w:u w:color="000000"/>
          <w:rtl w:val="0"/>
          <w:lang w:val="en-US"/>
        </w:rPr>
        <w:t xml:space="preserve">, B. </w:t>
      </w:r>
      <w:r>
        <w:rPr>
          <w:rFonts w:ascii="Times New Roman" w:hAnsi="Times New Roman"/>
          <w:sz w:val="28"/>
          <w:szCs w:val="28"/>
          <w:u w:color="000000"/>
          <w:rtl w:val="0"/>
        </w:rPr>
        <w:t>J</w:t>
      </w:r>
      <w:r>
        <w:rPr>
          <w:rFonts w:ascii="Times New Roman" w:hAnsi="Times New Roman"/>
          <w:sz w:val="28"/>
          <w:szCs w:val="28"/>
          <w:u w:color="000000"/>
          <w:rtl w:val="0"/>
          <w:lang w:val="en-US"/>
        </w:rPr>
        <w:t xml:space="preserve">. and Pinker, </w:t>
      </w:r>
      <w:r>
        <w:rPr>
          <w:rFonts w:ascii="Times New Roman" w:hAnsi="Times New Roman"/>
          <w:sz w:val="28"/>
          <w:szCs w:val="28"/>
          <w:u w:color="000000"/>
          <w:rtl w:val="0"/>
        </w:rPr>
        <w:t>S</w:t>
      </w:r>
      <w:r>
        <w:rPr>
          <w:rFonts w:ascii="Times New Roman" w:hAnsi="Times New Roman"/>
          <w:sz w:val="28"/>
          <w:szCs w:val="28"/>
          <w:u w:color="000000"/>
          <w:rtl w:val="0"/>
          <w:lang w:val="en-US"/>
        </w:rPr>
        <w:t xml:space="preserve">. 2018. A critical period for second language acquisition: Evidence from 2/3 million English speakers. </w:t>
      </w:r>
      <w:r>
        <w:rPr>
          <w:rFonts w:ascii="Times New Roman" w:hAnsi="Times New Roman"/>
          <w:i w:val="1"/>
          <w:iCs w:val="1"/>
          <w:sz w:val="28"/>
          <w:szCs w:val="28"/>
          <w:u w:color="000000"/>
          <w:rtl w:val="0"/>
          <w:lang w:val="en-US"/>
        </w:rPr>
        <w:t>Cognition</w:t>
      </w:r>
      <w:r>
        <w:rPr>
          <w:rFonts w:ascii="Times New Roman" w:hAnsi="Times New Roman"/>
          <w:sz w:val="28"/>
          <w:szCs w:val="28"/>
          <w:u w:color="000000"/>
          <w:rtl w:val="0"/>
          <w:lang w:val="en-US"/>
        </w:rPr>
        <w:t>: 177(8), pp. 263-277.</w:t>
      </w:r>
    </w:p>
    <w:p>
      <w:pPr>
        <w:pStyle w:val="正文"/>
        <w:tabs>
          <w:tab w:val="left" w:pos="426"/>
        </w:tabs>
        <w:bidi w:val="0"/>
        <w:ind w:left="0" w:right="0" w:firstLine="0"/>
        <w:jc w:val="both"/>
        <w:rPr>
          <w:rFonts w:ascii="Times New Roman" w:cs="Times New Roman" w:hAnsi="Times New Roman" w:eastAsia="Times New Roman"/>
          <w:sz w:val="28"/>
          <w:szCs w:val="28"/>
          <w:u w:color="000000"/>
          <w:rtl w:val="0"/>
        </w:rPr>
      </w:pPr>
      <w:r>
        <w:rPr>
          <w:rFonts w:ascii="Times New Roman" w:hAnsi="Times New Roman"/>
          <w:sz w:val="28"/>
          <w:szCs w:val="28"/>
          <w:u w:color="000000"/>
          <w:rtl w:val="0"/>
          <w:lang w:val="en-US"/>
        </w:rPr>
        <w:t xml:space="preserve">Huang, H. </w:t>
      </w:r>
      <w:r>
        <w:rPr>
          <w:rFonts w:ascii="Times New Roman" w:hAnsi="Times New Roman"/>
          <w:sz w:val="28"/>
          <w:szCs w:val="28"/>
          <w:u w:color="000000"/>
          <w:rtl w:val="0"/>
        </w:rPr>
        <w:t>B</w:t>
      </w:r>
      <w:r>
        <w:rPr>
          <w:rFonts w:ascii="Times New Roman" w:hAnsi="Times New Roman"/>
          <w:sz w:val="28"/>
          <w:szCs w:val="28"/>
          <w:u w:color="000000"/>
          <w:rtl w:val="0"/>
          <w:lang w:val="en-US"/>
        </w:rPr>
        <w:t xml:space="preserve">. 2014. The Effects of Age on Second Language Grammar and Speech Production. </w:t>
      </w:r>
      <w:r>
        <w:rPr>
          <w:rFonts w:ascii="Times New Roman" w:hAnsi="Times New Roman"/>
          <w:i w:val="1"/>
          <w:iCs w:val="1"/>
          <w:sz w:val="28"/>
          <w:szCs w:val="28"/>
          <w:u w:color="000000"/>
          <w:rtl w:val="0"/>
          <w:lang w:val="en-US"/>
        </w:rPr>
        <w:t>J Psycholinguist Res</w:t>
      </w:r>
      <w:r>
        <w:rPr>
          <w:rFonts w:ascii="Times New Roman" w:hAnsi="Times New Roman"/>
          <w:sz w:val="28"/>
          <w:szCs w:val="28"/>
          <w:u w:color="000000"/>
          <w:rtl w:val="0"/>
          <w:lang w:val="en-US"/>
        </w:rPr>
        <w:t>, 43, pp.397</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 xml:space="preserve">420. </w:t>
      </w:r>
    </w:p>
    <w:p>
      <w:pPr>
        <w:pStyle w:val="正文"/>
        <w:tabs>
          <w:tab w:val="left" w:pos="426"/>
        </w:tabs>
        <w:bidi w:val="0"/>
        <w:ind w:left="0" w:right="0" w:firstLine="0"/>
        <w:jc w:val="both"/>
        <w:rPr>
          <w:rFonts w:ascii="Times New Roman" w:cs="Times New Roman" w:hAnsi="Times New Roman" w:eastAsia="Times New Roman"/>
          <w:sz w:val="28"/>
          <w:szCs w:val="28"/>
          <w:u w:color="000000"/>
          <w:rtl w:val="0"/>
        </w:rPr>
      </w:pPr>
      <w:r>
        <w:rPr>
          <w:rFonts w:ascii="Times New Roman" w:hAnsi="Times New Roman"/>
          <w:sz w:val="28"/>
          <w:szCs w:val="28"/>
          <w:u w:color="000000"/>
          <w:rtl w:val="0"/>
          <w:lang w:val="de-DE"/>
        </w:rPr>
        <w:t xml:space="preserve">Pfenninger, E. </w:t>
      </w:r>
      <w:r>
        <w:rPr>
          <w:rFonts w:ascii="Times New Roman" w:hAnsi="Times New Roman"/>
          <w:sz w:val="28"/>
          <w:szCs w:val="28"/>
          <w:u w:color="000000"/>
          <w:rtl w:val="0"/>
          <w:lang w:val="en-US"/>
        </w:rPr>
        <w:t>S</w:t>
      </w:r>
      <w:r>
        <w:rPr>
          <w:rFonts w:ascii="Times New Roman" w:hAnsi="Times New Roman"/>
          <w:sz w:val="28"/>
          <w:szCs w:val="28"/>
          <w:u w:color="000000"/>
          <w:rtl w:val="0"/>
        </w:rPr>
        <w:t>.</w:t>
      </w:r>
      <w:r>
        <w:rPr>
          <w:rFonts w:ascii="Times New Roman" w:hAnsi="Times New Roman"/>
          <w:sz w:val="28"/>
          <w:szCs w:val="28"/>
          <w:u w:color="000000"/>
          <w:rtl w:val="0"/>
          <w:lang w:val="en-US"/>
        </w:rPr>
        <w:t xml:space="preserve"> </w:t>
      </w:r>
      <w:r>
        <w:rPr>
          <w:rFonts w:ascii="Times New Roman" w:hAnsi="Times New Roman"/>
          <w:sz w:val="28"/>
          <w:szCs w:val="28"/>
          <w:u w:color="000000"/>
          <w:rtl w:val="0"/>
          <w:lang w:val="en-US"/>
        </w:rPr>
        <w:t>2014. The misunderstood variable: Age effects as a function of type of instruction</w:t>
      </w:r>
      <w:r>
        <w:rPr>
          <w:rFonts w:ascii="Times New Roman" w:hAnsi="Times New Roman"/>
          <w:i w:val="1"/>
          <w:iCs w:val="1"/>
          <w:sz w:val="28"/>
          <w:szCs w:val="28"/>
          <w:u w:color="000000"/>
          <w:rtl w:val="0"/>
          <w:lang w:val="en-US"/>
        </w:rPr>
        <w:t>.</w:t>
      </w:r>
      <w:r>
        <w:rPr>
          <w:rFonts w:ascii="Times New Roman" w:hAnsi="Times New Roman"/>
          <w:sz w:val="28"/>
          <w:szCs w:val="28"/>
          <w:u w:color="000000"/>
          <w:rtl w:val="0"/>
        </w:rPr>
        <w:t xml:space="preserve"> </w:t>
      </w:r>
      <w:r>
        <w:rPr>
          <w:rFonts w:ascii="Times New Roman" w:hAnsi="Times New Roman"/>
          <w:i w:val="1"/>
          <w:iCs w:val="1"/>
          <w:sz w:val="28"/>
          <w:szCs w:val="28"/>
          <w:u w:color="000000"/>
          <w:rtl w:val="0"/>
          <w:lang w:val="en-US"/>
        </w:rPr>
        <w:t>Studies in Second Language Learning and Teaching</w:t>
      </w:r>
      <w:r>
        <w:rPr>
          <w:rFonts w:ascii="Times New Roman" w:hAnsi="Times New Roman"/>
          <w:sz w:val="28"/>
          <w:szCs w:val="28"/>
          <w:u w:color="000000"/>
          <w:rtl w:val="0"/>
        </w:rPr>
        <w:t xml:space="preserve"> 4(3)</w:t>
      </w:r>
      <w:r>
        <w:rPr>
          <w:rFonts w:ascii="Times New Roman" w:hAnsi="Times New Roman"/>
          <w:sz w:val="28"/>
          <w:szCs w:val="28"/>
          <w:u w:color="000000"/>
          <w:rtl w:val="0"/>
          <w:lang w:val="en-US"/>
        </w:rPr>
        <w:t>,</w:t>
      </w:r>
      <w:r>
        <w:rPr>
          <w:rFonts w:ascii="Times New Roman" w:hAnsi="Times New Roman"/>
          <w:sz w:val="28"/>
          <w:szCs w:val="28"/>
          <w:u w:color="000000"/>
          <w:rtl w:val="0"/>
        </w:rPr>
        <w:t xml:space="preserve">  </w:t>
      </w:r>
      <w:r>
        <w:rPr>
          <w:rFonts w:ascii="Times New Roman" w:hAnsi="Times New Roman"/>
          <w:sz w:val="28"/>
          <w:szCs w:val="28"/>
          <w:u w:color="000000"/>
          <w:rtl w:val="0"/>
          <w:lang w:val="en-US"/>
        </w:rPr>
        <w:t>pp.</w:t>
      </w:r>
      <w:r>
        <w:rPr>
          <w:rFonts w:ascii="Times New Roman" w:hAnsi="Times New Roman"/>
          <w:sz w:val="28"/>
          <w:szCs w:val="28"/>
          <w:u w:color="000000"/>
          <w:rtl w:val="0"/>
        </w:rPr>
        <w:t>529-556</w:t>
      </w:r>
      <w:r>
        <w:rPr>
          <w:rFonts w:ascii="Times New Roman" w:hAnsi="Times New Roman"/>
          <w:sz w:val="28"/>
          <w:szCs w:val="28"/>
          <w:u w:color="000000"/>
          <w:rtl w:val="0"/>
          <w:lang w:val="en-US"/>
        </w:rPr>
        <w:t>.</w:t>
      </w:r>
    </w:p>
    <w:p>
      <w:pPr>
        <w:pStyle w:val="正文"/>
        <w:tabs>
          <w:tab w:val="left" w:pos="426"/>
        </w:tabs>
        <w:bidi w:val="0"/>
        <w:ind w:left="0" w:right="0" w:firstLine="0"/>
        <w:jc w:val="both"/>
        <w:rPr>
          <w:rtl w:val="0"/>
        </w:rPr>
      </w:pPr>
      <w:r>
        <w:rPr>
          <w:rFonts w:ascii="Times New Roman" w:hAnsi="Times New Roman"/>
          <w:sz w:val="28"/>
          <w:szCs w:val="28"/>
          <w:u w:color="000000"/>
          <w:rtl w:val="0"/>
          <w:lang w:val="en-US"/>
        </w:rPr>
        <w:t xml:space="preserve">Schwieter, W. </w:t>
      </w:r>
      <w:r>
        <w:rPr>
          <w:rFonts w:ascii="Times New Roman" w:hAnsi="Times New Roman"/>
          <w:sz w:val="28"/>
          <w:szCs w:val="28"/>
          <w:u w:color="000000"/>
          <w:rtl w:val="0"/>
        </w:rPr>
        <w:t>J.</w:t>
      </w:r>
      <w:r>
        <w:rPr>
          <w:rFonts w:ascii="Times New Roman" w:hAnsi="Times New Roman"/>
          <w:sz w:val="28"/>
          <w:szCs w:val="28"/>
          <w:u w:color="000000"/>
          <w:rtl w:val="0"/>
          <w:lang w:val="en-US"/>
        </w:rPr>
        <w:t xml:space="preserve"> and Benati, </w:t>
      </w:r>
      <w:r>
        <w:rPr>
          <w:rFonts w:ascii="Times New Roman" w:hAnsi="Times New Roman"/>
          <w:sz w:val="28"/>
          <w:szCs w:val="28"/>
          <w:u w:color="000000"/>
          <w:rtl w:val="0"/>
        </w:rPr>
        <w:t>A</w:t>
      </w:r>
      <w:r>
        <w:rPr>
          <w:rFonts w:ascii="Times New Roman" w:hAnsi="Times New Roman"/>
          <w:sz w:val="28"/>
          <w:szCs w:val="28"/>
          <w:u w:color="000000"/>
          <w:rtl w:val="0"/>
          <w:lang w:val="en-US"/>
        </w:rPr>
        <w:t xml:space="preserve">.(Ed.) 2019. </w:t>
      </w:r>
      <w:r>
        <w:rPr>
          <w:rFonts w:ascii="Times New Roman" w:hAnsi="Times New Roman"/>
          <w:i w:val="1"/>
          <w:iCs w:val="1"/>
          <w:sz w:val="28"/>
          <w:szCs w:val="28"/>
          <w:u w:color="000000"/>
          <w:rtl w:val="0"/>
          <w:lang w:val="en-US"/>
        </w:rPr>
        <w:t>The Cambridge Handbook of Language Learning</w:t>
      </w:r>
      <w:r>
        <w:rPr>
          <w:rFonts w:ascii="Times New Roman" w:hAnsi="Times New Roman"/>
          <w:sz w:val="28"/>
          <w:szCs w:val="28"/>
          <w:u w:color="000000"/>
          <w:rtl w:val="0"/>
          <w:lang w:val="en-US"/>
        </w:rPr>
        <w:t xml:space="preserve">. New York, NY: </w:t>
      </w:r>
      <w:r>
        <w:rPr>
          <w:rFonts w:ascii="Times New Roman" w:hAnsi="Times New Roman"/>
          <w:sz w:val="28"/>
          <w:szCs w:val="28"/>
          <w:u w:color="000000"/>
          <w:rtl w:val="0"/>
          <w:lang w:val="en-US"/>
        </w:rPr>
        <w:t>Cambridge</w:t>
      </w:r>
      <w:r>
        <w:rPr>
          <w:rFonts w:ascii="Times New Roman" w:hAnsi="Times New Roman"/>
          <w:sz w:val="28"/>
          <w:szCs w:val="28"/>
          <w:u w:color="000000"/>
          <w:rtl w:val="0"/>
          <w:lang w:val="en-US"/>
        </w:rPr>
        <w:t xml:space="preserve"> University Press.</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Time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中文" w:val="‘“(〔[{〈《「『【⦅〘〖«〝︵︷︹︻︽︿﹁﹃﹇﹙﹛﹝｢"/>
  <w:noLineBreaksBefore w:lang="中文"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正文">
    <w:name w:val="正文"/>
    <w:next w:val="正文"/>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表格样式 2">
    <w:name w:val="表格样式 2"/>
    <w:next w:val="表格样式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0"/>
      <w:szCs w:val="20"/>
      <w:u w:val="none"/>
      <w:vertAlign w:val="baselin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