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CEFC0" w14:textId="2775CCA0" w:rsidR="00186AFA" w:rsidRDefault="008417B5" w:rsidP="005767AB">
      <w:pPr>
        <w:rPr>
          <w:rFonts w:ascii="Arial" w:hAnsi="Arial" w:cs="Arial"/>
          <w:b/>
          <w:bCs/>
        </w:rPr>
      </w:pPr>
      <w:r>
        <w:rPr>
          <w:rFonts w:ascii="Arial" w:hAnsi="Arial" w:cs="Arial"/>
          <w:b/>
          <w:bCs/>
          <w:noProof/>
        </w:rPr>
        <w:drawing>
          <wp:anchor distT="0" distB="0" distL="114300" distR="114300" simplePos="0" relativeHeight="251658240" behindDoc="1" locked="0" layoutInCell="1" allowOverlap="1" wp14:anchorId="6D37D31D" wp14:editId="5252B76B">
            <wp:simplePos x="0" y="0"/>
            <wp:positionH relativeFrom="margin">
              <wp:align>center</wp:align>
            </wp:positionH>
            <wp:positionV relativeFrom="paragraph">
              <wp:posOffset>22860</wp:posOffset>
            </wp:positionV>
            <wp:extent cx="3598164" cy="1440180"/>
            <wp:effectExtent l="0" t="0" r="2540" b="7620"/>
            <wp:wrapTight wrapText="bothSides">
              <wp:wrapPolygon edited="0">
                <wp:start x="0" y="0"/>
                <wp:lineTo x="0" y="21429"/>
                <wp:lineTo x="21501" y="21429"/>
                <wp:lineTo x="21501" y="0"/>
                <wp:lineTo x="0" y="0"/>
              </wp:wrapPolygon>
            </wp:wrapTight>
            <wp:docPr id="678481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81290" name="Picture 678481290"/>
                    <pic:cNvPicPr/>
                  </pic:nvPicPr>
                  <pic:blipFill>
                    <a:blip r:embed="rId7">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p>
    <w:p w14:paraId="7578DAB6" w14:textId="77777777" w:rsidR="008417B5" w:rsidRDefault="008417B5" w:rsidP="005767AB">
      <w:pPr>
        <w:rPr>
          <w:rFonts w:ascii="Arial" w:hAnsi="Arial" w:cs="Arial"/>
          <w:b/>
          <w:bCs/>
        </w:rPr>
      </w:pPr>
    </w:p>
    <w:p w14:paraId="0C0B0986" w14:textId="77777777" w:rsidR="008417B5" w:rsidRDefault="008417B5" w:rsidP="005767AB">
      <w:pPr>
        <w:rPr>
          <w:rFonts w:ascii="Arial" w:hAnsi="Arial" w:cs="Arial"/>
          <w:b/>
          <w:bCs/>
        </w:rPr>
      </w:pPr>
    </w:p>
    <w:p w14:paraId="5B084C6A" w14:textId="77777777" w:rsidR="00186AFA" w:rsidRDefault="00186AFA" w:rsidP="005767AB">
      <w:pPr>
        <w:rPr>
          <w:rFonts w:ascii="Arial" w:hAnsi="Arial" w:cs="Arial"/>
          <w:b/>
          <w:bCs/>
        </w:rPr>
      </w:pPr>
    </w:p>
    <w:p w14:paraId="05AAA4AA" w14:textId="77777777" w:rsidR="00186AFA" w:rsidRDefault="00186AFA" w:rsidP="005767AB">
      <w:pPr>
        <w:rPr>
          <w:rFonts w:ascii="Arial" w:hAnsi="Arial" w:cs="Arial"/>
          <w:b/>
          <w:bCs/>
        </w:rPr>
      </w:pPr>
    </w:p>
    <w:p w14:paraId="6BDC3609" w14:textId="168C5F30" w:rsidR="00186AFA" w:rsidRDefault="00186AFA" w:rsidP="005767AB">
      <w:pPr>
        <w:rPr>
          <w:rFonts w:ascii="Arial" w:hAnsi="Arial" w:cs="Arial"/>
          <w:b/>
          <w:bCs/>
        </w:rPr>
      </w:pPr>
    </w:p>
    <w:tbl>
      <w:tblPr>
        <w:tblStyle w:val="PlainTable1"/>
        <w:tblpPr w:leftFromText="180" w:rightFromText="180" w:vertAnchor="text" w:horzAnchor="margin" w:tblpY="99"/>
        <w:tblW w:w="9794" w:type="dxa"/>
        <w:tblLook w:val="04A0" w:firstRow="1" w:lastRow="0" w:firstColumn="1" w:lastColumn="0" w:noHBand="0" w:noVBand="1"/>
      </w:tblPr>
      <w:tblGrid>
        <w:gridCol w:w="3035"/>
        <w:gridCol w:w="6759"/>
      </w:tblGrid>
      <w:tr w:rsidR="008417B5" w:rsidRPr="0001189E" w14:paraId="4B5356F5" w14:textId="77777777" w:rsidTr="008417B5">
        <w:trPr>
          <w:cnfStyle w:val="100000000000" w:firstRow="1" w:lastRow="0" w:firstColumn="0" w:lastColumn="0" w:oddVBand="0" w:evenVBand="0" w:oddHBand="0"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3035" w:type="dxa"/>
          </w:tcPr>
          <w:p w14:paraId="5EE84879"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Name:</w:t>
            </w:r>
          </w:p>
        </w:tc>
        <w:tc>
          <w:tcPr>
            <w:tcW w:w="6759" w:type="dxa"/>
          </w:tcPr>
          <w:p w14:paraId="1031388E" w14:textId="77777777" w:rsidR="008417B5" w:rsidRPr="0001189E" w:rsidRDefault="008417B5" w:rsidP="008417B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lang w:val="en-BB"/>
              </w:rPr>
            </w:pPr>
            <w:r w:rsidRPr="0001189E">
              <w:rPr>
                <w:rFonts w:ascii="Arial" w:hAnsi="Arial" w:cs="Arial"/>
                <w:sz w:val="28"/>
                <w:szCs w:val="28"/>
                <w:lang w:val="en-BB"/>
              </w:rPr>
              <w:t>Mahmudul Hasan</w:t>
            </w:r>
          </w:p>
        </w:tc>
      </w:tr>
      <w:tr w:rsidR="008417B5" w:rsidRPr="0001189E" w14:paraId="4962A575" w14:textId="77777777" w:rsidTr="008417B5">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573BD7C2"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Student ID:</w:t>
            </w:r>
          </w:p>
        </w:tc>
        <w:tc>
          <w:tcPr>
            <w:tcW w:w="6759" w:type="dxa"/>
          </w:tcPr>
          <w:p w14:paraId="2DD116C1" w14:textId="77777777" w:rsidR="008417B5" w:rsidRPr="0001189E" w:rsidRDefault="008417B5" w:rsidP="008417B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2523193</w:t>
            </w:r>
          </w:p>
        </w:tc>
      </w:tr>
      <w:tr w:rsidR="008417B5" w:rsidRPr="0001189E" w14:paraId="21FA2CD8" w14:textId="77777777" w:rsidTr="008417B5">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68724DF2"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Programme:</w:t>
            </w:r>
          </w:p>
        </w:tc>
        <w:tc>
          <w:tcPr>
            <w:tcW w:w="6759" w:type="dxa"/>
          </w:tcPr>
          <w:p w14:paraId="042531F5" w14:textId="77777777" w:rsidR="008417B5" w:rsidRPr="0001189E" w:rsidRDefault="008417B5" w:rsidP="008417B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Master of Business Administration</w:t>
            </w:r>
          </w:p>
        </w:tc>
      </w:tr>
      <w:tr w:rsidR="008417B5" w:rsidRPr="0001189E" w14:paraId="2574EC36" w14:textId="77777777" w:rsidTr="008417B5">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15970DB9"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Module:</w:t>
            </w:r>
          </w:p>
        </w:tc>
        <w:tc>
          <w:tcPr>
            <w:tcW w:w="6759" w:type="dxa"/>
          </w:tcPr>
          <w:p w14:paraId="5EF62EF9" w14:textId="77777777" w:rsidR="008417B5" w:rsidRPr="0001189E" w:rsidRDefault="008417B5" w:rsidP="008417B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8417B5">
              <w:rPr>
                <w:rFonts w:ascii="Arial" w:hAnsi="Arial" w:cs="Arial"/>
                <w:b/>
                <w:bCs/>
                <w:sz w:val="28"/>
                <w:szCs w:val="28"/>
              </w:rPr>
              <w:t>Strategic Management</w:t>
            </w:r>
          </w:p>
        </w:tc>
      </w:tr>
      <w:tr w:rsidR="008417B5" w:rsidRPr="0001189E" w14:paraId="5BBACD53" w14:textId="77777777" w:rsidTr="008417B5">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1196A0B9"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Module Code:</w:t>
            </w:r>
          </w:p>
        </w:tc>
        <w:tc>
          <w:tcPr>
            <w:tcW w:w="6759" w:type="dxa"/>
          </w:tcPr>
          <w:p w14:paraId="5AA08929" w14:textId="77777777" w:rsidR="008417B5" w:rsidRPr="0001189E" w:rsidRDefault="008417B5" w:rsidP="008417B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8417B5">
              <w:rPr>
                <w:rFonts w:ascii="Arial" w:hAnsi="Arial" w:cs="Arial"/>
                <w:b/>
                <w:bCs/>
                <w:sz w:val="28"/>
                <w:szCs w:val="28"/>
              </w:rPr>
              <w:t>LCMB7003</w:t>
            </w:r>
          </w:p>
        </w:tc>
      </w:tr>
      <w:tr w:rsidR="008417B5" w:rsidRPr="0001189E" w14:paraId="53DA083A" w14:textId="77777777" w:rsidTr="008417B5">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2863C46B"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Lecturer:</w:t>
            </w:r>
          </w:p>
        </w:tc>
        <w:tc>
          <w:tcPr>
            <w:tcW w:w="6759" w:type="dxa"/>
          </w:tcPr>
          <w:p w14:paraId="1672F97E" w14:textId="77777777" w:rsidR="008417B5" w:rsidRPr="0001189E" w:rsidRDefault="008417B5" w:rsidP="008417B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sidRPr="008417B5">
              <w:rPr>
                <w:rFonts w:ascii="Arial" w:hAnsi="Arial" w:cs="Arial"/>
                <w:b/>
                <w:bCs/>
                <w:sz w:val="28"/>
                <w:szCs w:val="28"/>
                <w:lang w:val="it-IT"/>
              </w:rPr>
              <w:t>Ejike Udeogu</w:t>
            </w:r>
          </w:p>
        </w:tc>
      </w:tr>
      <w:tr w:rsidR="008417B5" w:rsidRPr="0001189E" w14:paraId="048575BB" w14:textId="77777777" w:rsidTr="008417B5">
        <w:trPr>
          <w:trHeight w:val="1617"/>
        </w:trPr>
        <w:tc>
          <w:tcPr>
            <w:cnfStyle w:val="001000000000" w:firstRow="0" w:lastRow="0" w:firstColumn="1" w:lastColumn="0" w:oddVBand="0" w:evenVBand="0" w:oddHBand="0" w:evenHBand="0" w:firstRowFirstColumn="0" w:firstRowLastColumn="0" w:lastRowFirstColumn="0" w:lastRowLastColumn="0"/>
            <w:tcW w:w="3035" w:type="dxa"/>
          </w:tcPr>
          <w:p w14:paraId="6E7A6E69"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Assignment Title:</w:t>
            </w:r>
          </w:p>
        </w:tc>
        <w:tc>
          <w:tcPr>
            <w:tcW w:w="6759" w:type="dxa"/>
          </w:tcPr>
          <w:p w14:paraId="69EAAE13" w14:textId="77777777" w:rsidR="008417B5" w:rsidRPr="0001189E" w:rsidRDefault="008417B5" w:rsidP="008417B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 xml:space="preserve">Assessment component 1: </w:t>
            </w:r>
          </w:p>
          <w:p w14:paraId="6B24F986" w14:textId="77777777" w:rsidR="008417B5" w:rsidRPr="0001189E" w:rsidRDefault="008417B5" w:rsidP="008417B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Marketing Environment Analysis</w:t>
            </w:r>
          </w:p>
        </w:tc>
      </w:tr>
      <w:tr w:rsidR="008417B5" w:rsidRPr="0001189E" w14:paraId="63240A40" w14:textId="77777777" w:rsidTr="008417B5">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0F0237B7"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Word Count:</w:t>
            </w:r>
          </w:p>
        </w:tc>
        <w:tc>
          <w:tcPr>
            <w:tcW w:w="6759" w:type="dxa"/>
          </w:tcPr>
          <w:p w14:paraId="63202478" w14:textId="007F2BF9" w:rsidR="008417B5" w:rsidRPr="0001189E" w:rsidRDefault="008417B5" w:rsidP="008417B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Pr>
                <w:rFonts w:ascii="Arial" w:hAnsi="Arial" w:cs="Arial"/>
                <w:b/>
                <w:bCs/>
                <w:sz w:val="28"/>
                <w:szCs w:val="28"/>
              </w:rPr>
              <w:t>A</w:t>
            </w:r>
            <w:r w:rsidRPr="008417B5">
              <w:rPr>
                <w:rFonts w:ascii="Arial" w:hAnsi="Arial" w:cs="Arial"/>
                <w:b/>
                <w:bCs/>
                <w:sz w:val="28"/>
                <w:szCs w:val="28"/>
              </w:rPr>
              <w:t>pproximately</w:t>
            </w:r>
            <w:r>
              <w:rPr>
                <w:rFonts w:ascii="Arial" w:hAnsi="Arial" w:cs="Arial"/>
                <w:b/>
                <w:bCs/>
                <w:sz w:val="28"/>
                <w:szCs w:val="28"/>
              </w:rPr>
              <w:t xml:space="preserve"> 5500</w:t>
            </w:r>
          </w:p>
        </w:tc>
      </w:tr>
      <w:tr w:rsidR="008417B5" w:rsidRPr="0001189E" w14:paraId="134DBBA8" w14:textId="77777777" w:rsidTr="008417B5">
        <w:trPr>
          <w:trHeight w:val="818"/>
        </w:trPr>
        <w:tc>
          <w:tcPr>
            <w:cnfStyle w:val="001000000000" w:firstRow="0" w:lastRow="0" w:firstColumn="1" w:lastColumn="0" w:oddVBand="0" w:evenVBand="0" w:oddHBand="0" w:evenHBand="0" w:firstRowFirstColumn="0" w:firstRowLastColumn="0" w:lastRowFirstColumn="0" w:lastRowLastColumn="0"/>
            <w:tcW w:w="3035" w:type="dxa"/>
          </w:tcPr>
          <w:p w14:paraId="78AA2059" w14:textId="77777777" w:rsidR="008417B5" w:rsidRPr="0001189E" w:rsidRDefault="008417B5" w:rsidP="008417B5">
            <w:pPr>
              <w:spacing w:line="360" w:lineRule="auto"/>
              <w:rPr>
                <w:rFonts w:ascii="Arial" w:hAnsi="Arial" w:cs="Arial"/>
                <w:sz w:val="28"/>
                <w:szCs w:val="28"/>
                <w:lang w:val="en-BB"/>
              </w:rPr>
            </w:pPr>
            <w:r w:rsidRPr="0001189E">
              <w:rPr>
                <w:rFonts w:ascii="Arial" w:hAnsi="Arial" w:cs="Arial"/>
                <w:sz w:val="28"/>
                <w:szCs w:val="28"/>
                <w:lang w:val="en-BB"/>
              </w:rPr>
              <w:t>Submission date:</w:t>
            </w:r>
          </w:p>
        </w:tc>
        <w:tc>
          <w:tcPr>
            <w:tcW w:w="6759" w:type="dxa"/>
          </w:tcPr>
          <w:p w14:paraId="31A7F423" w14:textId="77777777" w:rsidR="008417B5" w:rsidRPr="0001189E" w:rsidRDefault="008417B5" w:rsidP="008417B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01189E">
              <w:rPr>
                <w:rFonts w:ascii="Arial" w:hAnsi="Arial" w:cs="Arial"/>
                <w:b/>
                <w:bCs/>
                <w:sz w:val="28"/>
                <w:szCs w:val="28"/>
                <w:lang w:val="en-BB"/>
              </w:rPr>
              <w:t xml:space="preserve">Friday </w:t>
            </w:r>
            <w:r>
              <w:rPr>
                <w:rFonts w:ascii="Arial" w:hAnsi="Arial" w:cs="Arial"/>
                <w:b/>
                <w:bCs/>
                <w:sz w:val="28"/>
                <w:szCs w:val="28"/>
                <w:lang w:val="en-BB"/>
              </w:rPr>
              <w:t>1</w:t>
            </w:r>
            <w:r w:rsidRPr="0001189E">
              <w:rPr>
                <w:rFonts w:ascii="Arial" w:hAnsi="Arial" w:cs="Arial"/>
                <w:b/>
                <w:bCs/>
                <w:sz w:val="28"/>
                <w:szCs w:val="28"/>
                <w:lang w:val="en-BB"/>
              </w:rPr>
              <w:t>7/0</w:t>
            </w:r>
            <w:r>
              <w:rPr>
                <w:rFonts w:ascii="Arial" w:hAnsi="Arial" w:cs="Arial"/>
                <w:b/>
                <w:bCs/>
                <w:sz w:val="28"/>
                <w:szCs w:val="28"/>
                <w:lang w:val="en-BB"/>
              </w:rPr>
              <w:t>7</w:t>
            </w:r>
            <w:r w:rsidRPr="0001189E">
              <w:rPr>
                <w:rFonts w:ascii="Arial" w:hAnsi="Arial" w:cs="Arial"/>
                <w:b/>
                <w:bCs/>
                <w:sz w:val="28"/>
                <w:szCs w:val="28"/>
                <w:lang w:val="en-BB"/>
              </w:rPr>
              <w:t xml:space="preserve">/2026 </w:t>
            </w:r>
          </w:p>
        </w:tc>
      </w:tr>
    </w:tbl>
    <w:p w14:paraId="1DF3B2D8" w14:textId="15FE787A" w:rsidR="00186AFA" w:rsidRDefault="00186AFA" w:rsidP="005767AB">
      <w:pPr>
        <w:rPr>
          <w:rFonts w:ascii="Arial" w:hAnsi="Arial" w:cs="Arial"/>
          <w:b/>
          <w:bCs/>
        </w:rPr>
      </w:pPr>
    </w:p>
    <w:p w14:paraId="6B57DC3C" w14:textId="10FE2A00" w:rsidR="00186AFA" w:rsidRDefault="00186AFA" w:rsidP="005767AB">
      <w:pPr>
        <w:rPr>
          <w:rFonts w:ascii="Arial" w:hAnsi="Arial" w:cs="Arial"/>
          <w:b/>
          <w:bCs/>
        </w:rPr>
      </w:pPr>
    </w:p>
    <w:p w14:paraId="7C1DB6A9" w14:textId="77777777" w:rsidR="00186AFA" w:rsidRDefault="00186AFA" w:rsidP="005767AB">
      <w:pPr>
        <w:rPr>
          <w:rFonts w:ascii="Arial" w:hAnsi="Arial" w:cs="Arial"/>
          <w:b/>
          <w:bCs/>
        </w:rPr>
      </w:pPr>
    </w:p>
    <w:p w14:paraId="5613A0BE" w14:textId="77777777" w:rsidR="00186AFA" w:rsidRDefault="00186AFA" w:rsidP="005767AB">
      <w:pPr>
        <w:rPr>
          <w:rFonts w:ascii="Arial" w:hAnsi="Arial" w:cs="Arial"/>
          <w:b/>
          <w:bCs/>
        </w:rPr>
      </w:pPr>
    </w:p>
    <w:p w14:paraId="6EB51CB9" w14:textId="77777777" w:rsidR="00186AFA" w:rsidRDefault="00186AFA" w:rsidP="005767AB">
      <w:pPr>
        <w:rPr>
          <w:rFonts w:ascii="Arial" w:hAnsi="Arial" w:cs="Arial"/>
          <w:b/>
          <w:bCs/>
        </w:rPr>
      </w:pPr>
    </w:p>
    <w:p w14:paraId="105ADDA3" w14:textId="35ABE1C7" w:rsidR="00186AFA" w:rsidRDefault="008417B5" w:rsidP="00A3368E">
      <w:pPr>
        <w:spacing w:after="0" w:line="240" w:lineRule="auto"/>
        <w:jc w:val="center"/>
        <w:rPr>
          <w:rFonts w:ascii="Arial" w:hAnsi="Arial" w:cs="Arial"/>
          <w:b/>
          <w:bCs/>
          <w:sz w:val="32"/>
          <w:szCs w:val="32"/>
        </w:rPr>
      </w:pPr>
      <w:r w:rsidRPr="008417B5">
        <w:rPr>
          <w:rFonts w:ascii="Arial" w:hAnsi="Arial" w:cs="Arial"/>
          <w:b/>
          <w:bCs/>
          <w:sz w:val="32"/>
          <w:szCs w:val="32"/>
        </w:rPr>
        <w:lastRenderedPageBreak/>
        <w:t>Table of Content</w:t>
      </w:r>
    </w:p>
    <w:p w14:paraId="3EF4AA4A" w14:textId="77777777" w:rsidR="00A3368E" w:rsidRDefault="00A3368E" w:rsidP="00A3368E">
      <w:pPr>
        <w:spacing w:after="0" w:line="240" w:lineRule="auto"/>
        <w:jc w:val="center"/>
        <w:rPr>
          <w:rFonts w:ascii="Arial" w:hAnsi="Arial" w:cs="Arial"/>
          <w:b/>
          <w:bCs/>
          <w:sz w:val="32"/>
          <w:szCs w:val="32"/>
        </w:rPr>
      </w:pPr>
    </w:p>
    <w:p w14:paraId="17FFA873" w14:textId="77777777" w:rsidR="008417B5" w:rsidRPr="009B23A6" w:rsidRDefault="008417B5" w:rsidP="00A3368E">
      <w:pPr>
        <w:spacing w:after="0" w:line="480" w:lineRule="auto"/>
        <w:rPr>
          <w:rFonts w:ascii="Arial" w:hAnsi="Arial" w:cs="Arial"/>
          <w:b/>
          <w:bCs/>
          <w:lang w:val="en-BB"/>
        </w:rPr>
      </w:pPr>
      <w:r w:rsidRPr="009B23A6">
        <w:rPr>
          <w:rFonts w:ascii="Arial" w:hAnsi="Arial" w:cs="Arial"/>
          <w:b/>
          <w:bCs/>
        </w:rPr>
        <w:t>Section 1.1: Organisational Context and Overview</w:t>
      </w:r>
    </w:p>
    <w:p w14:paraId="45EE14C6" w14:textId="4A41C926" w:rsidR="008417B5" w:rsidRPr="008417B5" w:rsidRDefault="008417B5" w:rsidP="00A3368E">
      <w:pPr>
        <w:pStyle w:val="ListParagraph"/>
        <w:numPr>
          <w:ilvl w:val="0"/>
          <w:numId w:val="4"/>
        </w:numPr>
        <w:spacing w:after="0" w:line="480" w:lineRule="auto"/>
        <w:rPr>
          <w:rFonts w:ascii="Arial" w:hAnsi="Arial" w:cs="Arial"/>
          <w:b/>
          <w:bCs/>
          <w:lang w:val="en-BB"/>
        </w:rPr>
      </w:pPr>
      <w:r w:rsidRPr="008417B5">
        <w:rPr>
          <w:rFonts w:ascii="Arial" w:hAnsi="Arial" w:cs="Arial"/>
          <w:b/>
          <w:bCs/>
          <w:lang w:val="en-BB"/>
        </w:rPr>
        <w:t>Context and description of the organisation</w:t>
      </w:r>
    </w:p>
    <w:p w14:paraId="070447C3" w14:textId="01EB12FB" w:rsidR="008417B5" w:rsidRPr="008417B5" w:rsidRDefault="008417B5" w:rsidP="00A3368E">
      <w:pPr>
        <w:pStyle w:val="ListParagraph"/>
        <w:numPr>
          <w:ilvl w:val="0"/>
          <w:numId w:val="4"/>
        </w:numPr>
        <w:spacing w:after="0" w:line="480" w:lineRule="auto"/>
        <w:rPr>
          <w:rFonts w:ascii="Arial" w:hAnsi="Arial" w:cs="Arial"/>
          <w:b/>
          <w:bCs/>
          <w:lang w:val="en-BB"/>
        </w:rPr>
      </w:pPr>
      <w:r w:rsidRPr="009B23A6">
        <w:rPr>
          <w:rFonts w:ascii="Arial" w:eastAsia="Times New Roman" w:hAnsi="Arial" w:cs="Arial"/>
          <w:b/>
          <w:bCs/>
          <w:kern w:val="0"/>
          <w:lang w:val="en-BB" w:eastAsia="en-BB"/>
          <w14:ligatures w14:val="none"/>
        </w:rPr>
        <w:t>External Analysis: PESTEL Analysis</w:t>
      </w:r>
    </w:p>
    <w:p w14:paraId="28378BEA" w14:textId="14D00C79" w:rsidR="008417B5" w:rsidRDefault="008417B5" w:rsidP="00A3368E">
      <w:pPr>
        <w:pStyle w:val="ListParagraph"/>
        <w:numPr>
          <w:ilvl w:val="1"/>
          <w:numId w:val="4"/>
        </w:numPr>
        <w:spacing w:after="0" w:line="480" w:lineRule="auto"/>
        <w:rPr>
          <w:rFonts w:ascii="Arial" w:eastAsia="Times New Roman" w:hAnsi="Arial" w:cs="Arial"/>
          <w:b/>
          <w:bCs/>
          <w:kern w:val="0"/>
          <w:lang w:val="en-BB" w:eastAsia="en-BB"/>
          <w14:ligatures w14:val="none"/>
        </w:rPr>
      </w:pPr>
      <w:r w:rsidRPr="00CA50DD">
        <w:rPr>
          <w:rFonts w:ascii="Arial" w:eastAsia="Times New Roman" w:hAnsi="Arial" w:cs="Arial"/>
          <w:b/>
          <w:bCs/>
          <w:kern w:val="0"/>
          <w:lang w:val="en-BB" w:eastAsia="en-BB"/>
          <w14:ligatures w14:val="none"/>
        </w:rPr>
        <w:t>Internal Analysis: VRIO Framework</w:t>
      </w:r>
    </w:p>
    <w:p w14:paraId="4283B02D" w14:textId="0A3D0D61" w:rsidR="008417B5" w:rsidRDefault="008417B5" w:rsidP="00A3368E">
      <w:pPr>
        <w:pStyle w:val="ListParagraph"/>
        <w:spacing w:after="0" w:line="480" w:lineRule="auto"/>
        <w:rPr>
          <w:rFonts w:ascii="Arial" w:hAnsi="Arial" w:cs="Arial"/>
          <w:b/>
          <w:bCs/>
          <w:lang w:val="en-BB"/>
        </w:rPr>
      </w:pPr>
      <w:r w:rsidRPr="008417B5">
        <w:rPr>
          <w:rFonts w:ascii="Arial" w:hAnsi="Arial" w:cs="Arial"/>
          <w:b/>
          <w:bCs/>
          <w:lang w:val="en-BB"/>
        </w:rPr>
        <w:t>2.3. SWOT Analysis (Strengths, Weaknesses, Opportunities and Threats)</w:t>
      </w:r>
    </w:p>
    <w:p w14:paraId="55BAA8AE" w14:textId="77777777" w:rsidR="008417B5" w:rsidRPr="00CA50DD" w:rsidRDefault="008417B5" w:rsidP="00A3368E">
      <w:pPr>
        <w:spacing w:after="0" w:line="480" w:lineRule="auto"/>
        <w:rPr>
          <w:rFonts w:ascii="Arial" w:hAnsi="Arial" w:cs="Arial"/>
          <w:b/>
          <w:bCs/>
          <w:lang w:val="en-BB"/>
        </w:rPr>
      </w:pPr>
      <w:r w:rsidRPr="00CA50DD">
        <w:rPr>
          <w:rFonts w:ascii="Arial" w:hAnsi="Arial" w:cs="Arial"/>
          <w:b/>
          <w:bCs/>
          <w:lang w:val="en-BB"/>
        </w:rPr>
        <w:t>3. A holistic, broad look at the organization</w:t>
      </w:r>
    </w:p>
    <w:p w14:paraId="74E6029C" w14:textId="77777777" w:rsidR="008417B5" w:rsidRPr="00CA50DD" w:rsidRDefault="008417B5" w:rsidP="00A3368E">
      <w:pPr>
        <w:spacing w:after="0" w:line="480" w:lineRule="auto"/>
        <w:rPr>
          <w:rFonts w:ascii="Arial" w:hAnsi="Arial" w:cs="Arial"/>
          <w:b/>
          <w:bCs/>
          <w:lang w:val="en-BB"/>
        </w:rPr>
      </w:pPr>
      <w:r w:rsidRPr="00CA50DD">
        <w:rPr>
          <w:rFonts w:ascii="Arial" w:hAnsi="Arial" w:cs="Arial"/>
          <w:b/>
          <w:bCs/>
          <w:lang w:val="en-BB"/>
        </w:rPr>
        <w:t>3.1 Corporate Social Responsibility (CSR) Strategy</w:t>
      </w:r>
    </w:p>
    <w:p w14:paraId="7AEF0D01" w14:textId="77777777" w:rsidR="00A3368E" w:rsidRPr="00CA50DD" w:rsidRDefault="00A3368E" w:rsidP="00A3368E">
      <w:pPr>
        <w:spacing w:after="0" w:line="480" w:lineRule="auto"/>
        <w:rPr>
          <w:rFonts w:ascii="Arial" w:hAnsi="Arial" w:cs="Arial"/>
          <w:b/>
          <w:bCs/>
          <w:lang w:val="en-BB"/>
        </w:rPr>
      </w:pPr>
      <w:r w:rsidRPr="00CA50DD">
        <w:rPr>
          <w:rFonts w:ascii="Arial" w:hAnsi="Arial" w:cs="Arial"/>
          <w:b/>
          <w:bCs/>
          <w:lang w:val="en-BB"/>
        </w:rPr>
        <w:t>3.2. Analysis of the Balanced Scorecard</w:t>
      </w:r>
    </w:p>
    <w:p w14:paraId="3FD2D5E6" w14:textId="77777777" w:rsidR="00A3368E" w:rsidRPr="00CA50DD" w:rsidRDefault="00A3368E" w:rsidP="00A3368E">
      <w:pPr>
        <w:spacing w:after="0" w:line="480" w:lineRule="auto"/>
        <w:rPr>
          <w:rFonts w:ascii="Arial" w:hAnsi="Arial" w:cs="Arial"/>
          <w:b/>
          <w:bCs/>
          <w:lang w:val="en-BB"/>
        </w:rPr>
      </w:pPr>
      <w:r w:rsidRPr="00CA50DD">
        <w:rPr>
          <w:rFonts w:ascii="Arial" w:hAnsi="Arial" w:cs="Arial"/>
          <w:b/>
          <w:bCs/>
          <w:lang w:val="en-BB"/>
        </w:rPr>
        <w:t>Table 3.</w:t>
      </w:r>
      <w:r>
        <w:rPr>
          <w:rFonts w:ascii="Arial" w:hAnsi="Arial" w:cs="Arial"/>
          <w:b/>
          <w:bCs/>
          <w:lang w:val="en-BB"/>
        </w:rPr>
        <w:t>3</w:t>
      </w:r>
      <w:r w:rsidRPr="00CA50DD">
        <w:rPr>
          <w:rFonts w:ascii="Arial" w:hAnsi="Arial" w:cs="Arial"/>
          <w:b/>
          <w:bCs/>
          <w:lang w:val="en-BB"/>
        </w:rPr>
        <w:t xml:space="preserve"> Tesco PLC Balanced Scorecard</w:t>
      </w:r>
    </w:p>
    <w:p w14:paraId="1664C02F" w14:textId="6336EAEC" w:rsidR="00A3368E" w:rsidRDefault="00A3368E" w:rsidP="00A3368E">
      <w:pPr>
        <w:spacing w:after="0" w:line="480" w:lineRule="auto"/>
      </w:pPr>
      <w:r w:rsidRPr="00CA50DD">
        <w:rPr>
          <w:rFonts w:ascii="Arial" w:eastAsia="Times New Roman" w:hAnsi="Arial" w:cs="Arial"/>
          <w:b/>
          <w:bCs/>
          <w:kern w:val="0"/>
          <w:lang w:val="en-BB" w:eastAsia="en-BB"/>
          <w14:ligatures w14:val="none"/>
        </w:rPr>
        <w:t>4. Choosing and implementing a strategy</w:t>
      </w:r>
    </w:p>
    <w:p w14:paraId="322D8692" w14:textId="4CDF51C6" w:rsidR="00A3368E" w:rsidRDefault="00A3368E" w:rsidP="00A3368E">
      <w:pPr>
        <w:spacing w:after="0" w:line="480" w:lineRule="auto"/>
      </w:pPr>
      <w:r w:rsidRPr="00CA50DD">
        <w:rPr>
          <w:rFonts w:ascii="Arial" w:eastAsia="Times New Roman" w:hAnsi="Arial" w:cs="Arial"/>
          <w:b/>
          <w:bCs/>
          <w:kern w:val="0"/>
          <w:lang w:val="en-BB" w:eastAsia="en-BB"/>
          <w14:ligatures w14:val="none"/>
        </w:rPr>
        <w:t>4.1 Business Level Strategies</w:t>
      </w:r>
    </w:p>
    <w:p w14:paraId="17904B0F" w14:textId="3AC28EAB" w:rsidR="00A3368E" w:rsidRDefault="00A3368E" w:rsidP="00A3368E">
      <w:pPr>
        <w:spacing w:after="0" w:line="480" w:lineRule="auto"/>
      </w:pPr>
      <w:r w:rsidRPr="00CA50DD">
        <w:rPr>
          <w:rFonts w:ascii="Arial" w:eastAsia="Times New Roman" w:hAnsi="Arial" w:cs="Arial"/>
          <w:b/>
          <w:bCs/>
          <w:kern w:val="0"/>
          <w:lang w:val="en-BB" w:eastAsia="en-BB"/>
          <w14:ligatures w14:val="none"/>
        </w:rPr>
        <w:t>4.2 Industry Analysis: Porter’s Five Forces</w:t>
      </w:r>
      <w:r w:rsidRPr="00385E30">
        <w:rPr>
          <w:rFonts w:ascii="Arial" w:eastAsia="Times New Roman" w:hAnsi="Arial" w:cs="Arial"/>
          <w:kern w:val="0"/>
          <w:lang w:val="en-BB" w:eastAsia="en-BB"/>
          <w14:ligatures w14:val="none"/>
        </w:rPr>
        <w:t xml:space="preserve"> </w:t>
      </w:r>
    </w:p>
    <w:p w14:paraId="159C44E2" w14:textId="520C3E65" w:rsidR="00A3368E" w:rsidRDefault="00A3368E" w:rsidP="00A3368E">
      <w:pPr>
        <w:spacing w:after="0" w:line="480" w:lineRule="auto"/>
      </w:pPr>
      <w:r w:rsidRPr="00CA50DD">
        <w:rPr>
          <w:rFonts w:ascii="Arial" w:eastAsia="Times New Roman" w:hAnsi="Arial" w:cs="Arial"/>
          <w:b/>
          <w:bCs/>
          <w:kern w:val="0"/>
          <w:lang w:val="en-BB" w:eastAsia="en-BB"/>
          <w14:ligatures w14:val="none"/>
        </w:rPr>
        <w:t xml:space="preserve">4.3 Strategic Assessment: The Ansoff Matrix </w:t>
      </w:r>
    </w:p>
    <w:p w14:paraId="270B620D" w14:textId="77777777" w:rsidR="00A3368E" w:rsidRDefault="00A3368E" w:rsidP="00A3368E">
      <w:pPr>
        <w:spacing w:after="0" w:line="480" w:lineRule="auto"/>
      </w:pPr>
      <w:r w:rsidRPr="00CA50DD">
        <w:rPr>
          <w:rFonts w:ascii="Arial" w:eastAsia="Times New Roman" w:hAnsi="Arial" w:cs="Arial"/>
          <w:b/>
          <w:bCs/>
          <w:kern w:val="0"/>
          <w:lang w:val="en-BB" w:eastAsia="en-BB"/>
          <w14:ligatures w14:val="none"/>
        </w:rPr>
        <w:t xml:space="preserve">4.4 Suggested Approach with </w:t>
      </w:r>
      <w:proofErr w:type="spellStart"/>
      <w:r w:rsidRPr="00CA50DD">
        <w:rPr>
          <w:rFonts w:ascii="Arial" w:eastAsia="Times New Roman" w:hAnsi="Arial" w:cs="Arial"/>
          <w:b/>
          <w:bCs/>
          <w:kern w:val="0"/>
          <w:lang w:val="en-BB" w:eastAsia="en-BB"/>
          <w14:ligatures w14:val="none"/>
        </w:rPr>
        <w:t>SAFe</w:t>
      </w:r>
      <w:proofErr w:type="spellEnd"/>
      <w:r w:rsidRPr="00CA50DD">
        <w:rPr>
          <w:rFonts w:ascii="Arial" w:eastAsia="Times New Roman" w:hAnsi="Arial" w:cs="Arial"/>
          <w:b/>
          <w:bCs/>
          <w:kern w:val="0"/>
          <w:lang w:val="en-BB" w:eastAsia="en-BB"/>
          <w14:ligatures w14:val="none"/>
        </w:rPr>
        <w:t xml:space="preserve"> Framework</w:t>
      </w:r>
    </w:p>
    <w:p w14:paraId="7ABD5F4A" w14:textId="406DDEE1" w:rsidR="00A3368E" w:rsidRDefault="00A3368E" w:rsidP="00A3368E">
      <w:pPr>
        <w:spacing w:after="0" w:line="480" w:lineRule="auto"/>
      </w:pPr>
      <w:r w:rsidRPr="00CA50DD">
        <w:rPr>
          <w:rFonts w:ascii="Arial" w:eastAsia="Times New Roman" w:hAnsi="Arial" w:cs="Arial"/>
          <w:b/>
          <w:bCs/>
          <w:kern w:val="0"/>
          <w:lang w:val="en-BB" w:eastAsia="en-BB"/>
          <w14:ligatures w14:val="none"/>
        </w:rPr>
        <w:t>4.5 Challenges in Implementation and Recommendations</w:t>
      </w:r>
      <w:r w:rsidRPr="00385E30">
        <w:rPr>
          <w:rFonts w:ascii="Arial" w:eastAsia="Times New Roman" w:hAnsi="Arial" w:cs="Arial"/>
          <w:kern w:val="0"/>
          <w:lang w:val="en-BB" w:eastAsia="en-BB"/>
          <w14:ligatures w14:val="none"/>
        </w:rPr>
        <w:t xml:space="preserve"> </w:t>
      </w:r>
    </w:p>
    <w:p w14:paraId="4DFDA087" w14:textId="77777777" w:rsidR="00A3368E" w:rsidRDefault="00A3368E" w:rsidP="00A3368E">
      <w:pPr>
        <w:spacing w:after="0" w:line="480" w:lineRule="auto"/>
        <w:rPr>
          <w:rFonts w:ascii="Arial" w:hAnsi="Arial" w:cs="Arial"/>
          <w:b/>
          <w:bCs/>
          <w:lang w:val="en-BB"/>
        </w:rPr>
      </w:pPr>
      <w:r w:rsidRPr="009B23A6">
        <w:rPr>
          <w:rFonts w:ascii="Arial" w:hAnsi="Arial" w:cs="Arial"/>
          <w:b/>
          <w:bCs/>
          <w:lang w:val="en-BB"/>
        </w:rPr>
        <w:t>Section 2: Reflective Account Using Gibbs’ Reflective Cycle</w:t>
      </w:r>
    </w:p>
    <w:p w14:paraId="1604449F" w14:textId="2E51044E" w:rsidR="00A3368E" w:rsidRDefault="00A3368E" w:rsidP="00A3368E">
      <w:pPr>
        <w:spacing w:after="0" w:line="480" w:lineRule="auto"/>
      </w:pPr>
      <w:r w:rsidRPr="00CA50DD">
        <w:rPr>
          <w:rFonts w:ascii="Arial" w:hAnsi="Arial" w:cs="Arial"/>
          <w:b/>
          <w:bCs/>
          <w:lang w:val="en-BB"/>
        </w:rPr>
        <w:t>1. Description</w:t>
      </w:r>
    </w:p>
    <w:p w14:paraId="3CC9389E" w14:textId="4A51F298" w:rsidR="00A3368E" w:rsidRDefault="00A3368E" w:rsidP="00A3368E">
      <w:pPr>
        <w:spacing w:after="0" w:line="480" w:lineRule="auto"/>
      </w:pPr>
      <w:r w:rsidRPr="00CA50DD">
        <w:rPr>
          <w:rFonts w:ascii="Arial" w:hAnsi="Arial" w:cs="Arial"/>
          <w:b/>
          <w:bCs/>
          <w:lang w:val="en-BB"/>
        </w:rPr>
        <w:t>2. Emotions</w:t>
      </w:r>
    </w:p>
    <w:p w14:paraId="0E8DC95D" w14:textId="77777777" w:rsidR="00A3368E" w:rsidRDefault="00A3368E" w:rsidP="00A3368E">
      <w:pPr>
        <w:spacing w:after="0" w:line="480" w:lineRule="auto"/>
      </w:pPr>
      <w:r w:rsidRPr="00CA50DD">
        <w:rPr>
          <w:rFonts w:ascii="Arial" w:hAnsi="Arial" w:cs="Arial"/>
          <w:b/>
          <w:bCs/>
          <w:lang w:val="en-BB"/>
        </w:rPr>
        <w:t>3. Appraisal</w:t>
      </w:r>
    </w:p>
    <w:p w14:paraId="70729E98" w14:textId="2BC1AF46" w:rsidR="00A3368E" w:rsidRDefault="00A3368E" w:rsidP="00A3368E">
      <w:pPr>
        <w:spacing w:after="0" w:line="480" w:lineRule="auto"/>
      </w:pPr>
      <w:r w:rsidRPr="00CA50DD">
        <w:rPr>
          <w:rFonts w:ascii="Arial" w:hAnsi="Arial" w:cs="Arial"/>
          <w:b/>
          <w:bCs/>
          <w:lang w:val="en-BB"/>
        </w:rPr>
        <w:t>4.Analysis</w:t>
      </w:r>
      <w:r>
        <w:rPr>
          <w:rFonts w:ascii="Arial" w:hAnsi="Arial" w:cs="Arial"/>
          <w:lang w:val="en-BB"/>
        </w:rPr>
        <w:t xml:space="preserve"> </w:t>
      </w:r>
    </w:p>
    <w:p w14:paraId="783B14B1" w14:textId="77777777" w:rsidR="00A3368E" w:rsidRDefault="00A3368E" w:rsidP="00A3368E">
      <w:pPr>
        <w:spacing w:after="0" w:line="480" w:lineRule="auto"/>
      </w:pPr>
      <w:r w:rsidRPr="00CA50DD">
        <w:rPr>
          <w:rFonts w:ascii="Arial" w:hAnsi="Arial" w:cs="Arial"/>
          <w:b/>
          <w:bCs/>
          <w:lang w:val="en-BB"/>
        </w:rPr>
        <w:t>5. Conclusions</w:t>
      </w:r>
    </w:p>
    <w:p w14:paraId="0D95C4A9" w14:textId="77777777" w:rsidR="00A3368E" w:rsidRDefault="00A3368E" w:rsidP="00A3368E">
      <w:pPr>
        <w:spacing w:after="0" w:line="480" w:lineRule="auto"/>
      </w:pPr>
      <w:r w:rsidRPr="00186AFA">
        <w:rPr>
          <w:rFonts w:ascii="Arial" w:hAnsi="Arial" w:cs="Arial"/>
          <w:b/>
          <w:bCs/>
          <w:lang w:val="en-BB"/>
        </w:rPr>
        <w:t>6.Overall conclusion:</w:t>
      </w:r>
    </w:p>
    <w:p w14:paraId="35B11DC3" w14:textId="77777777" w:rsidR="008417B5" w:rsidRPr="008417B5" w:rsidRDefault="008417B5" w:rsidP="00A3368E">
      <w:pPr>
        <w:spacing w:after="0" w:line="240" w:lineRule="auto"/>
        <w:jc w:val="center"/>
        <w:rPr>
          <w:rFonts w:ascii="Arial" w:hAnsi="Arial" w:cs="Arial"/>
          <w:b/>
          <w:bCs/>
          <w:lang w:val="en-BB"/>
        </w:rPr>
      </w:pPr>
    </w:p>
    <w:p w14:paraId="74989AA3" w14:textId="77777777" w:rsidR="008417B5" w:rsidRPr="008417B5" w:rsidRDefault="008417B5" w:rsidP="008417B5">
      <w:pPr>
        <w:pStyle w:val="ListParagraph"/>
        <w:rPr>
          <w:rFonts w:ascii="Arial" w:hAnsi="Arial" w:cs="Arial"/>
          <w:b/>
          <w:bCs/>
          <w:lang w:val="en-BB"/>
        </w:rPr>
      </w:pPr>
    </w:p>
    <w:p w14:paraId="076A51C8" w14:textId="77777777" w:rsidR="008417B5" w:rsidRPr="008417B5" w:rsidRDefault="008417B5" w:rsidP="008417B5">
      <w:pPr>
        <w:rPr>
          <w:rFonts w:ascii="Arial" w:hAnsi="Arial" w:cs="Arial"/>
          <w:b/>
          <w:bCs/>
          <w:lang w:val="en-BB"/>
        </w:rPr>
      </w:pPr>
    </w:p>
    <w:p w14:paraId="65935B37" w14:textId="77777777" w:rsidR="008417B5" w:rsidRDefault="008417B5" w:rsidP="008417B5">
      <w:pPr>
        <w:jc w:val="center"/>
        <w:rPr>
          <w:rFonts w:ascii="Arial" w:hAnsi="Arial" w:cs="Arial"/>
          <w:b/>
          <w:bCs/>
          <w:sz w:val="32"/>
          <w:szCs w:val="32"/>
        </w:rPr>
      </w:pPr>
    </w:p>
    <w:p w14:paraId="2F4A2663" w14:textId="77777777" w:rsidR="00A3368E" w:rsidRDefault="00A3368E" w:rsidP="008417B5">
      <w:pPr>
        <w:jc w:val="center"/>
        <w:rPr>
          <w:rFonts w:ascii="Arial" w:hAnsi="Arial" w:cs="Arial"/>
          <w:b/>
          <w:bCs/>
          <w:sz w:val="32"/>
          <w:szCs w:val="32"/>
        </w:rPr>
      </w:pPr>
    </w:p>
    <w:p w14:paraId="4535CAA7" w14:textId="77777777" w:rsidR="00A3368E" w:rsidRDefault="00A3368E" w:rsidP="008417B5">
      <w:pPr>
        <w:jc w:val="center"/>
        <w:rPr>
          <w:rFonts w:ascii="Arial" w:hAnsi="Arial" w:cs="Arial"/>
          <w:b/>
          <w:bCs/>
          <w:sz w:val="32"/>
          <w:szCs w:val="32"/>
        </w:rPr>
      </w:pPr>
    </w:p>
    <w:p w14:paraId="59669392" w14:textId="77777777" w:rsidR="00A3368E" w:rsidRDefault="00A3368E" w:rsidP="008417B5">
      <w:pPr>
        <w:jc w:val="center"/>
        <w:rPr>
          <w:rFonts w:ascii="Arial" w:hAnsi="Arial" w:cs="Arial"/>
          <w:b/>
          <w:bCs/>
          <w:sz w:val="32"/>
          <w:szCs w:val="32"/>
        </w:rPr>
      </w:pPr>
    </w:p>
    <w:p w14:paraId="3A6F6445" w14:textId="77777777" w:rsidR="00A3368E" w:rsidRDefault="00A3368E" w:rsidP="008417B5">
      <w:pPr>
        <w:jc w:val="center"/>
        <w:rPr>
          <w:rFonts w:ascii="Arial" w:hAnsi="Arial" w:cs="Arial"/>
          <w:b/>
          <w:bCs/>
          <w:sz w:val="32"/>
          <w:szCs w:val="32"/>
        </w:rPr>
      </w:pPr>
    </w:p>
    <w:p w14:paraId="1BE36287" w14:textId="77777777" w:rsidR="00A3368E" w:rsidRPr="008417B5" w:rsidRDefault="00A3368E" w:rsidP="008417B5">
      <w:pPr>
        <w:jc w:val="center"/>
        <w:rPr>
          <w:rFonts w:ascii="Arial" w:hAnsi="Arial" w:cs="Arial"/>
          <w:b/>
          <w:bCs/>
          <w:sz w:val="32"/>
          <w:szCs w:val="32"/>
        </w:rPr>
      </w:pPr>
    </w:p>
    <w:p w14:paraId="4C8DBE52" w14:textId="77777777" w:rsidR="00186AFA" w:rsidRDefault="00186AFA" w:rsidP="005767AB">
      <w:pPr>
        <w:rPr>
          <w:rFonts w:ascii="Arial" w:hAnsi="Arial" w:cs="Arial"/>
          <w:b/>
          <w:bCs/>
        </w:rPr>
      </w:pPr>
    </w:p>
    <w:p w14:paraId="529055AD" w14:textId="158E6B74" w:rsidR="005767AB" w:rsidRPr="009B23A6" w:rsidRDefault="005767AB" w:rsidP="005767AB">
      <w:pPr>
        <w:rPr>
          <w:rFonts w:ascii="Arial" w:hAnsi="Arial" w:cs="Arial"/>
          <w:b/>
          <w:bCs/>
          <w:lang w:val="en-BB"/>
        </w:rPr>
      </w:pPr>
      <w:r w:rsidRPr="009B23A6">
        <w:rPr>
          <w:rFonts w:ascii="Arial" w:hAnsi="Arial" w:cs="Arial"/>
          <w:b/>
          <w:bCs/>
        </w:rPr>
        <w:t>Section 1.1: Organisational Context and Overview</w:t>
      </w:r>
    </w:p>
    <w:p w14:paraId="3A712BB4" w14:textId="0040D74D" w:rsidR="005767AB" w:rsidRPr="009B23A6" w:rsidRDefault="005767AB" w:rsidP="005767AB">
      <w:pPr>
        <w:rPr>
          <w:rFonts w:ascii="Arial" w:hAnsi="Arial" w:cs="Arial"/>
          <w:b/>
          <w:bCs/>
          <w:lang w:val="en-BB"/>
        </w:rPr>
      </w:pPr>
      <w:r w:rsidRPr="009B23A6">
        <w:rPr>
          <w:rFonts w:ascii="Arial" w:hAnsi="Arial" w:cs="Arial"/>
          <w:b/>
          <w:bCs/>
          <w:lang w:val="en-BB"/>
        </w:rPr>
        <w:t>1. Context and description of the organisation</w:t>
      </w:r>
    </w:p>
    <w:p w14:paraId="22A662DF" w14:textId="77777777" w:rsidR="005767AB" w:rsidRPr="00385E30" w:rsidRDefault="005767AB" w:rsidP="005767AB">
      <w:pPr>
        <w:rPr>
          <w:rFonts w:ascii="Arial" w:hAnsi="Arial" w:cs="Arial"/>
          <w:lang w:val="en-BB"/>
        </w:rPr>
      </w:pPr>
      <w:r w:rsidRPr="00385E30">
        <w:rPr>
          <w:rFonts w:ascii="Arial" w:hAnsi="Arial" w:cs="Arial"/>
          <w:lang w:val="en-BB"/>
        </w:rPr>
        <w:t xml:space="preserve">Tesco is the UK’s largest food retailer and one of Europe’s leading grocery businesses. Founded in London in 1919 by Jack Cohen, the company has grown from a market stall to become a multinational retailer, serving millions of customers through its supermarkets, convenience stores, online grocery platforms and wholesale operations. Although Tesco is an international company this report focuses exclusively on the UK grocery retail market as it is the largest source of revenue for Tesco, the most competitive market and the market in which Tesco’s strategic decisions have the most impact on long term performance. The UK business is the main driver of profitability and strategic investment, according to Tesco’s Annual Report, and hence the best unit of analysis to assess competitive advantage. </w:t>
      </w:r>
    </w:p>
    <w:p w14:paraId="642BCD9E" w14:textId="77777777" w:rsidR="005767AB" w:rsidRPr="00385E30" w:rsidRDefault="005767AB" w:rsidP="005767AB">
      <w:pPr>
        <w:rPr>
          <w:rFonts w:ascii="Arial" w:hAnsi="Arial" w:cs="Arial"/>
          <w:lang w:val="en-BB"/>
        </w:rPr>
      </w:pPr>
      <w:r w:rsidRPr="00385E30">
        <w:rPr>
          <w:rFonts w:ascii="Arial" w:hAnsi="Arial" w:cs="Arial"/>
          <w:lang w:val="en-BB"/>
        </w:rPr>
        <w:t xml:space="preserve">Our purpose is “Serving our customers, communities and planet a little better every day.” Rather than simply expanding through price competition, Tesco has sought to create value by combining affordability, product quality, convenience, digital innovation and sustainability. Its business model combines physical stores, online grocery, Booker wholesale, the Clubcard loyalty ecosystem, and data-driven customer personalisation. This hybrid model allows Tesco to achieve economies of scale </w:t>
      </w:r>
      <w:proofErr w:type="gramStart"/>
      <w:r w:rsidRPr="00385E30">
        <w:rPr>
          <w:rFonts w:ascii="Arial" w:hAnsi="Arial" w:cs="Arial"/>
          <w:lang w:val="en-BB"/>
        </w:rPr>
        <w:t>and also</w:t>
      </w:r>
      <w:proofErr w:type="gramEnd"/>
      <w:r w:rsidRPr="00385E30">
        <w:rPr>
          <w:rFonts w:ascii="Arial" w:hAnsi="Arial" w:cs="Arial"/>
          <w:lang w:val="en-BB"/>
        </w:rPr>
        <w:t xml:space="preserve"> improve consumer loyalty and operational efficiency. The company’s strategic ambitions are to win in food, meet more everyday customer needs, deepen supplier relationships, enhance personalised customer experiences and embed sustainability across its operations. </w:t>
      </w:r>
    </w:p>
    <w:p w14:paraId="7F7C009C" w14:textId="77777777" w:rsidR="005767AB" w:rsidRPr="00385E30" w:rsidRDefault="005767AB" w:rsidP="005767AB">
      <w:pPr>
        <w:rPr>
          <w:rFonts w:ascii="Arial" w:hAnsi="Arial" w:cs="Arial"/>
          <w:lang w:val="en-BB"/>
        </w:rPr>
      </w:pPr>
      <w:r w:rsidRPr="00385E30">
        <w:rPr>
          <w:rFonts w:ascii="Arial" w:hAnsi="Arial" w:cs="Arial"/>
          <w:lang w:val="en-BB"/>
        </w:rPr>
        <w:t xml:space="preserve">The grocery retail sector in the UK is very competitive, with low operating margins and fast-changing consumer behaviour. Established retailers such as Sainsbury’s, Asda and Morrisons compete with discount retailers Aldi and Lidl, while online competitors such as Ocado continue to redefine customer expectations of convenience and fulfilment. Inflationary pressures, technological disruption, sustainability regulations and changing consumer preferences have all increased </w:t>
      </w:r>
      <w:r w:rsidRPr="00385E30">
        <w:rPr>
          <w:rFonts w:ascii="Arial" w:hAnsi="Arial" w:cs="Arial"/>
          <w:lang w:val="en-BB"/>
        </w:rPr>
        <w:lastRenderedPageBreak/>
        <w:t xml:space="preserve">strategic competition across the sector. Competitive advantage is therefore shifting from price to supply chain resilience, digital capabilities, customer data analytics and operational efficiency. </w:t>
      </w:r>
    </w:p>
    <w:p w14:paraId="17635831" w14:textId="5330552F" w:rsidR="005F6212" w:rsidRPr="00385E30" w:rsidRDefault="005767AB" w:rsidP="005767AB">
      <w:pPr>
        <w:rPr>
          <w:rFonts w:ascii="Arial" w:hAnsi="Arial" w:cs="Arial"/>
          <w:lang w:val="en-BB"/>
        </w:rPr>
      </w:pPr>
      <w:r w:rsidRPr="00385E30">
        <w:rPr>
          <w:rFonts w:ascii="Arial" w:hAnsi="Arial" w:cs="Arial"/>
          <w:lang w:val="en-BB"/>
        </w:rPr>
        <w:t>Despite this Tesco has maintained its leadership position in the UK grocery market. The supermarket giant had some 28.7% of the UK grocery market, well ahead of its nearest rivals, according to government figures using data from Kantar. The company has reinforced this position through continual investment in Clubcard pricing, Aldi Price Match, online grocery expansion and convenience formats, a testament to an effective balance of cost leadership and value differentiation. This strategic position provides Tesco with considerable bargaining power, brand recognition and economies of scale that many of its competitors find it difficult to match.</w:t>
      </w:r>
    </w:p>
    <w:p w14:paraId="7FB7971D" w14:textId="28593D64" w:rsidR="002B4317" w:rsidRPr="00385E30" w:rsidRDefault="002B4317" w:rsidP="002414C8">
      <w:pPr>
        <w:spacing w:after="0" w:line="240" w:lineRule="auto"/>
        <w:rPr>
          <w:rFonts w:ascii="Arial" w:eastAsia="Times New Roman" w:hAnsi="Arial" w:cs="Arial"/>
          <w:kern w:val="0"/>
          <w:lang w:val="en-BB" w:eastAsia="en-BB"/>
          <w14:ligatures w14:val="none"/>
        </w:rPr>
      </w:pPr>
      <w:r w:rsidRPr="009B23A6">
        <w:rPr>
          <w:rFonts w:ascii="Arial" w:eastAsia="Times New Roman" w:hAnsi="Arial" w:cs="Arial"/>
          <w:b/>
          <w:bCs/>
          <w:kern w:val="0"/>
          <w:lang w:val="en-BB" w:eastAsia="en-BB"/>
          <w14:ligatures w14:val="none"/>
        </w:rPr>
        <w:t xml:space="preserve">2. External Analysis: PESTEL Analysis </w:t>
      </w:r>
      <w:r w:rsidRPr="009B23A6">
        <w:rPr>
          <w:rFonts w:ascii="Arial" w:eastAsia="Times New Roman" w:hAnsi="Arial" w:cs="Arial"/>
          <w:b/>
          <w:bCs/>
          <w:kern w:val="0"/>
          <w:lang w:val="en-BB" w:eastAsia="en-BB"/>
          <w14:ligatures w14:val="none"/>
        </w:rPr>
        <w:br/>
      </w:r>
      <w:r w:rsidRPr="00385E30">
        <w:rPr>
          <w:rFonts w:ascii="Arial" w:eastAsia="Times New Roman" w:hAnsi="Arial" w:cs="Arial"/>
          <w:kern w:val="0"/>
          <w:lang w:val="en-BB" w:eastAsia="en-BB"/>
          <w14:ligatures w14:val="none"/>
        </w:rPr>
        <w:br/>
        <w:t xml:space="preserve">External environment is important factor in determining strategic decisions of an organisation as it consists of factors which are beyond control of management and can be both opportunities and threats. The macro-environment is constantly being scanned by strategic managers </w:t>
      </w:r>
      <w:proofErr w:type="gramStart"/>
      <w:r w:rsidRPr="00385E30">
        <w:rPr>
          <w:rFonts w:ascii="Arial" w:eastAsia="Times New Roman" w:hAnsi="Arial" w:cs="Arial"/>
          <w:kern w:val="0"/>
          <w:lang w:val="en-BB" w:eastAsia="en-BB"/>
          <w14:ligatures w14:val="none"/>
        </w:rPr>
        <w:t>in an effort to</w:t>
      </w:r>
      <w:proofErr w:type="gramEnd"/>
      <w:r w:rsidRPr="00385E30">
        <w:rPr>
          <w:rFonts w:ascii="Arial" w:eastAsia="Times New Roman" w:hAnsi="Arial" w:cs="Arial"/>
          <w:kern w:val="0"/>
          <w:lang w:val="en-BB" w:eastAsia="en-BB"/>
          <w14:ligatures w14:val="none"/>
        </w:rPr>
        <w:t xml:space="preserve"> try and maintain competitive advantage (Johnson, Scholes and Whittington, 2020). The PESTEL framework is used to identify and evaluate the political, economic, social, technological, environmental and legal factors that affect Tesco’s strategic position in the UK grocery retail market. However, PESTEL is effective in identifying environmental </w:t>
      </w:r>
      <w:proofErr w:type="gramStart"/>
      <w:r w:rsidRPr="00385E30">
        <w:rPr>
          <w:rFonts w:ascii="Arial" w:eastAsia="Times New Roman" w:hAnsi="Arial" w:cs="Arial"/>
          <w:kern w:val="0"/>
          <w:lang w:val="en-BB" w:eastAsia="en-BB"/>
          <w14:ligatures w14:val="none"/>
        </w:rPr>
        <w:t>trends</w:t>
      </w:r>
      <w:proofErr w:type="gramEnd"/>
      <w:r w:rsidRPr="00385E30">
        <w:rPr>
          <w:rFonts w:ascii="Arial" w:eastAsia="Times New Roman" w:hAnsi="Arial" w:cs="Arial"/>
          <w:kern w:val="0"/>
          <w:lang w:val="en-BB" w:eastAsia="en-BB"/>
          <w14:ligatures w14:val="none"/>
        </w:rPr>
        <w:t xml:space="preserve"> but it does not rank the relative importance of these trends or give guide on how organisations should respond strategically (Yüksel, 2012). Therefore, this analysis concentrates on the most important aspects of Tesco competitive advantage.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Political Factors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political stability in the UK means Tesco is in a </w:t>
      </w:r>
      <w:proofErr w:type="gramStart"/>
      <w:r w:rsidRPr="00385E30">
        <w:rPr>
          <w:rFonts w:ascii="Arial" w:eastAsia="Times New Roman" w:hAnsi="Arial" w:cs="Arial"/>
          <w:kern w:val="0"/>
          <w:lang w:val="en-BB" w:eastAsia="en-BB"/>
          <w14:ligatures w14:val="none"/>
        </w:rPr>
        <w:t>fairly predictable</w:t>
      </w:r>
      <w:proofErr w:type="gramEnd"/>
      <w:r w:rsidRPr="00385E30">
        <w:rPr>
          <w:rFonts w:ascii="Arial" w:eastAsia="Times New Roman" w:hAnsi="Arial" w:cs="Arial"/>
          <w:kern w:val="0"/>
          <w:lang w:val="en-BB" w:eastAsia="en-BB"/>
          <w14:ligatures w14:val="none"/>
        </w:rPr>
        <w:t xml:space="preserve"> business environment. But there are operational difficulties in government policies. The complexities associated with Brexit, including additional customs procedures, labour shortages and changes of import rules, have resulted in more complex supply chains and increased procurement costs for food retailers (Tesco PLC, 2025). Labour costs have also increased because of increases in the National Living Wage and employer National Insurance contributions, and the size of the Tesco workforce.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Economic Issues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Economics is now central to Tesco’s strategy. With persistent inflation, rising cost of living and lower disposable income the change in consumer buying behaviour is fundamentally different. Customers are more focused on affordability than brand loyalty because of food inflation. This is resulting in greater competition in the supermarkets (Office for National Statistics, 2025).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 xml:space="preserve">Social aspects: </w:t>
      </w:r>
      <w:r w:rsidRPr="009B23A6">
        <w:rPr>
          <w:rFonts w:ascii="Arial" w:eastAsia="Times New Roman" w:hAnsi="Arial" w:cs="Arial"/>
          <w:b/>
          <w:bCs/>
          <w:kern w:val="0"/>
          <w:lang w:val="en-BB" w:eastAsia="en-BB"/>
          <w14:ligatures w14:val="none"/>
        </w:rPr>
        <w:br/>
      </w:r>
      <w:r w:rsidRPr="009B23A6">
        <w:rPr>
          <w:rFonts w:ascii="Arial" w:eastAsia="Times New Roman" w:hAnsi="Arial" w:cs="Arial"/>
          <w:b/>
          <w:bCs/>
          <w:kern w:val="0"/>
          <w:lang w:val="en-BB" w:eastAsia="en-BB"/>
          <w14:ligatures w14:val="none"/>
        </w:rPr>
        <w:br/>
      </w:r>
      <w:r w:rsidRPr="00385E30">
        <w:rPr>
          <w:rFonts w:ascii="Arial" w:eastAsia="Times New Roman" w:hAnsi="Arial" w:cs="Arial"/>
          <w:kern w:val="0"/>
          <w:lang w:val="en-BB" w:eastAsia="en-BB"/>
          <w14:ligatures w14:val="none"/>
        </w:rPr>
        <w:lastRenderedPageBreak/>
        <w:t xml:space="preserve">Consumer tastes have been a huge factor in the UK grocery sector. Today’s consumers want products that are healthy, ethically sourced, convenient, and personalised in their shopping experience (Deloitte, 2024). Meanwhile, demographic trends such as an ageing population and smaller households have helped drive demand for convenience stores and online grocery.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Technological Factors: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Grocery retailers are increasingly leveraging technology to gain a competitive edge. Artificial intelligence, automation and data analytics can be used by organisations for digital transformation to improve operational efficiency, inventory management and customer experiences (Verhoef et al., 2021). </w:t>
      </w:r>
      <w:r w:rsidRPr="00385E30">
        <w:rPr>
          <w:rFonts w:ascii="Arial" w:eastAsia="Times New Roman" w:hAnsi="Arial" w:cs="Arial"/>
          <w:kern w:val="0"/>
          <w:lang w:val="en-BB" w:eastAsia="en-BB"/>
          <w14:ligatures w14:val="none"/>
        </w:rPr>
        <w:b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 xml:space="preserve">Environmental effects </w:t>
      </w:r>
      <w:r w:rsidRPr="009B23A6">
        <w:rPr>
          <w:rFonts w:ascii="Arial" w:eastAsia="Times New Roman" w:hAnsi="Arial" w:cs="Arial"/>
          <w:b/>
          <w:bCs/>
          <w:kern w:val="0"/>
          <w:lang w:val="en-BB" w:eastAsia="en-BB"/>
          <w14:ligatures w14:val="none"/>
        </w:rPr>
        <w:br/>
      </w:r>
      <w:r w:rsidRPr="009B23A6">
        <w:rPr>
          <w:rFonts w:ascii="Arial" w:eastAsia="Times New Roman" w:hAnsi="Arial" w:cs="Arial"/>
          <w:b/>
          <w:bCs/>
          <w:kern w:val="0"/>
          <w:lang w:val="en-BB" w:eastAsia="en-BB"/>
          <w14:ligatures w14:val="none"/>
        </w:rPr>
        <w:br/>
      </w:r>
      <w:r w:rsidRPr="00385E30">
        <w:rPr>
          <w:rFonts w:ascii="Arial" w:eastAsia="Times New Roman" w:hAnsi="Arial" w:cs="Arial"/>
          <w:kern w:val="0"/>
          <w:lang w:val="en-BB" w:eastAsia="en-BB"/>
          <w14:ligatures w14:val="none"/>
        </w:rPr>
        <w:t xml:space="preserve">Environmental sustainability has gone from being a corporate responsibility program to a strategic necessity. Consumers, investors and regulators are demanding more from retailers to cut carbon emissions, reduce food waste and make packaging more sustainable (European Commission, 2024).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Legal issues.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business of grocery retailing is heavily regulated. Tesco must follow the UK laws on food safety, consumer protection, competition law, employment rights and data protection, particularly the UK General Data Protection Regulation (UK GDPR). Non-compliance could result in hefty fines and reputational damage (Information Commissioner’s Office, 2024).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9B23A6">
        <w:rPr>
          <w:rFonts w:ascii="Arial" w:eastAsia="Times New Roman" w:hAnsi="Arial" w:cs="Arial"/>
          <w:b/>
          <w:bCs/>
          <w:kern w:val="0"/>
          <w:lang w:val="en-BB" w:eastAsia="en-BB"/>
          <w14:ligatures w14:val="none"/>
        </w:rPr>
        <w:t>The Ultimate Analysis PESTEL Analysis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PESTEL analysis indicates that Tesco operates in a dynamic external environment with impacts from inflation, technological disruption, sustainability expectations and intense competition. Political and legal factors are likely to increase operating costs whereas technology innovation and change in consumer behaviour present opportunities for differentiation and </w:t>
      </w:r>
      <w:proofErr w:type="gramStart"/>
      <w:r w:rsidRPr="00385E30">
        <w:rPr>
          <w:rFonts w:ascii="Arial" w:eastAsia="Times New Roman" w:hAnsi="Arial" w:cs="Arial"/>
          <w:kern w:val="0"/>
          <w:lang w:val="en-BB" w:eastAsia="en-BB"/>
          <w14:ligatures w14:val="none"/>
        </w:rPr>
        <w:t>long term</w:t>
      </w:r>
      <w:proofErr w:type="gramEnd"/>
      <w:r w:rsidRPr="00385E30">
        <w:rPr>
          <w:rFonts w:ascii="Arial" w:eastAsia="Times New Roman" w:hAnsi="Arial" w:cs="Arial"/>
          <w:kern w:val="0"/>
          <w:lang w:val="en-BB" w:eastAsia="en-BB"/>
          <w14:ligatures w14:val="none"/>
        </w:rPr>
        <w:t xml:space="preserve"> growth. However, the framework has limitations in its consideration of macro-environmental influences but not industry competitiveness and organisational capabilities. Therefore, PESTEL combined with internal analysis techniques such as VRIO will create a better understanding of the strategic position of Tesco (Johnson et al., 2020).</w:t>
      </w:r>
    </w:p>
    <w:p w14:paraId="55396349" w14:textId="77777777" w:rsidR="002B4317" w:rsidRPr="00CA50DD" w:rsidRDefault="002B4317" w:rsidP="005F6212">
      <w:pPr>
        <w:rPr>
          <w:rFonts w:ascii="Arial" w:hAnsi="Arial" w:cs="Arial"/>
          <w:b/>
          <w:bCs/>
          <w:lang w:val="en-BB"/>
        </w:rPr>
      </w:pPr>
    </w:p>
    <w:p w14:paraId="2A4D7F29" w14:textId="63F0985A" w:rsidR="002B4317" w:rsidRPr="00385E30" w:rsidRDefault="002B4317" w:rsidP="00CA50DD">
      <w:pPr>
        <w:spacing w:after="0" w:line="240" w:lineRule="auto"/>
        <w:rPr>
          <w:rFonts w:ascii="Arial" w:hAnsi="Arial" w:cs="Arial"/>
          <w:lang w:val="en-BB"/>
        </w:rPr>
      </w:pPr>
      <w:r w:rsidRPr="00CA50DD">
        <w:rPr>
          <w:rFonts w:ascii="Arial" w:eastAsia="Times New Roman" w:hAnsi="Arial" w:cs="Arial"/>
          <w:b/>
          <w:bCs/>
          <w:kern w:val="0"/>
          <w:lang w:val="en-BB" w:eastAsia="en-BB"/>
          <w14:ligatures w14:val="none"/>
        </w:rPr>
        <w:t>2.2 Internal Analysis: VRIO Framework</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Although a PESTEL analysis helps identify the external factors impacting Tesco’s strategic environment, ultimately, Tesco’s sustainable competitive advantage relies on the internal resources and capabilities of the organisation. According to the Resource-Based View (RBV), organisations can achieve superior performance by exploiting resources that are rare for rivals to obtain or imitate (Barney, 1991). </w:t>
      </w:r>
      <w:r w:rsidRPr="00385E30">
        <w:rPr>
          <w:rFonts w:ascii="Arial" w:eastAsia="Times New Roman" w:hAnsi="Arial" w:cs="Arial"/>
          <w:kern w:val="0"/>
          <w:lang w:val="en-BB" w:eastAsia="en-BB"/>
          <w14:ligatures w14:val="none"/>
        </w:rPr>
        <w:lastRenderedPageBreak/>
        <w:t xml:space="preserve">Barney (1991) developed the VRIO framework to assess whether organisational resources are Valuable (V), Rare (R), Inimitable (I) and Organised (O) to establish whether they yield temporary or sustained competitive </w:t>
      </w:r>
      <w:proofErr w:type="gramStart"/>
      <w:r w:rsidRPr="00385E30">
        <w:rPr>
          <w:rFonts w:ascii="Arial" w:eastAsia="Times New Roman" w:hAnsi="Arial" w:cs="Arial"/>
          <w:kern w:val="0"/>
          <w:lang w:val="en-BB" w:eastAsia="en-BB"/>
          <w14:ligatures w14:val="none"/>
        </w:rPr>
        <w:t>advantage .</w:t>
      </w:r>
      <w:proofErr w:type="gramEnd"/>
      <w:r w:rsidRPr="00385E30">
        <w:rPr>
          <w:rFonts w:ascii="Arial" w:eastAsia="Times New Roman" w:hAnsi="Arial" w:cs="Arial"/>
          <w:kern w:val="0"/>
          <w:lang w:val="en-BB" w:eastAsia="en-BB"/>
          <w14:ligatures w14:val="none"/>
        </w:rPr>
        <w:t xml:space="preserve"> VRIO helps in finding internal strengths. One of the drawbacks of VRIO is that it assumes resources to be relatively stable in the face of rapidly changing market conditions (Knott, 2015). This means that Tesco needs to constantly improve its strategic capabilities </w:t>
      </w:r>
      <w:proofErr w:type="gramStart"/>
      <w:r w:rsidRPr="00385E30">
        <w:rPr>
          <w:rFonts w:ascii="Arial" w:eastAsia="Times New Roman" w:hAnsi="Arial" w:cs="Arial"/>
          <w:kern w:val="0"/>
          <w:lang w:val="en-BB" w:eastAsia="en-BB"/>
          <w14:ligatures w14:val="none"/>
        </w:rPr>
        <w:t>so as to</w:t>
      </w:r>
      <w:proofErr w:type="gramEnd"/>
      <w:r w:rsidRPr="00385E30">
        <w:rPr>
          <w:rFonts w:ascii="Arial" w:eastAsia="Times New Roman" w:hAnsi="Arial" w:cs="Arial"/>
          <w:kern w:val="0"/>
          <w:lang w:val="en-BB" w:eastAsia="en-BB"/>
          <w14:ligatures w14:val="none"/>
        </w:rPr>
        <w:t xml:space="preserve"> maintain its competitive position.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Brand Equity and Market Leadership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 has been built up over 100+ years of operations to be one of the strongest retail brands in the UK. The Tesco brand is powerful enough to draw in customers and to secure good deals with suppliers, and to enjoy high levels of trust from consumers. According to Tesco PLC (2025) it is the biggest player in the UK grocery market with a strong customer confidence despite the increasing competition.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From a VRIO perspective, Tesco’s brand is valuable as it influences the purchasing decisions of customers and aids the ability to provide services at a premium price. Other competitors include Sainsbury’s and Asda, which also have recognised </w:t>
      </w:r>
      <w:proofErr w:type="gramStart"/>
      <w:r w:rsidRPr="00385E30">
        <w:rPr>
          <w:rFonts w:ascii="Arial" w:eastAsia="Times New Roman" w:hAnsi="Arial" w:cs="Arial"/>
          <w:kern w:val="0"/>
          <w:lang w:val="en-BB" w:eastAsia="en-BB"/>
          <w14:ligatures w14:val="none"/>
        </w:rPr>
        <w:t>brands</w:t>
      </w:r>
      <w:proofErr w:type="gramEnd"/>
      <w:r w:rsidRPr="00385E30">
        <w:rPr>
          <w:rFonts w:ascii="Arial" w:eastAsia="Times New Roman" w:hAnsi="Arial" w:cs="Arial"/>
          <w:kern w:val="0"/>
          <w:lang w:val="en-BB" w:eastAsia="en-BB"/>
          <w14:ligatures w14:val="none"/>
        </w:rPr>
        <w:t xml:space="preserve"> but Tesco’s combination of scale, customer loyalty and long-term reputation makes this resource difficult to replicate. The integrated marketing, Clubcard and omnichannel retailing approach has enabled Tesco to build sustainable competitive advantage by structuring its operations effectively.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But a company’s image is still susceptible to reputational crises, shifts in consumer tastes and increased public scrutiny of environmental and social responsibility. </w:t>
      </w:r>
      <w:proofErr w:type="gramStart"/>
      <w:r w:rsidRPr="00385E30">
        <w:rPr>
          <w:rFonts w:ascii="Arial" w:eastAsia="Times New Roman" w:hAnsi="Arial" w:cs="Arial"/>
          <w:kern w:val="0"/>
          <w:lang w:val="en-BB" w:eastAsia="en-BB"/>
          <w14:ligatures w14:val="none"/>
        </w:rPr>
        <w:t>Thus</w:t>
      </w:r>
      <w:proofErr w:type="gramEnd"/>
      <w:r w:rsidRPr="00385E30">
        <w:rPr>
          <w:rFonts w:ascii="Arial" w:eastAsia="Times New Roman" w:hAnsi="Arial" w:cs="Arial"/>
          <w:kern w:val="0"/>
          <w:lang w:val="en-BB" w:eastAsia="en-BB"/>
          <w14:ligatures w14:val="none"/>
        </w:rPr>
        <w:t xml:space="preserve"> Tesco needs to continue to invest in customer trust and ethical business practices to maintain this strategic asset.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Customer Data and the Clubcard loyalty program</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Tesco’s Clubcard is one of the most strategically critical capabilities. Since the programme’s inception, it has evolved from a traditional loyalty scheme to a sophisticated customer data platform enabling personalised pricing, targeted promotions and predictive analytics.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This is an important skill as it results in better customer retention, more efficient marketing and enables data-driven decision making (Tesco PLC, 2025). Retailers often have loyalty schemes but Tesco’s enormous customer database, accumulated over many years, is far bigger than many rivals. Therefore, the basic customer insight from Clubcard is difficult to copy.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 has also successfully integrated its technology infrastructure to include customer analytics as part of pricing, inventory management and promotional activities. This combination meets all four VRIO criteria and therefore gives Tesco a sustainable competitive advantage.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However, continued investment in security, data governance and compliance with UK GDPR regulations is needed to protect customer trust and minimise legal risks to hold on to this advantage.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lastRenderedPageBreak/>
        <w:br/>
      </w:r>
      <w:r w:rsidRPr="00CA50DD">
        <w:rPr>
          <w:rFonts w:ascii="Arial" w:eastAsia="Times New Roman" w:hAnsi="Arial" w:cs="Arial"/>
          <w:b/>
          <w:bCs/>
          <w:kern w:val="0"/>
          <w:lang w:val="en-BB" w:eastAsia="en-BB"/>
          <w14:ligatures w14:val="none"/>
        </w:rPr>
        <w:t>Supply chain and distribution network</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Another strategically important capability is Tesco’s integrated supply chain. The company has a wide logistics network with automated distribution centres, long-term supplier relationships and sophisticated inventory management systems (Tesco PLC, 2025).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supply chain improves product availability, reduces operating costs and improves responsiveness to customer demand. Competitors have sophisticated logistics systems too, but the scale and experience of running its operations nationally generate efficiencies that are hard to replicate entirely. Those skills shone through most during times of supply chain disruption, when Tesco was more resilient than many of its smaller rivals.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However, supply chains remain susceptible to geopolitical uncertainty, labour shortages and climate-related disruptions. Therefore, continuous investment in digital logistics, supplier diversification and risk management is necessary to guarantee operational resilience.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 xml:space="preserve">Economies of Scale </w:t>
      </w:r>
      <w:proofErr w:type="gramStart"/>
      <w:r w:rsidRPr="00CA50DD">
        <w:rPr>
          <w:rFonts w:ascii="Arial" w:eastAsia="Times New Roman" w:hAnsi="Arial" w:cs="Arial"/>
          <w:b/>
          <w:bCs/>
          <w:kern w:val="0"/>
          <w:lang w:val="en-BB" w:eastAsia="en-BB"/>
          <w14:ligatures w14:val="none"/>
        </w:rPr>
        <w:t>And</w:t>
      </w:r>
      <w:proofErr w:type="gramEnd"/>
      <w:r w:rsidRPr="00CA50DD">
        <w:rPr>
          <w:rFonts w:ascii="Arial" w:eastAsia="Times New Roman" w:hAnsi="Arial" w:cs="Arial"/>
          <w:b/>
          <w:bCs/>
          <w:kern w:val="0"/>
          <w:lang w:val="en-BB" w:eastAsia="en-BB"/>
          <w14:ligatures w14:val="none"/>
        </w:rPr>
        <w:t xml:space="preserve"> Financial Strength</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 has a lot of money so it can afford to spend on technology, updating its stores, green initiatives and keep its prices competitive. And large buying volumes generate large economies of scale which increase Tesco's bargaining power with suppliers and allow lower operating costs.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Money is a valuable resource, but it is not a limited resource: other big supermarket chains have big financial resources. So, financial strength alone is a temporary competitive advantage. But Tesco’s overall strategic position is aided by its ability to combine financial muscle with operational excellence.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p>
    <w:p w14:paraId="06356867" w14:textId="77777777" w:rsidR="002A452B" w:rsidRPr="00CA50DD" w:rsidRDefault="002A452B" w:rsidP="002A452B">
      <w:pPr>
        <w:rPr>
          <w:rFonts w:ascii="Arial" w:hAnsi="Arial" w:cs="Arial"/>
          <w:b/>
          <w:bCs/>
          <w:lang w:val="en-BB"/>
        </w:rPr>
      </w:pPr>
      <w:r w:rsidRPr="00CA50DD">
        <w:rPr>
          <w:rFonts w:ascii="Arial" w:hAnsi="Arial" w:cs="Arial"/>
          <w:b/>
          <w:bCs/>
          <w:lang w:val="en-BB"/>
        </w:rPr>
        <w:t xml:space="preserve">2.3. SWOT Analysis (Strengths, Weaknesses, Opportunities and Threats) </w:t>
      </w:r>
    </w:p>
    <w:p w14:paraId="49F2E2F3" w14:textId="77777777" w:rsidR="002A452B" w:rsidRPr="00385E30" w:rsidRDefault="002A452B" w:rsidP="002A452B">
      <w:pPr>
        <w:rPr>
          <w:rFonts w:ascii="Arial" w:hAnsi="Arial" w:cs="Arial"/>
          <w:lang w:val="en-BB"/>
        </w:rPr>
      </w:pPr>
    </w:p>
    <w:p w14:paraId="05F97293" w14:textId="77777777" w:rsidR="002A452B" w:rsidRPr="00385E30" w:rsidRDefault="002A452B" w:rsidP="002A452B">
      <w:pPr>
        <w:rPr>
          <w:rFonts w:ascii="Arial" w:hAnsi="Arial" w:cs="Arial"/>
          <w:lang w:val="en-BB"/>
        </w:rPr>
      </w:pPr>
      <w:r w:rsidRPr="00385E30">
        <w:rPr>
          <w:rFonts w:ascii="Arial" w:hAnsi="Arial" w:cs="Arial"/>
          <w:lang w:val="en-BB"/>
        </w:rPr>
        <w:t>This paper carefully analyses the strategic position of Tesco, through the application of SWOT analysis with PESTEL and VRIO analysis. PESTEL and VRIO analysis are used to analyse the internal and external environment. SWOT matches the strengths and weaknesses of the organisation with external opportunities and threats to identify strategic priorities (Gürel and Tat, 2017).  However, SWOT has been criticised for its over-simplification of complex strategic issues and its reliance on managerial judgement in prioritising factors (Helms and Nixon, 2010).  The analysis below therefore concentrates on those strategic issues most pertinent to the above.</w:t>
      </w:r>
    </w:p>
    <w:p w14:paraId="4DAD3344" w14:textId="77777777" w:rsidR="002A452B" w:rsidRPr="00385E30" w:rsidRDefault="002A452B" w:rsidP="002A452B">
      <w:pPr>
        <w:rPr>
          <w:rFonts w:ascii="Arial" w:hAnsi="Arial" w:cs="Arial"/>
          <w:lang w:val="en-BB"/>
        </w:rPr>
      </w:pPr>
    </w:p>
    <w:p w14:paraId="08948495" w14:textId="77777777" w:rsidR="002A452B" w:rsidRPr="00CA50DD" w:rsidRDefault="002A452B" w:rsidP="002A452B">
      <w:pPr>
        <w:rPr>
          <w:rFonts w:ascii="Arial" w:hAnsi="Arial" w:cs="Arial"/>
          <w:b/>
          <w:bCs/>
          <w:lang w:val="en-BB"/>
        </w:rPr>
      </w:pPr>
      <w:r w:rsidRPr="00CA50DD">
        <w:rPr>
          <w:rFonts w:ascii="Arial" w:hAnsi="Arial" w:cs="Arial"/>
          <w:b/>
          <w:bCs/>
          <w:lang w:val="en-BB"/>
        </w:rPr>
        <w:t>ADVANTAGES</w:t>
      </w:r>
    </w:p>
    <w:p w14:paraId="44AF098B" w14:textId="77777777" w:rsidR="002A452B" w:rsidRPr="00385E30" w:rsidRDefault="002A452B" w:rsidP="002A452B">
      <w:pPr>
        <w:rPr>
          <w:rFonts w:ascii="Arial" w:hAnsi="Arial" w:cs="Arial"/>
          <w:lang w:val="en-BB"/>
        </w:rPr>
      </w:pPr>
    </w:p>
    <w:p w14:paraId="0A0DE2EE" w14:textId="77777777" w:rsidR="002A452B" w:rsidRPr="00385E30" w:rsidRDefault="002A452B" w:rsidP="002A452B">
      <w:pPr>
        <w:rPr>
          <w:rFonts w:ascii="Arial" w:hAnsi="Arial" w:cs="Arial"/>
          <w:lang w:val="en-BB"/>
        </w:rPr>
      </w:pPr>
      <w:r w:rsidRPr="00385E30">
        <w:rPr>
          <w:rFonts w:ascii="Arial" w:hAnsi="Arial" w:cs="Arial"/>
          <w:lang w:val="en-BB"/>
        </w:rPr>
        <w:t>Tesco's strength is its position as the largest player in the UK grocery market, backed by a strong brand presence, a wide store network and excellent omnichannel capabilities (Tesco PLC, 2025). Tesco benefits from economies of scale from these resources meaning that Tesco will be able to purchase products at lower prices and have more power when negotiating with suppliers than many of their competitors.</w:t>
      </w:r>
    </w:p>
    <w:p w14:paraId="51C7783C" w14:textId="77777777" w:rsidR="002A452B" w:rsidRPr="00385E30" w:rsidRDefault="002A452B" w:rsidP="002A452B">
      <w:pPr>
        <w:rPr>
          <w:rFonts w:ascii="Arial" w:hAnsi="Arial" w:cs="Arial"/>
          <w:lang w:val="en-BB"/>
        </w:rPr>
      </w:pPr>
    </w:p>
    <w:p w14:paraId="34278FE0" w14:textId="77777777" w:rsidR="002A452B" w:rsidRPr="00385E30" w:rsidRDefault="002A452B" w:rsidP="002A452B">
      <w:pPr>
        <w:rPr>
          <w:rFonts w:ascii="Arial" w:hAnsi="Arial" w:cs="Arial"/>
          <w:lang w:val="en-BB"/>
        </w:rPr>
      </w:pPr>
    </w:p>
    <w:p w14:paraId="6CC7542C" w14:textId="77777777" w:rsidR="002A452B" w:rsidRPr="00CA50DD" w:rsidRDefault="002A452B" w:rsidP="002A452B">
      <w:pPr>
        <w:rPr>
          <w:rFonts w:ascii="Arial" w:hAnsi="Arial" w:cs="Arial"/>
          <w:b/>
          <w:bCs/>
          <w:lang w:val="en-BB"/>
        </w:rPr>
      </w:pPr>
      <w:r w:rsidRPr="00CA50DD">
        <w:rPr>
          <w:rFonts w:ascii="Arial" w:hAnsi="Arial" w:cs="Arial"/>
          <w:b/>
          <w:bCs/>
          <w:lang w:val="en-BB"/>
        </w:rPr>
        <w:t xml:space="preserve">Security Concerns: </w:t>
      </w:r>
    </w:p>
    <w:p w14:paraId="35F506FC" w14:textId="77777777" w:rsidR="002A452B" w:rsidRPr="00385E30" w:rsidRDefault="002A452B" w:rsidP="002A452B">
      <w:pPr>
        <w:rPr>
          <w:rFonts w:ascii="Arial" w:hAnsi="Arial" w:cs="Arial"/>
          <w:lang w:val="en-BB"/>
        </w:rPr>
      </w:pPr>
    </w:p>
    <w:p w14:paraId="1419B3B6" w14:textId="77777777" w:rsidR="002A452B" w:rsidRPr="00385E30" w:rsidRDefault="002A452B" w:rsidP="002A452B">
      <w:pPr>
        <w:rPr>
          <w:rFonts w:ascii="Arial" w:hAnsi="Arial" w:cs="Arial"/>
          <w:lang w:val="en-BB"/>
        </w:rPr>
      </w:pPr>
      <w:r w:rsidRPr="00385E30">
        <w:rPr>
          <w:rFonts w:ascii="Arial" w:hAnsi="Arial" w:cs="Arial"/>
          <w:lang w:val="en-BB"/>
        </w:rPr>
        <w:t>Tesco has many strengths, but it also has internal weaknesses.  This makes it more sensitive to the changes that will occur in economy, inflation and changes to the spending habits of consumers in the UK. The concentration of Tesco raises its strategic risk against world retailers in more diversified markets.</w:t>
      </w:r>
    </w:p>
    <w:p w14:paraId="39100F81" w14:textId="77777777" w:rsidR="002A452B" w:rsidRPr="00385E30" w:rsidRDefault="002A452B" w:rsidP="002A452B">
      <w:pPr>
        <w:rPr>
          <w:rFonts w:ascii="Arial" w:hAnsi="Arial" w:cs="Arial"/>
          <w:lang w:val="en-BB"/>
        </w:rPr>
      </w:pPr>
    </w:p>
    <w:p w14:paraId="15F98C76" w14:textId="77777777" w:rsidR="002A452B" w:rsidRPr="00385E30" w:rsidRDefault="002A452B" w:rsidP="002A452B">
      <w:pPr>
        <w:rPr>
          <w:rFonts w:ascii="Arial" w:hAnsi="Arial" w:cs="Arial"/>
          <w:lang w:val="en-BB"/>
        </w:rPr>
      </w:pPr>
    </w:p>
    <w:p w14:paraId="218E56EC" w14:textId="77777777" w:rsidR="002A452B" w:rsidRPr="00CA50DD" w:rsidRDefault="002A452B" w:rsidP="002A452B">
      <w:pPr>
        <w:rPr>
          <w:rFonts w:ascii="Arial" w:hAnsi="Arial" w:cs="Arial"/>
          <w:b/>
          <w:bCs/>
          <w:lang w:val="en-BB"/>
        </w:rPr>
      </w:pPr>
      <w:r w:rsidRPr="00CA50DD">
        <w:rPr>
          <w:rFonts w:ascii="Arial" w:hAnsi="Arial" w:cs="Arial"/>
          <w:b/>
          <w:bCs/>
          <w:lang w:val="en-BB"/>
        </w:rPr>
        <w:t xml:space="preserve">Potentialities </w:t>
      </w:r>
    </w:p>
    <w:p w14:paraId="6CA95D38" w14:textId="77777777" w:rsidR="002A452B" w:rsidRPr="00385E30" w:rsidRDefault="002A452B" w:rsidP="002A452B">
      <w:pPr>
        <w:rPr>
          <w:rFonts w:ascii="Arial" w:hAnsi="Arial" w:cs="Arial"/>
          <w:lang w:val="en-BB"/>
        </w:rPr>
      </w:pPr>
    </w:p>
    <w:p w14:paraId="386A241B" w14:textId="77777777" w:rsidR="002A452B" w:rsidRPr="00385E30" w:rsidRDefault="002A452B" w:rsidP="002A452B">
      <w:pPr>
        <w:rPr>
          <w:rFonts w:ascii="Arial" w:hAnsi="Arial" w:cs="Arial"/>
          <w:lang w:val="en-BB"/>
        </w:rPr>
      </w:pPr>
      <w:r w:rsidRPr="00385E30">
        <w:rPr>
          <w:rFonts w:ascii="Arial" w:hAnsi="Arial" w:cs="Arial"/>
          <w:lang w:val="en-BB"/>
        </w:rPr>
        <w:t>Several opportunities have been identified from the external analysis that could help improve Tesco’s competitive advantage. The rise in online grocery shopping provides opportunities to enhance digital services, increase consumer convenience and increase operational efficiencies through automation (Deloitte, 2024). Advances in artificial intelligence and predictive analytics are enabling Tesco to better predict demand, provide more personalised customer experiences and optimise supply chain management.</w:t>
      </w:r>
    </w:p>
    <w:p w14:paraId="5AF7F5E6" w14:textId="77777777" w:rsidR="002A452B" w:rsidRPr="00385E30" w:rsidRDefault="002A452B" w:rsidP="002A452B">
      <w:pPr>
        <w:rPr>
          <w:rFonts w:ascii="Arial" w:hAnsi="Arial" w:cs="Arial"/>
          <w:lang w:val="en-BB"/>
        </w:rPr>
      </w:pPr>
    </w:p>
    <w:p w14:paraId="4CF06FAD" w14:textId="77777777" w:rsidR="002A452B" w:rsidRPr="00385E30" w:rsidRDefault="002A452B" w:rsidP="002A452B">
      <w:pPr>
        <w:rPr>
          <w:rFonts w:ascii="Arial" w:hAnsi="Arial" w:cs="Arial"/>
          <w:lang w:val="en-BB"/>
        </w:rPr>
      </w:pPr>
    </w:p>
    <w:p w14:paraId="3EF921C8" w14:textId="77777777" w:rsidR="002A452B" w:rsidRPr="00CA50DD" w:rsidRDefault="002A452B" w:rsidP="002A452B">
      <w:pPr>
        <w:rPr>
          <w:rFonts w:ascii="Arial" w:hAnsi="Arial" w:cs="Arial"/>
          <w:b/>
          <w:bCs/>
          <w:lang w:val="en-BB"/>
        </w:rPr>
      </w:pPr>
      <w:proofErr w:type="gramStart"/>
      <w:r w:rsidRPr="00CA50DD">
        <w:rPr>
          <w:rFonts w:ascii="Arial" w:hAnsi="Arial" w:cs="Arial"/>
          <w:b/>
          <w:bCs/>
          <w:lang w:val="en-BB"/>
        </w:rPr>
        <w:t>Risks :</w:t>
      </w:r>
      <w:proofErr w:type="gramEnd"/>
      <w:r w:rsidRPr="00CA50DD">
        <w:rPr>
          <w:rFonts w:ascii="Arial" w:hAnsi="Arial" w:cs="Arial"/>
          <w:b/>
          <w:bCs/>
          <w:lang w:val="en-BB"/>
        </w:rPr>
        <w:t xml:space="preserve">   </w:t>
      </w:r>
    </w:p>
    <w:p w14:paraId="7691B8A4" w14:textId="77777777" w:rsidR="002A452B" w:rsidRPr="00385E30" w:rsidRDefault="002A452B" w:rsidP="002A452B">
      <w:pPr>
        <w:rPr>
          <w:rFonts w:ascii="Arial" w:hAnsi="Arial" w:cs="Arial"/>
          <w:lang w:val="en-BB"/>
        </w:rPr>
      </w:pPr>
    </w:p>
    <w:p w14:paraId="4F655441" w14:textId="77777777" w:rsidR="002A452B" w:rsidRPr="00385E30" w:rsidRDefault="002A452B" w:rsidP="002A452B">
      <w:pPr>
        <w:rPr>
          <w:rFonts w:ascii="Arial" w:hAnsi="Arial" w:cs="Arial"/>
          <w:lang w:val="en-BB"/>
        </w:rPr>
      </w:pPr>
      <w:r w:rsidRPr="00385E30">
        <w:rPr>
          <w:rFonts w:ascii="Arial" w:hAnsi="Arial" w:cs="Arial"/>
          <w:lang w:val="en-BB"/>
        </w:rPr>
        <w:t>Tesco is still a very competitive business.” Discounters Aldi and Lidl are continuing to drive prices down across the industry, while online retailers such as Ocado and Amazon Fresh keep resetting customer expectations on convenience and digital innovation. The key is to continue to invest in value, technology and customer experience to stay ahead of the market.</w:t>
      </w:r>
    </w:p>
    <w:p w14:paraId="7D5E1202" w14:textId="77777777" w:rsidR="002A452B" w:rsidRPr="00385E30" w:rsidRDefault="002A452B" w:rsidP="002A452B">
      <w:pPr>
        <w:rPr>
          <w:rFonts w:ascii="Arial" w:hAnsi="Arial" w:cs="Arial"/>
          <w:lang w:val="en-BB"/>
        </w:rPr>
      </w:pPr>
    </w:p>
    <w:p w14:paraId="37E0A0BB" w14:textId="42C8D69E" w:rsidR="002A452B" w:rsidRDefault="002A452B" w:rsidP="002A452B">
      <w:pPr>
        <w:rPr>
          <w:rFonts w:ascii="Arial" w:hAnsi="Arial" w:cs="Arial"/>
          <w:lang w:val="en-BB"/>
        </w:rPr>
      </w:pPr>
      <w:r w:rsidRPr="00385E30">
        <w:rPr>
          <w:rFonts w:ascii="Arial" w:hAnsi="Arial" w:cs="Arial"/>
          <w:lang w:val="en-BB"/>
        </w:rPr>
        <w:lastRenderedPageBreak/>
        <w:t>The other major risk is macro uncertainty. Higher labour costs, inflation, supply chain issues and changes to regulatory requirements could result in increased operating costs and reduced consumer buying power (Office for National Statistics, 2025). With digitalisation on the rise, so are the risks of cyber security. “It’s just another headache for Tesco, which relies on customer data and online retail platforms.</w:t>
      </w:r>
    </w:p>
    <w:p w14:paraId="416999F9" w14:textId="77777777" w:rsidR="009B23A6" w:rsidRPr="00385E30" w:rsidRDefault="009B23A6" w:rsidP="002A452B">
      <w:pPr>
        <w:rPr>
          <w:rFonts w:ascii="Arial" w:hAnsi="Arial" w:cs="Arial"/>
          <w:lang w:val="en-BB"/>
        </w:rPr>
      </w:pPr>
    </w:p>
    <w:p w14:paraId="3F82EB51" w14:textId="77777777" w:rsidR="002A452B" w:rsidRPr="00CA50DD" w:rsidRDefault="002A452B" w:rsidP="002A452B">
      <w:pPr>
        <w:rPr>
          <w:rFonts w:ascii="Arial" w:hAnsi="Arial" w:cs="Arial"/>
          <w:b/>
          <w:bCs/>
          <w:lang w:val="en-BB"/>
        </w:rPr>
      </w:pPr>
      <w:r w:rsidRPr="00CA50DD">
        <w:rPr>
          <w:rFonts w:ascii="Arial" w:hAnsi="Arial" w:cs="Arial"/>
          <w:b/>
          <w:bCs/>
          <w:lang w:val="en-BB"/>
        </w:rPr>
        <w:t xml:space="preserve">Strategies for Impact </w:t>
      </w:r>
    </w:p>
    <w:p w14:paraId="1C8A63E9" w14:textId="77777777" w:rsidR="002A452B" w:rsidRPr="00385E30" w:rsidRDefault="002A452B" w:rsidP="002A452B">
      <w:pPr>
        <w:rPr>
          <w:rFonts w:ascii="Arial" w:hAnsi="Arial" w:cs="Arial"/>
          <w:lang w:val="en-BB"/>
        </w:rPr>
      </w:pPr>
    </w:p>
    <w:p w14:paraId="708D2468" w14:textId="0427A130" w:rsidR="002B4317" w:rsidRPr="00385E30" w:rsidRDefault="002A452B" w:rsidP="002A452B">
      <w:pPr>
        <w:rPr>
          <w:rFonts w:ascii="Arial" w:hAnsi="Arial" w:cs="Arial"/>
          <w:lang w:val="en-BB"/>
        </w:rPr>
      </w:pPr>
      <w:r w:rsidRPr="00385E30">
        <w:rPr>
          <w:rFonts w:ascii="Arial" w:hAnsi="Arial" w:cs="Arial"/>
          <w:lang w:val="en-BB"/>
        </w:rPr>
        <w:t xml:space="preserve">The SWOT analysis shows Tesco has strong internal capabilities which can sustain the competitive advantage. But the benefits need to be continuously leveraged to effectively combat external threats. Tesco needs to leverage its customer data, digital capabilities and scale to combat the growing threat from discount </w:t>
      </w:r>
      <w:proofErr w:type="gramStart"/>
      <w:r w:rsidRPr="00385E30">
        <w:rPr>
          <w:rFonts w:ascii="Arial" w:hAnsi="Arial" w:cs="Arial"/>
          <w:lang w:val="en-BB"/>
        </w:rPr>
        <w:t>retailers, and</w:t>
      </w:r>
      <w:proofErr w:type="gramEnd"/>
      <w:r w:rsidRPr="00385E30">
        <w:rPr>
          <w:rFonts w:ascii="Arial" w:hAnsi="Arial" w:cs="Arial"/>
          <w:lang w:val="en-BB"/>
        </w:rPr>
        <w:t xml:space="preserve"> also invest in sustainability and technology innovation. The results offer a strategic foundation for assessing Tesco’s CSR, operating performance and future strategic decisions.</w:t>
      </w:r>
    </w:p>
    <w:p w14:paraId="2CB3C0ED" w14:textId="77777777" w:rsidR="002A452B" w:rsidRPr="00385E30" w:rsidRDefault="002A452B" w:rsidP="002A452B">
      <w:pPr>
        <w:rPr>
          <w:rFonts w:ascii="Arial" w:hAnsi="Arial" w:cs="Arial"/>
          <w:lang w:val="en-BB"/>
        </w:rPr>
      </w:pPr>
    </w:p>
    <w:p w14:paraId="38274755" w14:textId="77777777" w:rsidR="002A452B" w:rsidRPr="00CA50DD" w:rsidRDefault="002A452B" w:rsidP="002A452B">
      <w:pPr>
        <w:rPr>
          <w:rFonts w:ascii="Arial" w:hAnsi="Arial" w:cs="Arial"/>
          <w:b/>
          <w:bCs/>
          <w:lang w:val="en-BB"/>
        </w:rPr>
      </w:pPr>
      <w:r w:rsidRPr="00CA50DD">
        <w:rPr>
          <w:rFonts w:ascii="Arial" w:hAnsi="Arial" w:cs="Arial"/>
          <w:b/>
          <w:bCs/>
          <w:lang w:val="en-BB"/>
        </w:rPr>
        <w:t>3. A holistic, broad look at the organization</w:t>
      </w:r>
    </w:p>
    <w:p w14:paraId="55E8696F" w14:textId="5C5BCFCB" w:rsidR="002A452B" w:rsidRPr="00CA50DD" w:rsidRDefault="002A452B" w:rsidP="002A452B">
      <w:pPr>
        <w:rPr>
          <w:rFonts w:ascii="Arial" w:hAnsi="Arial" w:cs="Arial"/>
          <w:b/>
          <w:bCs/>
          <w:lang w:val="en-BB"/>
        </w:rPr>
      </w:pPr>
      <w:r w:rsidRPr="00CA50DD">
        <w:rPr>
          <w:rFonts w:ascii="Arial" w:hAnsi="Arial" w:cs="Arial"/>
          <w:b/>
          <w:bCs/>
          <w:lang w:val="en-BB"/>
        </w:rPr>
        <w:t>3.1 Corporate Social Responsibility (CSR) Strategy</w:t>
      </w:r>
    </w:p>
    <w:p w14:paraId="5021B432" w14:textId="77777777" w:rsidR="002A452B" w:rsidRPr="00385E30" w:rsidRDefault="002A452B" w:rsidP="002A452B">
      <w:pPr>
        <w:rPr>
          <w:rFonts w:ascii="Arial" w:hAnsi="Arial" w:cs="Arial"/>
          <w:lang w:val="en-BB"/>
        </w:rPr>
      </w:pPr>
    </w:p>
    <w:p w14:paraId="380AB915" w14:textId="77777777" w:rsidR="002A452B" w:rsidRPr="00385E30" w:rsidRDefault="002A452B" w:rsidP="002A452B">
      <w:pPr>
        <w:rPr>
          <w:rFonts w:ascii="Arial" w:hAnsi="Arial" w:cs="Arial"/>
          <w:lang w:val="en-BB"/>
        </w:rPr>
      </w:pPr>
      <w:r w:rsidRPr="00385E30">
        <w:rPr>
          <w:rFonts w:ascii="Arial" w:hAnsi="Arial" w:cs="Arial"/>
          <w:lang w:val="en-BB"/>
        </w:rPr>
        <w:t xml:space="preserve">Corporate Social Responsibility (CSR) has shifted from being a voluntary business practice to a strategic imperative that influences organisational competitiveness, stakeholder relationships and long-term value creation. Carroll (1991) defined CSR as a set of four responsibilities: economic, legal, ethical and </w:t>
      </w:r>
      <w:proofErr w:type="spellStart"/>
      <w:r w:rsidRPr="00385E30">
        <w:rPr>
          <w:rFonts w:ascii="Arial" w:hAnsi="Arial" w:cs="Arial"/>
          <w:lang w:val="en-BB"/>
        </w:rPr>
        <w:t>philantropic</w:t>
      </w:r>
      <w:proofErr w:type="spellEnd"/>
      <w:r w:rsidRPr="00385E30">
        <w:rPr>
          <w:rFonts w:ascii="Arial" w:hAnsi="Arial" w:cs="Arial"/>
          <w:lang w:val="en-BB"/>
        </w:rPr>
        <w:t>. More recently, the stakeholder view has argued that organisations can build sustainable competitive advantage by creating value not only for shareholders, but also for employees, customers, suppliers, communities and the environment (Freeman, 1984). CSR is embedded in Tesco’s corporate purpose of “Serving our customers, communities and planet a little better every day” (Tesco PLC, 2025) and therefore sustainability is not a separate initiative but a part of the company’s overall business strategy.</w:t>
      </w:r>
    </w:p>
    <w:p w14:paraId="0E6B2915" w14:textId="77777777" w:rsidR="002A452B" w:rsidRPr="00385E30" w:rsidRDefault="002A452B" w:rsidP="002A452B">
      <w:pPr>
        <w:rPr>
          <w:rFonts w:ascii="Arial" w:hAnsi="Arial" w:cs="Arial"/>
          <w:lang w:val="en-BB"/>
        </w:rPr>
      </w:pPr>
    </w:p>
    <w:p w14:paraId="4013C4EC" w14:textId="77777777" w:rsidR="002A452B" w:rsidRPr="00385E30" w:rsidRDefault="002A452B" w:rsidP="002A452B">
      <w:pPr>
        <w:rPr>
          <w:rFonts w:ascii="Arial" w:hAnsi="Arial" w:cs="Arial"/>
          <w:lang w:val="en-BB"/>
        </w:rPr>
      </w:pPr>
      <w:r w:rsidRPr="00385E30">
        <w:rPr>
          <w:rFonts w:ascii="Arial" w:hAnsi="Arial" w:cs="Arial"/>
          <w:lang w:val="en-BB"/>
        </w:rPr>
        <w:t xml:space="preserve">The CSR strategy of Tesco is based on three strategic priorities: environmental sustainability, social responsibility and responsible governance. In terms of the environment, the company has pledged to reach net-zero greenhouse gas emissions in its operations by 2035 and in its value chain by 2050. Tesco has also invested heavily in trying to reduce food waste, make packaging more recyclable and source renewable electricity for its operations across the UK (Tesco PLC, 2025). Such </w:t>
      </w:r>
      <w:r w:rsidRPr="00385E30">
        <w:rPr>
          <w:rFonts w:ascii="Arial" w:hAnsi="Arial" w:cs="Arial"/>
          <w:lang w:val="en-BB"/>
        </w:rPr>
        <w:lastRenderedPageBreak/>
        <w:t>measures are an instant reaction to the rising expectations of stakeholders and changing environmental standards.</w:t>
      </w:r>
    </w:p>
    <w:p w14:paraId="15FBEE53" w14:textId="77777777" w:rsidR="002A452B" w:rsidRPr="00385E30" w:rsidRDefault="002A452B" w:rsidP="002A452B">
      <w:pPr>
        <w:rPr>
          <w:rFonts w:ascii="Arial" w:hAnsi="Arial" w:cs="Arial"/>
          <w:lang w:val="en-BB"/>
        </w:rPr>
      </w:pPr>
      <w:r w:rsidRPr="00385E30">
        <w:rPr>
          <w:rFonts w:ascii="Arial" w:hAnsi="Arial" w:cs="Arial"/>
          <w:lang w:val="en-BB"/>
        </w:rPr>
        <w:t>Another important element of Tesco’s CSR strategy is social responsibility. The company invests in employee wellbeing, diversity and inclusion, skills development and community engagement through food donation partnerships, apprenticeship schemes and support to local charities (Tesco PLC, 2025). These initiatives help to drive higher levels of employee engagement and improve organisation culture and corporate reputation. Freeman (1984) argued that organisations that successfully manage their stakeholder relationships are more likely to achieve long-term organisational success because stakeholder trust supports organisational resilience in times of uncertainty.</w:t>
      </w:r>
    </w:p>
    <w:p w14:paraId="7CF2907C" w14:textId="77777777" w:rsidR="002A452B" w:rsidRPr="00385E30" w:rsidRDefault="002A452B" w:rsidP="002A452B">
      <w:pPr>
        <w:rPr>
          <w:rFonts w:ascii="Arial" w:hAnsi="Arial" w:cs="Arial"/>
          <w:lang w:val="en-BB"/>
        </w:rPr>
      </w:pPr>
    </w:p>
    <w:p w14:paraId="009DD6F1" w14:textId="77777777" w:rsidR="002A452B" w:rsidRPr="00385E30" w:rsidRDefault="002A452B" w:rsidP="002A452B">
      <w:pPr>
        <w:rPr>
          <w:rFonts w:ascii="Arial" w:hAnsi="Arial" w:cs="Arial"/>
          <w:lang w:val="en-BB"/>
        </w:rPr>
      </w:pPr>
      <w:r w:rsidRPr="00385E30">
        <w:rPr>
          <w:rFonts w:ascii="Arial" w:hAnsi="Arial" w:cs="Arial"/>
          <w:lang w:val="en-BB"/>
        </w:rPr>
        <w:t xml:space="preserve">But Tesco’s CSR strategy has its downsides. Sustainability initiatives are a good way to improve corporate </w:t>
      </w:r>
      <w:proofErr w:type="gramStart"/>
      <w:r w:rsidRPr="00385E30">
        <w:rPr>
          <w:rFonts w:ascii="Arial" w:hAnsi="Arial" w:cs="Arial"/>
          <w:lang w:val="en-BB"/>
        </w:rPr>
        <w:t>reputation</w:t>
      </w:r>
      <w:proofErr w:type="gramEnd"/>
      <w:r w:rsidRPr="00385E30">
        <w:rPr>
          <w:rFonts w:ascii="Arial" w:hAnsi="Arial" w:cs="Arial"/>
          <w:lang w:val="en-BB"/>
        </w:rPr>
        <w:t xml:space="preserve"> but they require large amounts of financial investment and can be costly in terms of short-term operating costs. Moreover, critics claim that big retailers are still in the spotlight in terms of their relationships with suppliers, plastic packaging and carbon emissions coming from complex global supply chains (Jones, Hillier and Comfort, 2022). Thus, it is essential to maintain transparency and measurable progress to sustain stakeholder confidence, not just broad sustainability commitments.</w:t>
      </w:r>
    </w:p>
    <w:p w14:paraId="424B92A0" w14:textId="77777777" w:rsidR="002A452B" w:rsidRPr="00CA50DD" w:rsidRDefault="002A452B" w:rsidP="002A452B">
      <w:pPr>
        <w:rPr>
          <w:rFonts w:ascii="Arial" w:hAnsi="Arial" w:cs="Arial"/>
          <w:b/>
          <w:bCs/>
          <w:lang w:val="en-BB"/>
        </w:rPr>
      </w:pPr>
    </w:p>
    <w:p w14:paraId="2E07041F" w14:textId="77777777" w:rsidR="00147C83" w:rsidRPr="00CA50DD" w:rsidRDefault="00147C83" w:rsidP="00147C83">
      <w:pPr>
        <w:rPr>
          <w:rFonts w:ascii="Arial" w:hAnsi="Arial" w:cs="Arial"/>
          <w:b/>
          <w:bCs/>
          <w:lang w:val="en-BB"/>
        </w:rPr>
      </w:pPr>
      <w:r w:rsidRPr="00CA50DD">
        <w:rPr>
          <w:rFonts w:ascii="Arial" w:hAnsi="Arial" w:cs="Arial"/>
          <w:b/>
          <w:bCs/>
          <w:lang w:val="en-BB"/>
        </w:rPr>
        <w:t>3.2. Analysis of the Balanced Scorecard</w:t>
      </w:r>
    </w:p>
    <w:p w14:paraId="5E35E277" w14:textId="77777777" w:rsidR="00147C83" w:rsidRPr="00385E30" w:rsidRDefault="00147C83" w:rsidP="00147C83">
      <w:pPr>
        <w:rPr>
          <w:rFonts w:ascii="Arial" w:hAnsi="Arial" w:cs="Arial"/>
          <w:lang w:val="en-BB"/>
        </w:rPr>
      </w:pPr>
    </w:p>
    <w:p w14:paraId="543DDAD4" w14:textId="77777777" w:rsidR="00147C83" w:rsidRPr="00385E30" w:rsidRDefault="00147C83" w:rsidP="00147C83">
      <w:pPr>
        <w:rPr>
          <w:rFonts w:ascii="Arial" w:hAnsi="Arial" w:cs="Arial"/>
          <w:lang w:val="en-BB"/>
        </w:rPr>
      </w:pPr>
      <w:r w:rsidRPr="00385E30">
        <w:rPr>
          <w:rFonts w:ascii="Arial" w:hAnsi="Arial" w:cs="Arial"/>
          <w:lang w:val="en-BB"/>
        </w:rPr>
        <w:t>Kaplan and Norton (1992) developed the Balanced Scorecard (BSC) to address the limitations of measuring organisational performance by only financial measures. Conventional financial measures are backward looking and often fail to capture intangible assets that are important for future competitive advantage such as customer relationships, innovation and employee capabilities (Kaplan and Norton, 1992). The Balanced Scorecard solves this by including financial and non-financial performance measures and covering four interrelated perspectives: Financial, Customer, Internal Business Processes, and Learning and Growth. The Tesco Balanced Scorecard offers an in-depth approach to measuring the degree to which the strategic goal of ‘Serving our customers, communities and planet a little better every day’ is being realised in measurable organisational performance (Tesco PLC, 2025).</w:t>
      </w:r>
    </w:p>
    <w:p w14:paraId="6400CA8F" w14:textId="77777777" w:rsidR="00147C83" w:rsidRPr="00385E30" w:rsidRDefault="00147C83" w:rsidP="00147C83">
      <w:pPr>
        <w:rPr>
          <w:rFonts w:ascii="Arial" w:hAnsi="Arial" w:cs="Arial"/>
          <w:lang w:val="en-BB"/>
        </w:rPr>
      </w:pPr>
    </w:p>
    <w:p w14:paraId="613BF9E6" w14:textId="6DDCD518" w:rsidR="00CA50DD" w:rsidRPr="00CA50DD" w:rsidRDefault="00147C83" w:rsidP="00147C83">
      <w:pPr>
        <w:rPr>
          <w:rFonts w:ascii="Arial" w:hAnsi="Arial" w:cs="Arial"/>
          <w:b/>
          <w:bCs/>
          <w:lang w:val="en-BB"/>
        </w:rPr>
      </w:pPr>
      <w:r w:rsidRPr="00CA50DD">
        <w:rPr>
          <w:rFonts w:ascii="Arial" w:hAnsi="Arial" w:cs="Arial"/>
          <w:b/>
          <w:bCs/>
          <w:lang w:val="en-BB"/>
        </w:rPr>
        <w:t>Table 3.</w:t>
      </w:r>
      <w:r w:rsidR="00186AFA">
        <w:rPr>
          <w:rFonts w:ascii="Arial" w:hAnsi="Arial" w:cs="Arial"/>
          <w:b/>
          <w:bCs/>
          <w:lang w:val="en-BB"/>
        </w:rPr>
        <w:t>3</w:t>
      </w:r>
      <w:r w:rsidRPr="00CA50DD">
        <w:rPr>
          <w:rFonts w:ascii="Arial" w:hAnsi="Arial" w:cs="Arial"/>
          <w:b/>
          <w:bCs/>
          <w:lang w:val="en-BB"/>
        </w:rPr>
        <w:t xml:space="preserve"> Tesco PLC Balanced Scorecard</w:t>
      </w:r>
    </w:p>
    <w:tbl>
      <w:tblPr>
        <w:tblStyle w:val="TableGrid"/>
        <w:tblW w:w="0" w:type="auto"/>
        <w:tblLook w:val="04A0" w:firstRow="1" w:lastRow="0" w:firstColumn="1" w:lastColumn="0" w:noHBand="0" w:noVBand="1"/>
      </w:tblPr>
      <w:tblGrid>
        <w:gridCol w:w="1488"/>
        <w:gridCol w:w="2032"/>
        <w:gridCol w:w="2059"/>
        <w:gridCol w:w="1545"/>
        <w:gridCol w:w="1892"/>
      </w:tblGrid>
      <w:tr w:rsidR="00186AFA" w:rsidRPr="00186AFA" w14:paraId="6EEC1835" w14:textId="77777777" w:rsidTr="00186AFA">
        <w:tc>
          <w:tcPr>
            <w:tcW w:w="0" w:type="auto"/>
            <w:hideMark/>
          </w:tcPr>
          <w:p w14:paraId="7C933B70" w14:textId="77777777" w:rsidR="00186AFA" w:rsidRPr="00186AFA" w:rsidRDefault="00186AFA" w:rsidP="00186AFA">
            <w:pPr>
              <w:jc w:val="center"/>
              <w:rPr>
                <w:rFonts w:ascii="Times New Roman" w:eastAsia="Times New Roman" w:hAnsi="Times New Roman" w:cs="Times New Roman"/>
                <w:b/>
                <w:bCs/>
                <w:kern w:val="0"/>
                <w:lang w:val="en-BB" w:eastAsia="en-BB"/>
                <w14:ligatures w14:val="none"/>
              </w:rPr>
            </w:pPr>
            <w:r w:rsidRPr="00186AFA">
              <w:rPr>
                <w:rFonts w:ascii="Times New Roman" w:eastAsia="Times New Roman" w:hAnsi="Times New Roman" w:cs="Times New Roman"/>
                <w:b/>
                <w:bCs/>
                <w:kern w:val="0"/>
                <w:lang w:val="en-BB" w:eastAsia="en-BB"/>
                <w14:ligatures w14:val="none"/>
              </w:rPr>
              <w:lastRenderedPageBreak/>
              <w:t>Perspective</w:t>
            </w:r>
          </w:p>
        </w:tc>
        <w:tc>
          <w:tcPr>
            <w:tcW w:w="0" w:type="auto"/>
            <w:hideMark/>
          </w:tcPr>
          <w:p w14:paraId="375C32A5" w14:textId="77777777" w:rsidR="00186AFA" w:rsidRPr="00186AFA" w:rsidRDefault="00186AFA" w:rsidP="00186AFA">
            <w:pPr>
              <w:jc w:val="center"/>
              <w:rPr>
                <w:rFonts w:ascii="Times New Roman" w:eastAsia="Times New Roman" w:hAnsi="Times New Roman" w:cs="Times New Roman"/>
                <w:b/>
                <w:bCs/>
                <w:kern w:val="0"/>
                <w:lang w:val="en-BB" w:eastAsia="en-BB"/>
                <w14:ligatures w14:val="none"/>
              </w:rPr>
            </w:pPr>
            <w:r w:rsidRPr="00186AFA">
              <w:rPr>
                <w:rFonts w:ascii="Times New Roman" w:eastAsia="Times New Roman" w:hAnsi="Times New Roman" w:cs="Times New Roman"/>
                <w:b/>
                <w:bCs/>
                <w:kern w:val="0"/>
                <w:lang w:val="en-BB" w:eastAsia="en-BB"/>
                <w14:ligatures w14:val="none"/>
              </w:rPr>
              <w:t>Strategic Objectives</w:t>
            </w:r>
          </w:p>
        </w:tc>
        <w:tc>
          <w:tcPr>
            <w:tcW w:w="0" w:type="auto"/>
            <w:hideMark/>
          </w:tcPr>
          <w:p w14:paraId="670FC0A0" w14:textId="77777777" w:rsidR="00186AFA" w:rsidRPr="00186AFA" w:rsidRDefault="00186AFA" w:rsidP="00186AFA">
            <w:pPr>
              <w:jc w:val="center"/>
              <w:rPr>
                <w:rFonts w:ascii="Times New Roman" w:eastAsia="Times New Roman" w:hAnsi="Times New Roman" w:cs="Times New Roman"/>
                <w:b/>
                <w:bCs/>
                <w:kern w:val="0"/>
                <w:lang w:val="en-BB" w:eastAsia="en-BB"/>
                <w14:ligatures w14:val="none"/>
              </w:rPr>
            </w:pPr>
            <w:r w:rsidRPr="00186AFA">
              <w:rPr>
                <w:rFonts w:ascii="Times New Roman" w:eastAsia="Times New Roman" w:hAnsi="Times New Roman" w:cs="Times New Roman"/>
                <w:b/>
                <w:bCs/>
                <w:kern w:val="0"/>
                <w:lang w:val="en-BB" w:eastAsia="en-BB"/>
                <w14:ligatures w14:val="none"/>
              </w:rPr>
              <w:t>Key Performance Indicators (</w:t>
            </w:r>
            <w:proofErr w:type="spellStart"/>
            <w:r w:rsidRPr="00186AFA">
              <w:rPr>
                <w:rFonts w:ascii="Times New Roman" w:eastAsia="Times New Roman" w:hAnsi="Times New Roman" w:cs="Times New Roman"/>
                <w:b/>
                <w:bCs/>
                <w:kern w:val="0"/>
                <w:lang w:val="en-BB" w:eastAsia="en-BB"/>
                <w14:ligatures w14:val="none"/>
              </w:rPr>
              <w:t>KPIs</w:t>
            </w:r>
            <w:proofErr w:type="spellEnd"/>
            <w:r w:rsidRPr="00186AFA">
              <w:rPr>
                <w:rFonts w:ascii="Times New Roman" w:eastAsia="Times New Roman" w:hAnsi="Times New Roman" w:cs="Times New Roman"/>
                <w:b/>
                <w:bCs/>
                <w:kern w:val="0"/>
                <w:lang w:val="en-BB" w:eastAsia="en-BB"/>
                <w14:ligatures w14:val="none"/>
              </w:rPr>
              <w:t>)</w:t>
            </w:r>
          </w:p>
        </w:tc>
        <w:tc>
          <w:tcPr>
            <w:tcW w:w="0" w:type="auto"/>
            <w:hideMark/>
          </w:tcPr>
          <w:p w14:paraId="625DAE69" w14:textId="77777777" w:rsidR="00186AFA" w:rsidRPr="00186AFA" w:rsidRDefault="00186AFA" w:rsidP="00186AFA">
            <w:pPr>
              <w:jc w:val="center"/>
              <w:rPr>
                <w:rFonts w:ascii="Times New Roman" w:eastAsia="Times New Roman" w:hAnsi="Times New Roman" w:cs="Times New Roman"/>
                <w:b/>
                <w:bCs/>
                <w:kern w:val="0"/>
                <w:lang w:val="en-BB" w:eastAsia="en-BB"/>
                <w14:ligatures w14:val="none"/>
              </w:rPr>
            </w:pPr>
            <w:r w:rsidRPr="00186AFA">
              <w:rPr>
                <w:rFonts w:ascii="Times New Roman" w:eastAsia="Times New Roman" w:hAnsi="Times New Roman" w:cs="Times New Roman"/>
                <w:b/>
                <w:bCs/>
                <w:kern w:val="0"/>
                <w:lang w:val="en-BB" w:eastAsia="en-BB"/>
                <w14:ligatures w14:val="none"/>
              </w:rPr>
              <w:t>Strategic Targets</w:t>
            </w:r>
          </w:p>
        </w:tc>
        <w:tc>
          <w:tcPr>
            <w:tcW w:w="0" w:type="auto"/>
            <w:hideMark/>
          </w:tcPr>
          <w:p w14:paraId="3EF8EEC0" w14:textId="77777777" w:rsidR="00186AFA" w:rsidRPr="00186AFA" w:rsidRDefault="00186AFA" w:rsidP="00186AFA">
            <w:pPr>
              <w:jc w:val="center"/>
              <w:rPr>
                <w:rFonts w:ascii="Times New Roman" w:eastAsia="Times New Roman" w:hAnsi="Times New Roman" w:cs="Times New Roman"/>
                <w:b/>
                <w:bCs/>
                <w:kern w:val="0"/>
                <w:lang w:val="en-BB" w:eastAsia="en-BB"/>
                <w14:ligatures w14:val="none"/>
              </w:rPr>
            </w:pPr>
            <w:r w:rsidRPr="00186AFA">
              <w:rPr>
                <w:rFonts w:ascii="Times New Roman" w:eastAsia="Times New Roman" w:hAnsi="Times New Roman" w:cs="Times New Roman"/>
                <w:b/>
                <w:bCs/>
                <w:kern w:val="0"/>
                <w:lang w:val="en-BB" w:eastAsia="en-BB"/>
                <w14:ligatures w14:val="none"/>
              </w:rPr>
              <w:t>Strategic Initiatives</w:t>
            </w:r>
          </w:p>
        </w:tc>
      </w:tr>
      <w:tr w:rsidR="00186AFA" w:rsidRPr="00186AFA" w14:paraId="3BA240F8" w14:textId="77777777" w:rsidTr="00186AFA">
        <w:tc>
          <w:tcPr>
            <w:tcW w:w="0" w:type="auto"/>
            <w:hideMark/>
          </w:tcPr>
          <w:p w14:paraId="7269AF00"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b/>
                <w:bCs/>
                <w:kern w:val="0"/>
                <w:lang w:val="en-BB" w:eastAsia="en-BB"/>
                <w14:ligatures w14:val="none"/>
              </w:rPr>
              <w:t>Financial</w:t>
            </w:r>
          </w:p>
        </w:tc>
        <w:tc>
          <w:tcPr>
            <w:tcW w:w="0" w:type="auto"/>
            <w:hideMark/>
          </w:tcPr>
          <w:p w14:paraId="5B6B75AE"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Improve profitability while maintaining price competitiveness</w:t>
            </w:r>
          </w:p>
        </w:tc>
        <w:tc>
          <w:tcPr>
            <w:tcW w:w="0" w:type="auto"/>
            <w:hideMark/>
          </w:tcPr>
          <w:p w14:paraId="448E7698"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Operating profit, revenue growth, market share, return on capital employed (ROCE)</w:t>
            </w:r>
          </w:p>
        </w:tc>
        <w:tc>
          <w:tcPr>
            <w:tcW w:w="0" w:type="auto"/>
            <w:hideMark/>
          </w:tcPr>
          <w:p w14:paraId="28686BA7"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Sustainable profit growth and market leadership</w:t>
            </w:r>
          </w:p>
        </w:tc>
        <w:tc>
          <w:tcPr>
            <w:tcW w:w="0" w:type="auto"/>
            <w:hideMark/>
          </w:tcPr>
          <w:p w14:paraId="48F6B59E"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Aldi Price Match, operational cost reduction, supply chain optimisation</w:t>
            </w:r>
          </w:p>
        </w:tc>
      </w:tr>
      <w:tr w:rsidR="00186AFA" w:rsidRPr="00186AFA" w14:paraId="5A379709" w14:textId="77777777" w:rsidTr="00186AFA">
        <w:tc>
          <w:tcPr>
            <w:tcW w:w="0" w:type="auto"/>
            <w:hideMark/>
          </w:tcPr>
          <w:p w14:paraId="5AA34A60"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b/>
                <w:bCs/>
                <w:kern w:val="0"/>
                <w:lang w:val="en-BB" w:eastAsia="en-BB"/>
                <w14:ligatures w14:val="none"/>
              </w:rPr>
              <w:t>Customer</w:t>
            </w:r>
          </w:p>
        </w:tc>
        <w:tc>
          <w:tcPr>
            <w:tcW w:w="0" w:type="auto"/>
            <w:hideMark/>
          </w:tcPr>
          <w:p w14:paraId="45692E60"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Increase customer satisfaction and loyalty</w:t>
            </w:r>
          </w:p>
        </w:tc>
        <w:tc>
          <w:tcPr>
            <w:tcW w:w="0" w:type="auto"/>
            <w:hideMark/>
          </w:tcPr>
          <w:p w14:paraId="6F24E91F"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Clubcard membership growth, customer satisfaction scores, online sales growth, repeat purchase rate</w:t>
            </w:r>
          </w:p>
        </w:tc>
        <w:tc>
          <w:tcPr>
            <w:tcW w:w="0" w:type="auto"/>
            <w:hideMark/>
          </w:tcPr>
          <w:p w14:paraId="761038B4"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Strengthen customer retention and loyalty</w:t>
            </w:r>
          </w:p>
        </w:tc>
        <w:tc>
          <w:tcPr>
            <w:tcW w:w="0" w:type="auto"/>
            <w:hideMark/>
          </w:tcPr>
          <w:p w14:paraId="675C47B3"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Clubcard Prices, personalised offers, improved omnichannel experience</w:t>
            </w:r>
          </w:p>
        </w:tc>
      </w:tr>
      <w:tr w:rsidR="00186AFA" w:rsidRPr="00186AFA" w14:paraId="3CB33D0D" w14:textId="77777777" w:rsidTr="00186AFA">
        <w:tc>
          <w:tcPr>
            <w:tcW w:w="0" w:type="auto"/>
            <w:hideMark/>
          </w:tcPr>
          <w:p w14:paraId="21AA1B86"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b/>
                <w:bCs/>
                <w:kern w:val="0"/>
                <w:lang w:val="en-BB" w:eastAsia="en-BB"/>
                <w14:ligatures w14:val="none"/>
              </w:rPr>
              <w:t>Internal Business Processes</w:t>
            </w:r>
          </w:p>
        </w:tc>
        <w:tc>
          <w:tcPr>
            <w:tcW w:w="0" w:type="auto"/>
            <w:hideMark/>
          </w:tcPr>
          <w:p w14:paraId="15EEA2B3"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Improve operational efficiency and sustainability</w:t>
            </w:r>
          </w:p>
        </w:tc>
        <w:tc>
          <w:tcPr>
            <w:tcW w:w="0" w:type="auto"/>
            <w:hideMark/>
          </w:tcPr>
          <w:p w14:paraId="7EE45749"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Food waste reduction, inventory turnover, delivery accuracy, carbon emissions</w:t>
            </w:r>
          </w:p>
        </w:tc>
        <w:tc>
          <w:tcPr>
            <w:tcW w:w="0" w:type="auto"/>
            <w:hideMark/>
          </w:tcPr>
          <w:p w14:paraId="18F57672"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Enhance operational excellence and reduce waste</w:t>
            </w:r>
          </w:p>
        </w:tc>
        <w:tc>
          <w:tcPr>
            <w:tcW w:w="0" w:type="auto"/>
            <w:hideMark/>
          </w:tcPr>
          <w:p w14:paraId="1BCDAEAF"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AI-driven forecasting, automated distribution centres, sustainable sourcing</w:t>
            </w:r>
          </w:p>
        </w:tc>
      </w:tr>
      <w:tr w:rsidR="00186AFA" w:rsidRPr="00186AFA" w14:paraId="0CB339DB" w14:textId="77777777" w:rsidTr="00186AFA">
        <w:tc>
          <w:tcPr>
            <w:tcW w:w="0" w:type="auto"/>
            <w:hideMark/>
          </w:tcPr>
          <w:p w14:paraId="4339EE85"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b/>
                <w:bCs/>
                <w:kern w:val="0"/>
                <w:lang w:val="en-BB" w:eastAsia="en-BB"/>
                <w14:ligatures w14:val="none"/>
              </w:rPr>
              <w:t>Learning and Growth</w:t>
            </w:r>
          </w:p>
        </w:tc>
        <w:tc>
          <w:tcPr>
            <w:tcW w:w="0" w:type="auto"/>
            <w:hideMark/>
          </w:tcPr>
          <w:p w14:paraId="20803325"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Develop employee capability and innovation</w:t>
            </w:r>
          </w:p>
        </w:tc>
        <w:tc>
          <w:tcPr>
            <w:tcW w:w="0" w:type="auto"/>
            <w:hideMark/>
          </w:tcPr>
          <w:p w14:paraId="7136C936"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Employee engagement, training hours, staff retention, digital capability</w:t>
            </w:r>
          </w:p>
        </w:tc>
        <w:tc>
          <w:tcPr>
            <w:tcW w:w="0" w:type="auto"/>
            <w:hideMark/>
          </w:tcPr>
          <w:p w14:paraId="5DD2145A"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Build an innovative and skilled workforce</w:t>
            </w:r>
          </w:p>
        </w:tc>
        <w:tc>
          <w:tcPr>
            <w:tcW w:w="0" w:type="auto"/>
            <w:hideMark/>
          </w:tcPr>
          <w:p w14:paraId="5F63A4B9" w14:textId="77777777" w:rsidR="00186AFA" w:rsidRPr="00186AFA" w:rsidRDefault="00186AFA" w:rsidP="00186AFA">
            <w:pPr>
              <w:rPr>
                <w:rFonts w:ascii="Times New Roman" w:eastAsia="Times New Roman" w:hAnsi="Times New Roman" w:cs="Times New Roman"/>
                <w:kern w:val="0"/>
                <w:lang w:val="en-BB" w:eastAsia="en-BB"/>
                <w14:ligatures w14:val="none"/>
              </w:rPr>
            </w:pPr>
            <w:r w:rsidRPr="00186AFA">
              <w:rPr>
                <w:rFonts w:ascii="Times New Roman" w:eastAsia="Times New Roman" w:hAnsi="Times New Roman" w:cs="Times New Roman"/>
                <w:kern w:val="0"/>
                <w:lang w:val="en-BB" w:eastAsia="en-BB"/>
                <w14:ligatures w14:val="none"/>
              </w:rPr>
              <w:t>Leadership development, digital training, diversity and inclusion programmes</w:t>
            </w:r>
          </w:p>
        </w:tc>
      </w:tr>
    </w:tbl>
    <w:p w14:paraId="2DD5E693" w14:textId="77777777" w:rsidR="00147C83" w:rsidRPr="00385E30" w:rsidRDefault="00147C83" w:rsidP="00147C83">
      <w:pPr>
        <w:rPr>
          <w:rFonts w:ascii="Arial" w:hAnsi="Arial" w:cs="Arial"/>
          <w:lang w:val="en-BB"/>
        </w:rPr>
      </w:pPr>
    </w:p>
    <w:p w14:paraId="01FB52EC" w14:textId="77777777" w:rsidR="00147C83" w:rsidRPr="00385E30" w:rsidRDefault="00147C83" w:rsidP="00147C83">
      <w:pPr>
        <w:rPr>
          <w:rFonts w:ascii="Arial" w:hAnsi="Arial" w:cs="Arial"/>
          <w:lang w:val="en-BB"/>
        </w:rPr>
      </w:pPr>
      <w:r w:rsidRPr="00385E30">
        <w:rPr>
          <w:rFonts w:ascii="Arial" w:hAnsi="Arial" w:cs="Arial"/>
          <w:lang w:val="en-BB"/>
        </w:rPr>
        <w:t>(Kaplan and Norton, 1992; Tesco PLC, 2025 (adapted))</w:t>
      </w:r>
    </w:p>
    <w:p w14:paraId="21A8E015" w14:textId="77777777" w:rsidR="00147C83" w:rsidRPr="00385E30" w:rsidRDefault="00147C83" w:rsidP="00147C83">
      <w:pPr>
        <w:rPr>
          <w:rFonts w:ascii="Arial" w:hAnsi="Arial" w:cs="Arial"/>
          <w:lang w:val="en-BB"/>
        </w:rPr>
      </w:pPr>
    </w:p>
    <w:p w14:paraId="66A94FE2" w14:textId="77777777" w:rsidR="00147C83" w:rsidRPr="00385E30" w:rsidRDefault="00147C83" w:rsidP="00147C83">
      <w:pPr>
        <w:rPr>
          <w:rFonts w:ascii="Arial" w:hAnsi="Arial" w:cs="Arial"/>
          <w:lang w:val="en-BB"/>
        </w:rPr>
      </w:pPr>
      <w:r w:rsidRPr="00385E30">
        <w:rPr>
          <w:rFonts w:ascii="Arial" w:hAnsi="Arial" w:cs="Arial"/>
          <w:lang w:val="en-BB"/>
        </w:rPr>
        <w:t xml:space="preserve">The financial perspective remains important as the ability to generate profits allows Tesco to invest in innovation, sustainability and customer value. Tesco's strategy makes it very clear that financial success is not simply about increasing </w:t>
      </w:r>
      <w:proofErr w:type="gramStart"/>
      <w:r w:rsidRPr="00385E30">
        <w:rPr>
          <w:rFonts w:ascii="Arial" w:hAnsi="Arial" w:cs="Arial"/>
          <w:lang w:val="en-BB"/>
        </w:rPr>
        <w:t>sales</w:t>
      </w:r>
      <w:proofErr w:type="gramEnd"/>
      <w:r w:rsidRPr="00385E30">
        <w:rPr>
          <w:rFonts w:ascii="Arial" w:hAnsi="Arial" w:cs="Arial"/>
          <w:lang w:val="en-BB"/>
        </w:rPr>
        <w:t xml:space="preserve"> but it is about improving the efficiency of using resources and managing the business. The firm can maintain its price competitiveness through initiatives like the Aldi price match and others, while economies of scale are used to maintain profitability (Tesco PLC, 2025). Kaplan and Norton (1992) however argue that financial results are lagging indicators i.e. a reflection of strategic decisions made in the past, not a predictor of future success. This may lead to short-term decision-making at the expense of long-term value creation.</w:t>
      </w:r>
    </w:p>
    <w:p w14:paraId="086A822C" w14:textId="77777777" w:rsidR="00147C83" w:rsidRPr="00385E30" w:rsidRDefault="00147C83" w:rsidP="00147C83">
      <w:pPr>
        <w:rPr>
          <w:rFonts w:ascii="Arial" w:hAnsi="Arial" w:cs="Arial"/>
          <w:lang w:val="en-BB"/>
        </w:rPr>
      </w:pPr>
    </w:p>
    <w:p w14:paraId="79108921" w14:textId="77777777" w:rsidR="00147C83" w:rsidRPr="00385E30" w:rsidRDefault="00147C83" w:rsidP="00147C83">
      <w:pPr>
        <w:rPr>
          <w:rFonts w:ascii="Arial" w:hAnsi="Arial" w:cs="Arial"/>
          <w:lang w:val="en-BB"/>
        </w:rPr>
      </w:pPr>
      <w:r w:rsidRPr="00385E30">
        <w:rPr>
          <w:rFonts w:ascii="Arial" w:hAnsi="Arial" w:cs="Arial"/>
          <w:lang w:val="en-BB"/>
        </w:rPr>
        <w:t xml:space="preserve">Such a customer perspective is particularly relevant in the UK grocery market, where switching costs are relatively low and competition is fierce. Tesco customer </w:t>
      </w:r>
      <w:r w:rsidRPr="00385E30">
        <w:rPr>
          <w:rFonts w:ascii="Arial" w:hAnsi="Arial" w:cs="Arial"/>
          <w:lang w:val="en-BB"/>
        </w:rPr>
        <w:lastRenderedPageBreak/>
        <w:t xml:space="preserve">performance is measured through Clubcard engagement, customer satisfaction and digital sales growth. Customer analytics are widely used to enable the delivery of highly personal promotions and thereby build customer loyalty and improve the efficiency of marketing (Tesco PLC, 2025). However, the expectations of customers are still changing </w:t>
      </w:r>
      <w:proofErr w:type="gramStart"/>
      <w:r w:rsidRPr="00385E30">
        <w:rPr>
          <w:rFonts w:ascii="Arial" w:hAnsi="Arial" w:cs="Arial"/>
          <w:lang w:val="en-BB"/>
        </w:rPr>
        <w:t>fast</w:t>
      </w:r>
      <w:proofErr w:type="gramEnd"/>
      <w:r w:rsidRPr="00385E30">
        <w:rPr>
          <w:rFonts w:ascii="Arial" w:hAnsi="Arial" w:cs="Arial"/>
          <w:lang w:val="en-BB"/>
        </w:rPr>
        <w:t xml:space="preserve"> and Tesco </w:t>
      </w:r>
      <w:proofErr w:type="gramStart"/>
      <w:r w:rsidRPr="00385E30">
        <w:rPr>
          <w:rFonts w:ascii="Arial" w:hAnsi="Arial" w:cs="Arial"/>
          <w:lang w:val="en-BB"/>
        </w:rPr>
        <w:t>has to</w:t>
      </w:r>
      <w:proofErr w:type="gramEnd"/>
      <w:r w:rsidRPr="00385E30">
        <w:rPr>
          <w:rFonts w:ascii="Arial" w:hAnsi="Arial" w:cs="Arial"/>
          <w:lang w:val="en-BB"/>
        </w:rPr>
        <w:t xml:space="preserve"> continue to invest in service quality, digital innovation, and convenience to stay ahead of the competition.</w:t>
      </w:r>
    </w:p>
    <w:p w14:paraId="0A69AB35" w14:textId="77777777" w:rsidR="00147C83" w:rsidRPr="00385E30" w:rsidRDefault="00147C83" w:rsidP="00147C83">
      <w:pPr>
        <w:rPr>
          <w:rFonts w:ascii="Arial" w:hAnsi="Arial" w:cs="Arial"/>
          <w:lang w:val="en-BB"/>
        </w:rPr>
      </w:pPr>
    </w:p>
    <w:p w14:paraId="12D9B93E" w14:textId="77777777" w:rsidR="00147C83" w:rsidRPr="00385E30" w:rsidRDefault="00147C83" w:rsidP="00147C83">
      <w:pPr>
        <w:rPr>
          <w:rFonts w:ascii="Arial" w:hAnsi="Arial" w:cs="Arial"/>
          <w:lang w:val="en-BB"/>
        </w:rPr>
      </w:pPr>
      <w:r w:rsidRPr="00385E30">
        <w:rPr>
          <w:rFonts w:ascii="Arial" w:hAnsi="Arial" w:cs="Arial"/>
          <w:lang w:val="en-BB"/>
        </w:rPr>
        <w:t>The internal business process perspective is about doing things right. Tesco has invested heavily in automated distribution centres, artificial intelligence, predictive demand forecasting and supply chain optimisation to enhance its inventory management and reduce food waste. These initiatives are not only efficient but support sustainability goals showing the link between operational effectiveness and broader strategic goals (Tesco PLC, 2025). But as we rely more on technology, we also become more vulnerable to cyberattacks and system failures—and the more we need to continuously invest in digital resilience.</w:t>
      </w:r>
    </w:p>
    <w:p w14:paraId="45A440B6" w14:textId="77777777" w:rsidR="00147C83" w:rsidRPr="00385E30" w:rsidRDefault="00147C83" w:rsidP="00147C83">
      <w:pPr>
        <w:rPr>
          <w:rFonts w:ascii="Arial" w:hAnsi="Arial" w:cs="Arial"/>
          <w:lang w:val="en-BB"/>
        </w:rPr>
      </w:pPr>
    </w:p>
    <w:p w14:paraId="49536101" w14:textId="77777777" w:rsidR="00147C83" w:rsidRPr="00385E30" w:rsidRDefault="00147C83" w:rsidP="00147C83">
      <w:pPr>
        <w:rPr>
          <w:rFonts w:ascii="Arial" w:hAnsi="Arial" w:cs="Arial"/>
          <w:lang w:val="en-BB"/>
        </w:rPr>
      </w:pPr>
      <w:r w:rsidRPr="00385E30">
        <w:rPr>
          <w:rFonts w:ascii="Arial" w:hAnsi="Arial" w:cs="Arial"/>
          <w:lang w:val="en-BB"/>
        </w:rPr>
        <w:t xml:space="preserve">Lastly, the learning and growth perspective is the engine of Tesco’s long-term competitiveness. In the Resource-Based View, human capital, organisational learning and technological capability are increasingly acknowledged as strategic resources (Barney, 1991). </w:t>
      </w:r>
      <w:proofErr w:type="gramStart"/>
      <w:r w:rsidRPr="00385E30">
        <w:rPr>
          <w:rFonts w:ascii="Arial" w:hAnsi="Arial" w:cs="Arial"/>
          <w:lang w:val="en-BB"/>
        </w:rPr>
        <w:t>Thus</w:t>
      </w:r>
      <w:proofErr w:type="gramEnd"/>
      <w:r w:rsidRPr="00385E30">
        <w:rPr>
          <w:rFonts w:ascii="Arial" w:hAnsi="Arial" w:cs="Arial"/>
          <w:lang w:val="en-BB"/>
        </w:rPr>
        <w:t xml:space="preserve"> Tesco invests in the development of employees, manager and leadership development programmes, digital capability and diversity initiatives in a bid to improve organisation’s agility. These investments may not provide immediate financial returns, but they build innovation, employee engagement and organisational resilience, which help to maintain competitive advantage in the long term.</w:t>
      </w:r>
    </w:p>
    <w:p w14:paraId="1EBD49DE" w14:textId="77777777" w:rsidR="00147C83" w:rsidRPr="00385E30" w:rsidRDefault="00147C83" w:rsidP="00147C83">
      <w:pPr>
        <w:rPr>
          <w:rFonts w:ascii="Arial" w:hAnsi="Arial" w:cs="Arial"/>
          <w:lang w:val="en-BB"/>
        </w:rPr>
      </w:pPr>
    </w:p>
    <w:p w14:paraId="56ECFFE2" w14:textId="77777777" w:rsidR="00147C83" w:rsidRPr="00CA50DD" w:rsidRDefault="00147C83" w:rsidP="00147C83">
      <w:pPr>
        <w:rPr>
          <w:rFonts w:ascii="Arial" w:hAnsi="Arial" w:cs="Arial"/>
          <w:b/>
          <w:bCs/>
          <w:lang w:val="en-BB"/>
        </w:rPr>
      </w:pPr>
    </w:p>
    <w:p w14:paraId="6459F955" w14:textId="556B1EA5" w:rsidR="00147C83" w:rsidRPr="00385E30" w:rsidRDefault="00147C83" w:rsidP="009B23A6">
      <w:pPr>
        <w:spacing w:after="0" w:line="240" w:lineRule="auto"/>
        <w:rPr>
          <w:rFonts w:ascii="Arial" w:hAnsi="Arial" w:cs="Arial"/>
          <w:lang w:val="en-BB"/>
        </w:rPr>
      </w:pPr>
      <w:r w:rsidRPr="00CA50DD">
        <w:rPr>
          <w:rFonts w:ascii="Arial" w:eastAsia="Times New Roman" w:hAnsi="Arial" w:cs="Arial"/>
          <w:b/>
          <w:bCs/>
          <w:kern w:val="0"/>
          <w:lang w:val="en-BB" w:eastAsia="en-BB"/>
          <w14:ligatures w14:val="none"/>
        </w:rPr>
        <w:t>4. Choosing and implementing a strategy</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Strategic choice is the process of selecting the best method for an organisation to obtain a sustainable competitive </w:t>
      </w:r>
      <w:proofErr w:type="gramStart"/>
      <w:r w:rsidRPr="00385E30">
        <w:rPr>
          <w:rFonts w:ascii="Arial" w:eastAsia="Times New Roman" w:hAnsi="Arial" w:cs="Arial"/>
          <w:kern w:val="0"/>
          <w:lang w:val="en-BB" w:eastAsia="en-BB"/>
          <w14:ligatures w14:val="none"/>
        </w:rPr>
        <w:t>advantage, and</w:t>
      </w:r>
      <w:proofErr w:type="gramEnd"/>
      <w:r w:rsidRPr="00385E30">
        <w:rPr>
          <w:rFonts w:ascii="Arial" w:eastAsia="Times New Roman" w:hAnsi="Arial" w:cs="Arial"/>
          <w:kern w:val="0"/>
          <w:lang w:val="en-BB" w:eastAsia="en-BB"/>
          <w14:ligatures w14:val="none"/>
        </w:rPr>
        <w:t xml:space="preserve"> respond suitably to changes in its external environment (Johnson, Scholes and Whittington, 2020). The previous analyses have shown that Tesco has strong internal capabilities but is operating in a market which is increasingly competitive and uncertain. </w:t>
      </w:r>
      <w:proofErr w:type="gramStart"/>
      <w:r w:rsidRPr="00385E30">
        <w:rPr>
          <w:rFonts w:ascii="Arial" w:eastAsia="Times New Roman" w:hAnsi="Arial" w:cs="Arial"/>
          <w:kern w:val="0"/>
          <w:lang w:val="en-BB" w:eastAsia="en-BB"/>
          <w14:ligatures w14:val="none"/>
        </w:rPr>
        <w:t>So</w:t>
      </w:r>
      <w:proofErr w:type="gramEnd"/>
      <w:r w:rsidRPr="00385E30">
        <w:rPr>
          <w:rFonts w:ascii="Arial" w:eastAsia="Times New Roman" w:hAnsi="Arial" w:cs="Arial"/>
          <w:kern w:val="0"/>
          <w:lang w:val="en-BB" w:eastAsia="en-BB"/>
          <w14:ligatures w14:val="none"/>
        </w:rPr>
        <w:t xml:space="preserve"> the Board </w:t>
      </w:r>
      <w:proofErr w:type="gramStart"/>
      <w:r w:rsidRPr="00385E30">
        <w:rPr>
          <w:rFonts w:ascii="Arial" w:eastAsia="Times New Roman" w:hAnsi="Arial" w:cs="Arial"/>
          <w:kern w:val="0"/>
          <w:lang w:val="en-BB" w:eastAsia="en-BB"/>
          <w14:ligatures w14:val="none"/>
        </w:rPr>
        <w:t>has to</w:t>
      </w:r>
      <w:proofErr w:type="gramEnd"/>
      <w:r w:rsidRPr="00385E30">
        <w:rPr>
          <w:rFonts w:ascii="Arial" w:eastAsia="Times New Roman" w:hAnsi="Arial" w:cs="Arial"/>
          <w:kern w:val="0"/>
          <w:lang w:val="en-BB" w:eastAsia="en-BB"/>
          <w14:ligatures w14:val="none"/>
        </w:rPr>
        <w:t xml:space="preserve"> look at strategic options that will not just preserve market dominance but also improve the organisation’s long-term resilience. This section will critically review the existing business level strategy of Tesco before applying Porters Generic Strategies, Porters Five Forces, Ansoff Matrix and </w:t>
      </w:r>
      <w:proofErr w:type="spellStart"/>
      <w:r w:rsidRPr="00385E30">
        <w:rPr>
          <w:rFonts w:ascii="Arial" w:eastAsia="Times New Roman" w:hAnsi="Arial" w:cs="Arial"/>
          <w:kern w:val="0"/>
          <w:lang w:val="en-BB" w:eastAsia="en-BB"/>
          <w14:ligatures w14:val="none"/>
        </w:rPr>
        <w:t>SAFe</w:t>
      </w:r>
      <w:proofErr w:type="spellEnd"/>
      <w:r w:rsidRPr="00385E30">
        <w:rPr>
          <w:rFonts w:ascii="Arial" w:eastAsia="Times New Roman" w:hAnsi="Arial" w:cs="Arial"/>
          <w:kern w:val="0"/>
          <w:lang w:val="en-BB" w:eastAsia="en-BB"/>
          <w14:ligatures w14:val="none"/>
        </w:rPr>
        <w:t xml:space="preserve"> framework to determine the most appropriate strategic direction.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 xml:space="preserve">4.1 Business Level Strategies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lastRenderedPageBreak/>
        <w:t xml:space="preserve">Porter (1985) proposed that organisations could achieve a competitive advantage by pursuing one of three generic strategies: cost leadership, differentiation or focus. Cost leadership is a strategy of being the lowest cost operator in the industry. Differentiation is about providing more value to the customer through unique products or services. The focus strategy is all about serving a particular market segment better than rivals do.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One might argue that Tesco’s current strategy is not pure cost leadership because discount retailers like Aldi and Lidl tend to have lower operating costs and simpler business models. Neither does Tesco seek premium differentiation comparable to that of Waitrose or Marks &amp; Spencer. Rather, Tesco adopts a hybrid approach combining competitive pricing with differentiated customer value through convenience, digital innovation, product variety and personalised loyalty programmes (Tesco PLC, 2025).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combination means Tesco can compete on price and customer experience. The combination of cost leadership and differentiation is evident in initiatives like Tesco’s Clubcard Prices, Aldi Price Match, the growth of its online grocery business and innovation in its own-brand product range. However, hybrid strategies may perform better than pure strategies if organisations have enough operational capabilities (Johnson et al., 2020). “Tesco’s scale, IT infrastructure and supply chain efficiency provide the means to support this approach.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4.2 Industry Analysis: Porter’s Five Forces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Porter’s Five Forces is a tool to assess the attractiveness of an industry in terms of competitive rivalry, supplier power, buyer power, threat of substitutes and barriers to entry (Porter, 2008).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There is a great deal of competition in the grocery sector in the UK. Tesco is fighting a battle with Sainsbury’s, Asda, Morrisons, Aldi and Lidl, with online retailers such as Ocado and Amazon Fresh continuing to grow their market share. The industry is even more competitive with non-stop price promotions and razor thin margins.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buyer power also is high. That’s because consumers can easily compare prices across retailers and there are low switching costs. The inflationary times further increase customer bargaining power through increasing sensitivity to prices (Office for National Statistics, 2025). Tesco uses its Clubcard personalisation and </w:t>
      </w:r>
      <w:proofErr w:type="gramStart"/>
      <w:r w:rsidRPr="00385E30">
        <w:rPr>
          <w:rFonts w:ascii="Arial" w:eastAsia="Times New Roman" w:hAnsi="Arial" w:cs="Arial"/>
          <w:kern w:val="0"/>
          <w:lang w:val="en-BB" w:eastAsia="en-BB"/>
          <w14:ligatures w14:val="none"/>
        </w:rPr>
        <w:t>value based</w:t>
      </w:r>
      <w:proofErr w:type="gramEnd"/>
      <w:r w:rsidRPr="00385E30">
        <w:rPr>
          <w:rFonts w:ascii="Arial" w:eastAsia="Times New Roman" w:hAnsi="Arial" w:cs="Arial"/>
          <w:kern w:val="0"/>
          <w:lang w:val="en-BB" w:eastAsia="en-BB"/>
          <w14:ligatures w14:val="none"/>
        </w:rPr>
        <w:t xml:space="preserve"> pricing to encourage loyalty among consumers to meet this challenge.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Suppliers power is medium. Tesco is the market leader with a high level of purchasing power which gives it a lot of power over suppliers. However, reliance on agricultural producers, global sourcing and regulatory standards mean that Tesco </w:t>
      </w:r>
      <w:proofErr w:type="gramStart"/>
      <w:r w:rsidRPr="00385E30">
        <w:rPr>
          <w:rFonts w:ascii="Arial" w:eastAsia="Times New Roman" w:hAnsi="Arial" w:cs="Arial"/>
          <w:kern w:val="0"/>
          <w:lang w:val="en-BB" w:eastAsia="en-BB"/>
          <w14:ligatures w14:val="none"/>
        </w:rPr>
        <w:t>is not able to</w:t>
      </w:r>
      <w:proofErr w:type="gramEnd"/>
      <w:r w:rsidRPr="00385E30">
        <w:rPr>
          <w:rFonts w:ascii="Arial" w:eastAsia="Times New Roman" w:hAnsi="Arial" w:cs="Arial"/>
          <w:kern w:val="0"/>
          <w:lang w:val="en-BB" w:eastAsia="en-BB"/>
          <w14:ligatures w14:val="none"/>
        </w:rPr>
        <w:t xml:space="preserve"> pass all cost increases on to suppliers, especially in times of inflation or supply chain disruption.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Threat of Substitution: Moderate Convenience retailers, meal delivery platforms, local food markets or direct-to-consumer services may displace supermarket shopping. However, Tesco’s variety of products and convenience formats and online services mitigate the risk of substitution.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lastRenderedPageBreak/>
        <w:br/>
        <w:t xml:space="preserve">Finally, the threat of new entrants is still quite low as it takes a lot of capital, complex logistics systems and good supplier relationships to build a nationwide grocery retail network. However, digital technologies have lowered the barriers to entry for niche online retailers, which has increased competitive pressure in some segments of the market.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To summarise, Porter's Five Forces identifies Tesco as operating in a highly competitive industry with minimal pricing power. Therefore, sustainable competitive advantage is </w:t>
      </w:r>
      <w:proofErr w:type="gramStart"/>
      <w:r w:rsidRPr="00385E30">
        <w:rPr>
          <w:rFonts w:ascii="Arial" w:eastAsia="Times New Roman" w:hAnsi="Arial" w:cs="Arial"/>
          <w:kern w:val="0"/>
          <w:lang w:val="en-BB" w:eastAsia="en-BB"/>
          <w14:ligatures w14:val="none"/>
        </w:rPr>
        <w:t>more and more</w:t>
      </w:r>
      <w:proofErr w:type="gramEnd"/>
      <w:r w:rsidRPr="00385E30">
        <w:rPr>
          <w:rFonts w:ascii="Arial" w:eastAsia="Times New Roman" w:hAnsi="Arial" w:cs="Arial"/>
          <w:kern w:val="0"/>
          <w:lang w:val="en-BB" w:eastAsia="en-BB"/>
          <w14:ligatures w14:val="none"/>
        </w:rPr>
        <w:t xml:space="preserve"> based on technological competence, customer loyalty and operational efficiency rather than market size alone.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 xml:space="preserve">4.3 Strategic Assessment: The Ansoff Matrix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Ansoff matrix (Ansoff, 1957) outlines four strategic options for growth: market penetration, market development, product development and diversification.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 has a large share of the UK grocery </w:t>
      </w:r>
      <w:proofErr w:type="gramStart"/>
      <w:r w:rsidRPr="00385E30">
        <w:rPr>
          <w:rFonts w:ascii="Arial" w:eastAsia="Times New Roman" w:hAnsi="Arial" w:cs="Arial"/>
          <w:kern w:val="0"/>
          <w:lang w:val="en-BB" w:eastAsia="en-BB"/>
          <w14:ligatures w14:val="none"/>
        </w:rPr>
        <w:t>market</w:t>
      </w:r>
      <w:proofErr w:type="gramEnd"/>
      <w:r w:rsidRPr="00385E30">
        <w:rPr>
          <w:rFonts w:ascii="Arial" w:eastAsia="Times New Roman" w:hAnsi="Arial" w:cs="Arial"/>
          <w:kern w:val="0"/>
          <w:lang w:val="en-BB" w:eastAsia="en-BB"/>
          <w14:ligatures w14:val="none"/>
        </w:rPr>
        <w:t xml:space="preserve"> so market penetration is the most appropriate strategy. Tesco should focus on strengthening customer relationships rather than scaling up significantly. This is achieved by increasing the customer shopping frequency, increasing the digital engagement and increasing the loyalty by data driven personalisation.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There is also potential to develop healthier food ranges, sustainable packaging and premium own-brand products. However, diversification into unrelated sectors would introduce unwanted strategic risk to Tesco, as the UK grocery market still offers the potential for significant growth through digital transformation and operational innovation.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Tesco’s strategic priority should therefore be to concentrate on strengthening its existing market position rather than broadly diversifying.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 xml:space="preserve">4.4 Suggested Approach with </w:t>
      </w:r>
      <w:proofErr w:type="spellStart"/>
      <w:r w:rsidRPr="00CA50DD">
        <w:rPr>
          <w:rFonts w:ascii="Arial" w:eastAsia="Times New Roman" w:hAnsi="Arial" w:cs="Arial"/>
          <w:b/>
          <w:bCs/>
          <w:kern w:val="0"/>
          <w:lang w:val="en-BB" w:eastAsia="en-BB"/>
          <w14:ligatures w14:val="none"/>
        </w:rPr>
        <w:t>SAFe</w:t>
      </w:r>
      <w:proofErr w:type="spellEnd"/>
      <w:r w:rsidRPr="00CA50DD">
        <w:rPr>
          <w:rFonts w:ascii="Arial" w:eastAsia="Times New Roman" w:hAnsi="Arial" w:cs="Arial"/>
          <w:b/>
          <w:bCs/>
          <w:kern w:val="0"/>
          <w:lang w:val="en-BB" w:eastAsia="en-BB"/>
          <w14:ligatures w14:val="none"/>
        </w:rPr>
        <w:t xml:space="preserve"> Framework</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w:t>
      </w:r>
      <w:proofErr w:type="spellStart"/>
      <w:r w:rsidRPr="00385E30">
        <w:rPr>
          <w:rFonts w:ascii="Arial" w:eastAsia="Times New Roman" w:hAnsi="Arial" w:cs="Arial"/>
          <w:kern w:val="0"/>
          <w:lang w:val="en-BB" w:eastAsia="en-BB"/>
          <w14:ligatures w14:val="none"/>
        </w:rPr>
        <w:t>SAFe</w:t>
      </w:r>
      <w:proofErr w:type="spellEnd"/>
      <w:r w:rsidRPr="00385E30">
        <w:rPr>
          <w:rFonts w:ascii="Arial" w:eastAsia="Times New Roman" w:hAnsi="Arial" w:cs="Arial"/>
          <w:kern w:val="0"/>
          <w:lang w:val="en-BB" w:eastAsia="en-BB"/>
          <w14:ligatures w14:val="none"/>
        </w:rPr>
        <w:t xml:space="preserve"> framework was introduced by Johnson et al. (2020) to assess strategic options based on Suitability, Acceptability and Feasibility.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Tesco’s proposed strategy is to improve the hybrid competitive strategy through accelerated AI-enabled personalisation, digital transformation, supply chain automation and sustainability-focused value creation.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strategy directly responds to the opportunities and threats in the PESTEL and SWOT analysis from the suitability perspective. Tesco is stepping up its investment in artificial intelligence, predictive analytics and personalised promotions, allowing it to respond effectively to changing consumer behaviour, while reinforcing customer loyalty.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strategy has multiple stakeholders and is attractive in terms of acceptability. Customers gain more value and customised experiences, shareholders benefit from greater operational efficiency, employees gain opportunities to develop digital skills </w:t>
      </w:r>
      <w:r w:rsidRPr="00385E30">
        <w:rPr>
          <w:rFonts w:ascii="Arial" w:eastAsia="Times New Roman" w:hAnsi="Arial" w:cs="Arial"/>
          <w:kern w:val="0"/>
          <w:lang w:val="en-BB" w:eastAsia="en-BB"/>
          <w14:ligatures w14:val="none"/>
        </w:rPr>
        <w:lastRenderedPageBreak/>
        <w:t xml:space="preserve">and communities benefit from greater sustainability initiatives. The implementation costs are </w:t>
      </w:r>
      <w:proofErr w:type="gramStart"/>
      <w:r w:rsidRPr="00385E30">
        <w:rPr>
          <w:rFonts w:ascii="Arial" w:eastAsia="Times New Roman" w:hAnsi="Arial" w:cs="Arial"/>
          <w:kern w:val="0"/>
          <w:lang w:val="en-BB" w:eastAsia="en-BB"/>
          <w14:ligatures w14:val="none"/>
        </w:rPr>
        <w:t>substantial ,</w:t>
      </w:r>
      <w:proofErr w:type="gramEnd"/>
      <w:r w:rsidRPr="00385E30">
        <w:rPr>
          <w:rFonts w:ascii="Arial" w:eastAsia="Times New Roman" w:hAnsi="Arial" w:cs="Arial"/>
          <w:kern w:val="0"/>
          <w:lang w:val="en-BB" w:eastAsia="en-BB"/>
          <w14:ligatures w14:val="none"/>
        </w:rPr>
        <w:t xml:space="preserve"> but the </w:t>
      </w:r>
      <w:proofErr w:type="gramStart"/>
      <w:r w:rsidRPr="00385E30">
        <w:rPr>
          <w:rFonts w:ascii="Arial" w:eastAsia="Times New Roman" w:hAnsi="Arial" w:cs="Arial"/>
          <w:kern w:val="0"/>
          <w:lang w:val="en-BB" w:eastAsia="en-BB"/>
          <w14:ligatures w14:val="none"/>
        </w:rPr>
        <w:t>long term</w:t>
      </w:r>
      <w:proofErr w:type="gramEnd"/>
      <w:r w:rsidRPr="00385E30">
        <w:rPr>
          <w:rFonts w:ascii="Arial" w:eastAsia="Times New Roman" w:hAnsi="Arial" w:cs="Arial"/>
          <w:kern w:val="0"/>
          <w:lang w:val="en-BB" w:eastAsia="en-BB"/>
          <w14:ligatures w14:val="none"/>
        </w:rPr>
        <w:t xml:space="preserve"> benefits are predicted to surpass the financial risks.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last reason why the strategy is feasible is that Tesco already has the technological infrastructure, financial resources, customer database and supply chain capabilities identified by the VRIO analysis. This strategy builds on existing competitive strengths, rather than requiring the organisation to be completely overhauled.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r w:rsidRPr="00CA50DD">
        <w:rPr>
          <w:rFonts w:ascii="Arial" w:eastAsia="Times New Roman" w:hAnsi="Arial" w:cs="Arial"/>
          <w:b/>
          <w:bCs/>
          <w:kern w:val="0"/>
          <w:lang w:val="en-BB" w:eastAsia="en-BB"/>
          <w14:ligatures w14:val="none"/>
        </w:rPr>
        <w:t>4.5 Challenges in Implementation and Recommendations</w:t>
      </w:r>
      <w:r w:rsidRPr="00385E30">
        <w:rPr>
          <w:rFonts w:ascii="Arial" w:eastAsia="Times New Roman" w:hAnsi="Arial" w:cs="Arial"/>
          <w:kern w:val="0"/>
          <w:lang w:val="en-BB" w:eastAsia="en-BB"/>
          <w14:ligatures w14:val="none"/>
        </w:rPr>
        <w:t xml:space="preser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Implementation has several challenges but is strategically attractive.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The first is the expense of investing in technology. “Artificial intelligence, automation and digital infrastructure take a lot of capital spending. Thus, Tesco should implement it gradually and keep assessing the cost benefit to try to minimise financial risk.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Second, the implementation may be less effective because the employee is resistant to the technological change. Effective communication, leadership commitment and employee participation are significant for successful organisational change (Kotter, 1996). So, Tesco should implement additional digital training programmes and involve the employees throughout the process of implementation at all stages.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Third, as Tesco becomes more reliant on customer analytics, the risks to cyber security and data privacy are rising. Continued investment in cyber security infrastructure and strict compliance with UK GDPR regulations is vital to build confidence with customers.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t xml:space="preserve">And finally, it is still difficult to make money investing in sustainability. Sustainable initiatives that improve operational efficiency, such as reducing food waste and improving energy efficiency and optimising logistics, should be a priority for Tesco, generating both environmental and financial value. </w:t>
      </w:r>
      <w:r w:rsidRPr="00385E30">
        <w:rPr>
          <w:rFonts w:ascii="Arial" w:eastAsia="Times New Roman" w:hAnsi="Arial" w:cs="Arial"/>
          <w:kern w:val="0"/>
          <w:lang w:val="en-BB" w:eastAsia="en-BB"/>
          <w14:ligatures w14:val="none"/>
        </w:rPr>
        <w:br/>
      </w:r>
      <w:r w:rsidRPr="00385E30">
        <w:rPr>
          <w:rFonts w:ascii="Arial" w:eastAsia="Times New Roman" w:hAnsi="Arial" w:cs="Arial"/>
          <w:kern w:val="0"/>
          <w:lang w:val="en-BB" w:eastAsia="en-BB"/>
          <w14:ligatures w14:val="none"/>
        </w:rPr>
        <w:br/>
      </w:r>
    </w:p>
    <w:p w14:paraId="3B632570" w14:textId="77777777" w:rsidR="009B23A6" w:rsidRDefault="00385E30" w:rsidP="00385E30">
      <w:pPr>
        <w:rPr>
          <w:rFonts w:ascii="Arial" w:hAnsi="Arial" w:cs="Arial"/>
          <w:b/>
          <w:bCs/>
          <w:lang w:val="en-BB"/>
        </w:rPr>
      </w:pPr>
      <w:r w:rsidRPr="009B23A6">
        <w:rPr>
          <w:rFonts w:ascii="Arial" w:hAnsi="Arial" w:cs="Arial"/>
          <w:b/>
          <w:bCs/>
          <w:lang w:val="en-BB"/>
        </w:rPr>
        <w:t>Section 2: Reflective Account Using Gibbs’ Reflective Cycle</w:t>
      </w:r>
    </w:p>
    <w:p w14:paraId="47DDC1F1" w14:textId="77777777" w:rsidR="009B23A6" w:rsidRDefault="00385E30" w:rsidP="00385E30">
      <w:pPr>
        <w:rPr>
          <w:rFonts w:ascii="Arial" w:hAnsi="Arial" w:cs="Arial"/>
          <w:lang w:val="en-BB"/>
        </w:rPr>
      </w:pPr>
      <w:r w:rsidRPr="00385E30">
        <w:rPr>
          <w:rFonts w:ascii="Arial" w:hAnsi="Arial" w:cs="Arial"/>
          <w:lang w:val="en-BB"/>
        </w:rPr>
        <w:br/>
        <w:t xml:space="preserve">Reflection is an important aspect of postgraduate learning as it helps the learner to critically reflect on their experience, identify strengths and flaws and improve future professional activity. Gibbs' (1988) Reflective Cycle is a </w:t>
      </w:r>
      <w:proofErr w:type="gramStart"/>
      <w:r w:rsidRPr="00385E30">
        <w:rPr>
          <w:rFonts w:ascii="Arial" w:hAnsi="Arial" w:cs="Arial"/>
          <w:lang w:val="en-BB"/>
        </w:rPr>
        <w:t>six stage</w:t>
      </w:r>
      <w:proofErr w:type="gramEnd"/>
      <w:r w:rsidRPr="00385E30">
        <w:rPr>
          <w:rFonts w:ascii="Arial" w:hAnsi="Arial" w:cs="Arial"/>
          <w:lang w:val="en-BB"/>
        </w:rPr>
        <w:t xml:space="preserve"> structured model: Description, Feelings, Evaluation, Analysis, Conclusion and Action Plan. This reflective account explores the process of researching, assessing and writing this strategic management consultant report for Tesco PLC and reflects on how the experience has contributed to my educational knowledge and professional skills.</w:t>
      </w:r>
      <w:r w:rsidRPr="00385E30">
        <w:rPr>
          <w:rFonts w:ascii="Arial" w:hAnsi="Arial" w:cs="Arial"/>
          <w:lang w:val="en-BB"/>
        </w:rPr>
        <w:br/>
      </w:r>
      <w:r w:rsidRPr="00385E30">
        <w:rPr>
          <w:rFonts w:ascii="Arial" w:hAnsi="Arial" w:cs="Arial"/>
          <w:lang w:val="en-BB"/>
        </w:rPr>
        <w:br/>
      </w:r>
      <w:r w:rsidRPr="00CA50DD">
        <w:rPr>
          <w:rFonts w:ascii="Arial" w:hAnsi="Arial" w:cs="Arial"/>
          <w:b/>
          <w:bCs/>
          <w:lang w:val="en-BB"/>
        </w:rPr>
        <w:t>1. Description</w:t>
      </w:r>
      <w:r w:rsidRPr="00385E30">
        <w:rPr>
          <w:rFonts w:ascii="Arial" w:hAnsi="Arial" w:cs="Arial"/>
          <w:lang w:val="en-BB"/>
        </w:rPr>
        <w:t xml:space="preserve"> </w:t>
      </w:r>
      <w:r w:rsidRPr="00385E30">
        <w:rPr>
          <w:rFonts w:ascii="Arial" w:hAnsi="Arial" w:cs="Arial"/>
          <w:lang w:val="en-BB"/>
        </w:rPr>
        <w:br/>
      </w:r>
      <w:r w:rsidRPr="00385E30">
        <w:rPr>
          <w:rFonts w:ascii="Arial" w:hAnsi="Arial" w:cs="Arial"/>
          <w:lang w:val="en-BB"/>
        </w:rPr>
        <w:br/>
      </w:r>
      <w:r w:rsidRPr="00385E30">
        <w:rPr>
          <w:rFonts w:ascii="Arial" w:hAnsi="Arial" w:cs="Arial"/>
          <w:lang w:val="en-BB"/>
        </w:rPr>
        <w:lastRenderedPageBreak/>
        <w:t xml:space="preserve">The objective of this assignment is to take the role of a strategic management consultant and critically assess the strategic position of Tesco PLC in the UK food retail sector. To this end I carried out </w:t>
      </w:r>
      <w:proofErr w:type="gramStart"/>
      <w:r w:rsidRPr="00385E30">
        <w:rPr>
          <w:rFonts w:ascii="Arial" w:hAnsi="Arial" w:cs="Arial"/>
          <w:lang w:val="en-BB"/>
        </w:rPr>
        <w:t>a thorough research</w:t>
      </w:r>
      <w:proofErr w:type="gramEnd"/>
      <w:r w:rsidRPr="00385E30">
        <w:rPr>
          <w:rFonts w:ascii="Arial" w:hAnsi="Arial" w:cs="Arial"/>
          <w:lang w:val="en-BB"/>
        </w:rPr>
        <w:t xml:space="preserve"> using academic journals, textbooks, Tesco’s Annual Report, sustainability reports and industry publications. I used a variety of strategic management tools, such as PESTEL, VRIO, SWOT, Corporate Social Responsibility (CSR), Balanced Scorecard, Porter’s Five Forces, Porter’s Generic Strategies, Ansoff’s Matrix and the </w:t>
      </w:r>
      <w:proofErr w:type="spellStart"/>
      <w:r w:rsidRPr="00385E30">
        <w:rPr>
          <w:rFonts w:ascii="Arial" w:hAnsi="Arial" w:cs="Arial"/>
          <w:lang w:val="en-BB"/>
        </w:rPr>
        <w:t>SAFe</w:t>
      </w:r>
      <w:proofErr w:type="spellEnd"/>
      <w:r w:rsidRPr="00385E30">
        <w:rPr>
          <w:rFonts w:ascii="Arial" w:hAnsi="Arial" w:cs="Arial"/>
          <w:lang w:val="en-BB"/>
        </w:rPr>
        <w:t xml:space="preserve"> framework.</w:t>
      </w:r>
      <w:r w:rsidRPr="00385E30">
        <w:rPr>
          <w:rFonts w:ascii="Arial" w:hAnsi="Arial" w:cs="Arial"/>
          <w:lang w:val="en-BB"/>
        </w:rPr>
        <w:br/>
      </w:r>
      <w:r w:rsidRPr="00385E30">
        <w:rPr>
          <w:rFonts w:ascii="Arial" w:hAnsi="Arial" w:cs="Arial"/>
          <w:lang w:val="en-BB"/>
        </w:rPr>
        <w:br/>
        <w:t>This report not only described the business environment of Tesco but also needed the integration of academic concepts with real organisational evidence to generate practical suggestions for the Board of Directors. This entailed a meticulous choice of reliable sources and a constant assessment of the contribution of each strategy framework to understanding Tesco’s competitive position.</w:t>
      </w:r>
      <w:r w:rsidRPr="00385E30">
        <w:rPr>
          <w:rFonts w:ascii="Arial" w:hAnsi="Arial" w:cs="Arial"/>
          <w:lang w:val="en-BB"/>
        </w:rPr>
        <w:br/>
      </w:r>
    </w:p>
    <w:p w14:paraId="63099EEE" w14:textId="77777777" w:rsidR="009B23A6" w:rsidRDefault="009B23A6" w:rsidP="00385E30">
      <w:pPr>
        <w:rPr>
          <w:rFonts w:ascii="Arial" w:hAnsi="Arial" w:cs="Arial"/>
          <w:lang w:val="en-BB"/>
        </w:rPr>
      </w:pPr>
    </w:p>
    <w:p w14:paraId="71B66D46" w14:textId="77777777" w:rsidR="009B23A6" w:rsidRDefault="00385E30" w:rsidP="00385E30">
      <w:pPr>
        <w:rPr>
          <w:rFonts w:ascii="Arial" w:hAnsi="Arial" w:cs="Arial"/>
          <w:lang w:val="en-BB"/>
        </w:rPr>
      </w:pPr>
      <w:r w:rsidRPr="00385E30">
        <w:rPr>
          <w:rFonts w:ascii="Arial" w:hAnsi="Arial" w:cs="Arial"/>
          <w:lang w:val="en-BB"/>
        </w:rPr>
        <w:br/>
      </w:r>
      <w:r w:rsidRPr="00CA50DD">
        <w:rPr>
          <w:rFonts w:ascii="Arial" w:hAnsi="Arial" w:cs="Arial"/>
          <w:b/>
          <w:bCs/>
          <w:lang w:val="en-BB"/>
        </w:rPr>
        <w:t>2. Emotions</w:t>
      </w:r>
      <w:r w:rsidRPr="00385E30">
        <w:rPr>
          <w:rFonts w:ascii="Arial" w:hAnsi="Arial" w:cs="Arial"/>
          <w:lang w:val="en-BB"/>
        </w:rPr>
        <w:br/>
      </w:r>
      <w:r w:rsidRPr="00385E30">
        <w:rPr>
          <w:rFonts w:ascii="Arial" w:hAnsi="Arial" w:cs="Arial"/>
          <w:lang w:val="en-BB"/>
        </w:rPr>
        <w:br/>
        <w:t xml:space="preserve">In the beginning of the assignment I underestimated the intricacy of strategic management analysis. At </w:t>
      </w:r>
      <w:proofErr w:type="gramStart"/>
      <w:r w:rsidRPr="00385E30">
        <w:rPr>
          <w:rFonts w:ascii="Arial" w:hAnsi="Arial" w:cs="Arial"/>
          <w:lang w:val="en-BB"/>
        </w:rPr>
        <w:t>first</w:t>
      </w:r>
      <w:proofErr w:type="gramEnd"/>
      <w:r w:rsidRPr="00385E30">
        <w:rPr>
          <w:rFonts w:ascii="Arial" w:hAnsi="Arial" w:cs="Arial"/>
          <w:lang w:val="en-BB"/>
        </w:rPr>
        <w:t xml:space="preserve"> I thought it was the use of strategic frameworks to characterise each model separately. However, the study process made me see that strategic management at postgraduate level demands critical examination, not just the implementation of theory. At first this change in understanding undermined my confidence, as I discovered that distinction level work was about using autonomous judgement supported by academic evidence rather than synthesising ideas from </w:t>
      </w:r>
      <w:proofErr w:type="gramStart"/>
      <w:r w:rsidRPr="00385E30">
        <w:rPr>
          <w:rFonts w:ascii="Arial" w:hAnsi="Arial" w:cs="Arial"/>
          <w:lang w:val="en-BB"/>
        </w:rPr>
        <w:t>text books</w:t>
      </w:r>
      <w:proofErr w:type="gramEnd"/>
      <w:r w:rsidRPr="00385E30">
        <w:rPr>
          <w:rFonts w:ascii="Arial" w:hAnsi="Arial" w:cs="Arial"/>
          <w:lang w:val="en-BB"/>
        </w:rPr>
        <w:t>.</w:t>
      </w:r>
      <w:r w:rsidRPr="00385E30">
        <w:rPr>
          <w:rFonts w:ascii="Arial" w:hAnsi="Arial" w:cs="Arial"/>
          <w:lang w:val="en-BB"/>
        </w:rPr>
        <w:br/>
      </w:r>
      <w:r w:rsidRPr="00385E30">
        <w:rPr>
          <w:rFonts w:ascii="Arial" w:hAnsi="Arial" w:cs="Arial"/>
          <w:lang w:val="en-BB"/>
        </w:rPr>
        <w:br/>
        <w:t>“I got more confident as the assignment went on. By looking at Tesco’s corporate papers and academic literature I could see how useful the theory was in real strategic decision-making. I got more confident in understanding the relationships between different frameworks and identifying how changes in the external environment impact organisation strategy.</w:t>
      </w:r>
      <w:r w:rsidRPr="00385E30">
        <w:rPr>
          <w:rFonts w:ascii="Arial" w:hAnsi="Arial" w:cs="Arial"/>
          <w:lang w:val="en-BB"/>
        </w:rPr>
        <w:br/>
      </w:r>
      <w:r w:rsidRPr="00385E30">
        <w:rPr>
          <w:rFonts w:ascii="Arial" w:hAnsi="Arial" w:cs="Arial"/>
          <w:lang w:val="en-BB"/>
        </w:rPr>
        <w:br/>
      </w:r>
      <w:r w:rsidRPr="00CA50DD">
        <w:rPr>
          <w:rFonts w:ascii="Arial" w:hAnsi="Arial" w:cs="Arial"/>
          <w:b/>
          <w:bCs/>
          <w:lang w:val="en-BB"/>
        </w:rPr>
        <w:t>3. Appraisal</w:t>
      </w:r>
      <w:r w:rsidRPr="00385E30">
        <w:rPr>
          <w:rFonts w:ascii="Arial" w:hAnsi="Arial" w:cs="Arial"/>
          <w:lang w:val="en-BB"/>
        </w:rPr>
        <w:br/>
      </w:r>
      <w:r w:rsidRPr="00385E30">
        <w:rPr>
          <w:rFonts w:ascii="Arial" w:hAnsi="Arial" w:cs="Arial"/>
          <w:lang w:val="en-BB"/>
        </w:rPr>
        <w:br/>
        <w:t xml:space="preserve">Overall, I think that the research approach was successful in that it linked academic theory with actual organisational evidence. By using many </w:t>
      </w:r>
      <w:proofErr w:type="gramStart"/>
      <w:r w:rsidRPr="00385E30">
        <w:rPr>
          <w:rFonts w:ascii="Arial" w:hAnsi="Arial" w:cs="Arial"/>
          <w:lang w:val="en-BB"/>
        </w:rPr>
        <w:t>sources</w:t>
      </w:r>
      <w:proofErr w:type="gramEnd"/>
      <w:r w:rsidRPr="00385E30">
        <w:rPr>
          <w:rFonts w:ascii="Arial" w:hAnsi="Arial" w:cs="Arial"/>
          <w:lang w:val="en-BB"/>
        </w:rPr>
        <w:t xml:space="preserve"> I was able to assess Tesco from various angles rather than via a single paradigm. For example, PESTEL indicated macro-environmental factors, while VRIO showed how internal capabilities of Tesco enhance competitive advantage. These assessments were then included into the SWOT framework to create a holistic view of the organisation’s strategic position.</w:t>
      </w:r>
      <w:r w:rsidRPr="00385E30">
        <w:rPr>
          <w:rFonts w:ascii="Arial" w:hAnsi="Arial" w:cs="Arial"/>
          <w:lang w:val="en-BB"/>
        </w:rPr>
        <w:br/>
      </w:r>
      <w:r w:rsidRPr="00385E30">
        <w:rPr>
          <w:rFonts w:ascii="Arial" w:hAnsi="Arial" w:cs="Arial"/>
          <w:lang w:val="en-BB"/>
        </w:rPr>
        <w:lastRenderedPageBreak/>
        <w:br/>
        <w:t>One strength of my approach was the wide utilisation of recent academic research and industry reports, thereby making recommendations evidence-based rather than opinion-based. Moreover, a critical review of the strengths and weaknesses of each of the frameworks improved the quality of the analysis and minimised the possibility of drawing oversimplified conclusions.</w:t>
      </w:r>
      <w:r w:rsidRPr="00385E30">
        <w:rPr>
          <w:rFonts w:ascii="Arial" w:hAnsi="Arial" w:cs="Arial"/>
          <w:lang w:val="en-BB"/>
        </w:rPr>
        <w:br/>
      </w:r>
      <w:r w:rsidRPr="00385E30">
        <w:rPr>
          <w:rFonts w:ascii="Arial" w:hAnsi="Arial" w:cs="Arial"/>
          <w:lang w:val="en-BB"/>
        </w:rPr>
        <w:br/>
        <w:t>However, a restriction of the study method was the availability of information in the public domain. Some internal strategic decisions, financial estimates and operational data were proprietary and consequently not available for study. Therefore, certain recommendations are based on published findings rather than entire organisational information. This is a common weakness of external strategic management consultants.</w:t>
      </w:r>
      <w:r w:rsidRPr="00385E30">
        <w:rPr>
          <w:rFonts w:ascii="Arial" w:hAnsi="Arial" w:cs="Arial"/>
          <w:lang w:val="en-BB"/>
        </w:rPr>
        <w:br/>
      </w:r>
    </w:p>
    <w:p w14:paraId="37DC39F1" w14:textId="77777777" w:rsidR="009B23A6" w:rsidRDefault="009B23A6" w:rsidP="00385E30">
      <w:pPr>
        <w:rPr>
          <w:rFonts w:ascii="Arial" w:hAnsi="Arial" w:cs="Arial"/>
          <w:lang w:val="en-BB"/>
        </w:rPr>
      </w:pPr>
    </w:p>
    <w:p w14:paraId="7435A0E6" w14:textId="24A4010B" w:rsidR="00385E30" w:rsidRDefault="00385E30" w:rsidP="00385E30">
      <w:pPr>
        <w:rPr>
          <w:rFonts w:ascii="Arial" w:hAnsi="Arial" w:cs="Arial"/>
          <w:lang w:val="en-BB"/>
        </w:rPr>
      </w:pPr>
      <w:r w:rsidRPr="00385E30">
        <w:rPr>
          <w:rFonts w:ascii="Arial" w:hAnsi="Arial" w:cs="Arial"/>
          <w:lang w:val="en-BB"/>
        </w:rPr>
        <w:br/>
      </w:r>
      <w:r w:rsidRPr="00CA50DD">
        <w:rPr>
          <w:rFonts w:ascii="Arial" w:hAnsi="Arial" w:cs="Arial"/>
          <w:b/>
          <w:bCs/>
          <w:lang w:val="en-BB"/>
        </w:rPr>
        <w:t>4.</w:t>
      </w:r>
      <w:r w:rsidR="009B23A6" w:rsidRPr="00CA50DD">
        <w:rPr>
          <w:rFonts w:ascii="Arial" w:hAnsi="Arial" w:cs="Arial"/>
          <w:b/>
          <w:bCs/>
          <w:lang w:val="en-BB"/>
        </w:rPr>
        <w:t>Analysis</w:t>
      </w:r>
      <w:r w:rsidR="009B23A6">
        <w:rPr>
          <w:rFonts w:ascii="Arial" w:hAnsi="Arial" w:cs="Arial"/>
          <w:lang w:val="en-BB"/>
        </w:rPr>
        <w:t xml:space="preserve"> </w:t>
      </w:r>
      <w:r w:rsidRPr="00385E30">
        <w:rPr>
          <w:rFonts w:ascii="Arial" w:hAnsi="Arial" w:cs="Arial"/>
          <w:lang w:val="en-BB"/>
        </w:rPr>
        <w:br/>
      </w:r>
      <w:r w:rsidRPr="00385E30">
        <w:rPr>
          <w:rFonts w:ascii="Arial" w:hAnsi="Arial" w:cs="Arial"/>
          <w:lang w:val="en-BB"/>
        </w:rPr>
        <w:br/>
        <w:t xml:space="preserve">The assignment was </w:t>
      </w:r>
      <w:proofErr w:type="gramStart"/>
      <w:r w:rsidRPr="00385E30">
        <w:rPr>
          <w:rFonts w:ascii="Arial" w:hAnsi="Arial" w:cs="Arial"/>
          <w:lang w:val="en-BB"/>
        </w:rPr>
        <w:t>really helpful</w:t>
      </w:r>
      <w:proofErr w:type="gramEnd"/>
      <w:r w:rsidRPr="00385E30">
        <w:rPr>
          <w:rFonts w:ascii="Arial" w:hAnsi="Arial" w:cs="Arial"/>
          <w:lang w:val="en-BB"/>
        </w:rPr>
        <w:t xml:space="preserve"> in enhancing my understanding of strategic management as a holistic process rather than as a collection of separate analytical tools. At </w:t>
      </w:r>
      <w:proofErr w:type="gramStart"/>
      <w:r w:rsidRPr="00385E30">
        <w:rPr>
          <w:rFonts w:ascii="Arial" w:hAnsi="Arial" w:cs="Arial"/>
          <w:lang w:val="en-BB"/>
        </w:rPr>
        <w:t>first</w:t>
      </w:r>
      <w:proofErr w:type="gramEnd"/>
      <w:r w:rsidRPr="00385E30">
        <w:rPr>
          <w:rFonts w:ascii="Arial" w:hAnsi="Arial" w:cs="Arial"/>
          <w:lang w:val="en-BB"/>
        </w:rPr>
        <w:t xml:space="preserve"> I saw frameworks like PESTEL, VRIO and Porter’s Five Forces as different approaches. However, the process of writing the study showed that good strategic analysis requires the integration of diverse views to generate consistent strategic recommendations.</w:t>
      </w:r>
      <w:r w:rsidRPr="00385E30">
        <w:rPr>
          <w:rFonts w:ascii="Arial" w:hAnsi="Arial" w:cs="Arial"/>
          <w:lang w:val="en-BB"/>
        </w:rPr>
        <w:br/>
      </w:r>
      <w:r w:rsidRPr="00385E30">
        <w:rPr>
          <w:rFonts w:ascii="Arial" w:hAnsi="Arial" w:cs="Arial"/>
          <w:lang w:val="en-BB"/>
        </w:rPr>
        <w:br/>
        <w:t xml:space="preserve">The assignment also reaffirmed the significance of being </w:t>
      </w:r>
      <w:proofErr w:type="gramStart"/>
      <w:r w:rsidRPr="00385E30">
        <w:rPr>
          <w:rFonts w:ascii="Arial" w:hAnsi="Arial" w:cs="Arial"/>
          <w:lang w:val="en-BB"/>
        </w:rPr>
        <w:t>data-driven</w:t>
      </w:r>
      <w:proofErr w:type="gramEnd"/>
      <w:r w:rsidRPr="00385E30">
        <w:rPr>
          <w:rFonts w:ascii="Arial" w:hAnsi="Arial" w:cs="Arial"/>
          <w:lang w:val="en-BB"/>
        </w:rPr>
        <w:t>. Johnson, Scholes and Whittington (2020) suggest that strategic decisions should not be based on intuition but on a methodical analysis of the environment. From the report I understood that academic theories give useful analytical frameworks, but organisational recommendations only make sense if underpinned by contemporary business evidence.</w:t>
      </w:r>
      <w:r w:rsidRPr="00385E30">
        <w:rPr>
          <w:rFonts w:ascii="Arial" w:hAnsi="Arial" w:cs="Arial"/>
          <w:lang w:val="en-BB"/>
        </w:rPr>
        <w:br/>
      </w:r>
      <w:r w:rsidRPr="00385E30">
        <w:rPr>
          <w:rFonts w:ascii="Arial" w:hAnsi="Arial" w:cs="Arial"/>
          <w:lang w:val="en-BB"/>
        </w:rPr>
        <w:br/>
        <w:t xml:space="preserve">Furthermore, the analysis of the Tesco’s CSR approach has shown that the sustainability is </w:t>
      </w:r>
      <w:proofErr w:type="gramStart"/>
      <w:r w:rsidRPr="00385E30">
        <w:rPr>
          <w:rFonts w:ascii="Arial" w:hAnsi="Arial" w:cs="Arial"/>
          <w:lang w:val="en-BB"/>
        </w:rPr>
        <w:t>more and more</w:t>
      </w:r>
      <w:proofErr w:type="gramEnd"/>
      <w:r w:rsidRPr="00385E30">
        <w:rPr>
          <w:rFonts w:ascii="Arial" w:hAnsi="Arial" w:cs="Arial"/>
          <w:lang w:val="en-BB"/>
        </w:rPr>
        <w:t xml:space="preserve"> associated with competitive advantage and not only with corporate altruism. Similarly, the application of the Balanced Scorecard showed the necessity of monitoring organisational success using financial and non-financial measures. The perspective I received helped me to view strategic management more broadly than the conventional financial performance measures.</w:t>
      </w:r>
      <w:r w:rsidRPr="00385E30">
        <w:rPr>
          <w:rFonts w:ascii="Arial" w:hAnsi="Arial" w:cs="Arial"/>
          <w:lang w:val="en-BB"/>
        </w:rPr>
        <w:br/>
      </w:r>
      <w:r w:rsidRPr="00385E30">
        <w:rPr>
          <w:rFonts w:ascii="Arial" w:hAnsi="Arial" w:cs="Arial"/>
          <w:lang w:val="en-BB"/>
        </w:rPr>
        <w:br/>
        <w:t xml:space="preserve">And the task also enriched my research, critical thinking and academic writing skills from a professional standpoint. When evaluating competing views in the literature, I had to formulate balanced arguments supported by solid facts, rather than accept </w:t>
      </w:r>
      <w:r w:rsidRPr="00385E30">
        <w:rPr>
          <w:rFonts w:ascii="Arial" w:hAnsi="Arial" w:cs="Arial"/>
          <w:lang w:val="en-BB"/>
        </w:rPr>
        <w:lastRenderedPageBreak/>
        <w:t>the conclusions of various authors at face value.</w:t>
      </w:r>
      <w:r w:rsidRPr="00385E30">
        <w:rPr>
          <w:rFonts w:ascii="Arial" w:hAnsi="Arial" w:cs="Arial"/>
          <w:lang w:val="en-BB"/>
        </w:rPr>
        <w:br/>
      </w:r>
      <w:r w:rsidRPr="00385E30">
        <w:rPr>
          <w:rFonts w:ascii="Arial" w:hAnsi="Arial" w:cs="Arial"/>
          <w:lang w:val="en-BB"/>
        </w:rPr>
        <w:br/>
      </w:r>
      <w:r w:rsidRPr="00CA50DD">
        <w:rPr>
          <w:rFonts w:ascii="Arial" w:hAnsi="Arial" w:cs="Arial"/>
          <w:b/>
          <w:bCs/>
          <w:lang w:val="en-BB"/>
        </w:rPr>
        <w:t>5. Conclusions</w:t>
      </w:r>
      <w:r w:rsidRPr="00385E30">
        <w:rPr>
          <w:rFonts w:ascii="Arial" w:hAnsi="Arial" w:cs="Arial"/>
          <w:lang w:val="en-BB"/>
        </w:rPr>
        <w:br/>
      </w:r>
      <w:r w:rsidRPr="00385E30">
        <w:rPr>
          <w:rFonts w:ascii="Arial" w:hAnsi="Arial" w:cs="Arial"/>
          <w:lang w:val="en-BB"/>
        </w:rPr>
        <w:br/>
        <w:t>Looking back on this assignment, I have realised that I have enhanced my skills in doing strategic analysis using acknowledged management frameworks. More importantly, I have gotten a better understanding of the link between academic theory and real corporate decision making. Strategic management is no longer, in my view, a theoretical discipline but one which has become important to enable organisations respond effectively to uncertainty, technological change and increased competitive pressure.</w:t>
      </w:r>
      <w:r w:rsidRPr="00385E30">
        <w:rPr>
          <w:rFonts w:ascii="Arial" w:hAnsi="Arial" w:cs="Arial"/>
          <w:lang w:val="en-BB"/>
        </w:rPr>
        <w:br/>
      </w:r>
      <w:r w:rsidRPr="00385E30">
        <w:rPr>
          <w:rFonts w:ascii="Arial" w:hAnsi="Arial" w:cs="Arial"/>
          <w:lang w:val="en-BB"/>
        </w:rPr>
        <w:br/>
        <w:t>The work increased my analytical skills but I also see that I need to develop my skills in analysing financial data and integrating quantitative evidence into strategic recommendations. This will help me to generate more detailed consultancy reports in the future.</w:t>
      </w:r>
    </w:p>
    <w:p w14:paraId="1CB68C8E" w14:textId="77777777" w:rsidR="00186AFA" w:rsidRDefault="00186AFA" w:rsidP="00385E30">
      <w:pPr>
        <w:rPr>
          <w:rFonts w:ascii="Arial" w:hAnsi="Arial" w:cs="Arial"/>
          <w:lang w:val="en-BB"/>
        </w:rPr>
      </w:pPr>
    </w:p>
    <w:p w14:paraId="684C0428" w14:textId="1795DE10" w:rsidR="00186AFA" w:rsidRPr="00186AFA" w:rsidRDefault="00186AFA" w:rsidP="00186AFA">
      <w:pPr>
        <w:rPr>
          <w:rFonts w:ascii="Arial" w:hAnsi="Arial" w:cs="Arial"/>
          <w:lang w:val="en-BB"/>
        </w:rPr>
      </w:pPr>
      <w:r w:rsidRPr="00186AFA">
        <w:rPr>
          <w:rFonts w:ascii="Arial" w:hAnsi="Arial" w:cs="Arial"/>
          <w:b/>
          <w:bCs/>
          <w:lang w:val="en-BB"/>
        </w:rPr>
        <w:t>6.Overall conclusion:</w:t>
      </w:r>
      <w:r w:rsidRPr="00186AFA">
        <w:rPr>
          <w:rFonts w:ascii="Arial" w:hAnsi="Arial" w:cs="Arial"/>
          <w:lang w:val="en-BB"/>
        </w:rPr>
        <w:br/>
      </w:r>
      <w:r w:rsidRPr="00186AFA">
        <w:rPr>
          <w:rFonts w:ascii="Arial" w:hAnsi="Arial" w:cs="Arial"/>
          <w:lang w:val="en-BB"/>
        </w:rPr>
        <w:br/>
        <w:t>The research critically analyses Tesco PLC’s strategic position in the UK grocery retail sector, based on existing theories of strategic management and current organisational evidence. The findings suggest that Tesco is still able to stand in a strong competitive position, backed by its market leadership, broad supply chain network, well recognised brand, advanced Clubcard reward scheme and substantial investment in digital transformation. These resources, in combination, offer the company sustainable competitive advantages that are difficult for competitors to imitate (Barney, 1991; Tesco PLC, 2025).</w:t>
      </w:r>
      <w:r w:rsidRPr="00186AFA">
        <w:rPr>
          <w:rFonts w:ascii="Arial" w:hAnsi="Arial" w:cs="Arial"/>
          <w:lang w:val="en-BB"/>
        </w:rPr>
        <w:br/>
      </w:r>
      <w:r w:rsidRPr="00186AFA">
        <w:rPr>
          <w:rFonts w:ascii="Arial" w:hAnsi="Arial" w:cs="Arial"/>
          <w:lang w:val="en-BB"/>
        </w:rPr>
        <w:br/>
        <w:t>The external investigation revealed that Tesco operates in a more complicated business environment with inflation, technological upheaval, changing consumer expectations and increased sustainability demands. These elements are a major problem, but also an opportunity for innovation, operational efficiency and value generation. Furthermore, the internal study further verified that the strategic competencies of Tesco such as customer data analytics, supply chain resilience and financial strength, put the company in a favourable position to react to these external pressures.</w:t>
      </w:r>
      <w:r w:rsidRPr="00186AFA">
        <w:rPr>
          <w:rFonts w:ascii="Arial" w:hAnsi="Arial" w:cs="Arial"/>
          <w:lang w:val="en-BB"/>
        </w:rPr>
        <w:br/>
      </w:r>
      <w:r w:rsidRPr="00186AFA">
        <w:rPr>
          <w:rFonts w:ascii="Arial" w:hAnsi="Arial" w:cs="Arial"/>
          <w:lang w:val="en-BB"/>
        </w:rPr>
        <w:br/>
        <w:t xml:space="preserve">The study of Tesco’s Corporate Social Responsibility (CSR) strategy and Balanced Scorecard revealed that the company managed to combine its operational actions with the larger strategic goals. but with the need to invest continuously in digital innovation, staff capability, client engagement, and environmental sustainability to preserve long-term economic advantage. Based on the strategic assessment, the </w:t>
      </w:r>
      <w:r w:rsidRPr="00186AFA">
        <w:rPr>
          <w:rFonts w:ascii="Arial" w:hAnsi="Arial" w:cs="Arial"/>
          <w:lang w:val="en-BB"/>
        </w:rPr>
        <w:lastRenderedPageBreak/>
        <w:t xml:space="preserve">most suitable, acceptable and achievable option for future growth has been established to be the reinforcement of Tesco’s existing hybrid strategy with artificial intelligence, data-driven personalisation, supply chain automation and sustainability-led value creation. This has been verified by Porter’s Five Forces, Ansoff’s Matrix and the </w:t>
      </w:r>
      <w:proofErr w:type="spellStart"/>
      <w:r w:rsidRPr="00186AFA">
        <w:rPr>
          <w:rFonts w:ascii="Arial" w:hAnsi="Arial" w:cs="Arial"/>
          <w:lang w:val="en-BB"/>
        </w:rPr>
        <w:t>SAFe</w:t>
      </w:r>
      <w:proofErr w:type="spellEnd"/>
      <w:r w:rsidRPr="00186AFA">
        <w:rPr>
          <w:rFonts w:ascii="Arial" w:hAnsi="Arial" w:cs="Arial"/>
          <w:lang w:val="en-BB"/>
        </w:rPr>
        <w:t xml:space="preserve"> framework (Johnson, Scholes and Whittington, 2020; Porter, 2008).</w:t>
      </w:r>
      <w:r w:rsidRPr="00186AFA">
        <w:rPr>
          <w:rFonts w:ascii="Arial" w:hAnsi="Arial" w:cs="Arial"/>
          <w:lang w:val="en-BB"/>
        </w:rPr>
        <w:br/>
      </w:r>
      <w:r w:rsidRPr="00186AFA">
        <w:rPr>
          <w:rFonts w:ascii="Arial" w:hAnsi="Arial" w:cs="Arial"/>
          <w:lang w:val="en-BB"/>
        </w:rPr>
        <w:br/>
        <w:t>Overall, Tesco is well positioned to continue to lead the UK food retail market. However, the organisation’s ability to sustain strategic agility in future, predict the shift in the market and sustain a healthy balance between cost efficiency and continual innovation will be the key to success. Implementation of the recommendations offered in this study will enable Tesco to reinforce its competitive advantage, boost stakeholder value and achieve sustainable long-term development in an increasingly dynamic and competitive retail environment.</w:t>
      </w:r>
    </w:p>
    <w:p w14:paraId="7D40B2C9" w14:textId="77777777" w:rsidR="00186AFA" w:rsidRPr="00385E30" w:rsidRDefault="00186AFA" w:rsidP="00385E30">
      <w:pPr>
        <w:rPr>
          <w:rFonts w:ascii="Arial" w:hAnsi="Arial" w:cs="Arial"/>
          <w:lang w:val="en-BB"/>
        </w:rPr>
      </w:pPr>
    </w:p>
    <w:p w14:paraId="7E666ED9" w14:textId="77777777" w:rsidR="00385E30" w:rsidRDefault="00385E30" w:rsidP="00147C83">
      <w:pPr>
        <w:rPr>
          <w:rFonts w:ascii="Arial" w:hAnsi="Arial" w:cs="Arial"/>
          <w:b/>
          <w:bCs/>
          <w:lang w:val="en-BB"/>
        </w:rPr>
      </w:pPr>
    </w:p>
    <w:p w14:paraId="40B266AD" w14:textId="77777777" w:rsidR="00147C83" w:rsidRDefault="00147C83" w:rsidP="00147C83">
      <w:pPr>
        <w:rPr>
          <w:rFonts w:ascii="Arial" w:hAnsi="Arial" w:cs="Arial"/>
          <w:b/>
          <w:bCs/>
          <w:lang w:val="en-BB"/>
        </w:rPr>
      </w:pPr>
    </w:p>
    <w:p w14:paraId="55321369" w14:textId="77777777" w:rsidR="00147C83" w:rsidRDefault="00147C83" w:rsidP="00147C83">
      <w:pPr>
        <w:rPr>
          <w:rFonts w:ascii="Arial" w:hAnsi="Arial" w:cs="Arial"/>
          <w:b/>
          <w:bCs/>
          <w:lang w:val="en-BB"/>
        </w:rPr>
      </w:pPr>
    </w:p>
    <w:p w14:paraId="593B1363" w14:textId="2EA6C7BA" w:rsidR="005F6212" w:rsidRPr="005767AB" w:rsidRDefault="005F6212" w:rsidP="005F6212">
      <w:pPr>
        <w:rPr>
          <w:rFonts w:ascii="Arial" w:hAnsi="Arial" w:cs="Arial"/>
          <w:b/>
          <w:bCs/>
          <w:lang w:val="en-BB"/>
        </w:rPr>
      </w:pPr>
      <w:r w:rsidRPr="005767AB">
        <w:rPr>
          <w:rFonts w:ascii="Arial" w:hAnsi="Arial" w:cs="Arial"/>
          <w:b/>
          <w:bCs/>
          <w:lang w:val="en-BB"/>
        </w:rPr>
        <w:t>References</w:t>
      </w:r>
    </w:p>
    <w:p w14:paraId="4A6390A9" w14:textId="77777777" w:rsidR="005F6212" w:rsidRPr="00385E30" w:rsidRDefault="005F6212" w:rsidP="00385E30">
      <w:pPr>
        <w:pStyle w:val="ListParagraph"/>
        <w:numPr>
          <w:ilvl w:val="0"/>
          <w:numId w:val="3"/>
        </w:numPr>
        <w:rPr>
          <w:rFonts w:ascii="Arial" w:hAnsi="Arial" w:cs="Arial"/>
          <w:lang w:val="en-BB"/>
        </w:rPr>
      </w:pPr>
      <w:r w:rsidRPr="00385E30">
        <w:rPr>
          <w:rFonts w:ascii="Arial" w:hAnsi="Arial" w:cs="Arial"/>
          <w:lang w:val="en-BB"/>
        </w:rPr>
        <w:t xml:space="preserve">Government Statistical Service (2026) </w:t>
      </w:r>
      <w:r w:rsidRPr="00385E30">
        <w:rPr>
          <w:rFonts w:ascii="Arial" w:hAnsi="Arial" w:cs="Arial"/>
          <w:i/>
          <w:iCs/>
          <w:lang w:val="en-BB"/>
        </w:rPr>
        <w:t>Food statistics in your pocket</w:t>
      </w:r>
      <w:r w:rsidRPr="00385E30">
        <w:rPr>
          <w:rFonts w:ascii="Arial" w:hAnsi="Arial" w:cs="Arial"/>
          <w:lang w:val="en-BB"/>
        </w:rPr>
        <w:t xml:space="preserve">. Available at: </w:t>
      </w:r>
      <w:hyperlink r:id="rId8" w:tgtFrame="_new" w:history="1">
        <w:r w:rsidRPr="00385E30">
          <w:rPr>
            <w:rStyle w:val="Hyperlink"/>
            <w:rFonts w:ascii="Arial" w:hAnsi="Arial" w:cs="Arial"/>
            <w:lang w:val="en-BB"/>
          </w:rPr>
          <w:t>https://www.gov.uk/government/statistics/food-statistics-pocketbook/food-statistics-in-your-pocket</w:t>
        </w:r>
      </w:hyperlink>
      <w:r w:rsidRPr="00385E30">
        <w:rPr>
          <w:rFonts w:ascii="Arial" w:hAnsi="Arial" w:cs="Arial"/>
          <w:lang w:val="en-BB"/>
        </w:rPr>
        <w:t xml:space="preserve"> (Accessed: 17 July 2026).</w:t>
      </w:r>
    </w:p>
    <w:p w14:paraId="68B1791C" w14:textId="77777777" w:rsidR="005F6212" w:rsidRPr="00385E30" w:rsidRDefault="005F6212" w:rsidP="00385E30">
      <w:pPr>
        <w:pStyle w:val="ListParagraph"/>
        <w:numPr>
          <w:ilvl w:val="0"/>
          <w:numId w:val="3"/>
        </w:numPr>
        <w:rPr>
          <w:rFonts w:ascii="Arial" w:hAnsi="Arial" w:cs="Arial"/>
          <w:lang w:val="en-BB"/>
        </w:rPr>
      </w:pPr>
      <w:r w:rsidRPr="00385E30">
        <w:rPr>
          <w:rFonts w:ascii="Arial" w:hAnsi="Arial" w:cs="Arial"/>
          <w:lang w:val="en-BB"/>
        </w:rPr>
        <w:t xml:space="preserve">Tesco PLC (2025) </w:t>
      </w:r>
      <w:r w:rsidRPr="00385E30">
        <w:rPr>
          <w:rFonts w:ascii="Arial" w:hAnsi="Arial" w:cs="Arial"/>
          <w:i/>
          <w:iCs/>
          <w:lang w:val="en-BB"/>
        </w:rPr>
        <w:t>Annual Report and Financial Statements 2025</w:t>
      </w:r>
      <w:r w:rsidRPr="00385E30">
        <w:rPr>
          <w:rFonts w:ascii="Arial" w:hAnsi="Arial" w:cs="Arial"/>
          <w:lang w:val="en-BB"/>
        </w:rPr>
        <w:t>. Welwyn Garden City: Tesco PLC.</w:t>
      </w:r>
    </w:p>
    <w:p w14:paraId="7B801F94" w14:textId="77777777" w:rsidR="005F6212" w:rsidRPr="00385E30" w:rsidRDefault="005F6212" w:rsidP="00385E30">
      <w:pPr>
        <w:pStyle w:val="ListParagraph"/>
        <w:numPr>
          <w:ilvl w:val="0"/>
          <w:numId w:val="3"/>
        </w:numPr>
        <w:rPr>
          <w:rFonts w:ascii="Arial" w:hAnsi="Arial" w:cs="Arial"/>
          <w:lang w:val="en-BB"/>
        </w:rPr>
      </w:pPr>
      <w:r w:rsidRPr="00385E30">
        <w:rPr>
          <w:rFonts w:ascii="Arial" w:hAnsi="Arial" w:cs="Arial"/>
          <w:lang w:val="en-BB"/>
        </w:rPr>
        <w:t xml:space="preserve">Tesco PLC (2026) </w:t>
      </w:r>
      <w:r w:rsidRPr="00385E30">
        <w:rPr>
          <w:rFonts w:ascii="Arial" w:hAnsi="Arial" w:cs="Arial"/>
          <w:i/>
          <w:iCs/>
          <w:lang w:val="en-BB"/>
        </w:rPr>
        <w:t>Preliminary Results 2025/26</w:t>
      </w:r>
      <w:r w:rsidRPr="00385E30">
        <w:rPr>
          <w:rFonts w:ascii="Arial" w:hAnsi="Arial" w:cs="Arial"/>
          <w:lang w:val="en-BB"/>
        </w:rPr>
        <w:t>. Available via company investor announcements (Accessed: 17 July 2026).</w:t>
      </w:r>
    </w:p>
    <w:p w14:paraId="5642D740" w14:textId="77777777" w:rsidR="002B4317" w:rsidRPr="00385E30" w:rsidRDefault="002B4317" w:rsidP="00385E30">
      <w:pPr>
        <w:pStyle w:val="ListParagraph"/>
        <w:numPr>
          <w:ilvl w:val="0"/>
          <w:numId w:val="3"/>
        </w:numPr>
        <w:rPr>
          <w:lang w:val="en-BB"/>
        </w:rPr>
      </w:pPr>
      <w:r w:rsidRPr="00385E30">
        <w:rPr>
          <w:lang w:val="en-BB"/>
        </w:rPr>
        <w:t xml:space="preserve">Deloitte (2024) </w:t>
      </w:r>
      <w:r w:rsidRPr="00385E30">
        <w:rPr>
          <w:i/>
          <w:iCs/>
          <w:lang w:val="en-BB"/>
        </w:rPr>
        <w:t>Global Powers of Retailing 2024</w:t>
      </w:r>
      <w:r w:rsidRPr="00385E30">
        <w:rPr>
          <w:lang w:val="en-BB"/>
        </w:rPr>
        <w:t>. London: Deloitte.</w:t>
      </w:r>
    </w:p>
    <w:p w14:paraId="5D48977A" w14:textId="77777777" w:rsidR="002B4317" w:rsidRPr="00385E30" w:rsidRDefault="002B4317" w:rsidP="00385E30">
      <w:pPr>
        <w:pStyle w:val="ListParagraph"/>
        <w:numPr>
          <w:ilvl w:val="0"/>
          <w:numId w:val="3"/>
        </w:numPr>
        <w:rPr>
          <w:lang w:val="en-BB"/>
        </w:rPr>
      </w:pPr>
      <w:r w:rsidRPr="00385E30">
        <w:rPr>
          <w:lang w:val="en-BB"/>
        </w:rPr>
        <w:t xml:space="preserve">European Commission (2024) </w:t>
      </w:r>
      <w:r w:rsidRPr="00385E30">
        <w:rPr>
          <w:i/>
          <w:iCs/>
          <w:lang w:val="en-BB"/>
        </w:rPr>
        <w:t>Corporate Sustainability Reporting Directive</w:t>
      </w:r>
      <w:r w:rsidRPr="00385E30">
        <w:rPr>
          <w:lang w:val="en-BB"/>
        </w:rPr>
        <w:t>. Brussels: European Commission.</w:t>
      </w:r>
    </w:p>
    <w:p w14:paraId="44E80C5F" w14:textId="77777777" w:rsidR="002B4317" w:rsidRPr="00385E30" w:rsidRDefault="002B4317" w:rsidP="00385E30">
      <w:pPr>
        <w:pStyle w:val="ListParagraph"/>
        <w:numPr>
          <w:ilvl w:val="0"/>
          <w:numId w:val="3"/>
        </w:numPr>
        <w:rPr>
          <w:lang w:val="en-BB"/>
        </w:rPr>
      </w:pPr>
      <w:r w:rsidRPr="00385E30">
        <w:rPr>
          <w:lang w:val="en-BB"/>
        </w:rPr>
        <w:t xml:space="preserve">Information Commissioner's Office (2024) </w:t>
      </w:r>
      <w:r w:rsidRPr="00385E30">
        <w:rPr>
          <w:i/>
          <w:iCs/>
          <w:lang w:val="en-BB"/>
        </w:rPr>
        <w:t>Guide to UK GDPR</w:t>
      </w:r>
      <w:r w:rsidRPr="00385E30">
        <w:rPr>
          <w:lang w:val="en-BB"/>
        </w:rPr>
        <w:t xml:space="preserve">. Available at: </w:t>
      </w:r>
      <w:hyperlink r:id="rId9" w:tgtFrame="_new" w:history="1">
        <w:r w:rsidRPr="00385E30">
          <w:rPr>
            <w:rStyle w:val="Hyperlink"/>
            <w:lang w:val="en-BB"/>
          </w:rPr>
          <w:t>https://ico.org.uk</w:t>
        </w:r>
      </w:hyperlink>
      <w:r w:rsidRPr="00385E30">
        <w:rPr>
          <w:lang w:val="en-BB"/>
        </w:rPr>
        <w:t xml:space="preserve"> (Accessed: 17 July 2026).</w:t>
      </w:r>
    </w:p>
    <w:p w14:paraId="152F6551" w14:textId="77777777" w:rsidR="002B4317" w:rsidRPr="00385E30" w:rsidRDefault="002B4317" w:rsidP="00385E30">
      <w:pPr>
        <w:pStyle w:val="ListParagraph"/>
        <w:numPr>
          <w:ilvl w:val="0"/>
          <w:numId w:val="3"/>
        </w:numPr>
        <w:rPr>
          <w:lang w:val="en-BB"/>
        </w:rPr>
      </w:pPr>
      <w:r w:rsidRPr="00385E30">
        <w:rPr>
          <w:lang w:val="en-BB"/>
        </w:rPr>
        <w:t xml:space="preserve">Johnson, G., Scholes, K. and Whittington, R. (2020) </w:t>
      </w:r>
      <w:r w:rsidRPr="00385E30">
        <w:rPr>
          <w:i/>
          <w:iCs/>
          <w:lang w:val="en-BB"/>
        </w:rPr>
        <w:t>Exploring Strategy</w:t>
      </w:r>
      <w:r w:rsidRPr="00385E30">
        <w:rPr>
          <w:lang w:val="en-BB"/>
        </w:rPr>
        <w:t xml:space="preserve">. 12th </w:t>
      </w:r>
      <w:proofErr w:type="spellStart"/>
      <w:r w:rsidRPr="00385E30">
        <w:rPr>
          <w:lang w:val="en-BB"/>
        </w:rPr>
        <w:t>edn</w:t>
      </w:r>
      <w:proofErr w:type="spellEnd"/>
      <w:r w:rsidRPr="00385E30">
        <w:rPr>
          <w:lang w:val="en-BB"/>
        </w:rPr>
        <w:t>. Harlow: Pearson.</w:t>
      </w:r>
    </w:p>
    <w:p w14:paraId="564E8EDE" w14:textId="77777777" w:rsidR="002B4317" w:rsidRPr="00385E30" w:rsidRDefault="002B4317" w:rsidP="00385E30">
      <w:pPr>
        <w:pStyle w:val="ListParagraph"/>
        <w:numPr>
          <w:ilvl w:val="0"/>
          <w:numId w:val="3"/>
        </w:numPr>
        <w:rPr>
          <w:lang w:val="en-BB"/>
        </w:rPr>
      </w:pPr>
      <w:r w:rsidRPr="00385E30">
        <w:rPr>
          <w:lang w:val="en-BB"/>
        </w:rPr>
        <w:t xml:space="preserve">Office for National Statistics (2025) </w:t>
      </w:r>
      <w:r w:rsidRPr="00385E30">
        <w:rPr>
          <w:i/>
          <w:iCs/>
          <w:lang w:val="en-BB"/>
        </w:rPr>
        <w:t>Consumer Price Inflation, UK</w:t>
      </w:r>
      <w:r w:rsidRPr="00385E30">
        <w:rPr>
          <w:lang w:val="en-BB"/>
        </w:rPr>
        <w:t>. Newport: ONS.</w:t>
      </w:r>
    </w:p>
    <w:p w14:paraId="1ECBCE91" w14:textId="77777777" w:rsidR="002B4317" w:rsidRPr="00385E30" w:rsidRDefault="002B4317"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0BC04415" w14:textId="77777777" w:rsidR="002B4317" w:rsidRPr="00385E30" w:rsidRDefault="002B4317" w:rsidP="00385E30">
      <w:pPr>
        <w:pStyle w:val="ListParagraph"/>
        <w:numPr>
          <w:ilvl w:val="0"/>
          <w:numId w:val="3"/>
        </w:numPr>
        <w:rPr>
          <w:lang w:val="en-BB"/>
        </w:rPr>
      </w:pPr>
      <w:r w:rsidRPr="00385E30">
        <w:rPr>
          <w:lang w:val="en-BB"/>
        </w:rPr>
        <w:t xml:space="preserve">Verhoef, P.C., Broekhuizen, T., Bart, Y., Bhattacharya, A., Dong, J.Q., Fabian, N. and Haenlein, M. (2021) 'Digital transformation: A multidisciplinary reflection and research agenda', </w:t>
      </w:r>
      <w:r w:rsidRPr="00385E30">
        <w:rPr>
          <w:i/>
          <w:iCs/>
          <w:lang w:val="en-BB"/>
        </w:rPr>
        <w:t>Journal of Business Research</w:t>
      </w:r>
      <w:r w:rsidRPr="00385E30">
        <w:rPr>
          <w:lang w:val="en-BB"/>
        </w:rPr>
        <w:t>, 122, pp. 889–901.</w:t>
      </w:r>
    </w:p>
    <w:p w14:paraId="6A007DF8" w14:textId="77777777" w:rsidR="002B4317" w:rsidRPr="00385E30" w:rsidRDefault="002B4317" w:rsidP="00385E30">
      <w:pPr>
        <w:pStyle w:val="ListParagraph"/>
        <w:numPr>
          <w:ilvl w:val="0"/>
          <w:numId w:val="3"/>
        </w:numPr>
        <w:rPr>
          <w:lang w:val="en-BB"/>
        </w:rPr>
      </w:pPr>
      <w:r w:rsidRPr="00385E30">
        <w:rPr>
          <w:lang w:val="en-BB"/>
        </w:rPr>
        <w:lastRenderedPageBreak/>
        <w:t>Yüksel, İ. (2012) 'Developing a multi-</w:t>
      </w:r>
      <w:proofErr w:type="gramStart"/>
      <w:r w:rsidRPr="00385E30">
        <w:rPr>
          <w:lang w:val="en-BB"/>
        </w:rPr>
        <w:t>criteria decision making</w:t>
      </w:r>
      <w:proofErr w:type="gramEnd"/>
      <w:r w:rsidRPr="00385E30">
        <w:rPr>
          <w:lang w:val="en-BB"/>
        </w:rPr>
        <w:t xml:space="preserve"> model for PESTEL analysis', </w:t>
      </w:r>
      <w:r w:rsidRPr="00385E30">
        <w:rPr>
          <w:i/>
          <w:iCs/>
          <w:lang w:val="en-BB"/>
        </w:rPr>
        <w:t>International Journal of Business and Management</w:t>
      </w:r>
      <w:r w:rsidRPr="00385E30">
        <w:rPr>
          <w:lang w:val="en-BB"/>
        </w:rPr>
        <w:t>, 7(24), pp. 52–66.</w:t>
      </w:r>
    </w:p>
    <w:p w14:paraId="1B7606A9" w14:textId="77777777" w:rsidR="002B4317" w:rsidRPr="00385E30" w:rsidRDefault="002B4317" w:rsidP="00385E30">
      <w:pPr>
        <w:pStyle w:val="ListParagraph"/>
        <w:numPr>
          <w:ilvl w:val="0"/>
          <w:numId w:val="3"/>
        </w:numPr>
        <w:rPr>
          <w:lang w:val="en-BB"/>
        </w:rPr>
      </w:pPr>
      <w:r w:rsidRPr="00385E30">
        <w:rPr>
          <w:lang w:val="en-BB"/>
        </w:rPr>
        <w:t xml:space="preserve">Barney, J. (1991) 'Firm resources and sustained competitive advantage', </w:t>
      </w:r>
      <w:r w:rsidRPr="00385E30">
        <w:rPr>
          <w:i/>
          <w:iCs/>
          <w:lang w:val="en-BB"/>
        </w:rPr>
        <w:t>Journal of Management</w:t>
      </w:r>
      <w:r w:rsidRPr="00385E30">
        <w:rPr>
          <w:lang w:val="en-BB"/>
        </w:rPr>
        <w:t>, 17(1), pp. 99–120.</w:t>
      </w:r>
    </w:p>
    <w:p w14:paraId="19EA401D" w14:textId="77777777" w:rsidR="002B4317" w:rsidRPr="00385E30" w:rsidRDefault="002B4317" w:rsidP="00385E30">
      <w:pPr>
        <w:pStyle w:val="ListParagraph"/>
        <w:numPr>
          <w:ilvl w:val="0"/>
          <w:numId w:val="3"/>
        </w:numPr>
        <w:rPr>
          <w:lang w:val="en-BB"/>
        </w:rPr>
      </w:pPr>
      <w:r w:rsidRPr="00385E30">
        <w:rPr>
          <w:lang w:val="en-BB"/>
        </w:rPr>
        <w:t xml:space="preserve">Knott, P. (2015) 'Does VRIO help managers evaluate a firm's resources?', </w:t>
      </w:r>
      <w:r w:rsidRPr="00385E30">
        <w:rPr>
          <w:i/>
          <w:iCs/>
          <w:lang w:val="en-BB"/>
        </w:rPr>
        <w:t>Management Decision</w:t>
      </w:r>
      <w:r w:rsidRPr="00385E30">
        <w:rPr>
          <w:lang w:val="en-BB"/>
        </w:rPr>
        <w:t>, 53(8), pp. 1806–1822.</w:t>
      </w:r>
    </w:p>
    <w:p w14:paraId="4AAA4D49" w14:textId="77777777" w:rsidR="002B4317" w:rsidRPr="00385E30" w:rsidRDefault="002B4317"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5628C513" w14:textId="77777777" w:rsidR="002A452B" w:rsidRPr="00385E30" w:rsidRDefault="002A452B" w:rsidP="00385E30">
      <w:pPr>
        <w:pStyle w:val="ListParagraph"/>
        <w:numPr>
          <w:ilvl w:val="0"/>
          <w:numId w:val="3"/>
        </w:numPr>
        <w:rPr>
          <w:lang w:val="en-BB"/>
        </w:rPr>
      </w:pPr>
      <w:r w:rsidRPr="00385E30">
        <w:rPr>
          <w:lang w:val="en-BB"/>
        </w:rPr>
        <w:t xml:space="preserve">Deloitte (2024) </w:t>
      </w:r>
      <w:r w:rsidRPr="00385E30">
        <w:rPr>
          <w:i/>
          <w:iCs/>
          <w:lang w:val="en-BB"/>
        </w:rPr>
        <w:t>Global Powers of Retailing 2024</w:t>
      </w:r>
      <w:r w:rsidRPr="00385E30">
        <w:rPr>
          <w:lang w:val="en-BB"/>
        </w:rPr>
        <w:t>. London: Deloitte.</w:t>
      </w:r>
    </w:p>
    <w:p w14:paraId="751D4636" w14:textId="77777777" w:rsidR="002A452B" w:rsidRPr="00385E30" w:rsidRDefault="002A452B" w:rsidP="00385E30">
      <w:pPr>
        <w:pStyle w:val="ListParagraph"/>
        <w:numPr>
          <w:ilvl w:val="0"/>
          <w:numId w:val="3"/>
        </w:numPr>
        <w:rPr>
          <w:lang w:val="en-BB"/>
        </w:rPr>
      </w:pPr>
      <w:r w:rsidRPr="00385E30">
        <w:rPr>
          <w:lang w:val="en-BB"/>
        </w:rPr>
        <w:t xml:space="preserve">Gürel, E. and Tat, M. (2017) 'SWOT analysis: A theoretical review', </w:t>
      </w:r>
      <w:r w:rsidRPr="00385E30">
        <w:rPr>
          <w:i/>
          <w:iCs/>
          <w:lang w:val="en-BB"/>
        </w:rPr>
        <w:t>The Journal of International Social Research</w:t>
      </w:r>
      <w:r w:rsidRPr="00385E30">
        <w:rPr>
          <w:lang w:val="en-BB"/>
        </w:rPr>
        <w:t>, 10(51), pp. 994–1006.</w:t>
      </w:r>
    </w:p>
    <w:p w14:paraId="7F1B7D6D" w14:textId="77777777" w:rsidR="002A452B" w:rsidRPr="00385E30" w:rsidRDefault="002A452B" w:rsidP="00385E30">
      <w:pPr>
        <w:pStyle w:val="ListParagraph"/>
        <w:numPr>
          <w:ilvl w:val="0"/>
          <w:numId w:val="3"/>
        </w:numPr>
        <w:rPr>
          <w:lang w:val="en-BB"/>
        </w:rPr>
      </w:pPr>
      <w:r w:rsidRPr="00385E30">
        <w:rPr>
          <w:lang w:val="en-BB"/>
        </w:rPr>
        <w:t xml:space="preserve">Helms, M.M. and Nixon, J. (2010) 'Exploring SWOT analysis – where are we now?', </w:t>
      </w:r>
      <w:r w:rsidRPr="00385E30">
        <w:rPr>
          <w:i/>
          <w:iCs/>
          <w:lang w:val="en-BB"/>
        </w:rPr>
        <w:t>Journal of Strategy and Management</w:t>
      </w:r>
      <w:r w:rsidRPr="00385E30">
        <w:rPr>
          <w:lang w:val="en-BB"/>
        </w:rPr>
        <w:t>, 3(3), pp. 215–251.</w:t>
      </w:r>
    </w:p>
    <w:p w14:paraId="5CA7A985" w14:textId="77777777" w:rsidR="002A452B" w:rsidRPr="00385E30" w:rsidRDefault="002A452B" w:rsidP="00385E30">
      <w:pPr>
        <w:pStyle w:val="ListParagraph"/>
        <w:numPr>
          <w:ilvl w:val="0"/>
          <w:numId w:val="3"/>
        </w:numPr>
        <w:rPr>
          <w:lang w:val="en-BB"/>
        </w:rPr>
      </w:pPr>
      <w:r w:rsidRPr="00385E30">
        <w:rPr>
          <w:lang w:val="en-BB"/>
        </w:rPr>
        <w:t xml:space="preserve">Office for National Statistics (2025) </w:t>
      </w:r>
      <w:r w:rsidRPr="00385E30">
        <w:rPr>
          <w:i/>
          <w:iCs/>
          <w:lang w:val="en-BB"/>
        </w:rPr>
        <w:t>Consumer Price Inflation, UK</w:t>
      </w:r>
      <w:r w:rsidRPr="00385E30">
        <w:rPr>
          <w:lang w:val="en-BB"/>
        </w:rPr>
        <w:t>. Newport: ONS.</w:t>
      </w:r>
    </w:p>
    <w:p w14:paraId="271F34F3" w14:textId="77777777" w:rsidR="002A452B" w:rsidRPr="00385E30" w:rsidRDefault="002A452B"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1C89EDDB" w14:textId="77777777" w:rsidR="002A452B" w:rsidRPr="00385E30" w:rsidRDefault="002A452B" w:rsidP="00385E30">
      <w:pPr>
        <w:pStyle w:val="ListParagraph"/>
        <w:numPr>
          <w:ilvl w:val="0"/>
          <w:numId w:val="3"/>
        </w:numPr>
        <w:rPr>
          <w:lang w:val="en-BB"/>
        </w:rPr>
      </w:pPr>
      <w:r w:rsidRPr="00385E30">
        <w:rPr>
          <w:lang w:val="en-BB"/>
        </w:rPr>
        <w:t xml:space="preserve">Carroll, A.B. (1991) 'The pyramid of corporate social responsibility: Toward the moral management of organisational stakeholders', </w:t>
      </w:r>
      <w:r w:rsidRPr="00385E30">
        <w:rPr>
          <w:i/>
          <w:iCs/>
          <w:lang w:val="en-BB"/>
        </w:rPr>
        <w:t>Business Horizons</w:t>
      </w:r>
      <w:r w:rsidRPr="00385E30">
        <w:rPr>
          <w:lang w:val="en-BB"/>
        </w:rPr>
        <w:t>, 34(4), pp. 39–48.</w:t>
      </w:r>
    </w:p>
    <w:p w14:paraId="7276B808" w14:textId="77777777" w:rsidR="002A452B" w:rsidRPr="00385E30" w:rsidRDefault="002A452B" w:rsidP="00385E30">
      <w:pPr>
        <w:pStyle w:val="ListParagraph"/>
        <w:numPr>
          <w:ilvl w:val="0"/>
          <w:numId w:val="3"/>
        </w:numPr>
        <w:rPr>
          <w:lang w:val="en-BB"/>
        </w:rPr>
      </w:pPr>
      <w:r w:rsidRPr="00385E30">
        <w:rPr>
          <w:lang w:val="en-BB"/>
        </w:rPr>
        <w:t xml:space="preserve">Freeman, R.E. (1984) </w:t>
      </w:r>
      <w:r w:rsidRPr="00385E30">
        <w:rPr>
          <w:i/>
          <w:iCs/>
          <w:lang w:val="en-BB"/>
        </w:rPr>
        <w:t>Strategic Management: A Stakeholder Approach</w:t>
      </w:r>
      <w:r w:rsidRPr="00385E30">
        <w:rPr>
          <w:lang w:val="en-BB"/>
        </w:rPr>
        <w:t>. Boston: Pitman.</w:t>
      </w:r>
    </w:p>
    <w:p w14:paraId="4F7F0411" w14:textId="77777777" w:rsidR="002A452B" w:rsidRPr="00385E30" w:rsidRDefault="002A452B" w:rsidP="00385E30">
      <w:pPr>
        <w:pStyle w:val="ListParagraph"/>
        <w:numPr>
          <w:ilvl w:val="0"/>
          <w:numId w:val="3"/>
        </w:numPr>
        <w:rPr>
          <w:lang w:val="en-BB"/>
        </w:rPr>
      </w:pPr>
      <w:r w:rsidRPr="00385E30">
        <w:rPr>
          <w:lang w:val="en-BB"/>
        </w:rPr>
        <w:t xml:space="preserve">Jones, P., Hillier, D. and Comfort, D. (2022) 'Sustainability reporting and the UK's leading food retailers', </w:t>
      </w:r>
      <w:r w:rsidRPr="00385E30">
        <w:rPr>
          <w:i/>
          <w:iCs/>
          <w:lang w:val="en-BB"/>
        </w:rPr>
        <w:t>International Journal of Retail &amp; Distribution Management</w:t>
      </w:r>
      <w:r w:rsidRPr="00385E30">
        <w:rPr>
          <w:lang w:val="en-BB"/>
        </w:rPr>
        <w:t>, 50(3), pp. 321–337.</w:t>
      </w:r>
    </w:p>
    <w:p w14:paraId="56CBCF13" w14:textId="77777777" w:rsidR="002A452B" w:rsidRPr="00385E30" w:rsidRDefault="002A452B" w:rsidP="00385E30">
      <w:pPr>
        <w:pStyle w:val="ListParagraph"/>
        <w:numPr>
          <w:ilvl w:val="0"/>
          <w:numId w:val="3"/>
        </w:numPr>
        <w:rPr>
          <w:lang w:val="en-BB"/>
        </w:rPr>
      </w:pPr>
      <w:r w:rsidRPr="00385E30">
        <w:rPr>
          <w:lang w:val="en-BB"/>
        </w:rPr>
        <w:t xml:space="preserve">Porter, M.E. and Kramer, M.R. (2011) 'Creating shared value', </w:t>
      </w:r>
      <w:r w:rsidRPr="00385E30">
        <w:rPr>
          <w:i/>
          <w:iCs/>
          <w:lang w:val="en-BB"/>
        </w:rPr>
        <w:t>Harvard Business Review</w:t>
      </w:r>
      <w:r w:rsidRPr="00385E30">
        <w:rPr>
          <w:lang w:val="en-BB"/>
        </w:rPr>
        <w:t>, 89(1–2), pp. 62–77.</w:t>
      </w:r>
    </w:p>
    <w:p w14:paraId="63D3F001" w14:textId="77777777" w:rsidR="002A452B" w:rsidRPr="00385E30" w:rsidRDefault="002A452B"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41E2EDAC" w14:textId="77777777" w:rsidR="00147C83" w:rsidRPr="00385E30" w:rsidRDefault="00147C83" w:rsidP="00385E30">
      <w:pPr>
        <w:pStyle w:val="ListParagraph"/>
        <w:numPr>
          <w:ilvl w:val="0"/>
          <w:numId w:val="3"/>
        </w:numPr>
        <w:rPr>
          <w:lang w:val="en-BB"/>
        </w:rPr>
      </w:pPr>
      <w:r w:rsidRPr="00385E30">
        <w:rPr>
          <w:lang w:val="en-BB"/>
        </w:rPr>
        <w:t xml:space="preserve">Barney, J. (1991) 'Firm resources and sustained competitive advantage', </w:t>
      </w:r>
      <w:r w:rsidRPr="00385E30">
        <w:rPr>
          <w:i/>
          <w:iCs/>
          <w:lang w:val="en-BB"/>
        </w:rPr>
        <w:t>Journal of Management</w:t>
      </w:r>
      <w:r w:rsidRPr="00385E30">
        <w:rPr>
          <w:lang w:val="en-BB"/>
        </w:rPr>
        <w:t>, 17(1), pp. 99–120.</w:t>
      </w:r>
    </w:p>
    <w:p w14:paraId="39C4C6BC" w14:textId="77777777" w:rsidR="00147C83" w:rsidRPr="00385E30" w:rsidRDefault="00147C83" w:rsidP="00385E30">
      <w:pPr>
        <w:pStyle w:val="ListParagraph"/>
        <w:numPr>
          <w:ilvl w:val="0"/>
          <w:numId w:val="3"/>
        </w:numPr>
        <w:rPr>
          <w:lang w:val="en-BB"/>
        </w:rPr>
      </w:pPr>
      <w:r w:rsidRPr="00385E30">
        <w:rPr>
          <w:lang w:val="en-BB"/>
        </w:rPr>
        <w:t xml:space="preserve">Kaplan, R.S. and Norton, D.P. (1992) 'The Balanced Scorecard—Measures that Drive Performance', </w:t>
      </w:r>
      <w:r w:rsidRPr="00385E30">
        <w:rPr>
          <w:i/>
          <w:iCs/>
          <w:lang w:val="en-BB"/>
        </w:rPr>
        <w:t>Harvard Business Review</w:t>
      </w:r>
      <w:r w:rsidRPr="00385E30">
        <w:rPr>
          <w:lang w:val="en-BB"/>
        </w:rPr>
        <w:t>, 70(1), pp. 71–79.</w:t>
      </w:r>
    </w:p>
    <w:p w14:paraId="4D08FFAD" w14:textId="77777777" w:rsidR="00147C83" w:rsidRPr="00385E30" w:rsidRDefault="00147C83"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1699EB1A" w14:textId="77777777" w:rsidR="00147C83" w:rsidRPr="00385E30" w:rsidRDefault="00147C83" w:rsidP="00385E30">
      <w:pPr>
        <w:pStyle w:val="ListParagraph"/>
        <w:numPr>
          <w:ilvl w:val="0"/>
          <w:numId w:val="3"/>
        </w:numPr>
        <w:rPr>
          <w:lang w:val="en-BB"/>
        </w:rPr>
      </w:pPr>
      <w:proofErr w:type="spellStart"/>
      <w:r w:rsidRPr="00385E30">
        <w:rPr>
          <w:lang w:val="en-BB"/>
        </w:rPr>
        <w:t>nsoff</w:t>
      </w:r>
      <w:proofErr w:type="spellEnd"/>
      <w:r w:rsidRPr="00385E30">
        <w:rPr>
          <w:lang w:val="en-BB"/>
        </w:rPr>
        <w:t xml:space="preserve">, H.I. (1957) 'Strategies for diversification', </w:t>
      </w:r>
      <w:r w:rsidRPr="00385E30">
        <w:rPr>
          <w:i/>
          <w:iCs/>
          <w:lang w:val="en-BB"/>
        </w:rPr>
        <w:t>Harvard Business Review</w:t>
      </w:r>
      <w:r w:rsidRPr="00385E30">
        <w:rPr>
          <w:lang w:val="en-BB"/>
        </w:rPr>
        <w:t>, 35(5), pp. 113–124.</w:t>
      </w:r>
    </w:p>
    <w:p w14:paraId="29DD1166" w14:textId="77777777" w:rsidR="00147C83" w:rsidRPr="00385E30" w:rsidRDefault="00147C83" w:rsidP="00385E30">
      <w:pPr>
        <w:pStyle w:val="ListParagraph"/>
        <w:numPr>
          <w:ilvl w:val="0"/>
          <w:numId w:val="3"/>
        </w:numPr>
        <w:rPr>
          <w:lang w:val="en-BB"/>
        </w:rPr>
      </w:pPr>
      <w:r w:rsidRPr="00385E30">
        <w:rPr>
          <w:lang w:val="en-BB"/>
        </w:rPr>
        <w:t xml:space="preserve">Johnson, G., Scholes, K. and Whittington, R. (2020) </w:t>
      </w:r>
      <w:r w:rsidRPr="00385E30">
        <w:rPr>
          <w:i/>
          <w:iCs/>
          <w:lang w:val="en-BB"/>
        </w:rPr>
        <w:t>Exploring Strategy</w:t>
      </w:r>
      <w:r w:rsidRPr="00385E30">
        <w:rPr>
          <w:lang w:val="en-BB"/>
        </w:rPr>
        <w:t xml:space="preserve">. 12th </w:t>
      </w:r>
      <w:proofErr w:type="spellStart"/>
      <w:r w:rsidRPr="00385E30">
        <w:rPr>
          <w:lang w:val="en-BB"/>
        </w:rPr>
        <w:t>edn</w:t>
      </w:r>
      <w:proofErr w:type="spellEnd"/>
      <w:r w:rsidRPr="00385E30">
        <w:rPr>
          <w:lang w:val="en-BB"/>
        </w:rPr>
        <w:t>. Harlow: Pearson.</w:t>
      </w:r>
    </w:p>
    <w:p w14:paraId="20F13E70" w14:textId="77777777" w:rsidR="00147C83" w:rsidRPr="00385E30" w:rsidRDefault="00147C83" w:rsidP="00385E30">
      <w:pPr>
        <w:pStyle w:val="ListParagraph"/>
        <w:numPr>
          <w:ilvl w:val="0"/>
          <w:numId w:val="3"/>
        </w:numPr>
        <w:rPr>
          <w:lang w:val="en-BB"/>
        </w:rPr>
      </w:pPr>
      <w:r w:rsidRPr="00385E30">
        <w:rPr>
          <w:lang w:val="en-BB"/>
        </w:rPr>
        <w:t xml:space="preserve">Kotter, J.P. (1996) </w:t>
      </w:r>
      <w:r w:rsidRPr="00385E30">
        <w:rPr>
          <w:i/>
          <w:iCs/>
          <w:lang w:val="en-BB"/>
        </w:rPr>
        <w:t>Leading Change</w:t>
      </w:r>
      <w:r w:rsidRPr="00385E30">
        <w:rPr>
          <w:lang w:val="en-BB"/>
        </w:rPr>
        <w:t>. Boston: Harvard Business School Press.</w:t>
      </w:r>
    </w:p>
    <w:p w14:paraId="61F513FF" w14:textId="77777777" w:rsidR="00147C83" w:rsidRPr="00385E30" w:rsidRDefault="00147C83" w:rsidP="00385E30">
      <w:pPr>
        <w:pStyle w:val="ListParagraph"/>
        <w:numPr>
          <w:ilvl w:val="0"/>
          <w:numId w:val="3"/>
        </w:numPr>
        <w:rPr>
          <w:lang w:val="en-BB"/>
        </w:rPr>
      </w:pPr>
      <w:r w:rsidRPr="00385E30">
        <w:rPr>
          <w:lang w:val="en-BB"/>
        </w:rPr>
        <w:lastRenderedPageBreak/>
        <w:t xml:space="preserve">Office for National Statistics (2025) </w:t>
      </w:r>
      <w:r w:rsidRPr="00385E30">
        <w:rPr>
          <w:i/>
          <w:iCs/>
          <w:lang w:val="en-BB"/>
        </w:rPr>
        <w:t>Consumer Price Inflation, UK</w:t>
      </w:r>
      <w:r w:rsidRPr="00385E30">
        <w:rPr>
          <w:lang w:val="en-BB"/>
        </w:rPr>
        <w:t>. Newport: ONS.</w:t>
      </w:r>
    </w:p>
    <w:p w14:paraId="120CF827" w14:textId="77777777" w:rsidR="00147C83" w:rsidRPr="00385E30" w:rsidRDefault="00147C83" w:rsidP="00385E30">
      <w:pPr>
        <w:pStyle w:val="ListParagraph"/>
        <w:numPr>
          <w:ilvl w:val="0"/>
          <w:numId w:val="3"/>
        </w:numPr>
        <w:rPr>
          <w:lang w:val="en-BB"/>
        </w:rPr>
      </w:pPr>
      <w:r w:rsidRPr="00385E30">
        <w:rPr>
          <w:lang w:val="en-BB"/>
        </w:rPr>
        <w:t xml:space="preserve">Porter, M.E. (1985) </w:t>
      </w:r>
      <w:r w:rsidRPr="00385E30">
        <w:rPr>
          <w:i/>
          <w:iCs/>
          <w:lang w:val="en-BB"/>
        </w:rPr>
        <w:t>Competitive Advantage: Creating and Sustaining Superior Performance</w:t>
      </w:r>
      <w:r w:rsidRPr="00385E30">
        <w:rPr>
          <w:lang w:val="en-BB"/>
        </w:rPr>
        <w:t>. New York: Free Press.</w:t>
      </w:r>
    </w:p>
    <w:p w14:paraId="1698B3D5" w14:textId="77777777" w:rsidR="00147C83" w:rsidRPr="00385E30" w:rsidRDefault="00147C83" w:rsidP="00385E30">
      <w:pPr>
        <w:pStyle w:val="ListParagraph"/>
        <w:numPr>
          <w:ilvl w:val="0"/>
          <w:numId w:val="3"/>
        </w:numPr>
        <w:rPr>
          <w:lang w:val="en-BB"/>
        </w:rPr>
      </w:pPr>
      <w:r w:rsidRPr="00385E30">
        <w:rPr>
          <w:lang w:val="en-BB"/>
        </w:rPr>
        <w:t xml:space="preserve">Porter, M.E. (2008) 'The five competitive forces that shape strategy', </w:t>
      </w:r>
      <w:r w:rsidRPr="00385E30">
        <w:rPr>
          <w:i/>
          <w:iCs/>
          <w:lang w:val="en-BB"/>
        </w:rPr>
        <w:t>Harvard Business Review</w:t>
      </w:r>
      <w:r w:rsidRPr="00385E30">
        <w:rPr>
          <w:lang w:val="en-BB"/>
        </w:rPr>
        <w:t>, 86(1), pp. 78–93.</w:t>
      </w:r>
    </w:p>
    <w:p w14:paraId="7B37A6AD" w14:textId="77777777" w:rsidR="00147C83" w:rsidRPr="00385E30" w:rsidRDefault="00147C83" w:rsidP="00385E30">
      <w:pPr>
        <w:pStyle w:val="ListParagraph"/>
        <w:numPr>
          <w:ilvl w:val="0"/>
          <w:numId w:val="3"/>
        </w:numPr>
        <w:rPr>
          <w:lang w:val="en-BB"/>
        </w:rPr>
      </w:pPr>
      <w:r w:rsidRPr="00385E30">
        <w:rPr>
          <w:lang w:val="en-BB"/>
        </w:rPr>
        <w:t xml:space="preserve">Tesco PLC (2025) </w:t>
      </w:r>
      <w:r w:rsidRPr="00385E30">
        <w:rPr>
          <w:i/>
          <w:iCs/>
          <w:lang w:val="en-BB"/>
        </w:rPr>
        <w:t>Annual Report and Financial Statements 2025</w:t>
      </w:r>
      <w:r w:rsidRPr="00385E30">
        <w:rPr>
          <w:lang w:val="en-BB"/>
        </w:rPr>
        <w:t>. Welwyn Garden City: Tesco PLC.</w:t>
      </w:r>
    </w:p>
    <w:p w14:paraId="21F19349" w14:textId="77777777" w:rsidR="00385E30" w:rsidRPr="00385E30" w:rsidRDefault="00385E30" w:rsidP="00385E30">
      <w:pPr>
        <w:pStyle w:val="ListParagraph"/>
        <w:numPr>
          <w:ilvl w:val="0"/>
          <w:numId w:val="3"/>
        </w:numPr>
        <w:rPr>
          <w:lang w:val="en-BB"/>
        </w:rPr>
      </w:pPr>
      <w:r w:rsidRPr="00385E30">
        <w:rPr>
          <w:lang w:val="en-BB"/>
        </w:rPr>
        <w:t xml:space="preserve">Gibbs, G. (1988) </w:t>
      </w:r>
      <w:r w:rsidRPr="00385E30">
        <w:rPr>
          <w:i/>
          <w:iCs/>
          <w:lang w:val="en-BB"/>
        </w:rPr>
        <w:t>Learning by Doing: A Guide to Teaching and Learning Methods</w:t>
      </w:r>
      <w:r w:rsidRPr="00385E30">
        <w:rPr>
          <w:lang w:val="en-BB"/>
        </w:rPr>
        <w:t>. Oxford: Oxford Polytechnic.</w:t>
      </w:r>
    </w:p>
    <w:p w14:paraId="4BAC1376" w14:textId="77777777" w:rsidR="00385E30" w:rsidRPr="00385E30" w:rsidRDefault="00385E30" w:rsidP="00385E30">
      <w:pPr>
        <w:pStyle w:val="ListParagraph"/>
        <w:numPr>
          <w:ilvl w:val="0"/>
          <w:numId w:val="3"/>
        </w:numPr>
        <w:rPr>
          <w:lang w:val="en-BB"/>
        </w:rPr>
      </w:pPr>
      <w:r w:rsidRPr="00385E30">
        <w:rPr>
          <w:lang w:val="en-BB"/>
        </w:rPr>
        <w:t xml:space="preserve">Johnson, G., Scholes, K. and Whittington, R. (2020) </w:t>
      </w:r>
      <w:r w:rsidRPr="00385E30">
        <w:rPr>
          <w:i/>
          <w:iCs/>
          <w:lang w:val="en-BB"/>
        </w:rPr>
        <w:t>Exploring Strategy</w:t>
      </w:r>
      <w:r w:rsidRPr="00385E30">
        <w:rPr>
          <w:lang w:val="en-BB"/>
        </w:rPr>
        <w:t xml:space="preserve">. 12th </w:t>
      </w:r>
      <w:proofErr w:type="spellStart"/>
      <w:r w:rsidRPr="00385E30">
        <w:rPr>
          <w:lang w:val="en-BB"/>
        </w:rPr>
        <w:t>edn</w:t>
      </w:r>
      <w:proofErr w:type="spellEnd"/>
      <w:r w:rsidRPr="00385E30">
        <w:rPr>
          <w:lang w:val="en-BB"/>
        </w:rPr>
        <w:t>. Harlow: Pearson.</w:t>
      </w:r>
    </w:p>
    <w:p w14:paraId="6A32214E" w14:textId="77777777" w:rsidR="005F6212" w:rsidRPr="005F6212" w:rsidRDefault="005F6212" w:rsidP="005F6212"/>
    <w:sectPr w:rsidR="005F6212" w:rsidRPr="005F62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45626" w14:textId="77777777" w:rsidR="00482FC4" w:rsidRDefault="00482FC4" w:rsidP="00385E30">
      <w:pPr>
        <w:spacing w:after="0" w:line="240" w:lineRule="auto"/>
      </w:pPr>
      <w:r>
        <w:separator/>
      </w:r>
    </w:p>
  </w:endnote>
  <w:endnote w:type="continuationSeparator" w:id="0">
    <w:p w14:paraId="3608D3EC" w14:textId="77777777" w:rsidR="00482FC4" w:rsidRDefault="00482FC4" w:rsidP="00385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93E0F" w14:textId="77777777" w:rsidR="00482FC4" w:rsidRDefault="00482FC4" w:rsidP="00385E30">
      <w:pPr>
        <w:spacing w:after="0" w:line="240" w:lineRule="auto"/>
      </w:pPr>
      <w:r>
        <w:separator/>
      </w:r>
    </w:p>
  </w:footnote>
  <w:footnote w:type="continuationSeparator" w:id="0">
    <w:p w14:paraId="330B7596" w14:textId="77777777" w:rsidR="00482FC4" w:rsidRDefault="00482FC4" w:rsidP="00385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84491"/>
    <w:multiLevelType w:val="multilevel"/>
    <w:tmpl w:val="1312153C"/>
    <w:lvl w:ilvl="0">
      <w:start w:val="1"/>
      <w:numFmt w:val="decimal"/>
      <w:lvlText w:val="%1."/>
      <w:lvlJc w:val="left"/>
      <w:pPr>
        <w:ind w:left="720" w:hanging="360"/>
      </w:pPr>
      <w:rPr>
        <w:rFonts w:hint="default"/>
      </w:rPr>
    </w:lvl>
    <w:lvl w:ilvl="1">
      <w:start w:val="2"/>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E835890"/>
    <w:multiLevelType w:val="hybridMultilevel"/>
    <w:tmpl w:val="BDAAC8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5085FCA"/>
    <w:multiLevelType w:val="hybridMultilevel"/>
    <w:tmpl w:val="FB2C58E0"/>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1BC334C"/>
    <w:multiLevelType w:val="hybridMultilevel"/>
    <w:tmpl w:val="3E34C8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59359433">
    <w:abstractNumId w:val="3"/>
  </w:num>
  <w:num w:numId="2" w16cid:durableId="310208578">
    <w:abstractNumId w:val="2"/>
  </w:num>
  <w:num w:numId="3" w16cid:durableId="1869290175">
    <w:abstractNumId w:val="1"/>
  </w:num>
  <w:num w:numId="4" w16cid:durableId="309286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697"/>
    <w:rsid w:val="00147C83"/>
    <w:rsid w:val="00186AFA"/>
    <w:rsid w:val="002414C8"/>
    <w:rsid w:val="002A452B"/>
    <w:rsid w:val="002B4317"/>
    <w:rsid w:val="00304697"/>
    <w:rsid w:val="00385E30"/>
    <w:rsid w:val="00482FC4"/>
    <w:rsid w:val="005767AB"/>
    <w:rsid w:val="005F6212"/>
    <w:rsid w:val="008417B5"/>
    <w:rsid w:val="00937A3F"/>
    <w:rsid w:val="00985BFB"/>
    <w:rsid w:val="009B23A6"/>
    <w:rsid w:val="00A3368E"/>
    <w:rsid w:val="00CA50DD"/>
    <w:rsid w:val="00CB1635"/>
    <w:rsid w:val="00CF48E2"/>
    <w:rsid w:val="00D253CE"/>
  </w:rsids>
  <m:mathPr>
    <m:mathFont m:val="Cambria Math"/>
    <m:brkBin m:val="before"/>
    <m:brkBinSub m:val="--"/>
    <m:smallFrac m:val="0"/>
    <m:dispDef/>
    <m:lMargin m:val="0"/>
    <m:rMargin m:val="0"/>
    <m:defJc m:val="centerGroup"/>
    <m:wrapIndent m:val="1440"/>
    <m:intLim m:val="subSup"/>
    <m:naryLim m:val="undOvr"/>
  </m:mathPr>
  <w:themeFontLang w:val="en-B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EE37B"/>
  <w15:chartTrackingRefBased/>
  <w15:docId w15:val="{C9E44D16-BB06-45E0-95EE-E9B902AE7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B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697"/>
    <w:rPr>
      <w:lang w:val="en-GB"/>
    </w:rPr>
  </w:style>
  <w:style w:type="paragraph" w:styleId="Heading1">
    <w:name w:val="heading 1"/>
    <w:basedOn w:val="Normal"/>
    <w:next w:val="Normal"/>
    <w:link w:val="Heading1Char"/>
    <w:uiPriority w:val="9"/>
    <w:qFormat/>
    <w:rsid w:val="003046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6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6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6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6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6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6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6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6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69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30469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0469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0469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0469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0469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0469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0469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0469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04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69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046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69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04697"/>
    <w:pPr>
      <w:spacing w:before="160"/>
      <w:jc w:val="center"/>
    </w:pPr>
    <w:rPr>
      <w:i/>
      <w:iCs/>
      <w:color w:val="404040" w:themeColor="text1" w:themeTint="BF"/>
    </w:rPr>
  </w:style>
  <w:style w:type="character" w:customStyle="1" w:styleId="QuoteChar">
    <w:name w:val="Quote Char"/>
    <w:basedOn w:val="DefaultParagraphFont"/>
    <w:link w:val="Quote"/>
    <w:uiPriority w:val="29"/>
    <w:rsid w:val="00304697"/>
    <w:rPr>
      <w:i/>
      <w:iCs/>
      <w:color w:val="404040" w:themeColor="text1" w:themeTint="BF"/>
      <w:lang w:val="en-GB"/>
    </w:rPr>
  </w:style>
  <w:style w:type="paragraph" w:styleId="ListParagraph">
    <w:name w:val="List Paragraph"/>
    <w:basedOn w:val="Normal"/>
    <w:uiPriority w:val="34"/>
    <w:qFormat/>
    <w:rsid w:val="00304697"/>
    <w:pPr>
      <w:ind w:left="720"/>
      <w:contextualSpacing/>
    </w:pPr>
  </w:style>
  <w:style w:type="character" w:styleId="IntenseEmphasis">
    <w:name w:val="Intense Emphasis"/>
    <w:basedOn w:val="DefaultParagraphFont"/>
    <w:uiPriority w:val="21"/>
    <w:qFormat/>
    <w:rsid w:val="00304697"/>
    <w:rPr>
      <w:i/>
      <w:iCs/>
      <w:color w:val="0F4761" w:themeColor="accent1" w:themeShade="BF"/>
    </w:rPr>
  </w:style>
  <w:style w:type="paragraph" w:styleId="IntenseQuote">
    <w:name w:val="Intense Quote"/>
    <w:basedOn w:val="Normal"/>
    <w:next w:val="Normal"/>
    <w:link w:val="IntenseQuoteChar"/>
    <w:uiPriority w:val="30"/>
    <w:qFormat/>
    <w:rsid w:val="003046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697"/>
    <w:rPr>
      <w:i/>
      <w:iCs/>
      <w:color w:val="0F4761" w:themeColor="accent1" w:themeShade="BF"/>
      <w:lang w:val="en-GB"/>
    </w:rPr>
  </w:style>
  <w:style w:type="character" w:styleId="IntenseReference">
    <w:name w:val="Intense Reference"/>
    <w:basedOn w:val="DefaultParagraphFont"/>
    <w:uiPriority w:val="32"/>
    <w:qFormat/>
    <w:rsid w:val="00304697"/>
    <w:rPr>
      <w:b/>
      <w:bCs/>
      <w:smallCaps/>
      <w:color w:val="0F4761" w:themeColor="accent1" w:themeShade="BF"/>
      <w:spacing w:val="5"/>
    </w:rPr>
  </w:style>
  <w:style w:type="table" w:styleId="TableGrid">
    <w:name w:val="Table Grid"/>
    <w:basedOn w:val="TableNormal"/>
    <w:uiPriority w:val="39"/>
    <w:rsid w:val="0030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53CE"/>
    <w:rPr>
      <w:color w:val="467886" w:themeColor="hyperlink"/>
      <w:u w:val="single"/>
    </w:rPr>
  </w:style>
  <w:style w:type="character" w:styleId="UnresolvedMention">
    <w:name w:val="Unresolved Mention"/>
    <w:basedOn w:val="DefaultParagraphFont"/>
    <w:uiPriority w:val="99"/>
    <w:semiHidden/>
    <w:unhideWhenUsed/>
    <w:rsid w:val="00D253CE"/>
    <w:rPr>
      <w:color w:val="605E5C"/>
      <w:shd w:val="clear" w:color="auto" w:fill="E1DFDD"/>
    </w:rPr>
  </w:style>
  <w:style w:type="paragraph" w:styleId="Header">
    <w:name w:val="header"/>
    <w:basedOn w:val="Normal"/>
    <w:link w:val="HeaderChar"/>
    <w:uiPriority w:val="99"/>
    <w:unhideWhenUsed/>
    <w:rsid w:val="00385E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E30"/>
    <w:rPr>
      <w:lang w:val="en-GB"/>
    </w:rPr>
  </w:style>
  <w:style w:type="paragraph" w:styleId="Footer">
    <w:name w:val="footer"/>
    <w:basedOn w:val="Normal"/>
    <w:link w:val="FooterChar"/>
    <w:uiPriority w:val="99"/>
    <w:unhideWhenUsed/>
    <w:rsid w:val="00385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E30"/>
    <w:rPr>
      <w:lang w:val="en-GB"/>
    </w:rPr>
  </w:style>
  <w:style w:type="table" w:styleId="PlainTable1">
    <w:name w:val="Plain Table 1"/>
    <w:basedOn w:val="TableNormal"/>
    <w:uiPriority w:val="41"/>
    <w:rsid w:val="00186AF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food-statistics-pocketbook/food-statistics-in-your-pocket"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129</TotalTime>
  <Pages>21</Pages>
  <Words>6872</Words>
  <Characters>39172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mahmudul hasan</dc:creator>
  <cp:keywords/>
  <dc:description/>
  <cp:lastModifiedBy>Sakin Sheikh</cp:lastModifiedBy>
  <cp:revision>1</cp:revision>
  <dcterms:created xsi:type="dcterms:W3CDTF">2026-07-17T10:11:00Z</dcterms:created>
  <dcterms:modified xsi:type="dcterms:W3CDTF">2026-07-17T12:58:00Z</dcterms:modified>
</cp:coreProperties>
</file>