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451" w:rsidRDefault="00B802E4" w:rsidP="00B802E4">
      <w:pPr>
        <w:spacing w:line="360" w:lineRule="auto"/>
        <w:rPr>
          <w:rFonts w:ascii="Arial" w:hAnsi="Arial" w:cs="Arial"/>
          <w:sz w:val="24"/>
          <w:szCs w:val="24"/>
        </w:rPr>
      </w:pPr>
      <w:r>
        <w:rPr>
          <w:rFonts w:ascii="Arial" w:hAnsi="Arial" w:cs="Arial"/>
          <w:sz w:val="24"/>
          <w:szCs w:val="24"/>
        </w:rPr>
        <w:t xml:space="preserve">Michaela Paterson: </w:t>
      </w:r>
    </w:p>
    <w:p w:rsidR="00B802E4" w:rsidRDefault="00B802E4" w:rsidP="00B802E4">
      <w:pPr>
        <w:spacing w:line="360" w:lineRule="auto"/>
        <w:rPr>
          <w:rFonts w:ascii="Arial" w:hAnsi="Arial" w:cs="Arial"/>
          <w:sz w:val="24"/>
          <w:szCs w:val="24"/>
        </w:rPr>
      </w:pPr>
      <w:r>
        <w:rPr>
          <w:rFonts w:ascii="Arial" w:hAnsi="Arial" w:cs="Arial"/>
          <w:sz w:val="24"/>
          <w:szCs w:val="24"/>
        </w:rPr>
        <w:t xml:space="preserve">Book Chapter (37) Richard Gross. </w:t>
      </w:r>
      <w:bookmarkStart w:id="0" w:name="_GoBack"/>
      <w:bookmarkEnd w:id="0"/>
    </w:p>
    <w:p w:rsidR="00B802E4" w:rsidRPr="00EE3687" w:rsidRDefault="00B802E4" w:rsidP="00B802E4">
      <w:pPr>
        <w:spacing w:line="360" w:lineRule="auto"/>
        <w:rPr>
          <w:rFonts w:ascii="Arial" w:hAnsi="Arial" w:cs="Arial"/>
          <w:sz w:val="24"/>
          <w:szCs w:val="24"/>
        </w:rPr>
      </w:pPr>
      <w:r w:rsidRPr="00EE3687">
        <w:rPr>
          <w:rFonts w:ascii="Arial" w:hAnsi="Arial" w:cs="Arial"/>
          <w:sz w:val="24"/>
          <w:szCs w:val="24"/>
        </w:rPr>
        <w:t>Erickson’s theory: identity crisis pg. 583</w:t>
      </w:r>
      <w:r>
        <w:rPr>
          <w:rFonts w:ascii="Arial" w:hAnsi="Arial" w:cs="Arial"/>
          <w:sz w:val="24"/>
          <w:szCs w:val="24"/>
        </w:rPr>
        <w:t>.</w:t>
      </w:r>
    </w:p>
    <w:p w:rsidR="00B802E4" w:rsidRPr="00EE3687" w:rsidRDefault="00B802E4" w:rsidP="00B802E4">
      <w:pPr>
        <w:spacing w:line="360" w:lineRule="auto"/>
        <w:rPr>
          <w:rFonts w:ascii="Arial" w:hAnsi="Arial" w:cs="Arial"/>
          <w:sz w:val="24"/>
          <w:szCs w:val="24"/>
        </w:rPr>
      </w:pPr>
    </w:p>
    <w:p w:rsidR="00B802E4" w:rsidRDefault="00B802E4" w:rsidP="00B802E4">
      <w:pPr>
        <w:spacing w:line="360" w:lineRule="auto"/>
        <w:rPr>
          <w:rFonts w:ascii="Arial" w:hAnsi="Arial" w:cs="Arial"/>
          <w:sz w:val="24"/>
          <w:szCs w:val="24"/>
        </w:rPr>
      </w:pPr>
      <w:r w:rsidRPr="00EE3687">
        <w:rPr>
          <w:rFonts w:ascii="Arial" w:hAnsi="Arial" w:cs="Arial"/>
          <w:sz w:val="24"/>
          <w:szCs w:val="24"/>
        </w:rPr>
        <w:t>As humans mature we navigate through age related stages: childhood, adolescence and adulthood. This progression is theorised as a natural sequence of a genetic process comprised of varying psychosocial stages that continues throughout our Life (Ericson, 1963, as cited in Gross 2010). There are two stages to this process - adaptive and maladaptive. One of the challenges of adolescence is defining individual identity, this is achieved through intellectual growth and finding a healthy balance during the developmental stages where the positive (adaptive) outweighs the negative (maladaptive). Puberty is a particularly concerning time for adolescents as they try to find their place in society.</w:t>
      </w:r>
    </w:p>
    <w:p w:rsidR="00B802E4" w:rsidRPr="00EE3687" w:rsidRDefault="00B802E4" w:rsidP="00B802E4">
      <w:pPr>
        <w:spacing w:line="360" w:lineRule="auto"/>
        <w:rPr>
          <w:rFonts w:ascii="Arial" w:hAnsi="Arial" w:cs="Arial"/>
          <w:sz w:val="24"/>
          <w:szCs w:val="24"/>
        </w:rPr>
      </w:pPr>
    </w:p>
    <w:p w:rsidR="00B802E4" w:rsidRDefault="00B802E4" w:rsidP="00B802E4">
      <w:pPr>
        <w:spacing w:line="360" w:lineRule="auto"/>
        <w:rPr>
          <w:rFonts w:ascii="Arial" w:hAnsi="Arial" w:cs="Arial"/>
          <w:sz w:val="24"/>
          <w:szCs w:val="24"/>
        </w:rPr>
      </w:pPr>
      <w:r w:rsidRPr="00EE3687">
        <w:rPr>
          <w:rFonts w:ascii="Arial" w:hAnsi="Arial" w:cs="Arial"/>
          <w:sz w:val="24"/>
          <w:szCs w:val="24"/>
        </w:rPr>
        <w:t xml:space="preserve">Western society helps the adolescent transition to maturity by accepting a temporary deferral of responsibilities during this time. Other cultures may mark this important transition from adolescence to adulthood in public ceremonies, thus defining when an adolescent has matured and become an adult. In western culture the child is left to find their own identity: a process that can be challenging to both child and parent, as there is no clear marker to where adolescence ends and adulthood begins, nor does it define what rights, privileges or responsibilities adolescents have. This raises the question ‘When do I become an adult?’, the answers may prompt different responses amongst parents, doctors, teachers and police (Coleman, 1995, as cited in Gross 2010). </w:t>
      </w:r>
    </w:p>
    <w:p w:rsidR="00B802E4" w:rsidRPr="00EE3687" w:rsidRDefault="00B802E4" w:rsidP="00B802E4">
      <w:pPr>
        <w:spacing w:line="360" w:lineRule="auto"/>
        <w:rPr>
          <w:rFonts w:ascii="Arial" w:hAnsi="Arial" w:cs="Arial"/>
          <w:sz w:val="24"/>
          <w:szCs w:val="24"/>
        </w:rPr>
      </w:pPr>
    </w:p>
    <w:p w:rsidR="00B802E4" w:rsidRPr="00EE3687" w:rsidRDefault="00B802E4" w:rsidP="00B802E4">
      <w:pPr>
        <w:spacing w:line="360" w:lineRule="auto"/>
        <w:rPr>
          <w:rFonts w:ascii="Arial" w:hAnsi="Arial" w:cs="Arial"/>
          <w:sz w:val="24"/>
          <w:szCs w:val="24"/>
        </w:rPr>
      </w:pPr>
      <w:r w:rsidRPr="00EE3687">
        <w:rPr>
          <w:rFonts w:ascii="Arial" w:hAnsi="Arial" w:cs="Arial"/>
          <w:sz w:val="24"/>
          <w:szCs w:val="24"/>
        </w:rPr>
        <w:t xml:space="preserve">Not only do adolescents need to define who they are, they also ask themselves ‘who will I be?’ (Gross 2010). Erikson believed the forming of personality is mainly derived from the development of committing to an occupation or role in life. This positive development of identity can carry us through difficult periods of our lives. The term Identity Crisis was coined by Erikson to describe loss of ego or personal identity. </w:t>
      </w:r>
      <w:r w:rsidRPr="00EE3687">
        <w:rPr>
          <w:rFonts w:ascii="Arial" w:hAnsi="Arial" w:cs="Arial"/>
          <w:sz w:val="24"/>
          <w:szCs w:val="24"/>
        </w:rPr>
        <w:lastRenderedPageBreak/>
        <w:t>This came about while working with WW2 soldiers who were psychiatrically disturbed. War veterans had feelings that their lives no longer hung together and would not do so again. Years later this term extended to explain conflicted young people and their sense of confusion as a war within themselves, (Friedman, 1999, as cited in Gross 2010).</w:t>
      </w:r>
    </w:p>
    <w:p w:rsidR="00B802E4" w:rsidRPr="00EE3687" w:rsidRDefault="00B802E4" w:rsidP="00B802E4">
      <w:pPr>
        <w:spacing w:line="360" w:lineRule="auto"/>
        <w:rPr>
          <w:rFonts w:ascii="Arial" w:hAnsi="Arial" w:cs="Arial"/>
          <w:sz w:val="24"/>
          <w:szCs w:val="24"/>
        </w:rPr>
      </w:pPr>
    </w:p>
    <w:p w:rsidR="00B802E4" w:rsidRDefault="00B802E4" w:rsidP="00B802E4">
      <w:pPr>
        <w:spacing w:line="360" w:lineRule="auto"/>
        <w:rPr>
          <w:rFonts w:ascii="Arial" w:hAnsi="Arial" w:cs="Arial"/>
          <w:sz w:val="24"/>
          <w:szCs w:val="24"/>
        </w:rPr>
      </w:pPr>
      <w:r w:rsidRPr="00EE3687">
        <w:rPr>
          <w:rFonts w:ascii="Arial" w:hAnsi="Arial" w:cs="Arial"/>
          <w:sz w:val="24"/>
          <w:szCs w:val="24"/>
        </w:rPr>
        <w:t xml:space="preserve">Developmental Psychology (pg. 588) </w:t>
      </w:r>
    </w:p>
    <w:p w:rsidR="00B802E4" w:rsidRPr="00EE3687" w:rsidRDefault="00B802E4" w:rsidP="00B802E4">
      <w:pPr>
        <w:spacing w:line="360" w:lineRule="auto"/>
        <w:rPr>
          <w:rFonts w:ascii="Arial" w:hAnsi="Arial" w:cs="Arial"/>
          <w:sz w:val="24"/>
          <w:szCs w:val="24"/>
        </w:rPr>
      </w:pPr>
    </w:p>
    <w:p w:rsidR="00B802E4" w:rsidRDefault="00B802E4" w:rsidP="00B802E4">
      <w:pPr>
        <w:spacing w:line="360" w:lineRule="auto"/>
        <w:rPr>
          <w:rFonts w:ascii="Arial" w:hAnsi="Arial" w:cs="Arial"/>
          <w:sz w:val="24"/>
          <w:szCs w:val="24"/>
        </w:rPr>
      </w:pPr>
      <w:r w:rsidRPr="00EE3687">
        <w:rPr>
          <w:rFonts w:ascii="Arial" w:hAnsi="Arial" w:cs="Arial"/>
          <w:sz w:val="24"/>
          <w:szCs w:val="24"/>
        </w:rPr>
        <w:t xml:space="preserve">Adolescents who have adopted a negative outlook on their identity may be a result of failing to negotiate new parental relationships, or who have critical and rejecting parents (Curry, 1998, as cited in Gross 2010). Parents who themselves experienced a difficult adolescence have suggested more conflict with their children going through the adolescent stage as well as a feeling of being less satisfied with their family (Scheer and Unger, 1995, as cited in Gross 2010). Relationships between adolescents and their mother/father don’t always change the same way, mostly adolescents experience an equal and reciprocal relationship where parental authority can be open to discussion and negotiation (Coleman and Hendry, 1990; Hendry </w:t>
      </w:r>
      <w:r w:rsidRPr="00EE3687">
        <w:rPr>
          <w:rFonts w:ascii="Arial" w:hAnsi="Arial" w:cs="Arial"/>
          <w:i/>
          <w:sz w:val="24"/>
          <w:szCs w:val="24"/>
        </w:rPr>
        <w:t>et al</w:t>
      </w:r>
      <w:r w:rsidRPr="00EE3687">
        <w:rPr>
          <w:rFonts w:ascii="Arial" w:hAnsi="Arial" w:cs="Arial"/>
          <w:sz w:val="24"/>
          <w:szCs w:val="24"/>
        </w:rPr>
        <w:t xml:space="preserve">., 1993, as cited in gross 2010). The relationship between fathers and daughters however can become more disengaged during puberty when discussing certain issues can become uncomfortable. A mother’s role can be more confrontational when enforcing family rules, however she is still seen as being supportive and understanding, unlike father’s who can be more distant (Hendry </w:t>
      </w:r>
      <w:r w:rsidRPr="00EE3687">
        <w:rPr>
          <w:rFonts w:ascii="Arial" w:hAnsi="Arial" w:cs="Arial"/>
          <w:i/>
          <w:sz w:val="24"/>
          <w:szCs w:val="24"/>
        </w:rPr>
        <w:t xml:space="preserve">et al </w:t>
      </w:r>
      <w:r w:rsidRPr="00EE3687">
        <w:rPr>
          <w:rFonts w:ascii="Arial" w:hAnsi="Arial" w:cs="Arial"/>
          <w:sz w:val="24"/>
          <w:szCs w:val="24"/>
        </w:rPr>
        <w:t xml:space="preserve">1993, as cited in Gross 2010). </w:t>
      </w:r>
    </w:p>
    <w:p w:rsidR="00B802E4" w:rsidRPr="00EE3687" w:rsidRDefault="00B802E4" w:rsidP="00B802E4">
      <w:pPr>
        <w:spacing w:line="360" w:lineRule="auto"/>
        <w:rPr>
          <w:rFonts w:ascii="Arial" w:hAnsi="Arial" w:cs="Arial"/>
          <w:sz w:val="24"/>
          <w:szCs w:val="24"/>
        </w:rPr>
      </w:pPr>
    </w:p>
    <w:p w:rsidR="00B802E4" w:rsidRDefault="00B802E4" w:rsidP="00B802E4">
      <w:pPr>
        <w:spacing w:line="360" w:lineRule="auto"/>
        <w:rPr>
          <w:rFonts w:ascii="Arial" w:hAnsi="Arial" w:cs="Arial"/>
          <w:sz w:val="24"/>
          <w:szCs w:val="24"/>
        </w:rPr>
      </w:pPr>
      <w:r w:rsidRPr="00EE3687">
        <w:rPr>
          <w:rFonts w:ascii="Arial" w:hAnsi="Arial" w:cs="Arial"/>
          <w:sz w:val="24"/>
          <w:szCs w:val="24"/>
        </w:rPr>
        <w:t>Reference</w:t>
      </w:r>
    </w:p>
    <w:p w:rsidR="00B802E4" w:rsidRPr="00EE3687" w:rsidRDefault="00B802E4" w:rsidP="00B802E4">
      <w:pPr>
        <w:spacing w:line="360" w:lineRule="auto"/>
        <w:rPr>
          <w:rFonts w:ascii="Arial" w:hAnsi="Arial" w:cs="Arial"/>
          <w:sz w:val="24"/>
          <w:szCs w:val="24"/>
        </w:rPr>
      </w:pPr>
    </w:p>
    <w:p w:rsidR="00B802E4" w:rsidRPr="00EE3687" w:rsidRDefault="00B802E4" w:rsidP="00B802E4">
      <w:pPr>
        <w:spacing w:line="360" w:lineRule="auto"/>
        <w:rPr>
          <w:rFonts w:ascii="Arial" w:hAnsi="Arial" w:cs="Arial"/>
          <w:sz w:val="24"/>
          <w:szCs w:val="24"/>
        </w:rPr>
      </w:pPr>
      <w:r w:rsidRPr="00EE3687">
        <w:rPr>
          <w:rFonts w:ascii="Arial" w:hAnsi="Arial" w:cs="Arial"/>
          <w:sz w:val="24"/>
          <w:szCs w:val="24"/>
        </w:rPr>
        <w:t xml:space="preserve">Gross, R. (2010). </w:t>
      </w:r>
      <w:r w:rsidRPr="00EE3687">
        <w:rPr>
          <w:rFonts w:ascii="Arial" w:hAnsi="Arial" w:cs="Arial"/>
          <w:i/>
          <w:sz w:val="24"/>
          <w:szCs w:val="24"/>
        </w:rPr>
        <w:t>Psychology: The Science of Mind and Behaviour</w:t>
      </w:r>
      <w:r w:rsidRPr="00EE3687">
        <w:rPr>
          <w:rFonts w:ascii="Arial" w:hAnsi="Arial" w:cs="Arial"/>
          <w:sz w:val="24"/>
          <w:szCs w:val="24"/>
        </w:rPr>
        <w:t>. London, England: Hodder Education.</w:t>
      </w:r>
    </w:p>
    <w:p w:rsidR="006976D5" w:rsidRDefault="00C70451"/>
    <w:p w:rsidR="00B802E4" w:rsidRDefault="00B802E4"/>
    <w:p w:rsidR="002F77C4" w:rsidRPr="002F77C4" w:rsidRDefault="002F77C4" w:rsidP="002F77C4">
      <w:pPr>
        <w:autoSpaceDE w:val="0"/>
        <w:autoSpaceDN w:val="0"/>
        <w:adjustRightInd w:val="0"/>
        <w:spacing w:after="0" w:line="240" w:lineRule="auto"/>
        <w:rPr>
          <w:rFonts w:ascii="AdvP7D0F" w:hAnsi="AdvP7D0F" w:cs="AdvP7D0F"/>
          <w:sz w:val="36"/>
          <w:szCs w:val="36"/>
        </w:rPr>
      </w:pPr>
      <w:r w:rsidRPr="002F77C4">
        <w:rPr>
          <w:rFonts w:ascii="AdvP7D0F" w:hAnsi="AdvP7D0F" w:cs="AdvP7D0F"/>
          <w:sz w:val="36"/>
          <w:szCs w:val="36"/>
        </w:rPr>
        <w:lastRenderedPageBreak/>
        <w:t>Anxiety and depression in academic performance: An exploration of the mediating factors of worry and working</w:t>
      </w:r>
    </w:p>
    <w:p w:rsidR="002F77C4" w:rsidRPr="002F77C4" w:rsidRDefault="002F77C4" w:rsidP="002F77C4">
      <w:pPr>
        <w:rPr>
          <w:rFonts w:ascii="AdvP7D0F" w:hAnsi="AdvP7D0F" w:cs="AdvP7D0F"/>
          <w:sz w:val="36"/>
          <w:szCs w:val="36"/>
        </w:rPr>
      </w:pPr>
      <w:r w:rsidRPr="002F77C4">
        <w:rPr>
          <w:rFonts w:ascii="AdvP7D0F" w:hAnsi="AdvP7D0F" w:cs="AdvP7D0F"/>
          <w:sz w:val="36"/>
          <w:szCs w:val="36"/>
        </w:rPr>
        <w:t>memory</w:t>
      </w:r>
    </w:p>
    <w:p w:rsidR="002F77C4" w:rsidRPr="002F77C4" w:rsidRDefault="002F77C4" w:rsidP="002F77C4">
      <w:pPr>
        <w:rPr>
          <w:rFonts w:ascii="AdvP7D0F" w:hAnsi="AdvP7D0F" w:cs="AdvP7D0F"/>
          <w:sz w:val="36"/>
          <w:szCs w:val="36"/>
        </w:rPr>
      </w:pPr>
    </w:p>
    <w:p w:rsidR="002F77C4" w:rsidRPr="002F77C4" w:rsidRDefault="002F77C4" w:rsidP="002F77C4">
      <w:pPr>
        <w:rPr>
          <w:rFonts w:ascii="Arial" w:hAnsi="Arial" w:cs="Arial"/>
          <w:b/>
          <w:sz w:val="24"/>
          <w:szCs w:val="24"/>
        </w:rPr>
      </w:pPr>
      <w:r w:rsidRPr="002F77C4">
        <w:rPr>
          <w:rFonts w:ascii="Arial" w:hAnsi="Arial" w:cs="Arial"/>
          <w:b/>
          <w:sz w:val="24"/>
          <w:szCs w:val="24"/>
        </w:rPr>
        <w:t>Abstract</w:t>
      </w:r>
    </w:p>
    <w:p w:rsidR="002F77C4" w:rsidRPr="002F77C4" w:rsidRDefault="002F77C4" w:rsidP="002F77C4">
      <w:pPr>
        <w:spacing w:line="360" w:lineRule="auto"/>
        <w:rPr>
          <w:rFonts w:ascii="Arial" w:hAnsi="Arial" w:cs="Arial"/>
          <w:sz w:val="24"/>
          <w:szCs w:val="24"/>
        </w:rPr>
      </w:pPr>
      <w:r w:rsidRPr="002F77C4">
        <w:rPr>
          <w:rFonts w:ascii="Arial" w:hAnsi="Arial" w:cs="Arial"/>
          <w:sz w:val="24"/>
          <w:szCs w:val="24"/>
        </w:rPr>
        <w:t>The aim of this study is to determine if test-specific worry affects working memory central executive processes negatively in children with higher levels of anxiety or depression, leading to lower levels of academic performance, and how to improve the efficacy of current interventions. The findings in the study are supported by international research that also shows a link between how anxiety can affect a child’s working memory process in a negative way. A study conducted In Singapore of 90 children aged 10yrs found that working memory was negatively affected by high levels of trait test anxiety (NG, Lee, 2010).</w:t>
      </w: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 xml:space="preserve">The participants of these studies were typically of 12-13yrs of age. In the first study the participants were given a psychometric questionnaire pack specific to anxiety, depression and worry about taking tests: The </w:t>
      </w:r>
      <w:proofErr w:type="spellStart"/>
      <w:r w:rsidRPr="002F77C4">
        <w:rPr>
          <w:rFonts w:ascii="Arial" w:hAnsi="Arial" w:cs="Arial"/>
          <w:sz w:val="24"/>
          <w:szCs w:val="24"/>
        </w:rPr>
        <w:t>Spielberger</w:t>
      </w:r>
      <w:proofErr w:type="spellEnd"/>
      <w:r w:rsidRPr="002F77C4">
        <w:rPr>
          <w:rFonts w:ascii="Arial" w:hAnsi="Arial" w:cs="Arial"/>
          <w:sz w:val="24"/>
          <w:szCs w:val="24"/>
        </w:rPr>
        <w:t xml:space="preserve"> Trait Anxiety Form (</w:t>
      </w:r>
      <w:proofErr w:type="spellStart"/>
      <w:r w:rsidRPr="002F77C4">
        <w:rPr>
          <w:rFonts w:ascii="Arial" w:hAnsi="Arial" w:cs="Arial"/>
          <w:sz w:val="24"/>
          <w:szCs w:val="24"/>
        </w:rPr>
        <w:t>Spielberger</w:t>
      </w:r>
      <w:proofErr w:type="spellEnd"/>
      <w:r w:rsidRPr="002F77C4">
        <w:rPr>
          <w:rFonts w:ascii="Arial" w:hAnsi="Arial" w:cs="Arial"/>
          <w:sz w:val="24"/>
          <w:szCs w:val="24"/>
        </w:rPr>
        <w:t xml:space="preserve">, Edwards, </w:t>
      </w:r>
      <w:proofErr w:type="spellStart"/>
      <w:r w:rsidRPr="002F77C4">
        <w:rPr>
          <w:rFonts w:ascii="Arial" w:hAnsi="Arial" w:cs="Arial"/>
          <w:sz w:val="24"/>
          <w:szCs w:val="24"/>
        </w:rPr>
        <w:t>Lushene</w:t>
      </w:r>
      <w:proofErr w:type="spellEnd"/>
      <w:r w:rsidRPr="002F77C4">
        <w:rPr>
          <w:rFonts w:ascii="Arial" w:hAnsi="Arial" w:cs="Arial"/>
          <w:sz w:val="24"/>
          <w:szCs w:val="24"/>
        </w:rPr>
        <w:t xml:space="preserve">, </w:t>
      </w:r>
      <w:proofErr w:type="spellStart"/>
      <w:r w:rsidRPr="002F77C4">
        <w:rPr>
          <w:rFonts w:ascii="Arial" w:hAnsi="Arial" w:cs="Arial"/>
          <w:sz w:val="24"/>
          <w:szCs w:val="24"/>
        </w:rPr>
        <w:t>Montouri</w:t>
      </w:r>
      <w:proofErr w:type="spellEnd"/>
      <w:r w:rsidRPr="002F77C4">
        <w:rPr>
          <w:rFonts w:ascii="Arial" w:hAnsi="Arial" w:cs="Arial"/>
          <w:sz w:val="24"/>
          <w:szCs w:val="24"/>
        </w:rPr>
        <w:t xml:space="preserve">, &amp; </w:t>
      </w:r>
      <w:proofErr w:type="spellStart"/>
      <w:r w:rsidRPr="002F77C4">
        <w:rPr>
          <w:rFonts w:ascii="Arial" w:hAnsi="Arial" w:cs="Arial"/>
          <w:sz w:val="24"/>
          <w:szCs w:val="24"/>
        </w:rPr>
        <w:t>Platzek</w:t>
      </w:r>
      <w:proofErr w:type="spellEnd"/>
      <w:r w:rsidRPr="002F77C4">
        <w:rPr>
          <w:rFonts w:ascii="Arial" w:hAnsi="Arial" w:cs="Arial"/>
          <w:sz w:val="24"/>
          <w:szCs w:val="24"/>
        </w:rPr>
        <w:t xml:space="preserve">, 1973). For depression the Major Depressive Disorder (MDD) subscale of the Revised Child Anxiety and Depression Scale (RCADS; </w:t>
      </w:r>
      <w:proofErr w:type="spellStart"/>
      <w:r w:rsidRPr="002F77C4">
        <w:rPr>
          <w:rFonts w:ascii="Arial" w:hAnsi="Arial" w:cs="Arial"/>
          <w:sz w:val="24"/>
          <w:szCs w:val="24"/>
        </w:rPr>
        <w:t>Chorpita</w:t>
      </w:r>
      <w:proofErr w:type="spellEnd"/>
      <w:r w:rsidRPr="002F77C4">
        <w:rPr>
          <w:rFonts w:ascii="Arial" w:hAnsi="Arial" w:cs="Arial"/>
          <w:sz w:val="24"/>
          <w:szCs w:val="24"/>
        </w:rPr>
        <w:t xml:space="preserve">, </w:t>
      </w:r>
      <w:proofErr w:type="spellStart"/>
      <w:r w:rsidRPr="002F77C4">
        <w:rPr>
          <w:rFonts w:ascii="Arial" w:hAnsi="Arial" w:cs="Arial"/>
          <w:sz w:val="24"/>
          <w:szCs w:val="24"/>
        </w:rPr>
        <w:t>Yim</w:t>
      </w:r>
      <w:proofErr w:type="spellEnd"/>
      <w:r w:rsidRPr="002F77C4">
        <w:rPr>
          <w:rFonts w:ascii="Arial" w:hAnsi="Arial" w:cs="Arial"/>
          <w:sz w:val="24"/>
          <w:szCs w:val="24"/>
        </w:rPr>
        <w:t xml:space="preserve">, Moffitt, </w:t>
      </w:r>
      <w:proofErr w:type="spellStart"/>
      <w:r w:rsidRPr="002F77C4">
        <w:rPr>
          <w:rFonts w:ascii="Arial" w:hAnsi="Arial" w:cs="Arial"/>
          <w:sz w:val="24"/>
          <w:szCs w:val="24"/>
        </w:rPr>
        <w:t>Umemoto</w:t>
      </w:r>
      <w:proofErr w:type="spellEnd"/>
      <w:r w:rsidRPr="002F77C4">
        <w:rPr>
          <w:rFonts w:ascii="Arial" w:hAnsi="Arial" w:cs="Arial"/>
          <w:sz w:val="24"/>
          <w:szCs w:val="24"/>
        </w:rPr>
        <w:t>, &amp; Francis, 2000) was used and the, worry subscale of the Children’s Test Anxiety Scale (Wren &amp; Benson, 2004) was used to measure worry about tests.</w:t>
      </w: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 xml:space="preserve">The second study tested the hypothesis that anxiety and depression affected the central executive processes causing added pressure to academic performance. Participants were given the same self-report measures used in the first study, in addition, the automated working memory assessment (AWMA) and The Cambridge neuropsychological test automated battery (CANTAB) were used to measure non-central / central executive visuospatial working memory (Owens, Stevenson, </w:t>
      </w:r>
      <w:proofErr w:type="spellStart"/>
      <w:r w:rsidRPr="002F77C4">
        <w:rPr>
          <w:rFonts w:ascii="Arial" w:hAnsi="Arial" w:cs="Arial"/>
          <w:sz w:val="24"/>
          <w:szCs w:val="24"/>
        </w:rPr>
        <w:t>Hadwin</w:t>
      </w:r>
      <w:proofErr w:type="spellEnd"/>
      <w:r w:rsidRPr="002F77C4">
        <w:rPr>
          <w:rFonts w:ascii="Arial" w:hAnsi="Arial" w:cs="Arial"/>
          <w:sz w:val="24"/>
          <w:szCs w:val="24"/>
        </w:rPr>
        <w:t>,</w:t>
      </w:r>
      <w:r w:rsidRPr="002F77C4">
        <w:rPr>
          <w:rFonts w:ascii="Arial" w:hAnsi="Arial" w:cs="Arial"/>
          <w:i/>
          <w:sz w:val="24"/>
          <w:szCs w:val="24"/>
        </w:rPr>
        <w:t xml:space="preserve"> </w:t>
      </w:r>
      <w:r w:rsidRPr="002F77C4">
        <w:rPr>
          <w:rFonts w:ascii="Arial" w:hAnsi="Arial" w:cs="Arial"/>
          <w:sz w:val="24"/>
          <w:szCs w:val="24"/>
        </w:rPr>
        <w:t xml:space="preserve">2012). Additional test information came from data provided by the schools. </w:t>
      </w: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 xml:space="preserve">The results of the two studies indicated an association between anxiety, depression and increased worry about taking tests and the interference with complex working </w:t>
      </w:r>
      <w:r w:rsidRPr="002F77C4">
        <w:rPr>
          <w:rFonts w:ascii="Arial" w:hAnsi="Arial" w:cs="Arial"/>
          <w:sz w:val="24"/>
          <w:szCs w:val="24"/>
        </w:rPr>
        <w:lastRenderedPageBreak/>
        <w:t>memory did lead to a more negative test performance. There is also a consistency between previous research findings of the negative association between anxiety and working memory (</w:t>
      </w:r>
      <w:proofErr w:type="spellStart"/>
      <w:r w:rsidRPr="002F77C4">
        <w:rPr>
          <w:rFonts w:ascii="Arial" w:hAnsi="Arial" w:cs="Arial"/>
          <w:sz w:val="24"/>
          <w:szCs w:val="24"/>
        </w:rPr>
        <w:t>Aronen</w:t>
      </w:r>
      <w:proofErr w:type="spellEnd"/>
      <w:r w:rsidRPr="002F77C4">
        <w:rPr>
          <w:rFonts w:ascii="Arial" w:hAnsi="Arial" w:cs="Arial"/>
          <w:sz w:val="24"/>
          <w:szCs w:val="24"/>
        </w:rPr>
        <w:t xml:space="preserve"> et al., 2005; </w:t>
      </w:r>
      <w:proofErr w:type="spellStart"/>
      <w:r w:rsidRPr="002F77C4">
        <w:rPr>
          <w:rFonts w:ascii="Arial" w:hAnsi="Arial" w:cs="Arial"/>
          <w:sz w:val="24"/>
          <w:szCs w:val="24"/>
        </w:rPr>
        <w:t>Hadwin</w:t>
      </w:r>
      <w:proofErr w:type="spellEnd"/>
      <w:r w:rsidRPr="002F77C4">
        <w:rPr>
          <w:rFonts w:ascii="Arial" w:hAnsi="Arial" w:cs="Arial"/>
          <w:sz w:val="24"/>
          <w:szCs w:val="24"/>
        </w:rPr>
        <w:t xml:space="preserve">, Brogan, &amp; Stevenson, 2005; Owens, Stevenson, </w:t>
      </w:r>
      <w:proofErr w:type="spellStart"/>
      <w:r w:rsidRPr="002F77C4">
        <w:rPr>
          <w:rFonts w:ascii="Arial" w:hAnsi="Arial" w:cs="Arial"/>
          <w:sz w:val="24"/>
          <w:szCs w:val="24"/>
        </w:rPr>
        <w:t>Norgate</w:t>
      </w:r>
      <w:proofErr w:type="spellEnd"/>
      <w:r w:rsidRPr="002F77C4">
        <w:rPr>
          <w:rFonts w:ascii="Arial" w:hAnsi="Arial" w:cs="Arial"/>
          <w:sz w:val="24"/>
          <w:szCs w:val="24"/>
        </w:rPr>
        <w:t xml:space="preserve">, &amp; </w:t>
      </w:r>
      <w:proofErr w:type="spellStart"/>
      <w:r w:rsidRPr="002F77C4">
        <w:rPr>
          <w:rFonts w:ascii="Arial" w:hAnsi="Arial" w:cs="Arial"/>
          <w:sz w:val="24"/>
          <w:szCs w:val="24"/>
        </w:rPr>
        <w:t>Hadwin</w:t>
      </w:r>
      <w:proofErr w:type="spellEnd"/>
      <w:r w:rsidRPr="002F77C4">
        <w:rPr>
          <w:rFonts w:ascii="Arial" w:hAnsi="Arial" w:cs="Arial"/>
          <w:sz w:val="24"/>
          <w:szCs w:val="24"/>
        </w:rPr>
        <w:t xml:space="preserve">, 2008). However, test results in the first study did expand on previous findings and showed a mediating role of worry in the relationship between anxiety and academic achievement (Owens </w:t>
      </w:r>
      <w:r w:rsidRPr="002F77C4">
        <w:rPr>
          <w:rFonts w:ascii="Arial" w:hAnsi="Arial" w:cs="Arial"/>
          <w:i/>
          <w:sz w:val="24"/>
          <w:szCs w:val="24"/>
        </w:rPr>
        <w:t>et al</w:t>
      </w:r>
      <w:r w:rsidRPr="002F77C4">
        <w:rPr>
          <w:rFonts w:ascii="Arial" w:hAnsi="Arial" w:cs="Arial"/>
          <w:sz w:val="24"/>
          <w:szCs w:val="24"/>
        </w:rPr>
        <w:t>,</w:t>
      </w:r>
      <w:r w:rsidRPr="002F77C4">
        <w:rPr>
          <w:rFonts w:ascii="Arial" w:hAnsi="Arial" w:cs="Arial"/>
          <w:i/>
          <w:sz w:val="24"/>
          <w:szCs w:val="24"/>
        </w:rPr>
        <w:t xml:space="preserve"> </w:t>
      </w:r>
      <w:r w:rsidRPr="002F77C4">
        <w:rPr>
          <w:rFonts w:ascii="Arial" w:hAnsi="Arial" w:cs="Arial"/>
          <w:sz w:val="24"/>
          <w:szCs w:val="24"/>
        </w:rPr>
        <w:t>2012)</w:t>
      </w:r>
      <w:r w:rsidRPr="002F77C4">
        <w:rPr>
          <w:rFonts w:ascii="Arial" w:hAnsi="Arial" w:cs="Arial"/>
          <w:i/>
          <w:sz w:val="24"/>
          <w:szCs w:val="24"/>
        </w:rPr>
        <w:t xml:space="preserve">. </w:t>
      </w:r>
      <w:r w:rsidRPr="002F77C4">
        <w:rPr>
          <w:rFonts w:ascii="Arial" w:hAnsi="Arial" w:cs="Arial"/>
          <w:sz w:val="24"/>
          <w:szCs w:val="24"/>
        </w:rPr>
        <w:t xml:space="preserve">It is further suggested this may be relevant to certain subjects that rely more on working memory (Ashcraft &amp; Krause, 2007). The results in the second study also highlighted consistencies with previous research on the subject. Study two showed that a strong association between academic performance and the central executive working memory partly drives the link between negative affect and performance (Alloway, Gathercole, &amp; Elliott, 2010; Gathercole et al., 2004).   </w:t>
      </w: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 xml:space="preserve">The limitations of this study are mainly due to the low number of participants, also clarification of the findings would be beneficial by conducting a further study with more participants focusing on clinically anxious/depressed young people. Although these studies explain a complex relationship between negative affect and academic performance, and factors in individuals with high/poor working memory and the affect this may have on the individual - it does suggest that individuals with depressive and anxious traits, and low working memory should have interventions directed towards them (Owens </w:t>
      </w:r>
      <w:r w:rsidRPr="002F77C4">
        <w:rPr>
          <w:rFonts w:ascii="Arial" w:hAnsi="Arial" w:cs="Arial"/>
          <w:i/>
          <w:sz w:val="24"/>
          <w:szCs w:val="24"/>
        </w:rPr>
        <w:t>et al</w:t>
      </w:r>
      <w:r w:rsidRPr="002F77C4">
        <w:rPr>
          <w:rFonts w:ascii="Arial" w:hAnsi="Arial" w:cs="Arial"/>
          <w:sz w:val="24"/>
          <w:szCs w:val="24"/>
        </w:rPr>
        <w:t>, 2012).</w:t>
      </w: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 xml:space="preserve">One implication for practice is that, because the successful completion of tests requires essential working memory processes, the cognitive component of worry should be the focus of interventions.  </w:t>
      </w: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Reference</w:t>
      </w:r>
    </w:p>
    <w:p w:rsidR="002F77C4" w:rsidRPr="002F77C4" w:rsidRDefault="002F77C4" w:rsidP="002F77C4">
      <w:pPr>
        <w:autoSpaceDE w:val="0"/>
        <w:autoSpaceDN w:val="0"/>
        <w:adjustRightInd w:val="0"/>
        <w:spacing w:after="0" w:line="360" w:lineRule="auto"/>
        <w:rPr>
          <w:rFonts w:ascii="Arial" w:hAnsi="Arial" w:cs="Arial"/>
          <w:sz w:val="24"/>
          <w:szCs w:val="24"/>
        </w:rPr>
      </w:pPr>
    </w:p>
    <w:p w:rsidR="002F77C4" w:rsidRPr="002F77C4" w:rsidRDefault="002F77C4" w:rsidP="002F77C4">
      <w:pPr>
        <w:autoSpaceDE w:val="0"/>
        <w:autoSpaceDN w:val="0"/>
        <w:adjustRightInd w:val="0"/>
        <w:spacing w:after="0" w:line="360" w:lineRule="auto"/>
        <w:rPr>
          <w:rFonts w:ascii="Arial" w:hAnsi="Arial" w:cs="Arial"/>
          <w:sz w:val="24"/>
          <w:szCs w:val="24"/>
        </w:rPr>
      </w:pPr>
      <w:r w:rsidRPr="002F77C4">
        <w:rPr>
          <w:rFonts w:ascii="Arial" w:hAnsi="Arial" w:cs="Arial"/>
          <w:sz w:val="24"/>
          <w:szCs w:val="24"/>
        </w:rPr>
        <w:t xml:space="preserve">Owens, M., Stevenson, J., </w:t>
      </w:r>
      <w:proofErr w:type="spellStart"/>
      <w:r w:rsidRPr="002F77C4">
        <w:rPr>
          <w:rFonts w:ascii="Arial" w:hAnsi="Arial" w:cs="Arial"/>
          <w:sz w:val="24"/>
          <w:szCs w:val="24"/>
        </w:rPr>
        <w:t>Hadwin</w:t>
      </w:r>
      <w:proofErr w:type="spellEnd"/>
      <w:r w:rsidRPr="002F77C4">
        <w:rPr>
          <w:rFonts w:ascii="Arial" w:hAnsi="Arial" w:cs="Arial"/>
          <w:sz w:val="24"/>
          <w:szCs w:val="24"/>
        </w:rPr>
        <w:t xml:space="preserve">, J. A., &amp; </w:t>
      </w:r>
      <w:proofErr w:type="spellStart"/>
      <w:r w:rsidRPr="002F77C4">
        <w:rPr>
          <w:rFonts w:ascii="Arial" w:hAnsi="Arial" w:cs="Arial"/>
          <w:sz w:val="24"/>
          <w:szCs w:val="24"/>
        </w:rPr>
        <w:t>Norgate</w:t>
      </w:r>
      <w:proofErr w:type="spellEnd"/>
      <w:r w:rsidRPr="002F77C4">
        <w:rPr>
          <w:rFonts w:ascii="Arial" w:hAnsi="Arial" w:cs="Arial"/>
          <w:sz w:val="24"/>
          <w:szCs w:val="24"/>
        </w:rPr>
        <w:t xml:space="preserve">, R.  (2012) Anxiety and depression in academic performance: An exploration of the mediating factors of worry and working Memory. </w:t>
      </w:r>
      <w:r w:rsidRPr="002F77C4">
        <w:rPr>
          <w:rFonts w:ascii="Arial" w:hAnsi="Arial" w:cs="Arial"/>
          <w:i/>
          <w:sz w:val="24"/>
          <w:szCs w:val="24"/>
        </w:rPr>
        <w:t>School Psychology International. 33</w:t>
      </w:r>
      <w:r w:rsidRPr="002F77C4">
        <w:rPr>
          <w:rFonts w:ascii="Arial" w:hAnsi="Arial" w:cs="Arial"/>
          <w:sz w:val="24"/>
          <w:szCs w:val="24"/>
        </w:rPr>
        <w:t>(4</w:t>
      </w:r>
      <w:r w:rsidRPr="002F77C4">
        <w:rPr>
          <w:rFonts w:ascii="Arial" w:hAnsi="Arial" w:cs="Arial"/>
          <w:i/>
          <w:sz w:val="24"/>
          <w:szCs w:val="24"/>
        </w:rPr>
        <w:t>)</w:t>
      </w:r>
      <w:r w:rsidRPr="002F77C4">
        <w:rPr>
          <w:rFonts w:ascii="Arial" w:hAnsi="Arial" w:cs="Arial"/>
          <w:sz w:val="24"/>
          <w:szCs w:val="24"/>
        </w:rPr>
        <w:t xml:space="preserve">, 433 - 449. </w:t>
      </w:r>
      <w:proofErr w:type="spellStart"/>
      <w:r w:rsidRPr="002F77C4">
        <w:rPr>
          <w:rFonts w:ascii="Arial" w:hAnsi="Arial" w:cs="Arial"/>
          <w:sz w:val="24"/>
          <w:szCs w:val="24"/>
        </w:rPr>
        <w:t>doi</w:t>
      </w:r>
      <w:proofErr w:type="spellEnd"/>
      <w:r w:rsidRPr="002F77C4">
        <w:rPr>
          <w:rFonts w:ascii="Arial" w:hAnsi="Arial" w:cs="Arial"/>
          <w:sz w:val="24"/>
          <w:szCs w:val="24"/>
        </w:rPr>
        <w:t>: 10.1177/0143034311427433</w:t>
      </w:r>
    </w:p>
    <w:p w:rsidR="00B802E4" w:rsidRDefault="00B802E4"/>
    <w:sectPr w:rsidR="00B802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altName w:val="Times New Roman PSMT"/>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dvP7D0F">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E4"/>
    <w:rsid w:val="000713D6"/>
    <w:rsid w:val="000F7ED2"/>
    <w:rsid w:val="002F77C4"/>
    <w:rsid w:val="00926C8A"/>
    <w:rsid w:val="00AE4B4F"/>
    <w:rsid w:val="00B633AD"/>
    <w:rsid w:val="00B802E4"/>
    <w:rsid w:val="00C70451"/>
    <w:rsid w:val="00E0011A"/>
    <w:rsid w:val="00EB0BA6"/>
    <w:rsid w:val="00F56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A015"/>
  <w15:chartTrackingRefBased/>
  <w15:docId w15:val="{9BCE9EA2-7B0D-4A8D-B986-E5AF5F1E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2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2</cp:revision>
  <dcterms:created xsi:type="dcterms:W3CDTF">2017-11-09T11:27:00Z</dcterms:created>
  <dcterms:modified xsi:type="dcterms:W3CDTF">2017-11-09T11:44:00Z</dcterms:modified>
</cp:coreProperties>
</file>