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819632" w14:textId="04745485" w:rsidR="00EC0CD3" w:rsidRDefault="002356F3">
      <w:pPr>
        <w:rPr>
          <w:sz w:val="28"/>
          <w:szCs w:val="28"/>
        </w:rPr>
      </w:pPr>
      <w:r>
        <w:rPr>
          <w:sz w:val="28"/>
          <w:szCs w:val="28"/>
        </w:rPr>
        <w:t xml:space="preserve">A tort is a civil wrong involving an individual unfairly causing another person to suffer loss or harm. Tort law is different from criminal law as it is dealt with by civil courts ( </w:t>
      </w:r>
      <w:r w:rsidR="00EC0CD3">
        <w:rPr>
          <w:sz w:val="28"/>
          <w:szCs w:val="28"/>
        </w:rPr>
        <w:t xml:space="preserve">Laver, </w:t>
      </w:r>
      <w:r>
        <w:rPr>
          <w:sz w:val="28"/>
          <w:szCs w:val="28"/>
        </w:rPr>
        <w:t>2019</w:t>
      </w:r>
      <w:r w:rsidR="00EC0CD3">
        <w:rPr>
          <w:sz w:val="28"/>
          <w:szCs w:val="28"/>
        </w:rPr>
        <w:t xml:space="preserve">). There are different types of tort which include trespass, nuisance, and defamation. However, the most common tort that claimants make a case is negligence ( Reuters, 2022). </w:t>
      </w:r>
    </w:p>
    <w:p w14:paraId="7DDB2FFB" w14:textId="4A2087B2" w:rsidR="00EC0CD3" w:rsidRDefault="00EC0CD3">
      <w:pPr>
        <w:rPr>
          <w:sz w:val="28"/>
          <w:szCs w:val="28"/>
        </w:rPr>
      </w:pPr>
      <w:r>
        <w:rPr>
          <w:sz w:val="28"/>
          <w:szCs w:val="28"/>
        </w:rPr>
        <w:t xml:space="preserve">In order to make a successful negligence claim there are three elements that need to be satisfied. The first requirement is that a duty of care between the claimant and the defendant must be present. A duty of care involves, imposing a requirement on the defendant to ensure the wellbeing of the claimant. Secondly, the defendant must have breached the duty of care. Finally, the breach of the defendant’s duty of care must have both been factually and legally caused the harm the claimant suffered. </w:t>
      </w:r>
    </w:p>
    <w:p w14:paraId="5D02A283" w14:textId="0863CF38" w:rsidR="00EC0CD3" w:rsidRDefault="00EC0CD3">
      <w:pPr>
        <w:rPr>
          <w:sz w:val="28"/>
          <w:szCs w:val="28"/>
        </w:rPr>
      </w:pPr>
      <w:r>
        <w:rPr>
          <w:sz w:val="28"/>
          <w:szCs w:val="28"/>
        </w:rPr>
        <w:t xml:space="preserve">A duty of care is when an individual has responsibility and a legal obligation for the health and safety and wellbeing of another person. As seen within the case Clifford </w:t>
      </w:r>
      <w:r w:rsidR="009E3CC6">
        <w:rPr>
          <w:sz w:val="28"/>
          <w:szCs w:val="28"/>
        </w:rPr>
        <w:t xml:space="preserve">v Charles </w:t>
      </w:r>
      <w:proofErr w:type="spellStart"/>
      <w:r w:rsidR="009E3CC6">
        <w:rPr>
          <w:sz w:val="28"/>
          <w:szCs w:val="28"/>
        </w:rPr>
        <w:t>Challen</w:t>
      </w:r>
      <w:proofErr w:type="spellEnd"/>
      <w:r w:rsidR="009E3CC6">
        <w:rPr>
          <w:sz w:val="28"/>
          <w:szCs w:val="28"/>
        </w:rPr>
        <w:t xml:space="preserve"> and Son (1951), and within the case Pape v Cumbria (1992) it illustrates how authorities owe a duty of care to people that are closely affected by their actions. However, if a defendant does not have a duty of care to the claimant, then the defendant would not be liable for negligence no matter what the outcome ( Horsey &amp; Rockley, 2013). </w:t>
      </w:r>
    </w:p>
    <w:p w14:paraId="78115635" w14:textId="4EB67415" w:rsidR="009E3CC6" w:rsidRDefault="009E3CC6">
      <w:pPr>
        <w:rPr>
          <w:sz w:val="28"/>
          <w:szCs w:val="28"/>
        </w:rPr>
      </w:pPr>
      <w:r>
        <w:rPr>
          <w:sz w:val="28"/>
          <w:szCs w:val="28"/>
        </w:rPr>
        <w:t xml:space="preserve">There are three primary emergency services within the UK, they are the Police, the fire brigade, and the ambulance service. These services are publicly funded and are there to ensure the safety of the general public, and rescue individuals within an emergency. </w:t>
      </w:r>
    </w:p>
    <w:p w14:paraId="48901E56" w14:textId="0DCF68B4" w:rsidR="009E3CC6" w:rsidRDefault="009E3CC6">
      <w:pPr>
        <w:rPr>
          <w:sz w:val="28"/>
          <w:szCs w:val="28"/>
        </w:rPr>
      </w:pPr>
      <w:r>
        <w:rPr>
          <w:sz w:val="28"/>
          <w:szCs w:val="28"/>
        </w:rPr>
        <w:t xml:space="preserve">The foundation of negligence is based upon Lord Atkin’s neighbour principle, established in the case of Donoghue v Stevenson (1932). According to Lord Atkin “you must take reasonable care to avoid acts or omissions which you can reasonably for see would be likely to injure your neighbour”. Lord Atkin then defined a neighbour as “a person </w:t>
      </w:r>
      <w:r w:rsidR="009925A3">
        <w:rPr>
          <w:sz w:val="28"/>
          <w:szCs w:val="28"/>
        </w:rPr>
        <w:t>who are so closely and directly affected by my act that I ought reasonably to have them in contemplation as being so affected when I am directing my mi</w:t>
      </w:r>
      <w:r w:rsidR="00FB7C39">
        <w:rPr>
          <w:sz w:val="28"/>
          <w:szCs w:val="28"/>
        </w:rPr>
        <w:t>n</w:t>
      </w:r>
      <w:r w:rsidR="009925A3">
        <w:rPr>
          <w:sz w:val="28"/>
          <w:szCs w:val="28"/>
        </w:rPr>
        <w:t xml:space="preserve">d to the acts or omissions which are called in question” </w:t>
      </w:r>
      <w:proofErr w:type="gramStart"/>
      <w:r w:rsidR="009925A3">
        <w:rPr>
          <w:sz w:val="28"/>
          <w:szCs w:val="28"/>
        </w:rPr>
        <w:t>( Atkin</w:t>
      </w:r>
      <w:proofErr w:type="gramEnd"/>
      <w:r w:rsidR="009925A3">
        <w:rPr>
          <w:sz w:val="28"/>
          <w:szCs w:val="28"/>
        </w:rPr>
        <w:t xml:space="preserve">, 1932). This clearly established who a duty of care should be owed to. This principle can be found within the Caparo test, a three-stage test that was introduced in Caparo Industries v Dickman (1990), to determine whether a duty of care should be imposed. This test considers the following three factors when determining the presence of a duty of care; whether the harm which occurred was a reasonable or foreseeable result of the </w:t>
      </w:r>
      <w:r w:rsidR="009925A3">
        <w:rPr>
          <w:sz w:val="28"/>
          <w:szCs w:val="28"/>
        </w:rPr>
        <w:lastRenderedPageBreak/>
        <w:t xml:space="preserve">defendant’s conduct; whether there was sufficient proximity through the neighbour principle between the defendant and the claimant; and whether it is fair, just, and reasonable to  impose a duty of care. This test is not applied in every case however, as the case of Robinson v CC West Yorkshire Police (2018) introduced the idea of identifying duties through analogy with previous precedents. </w:t>
      </w:r>
    </w:p>
    <w:p w14:paraId="4E4F6ADC" w14:textId="5B8D708A" w:rsidR="009925A3" w:rsidRDefault="009925A3">
      <w:pPr>
        <w:rPr>
          <w:sz w:val="28"/>
          <w:szCs w:val="28"/>
        </w:rPr>
      </w:pPr>
      <w:r>
        <w:rPr>
          <w:sz w:val="28"/>
          <w:szCs w:val="28"/>
        </w:rPr>
        <w:t xml:space="preserve">These tests are </w:t>
      </w:r>
      <w:r w:rsidR="00CC2B3E">
        <w:rPr>
          <w:sz w:val="28"/>
          <w:szCs w:val="28"/>
        </w:rPr>
        <w:t xml:space="preserve">consistently applied to ordinary citizens, however regarding emergency services the courts differ in their approach to imposing duties of care. Whilst the courts are not completely prepared to impose a duty of care on emergency services in the same way as imposing a duty upon private citizens, to suggest that they are not willing to do so would be incorrect. Many of the decisions surrounding the imposition of a duty of care may seem unfair, however, the courts are willing to impose a duty care when an act, rather than an omission, of the emergency services causes harm. </w:t>
      </w:r>
    </w:p>
    <w:p w14:paraId="62BEBB42" w14:textId="03E6148F" w:rsidR="009925A3" w:rsidRDefault="00CC2B3E">
      <w:pPr>
        <w:rPr>
          <w:sz w:val="28"/>
          <w:szCs w:val="28"/>
        </w:rPr>
      </w:pPr>
      <w:r>
        <w:rPr>
          <w:sz w:val="28"/>
          <w:szCs w:val="28"/>
        </w:rPr>
        <w:t>Evidence of the court’s willingness to impose a duty of care on emergency services is clear when considering the courts approach to cases involving both the fire brigade and ambulance service. In Capital and Countries Bank Plc v Hampshire CC (1997), the Court of Appeal imposed a duty of care onto the fire brigade in one of the joint appeals since their action of turning off the sprinklers caused significant damage and harm when this could have been prevented</w:t>
      </w:r>
      <w:r w:rsidR="00A47067">
        <w:rPr>
          <w:sz w:val="28"/>
          <w:szCs w:val="28"/>
        </w:rPr>
        <w:t xml:space="preserve"> but for their action of turning off the sprinkler. Therefore, it is evident that the courts are willing to impose a duty of care when the emergency services have worsened the situation. Additionally, the case of Kent v Griffiths (2000) also illustrates the courts willingness to impose a duty of care on the emergency services. Once </w:t>
      </w:r>
      <w:r w:rsidR="00804C0F">
        <w:rPr>
          <w:sz w:val="28"/>
          <w:szCs w:val="28"/>
        </w:rPr>
        <w:t>again,</w:t>
      </w:r>
      <w:r w:rsidR="00A47067">
        <w:rPr>
          <w:sz w:val="28"/>
          <w:szCs w:val="28"/>
        </w:rPr>
        <w:t xml:space="preserve"> the Court of Appeal held that the ambulance’s duty </w:t>
      </w:r>
      <w:r w:rsidR="00804C0F">
        <w:rPr>
          <w:sz w:val="28"/>
          <w:szCs w:val="28"/>
        </w:rPr>
        <w:t>of</w:t>
      </w:r>
      <w:r w:rsidR="00A47067">
        <w:rPr>
          <w:sz w:val="28"/>
          <w:szCs w:val="28"/>
        </w:rPr>
        <w:t xml:space="preserve"> care was established upon the acceptance of the call that was made. Furthermore, the Court of Appeal once again adopted the approach that an action of the emergency services that cause, or adds to the danger can amount to an imposition of a duty of care, the court held that there was a duty of care as the harm was caused by the ambulance being late. These two decisions clearly indicate that the courts are willing to impose a duty of care if the emergency services act in a way that increases the likelihood of harm. This is a seemingly fair approach since the Caparo test would be fulfilled as it is reasonable that negligent acts would lead to harm, both the fire brigade and ambulance service had sufficient proximity as they were acting in service of the claimants, and it would be fair, just and reasonable to impose such a duty as they were actively negligent. </w:t>
      </w:r>
    </w:p>
    <w:p w14:paraId="183EBA80" w14:textId="7DE9D808" w:rsidR="003314D1" w:rsidRDefault="003979A8">
      <w:pPr>
        <w:rPr>
          <w:sz w:val="28"/>
          <w:szCs w:val="28"/>
        </w:rPr>
      </w:pPr>
      <w:r>
        <w:rPr>
          <w:sz w:val="28"/>
          <w:szCs w:val="28"/>
        </w:rPr>
        <w:lastRenderedPageBreak/>
        <w:t xml:space="preserve">Additionally, the courts approach to cases involving the police also indicate that they are willing to impose a duty of care on the emergency services. The cases involving the police further prove that the courts are willing to impose such a duty as they are not only motivated by factors such as the Caparo test or by the fact that it would be fair to impose a duty if the services actively caused the harm. Instead, the courts are also willing to impose a duty based on policy reasons, which shows that they are not limited by the normal tests applied to private individuals and are instead more flexible in finding reasons to impose a duty. In Swinney v CC Northumbria (1977), the courts found there was a duty of care owed by the police </w:t>
      </w:r>
      <w:proofErr w:type="gramStart"/>
      <w:r>
        <w:rPr>
          <w:sz w:val="28"/>
          <w:szCs w:val="28"/>
        </w:rPr>
        <w:t>in regards to</w:t>
      </w:r>
      <w:proofErr w:type="gramEnd"/>
      <w:r>
        <w:rPr>
          <w:sz w:val="28"/>
          <w:szCs w:val="28"/>
        </w:rPr>
        <w:t xml:space="preserve"> containing confidential information, as policy dictates that informers and their confidential information should be protected in order to prevent people from fearing the consequences of cooperating with the police. In addition to this, the courts flexibility regarding imposing a duty of care is also prominent when considering what sort of harm emergency services can be liable. In An Informer v A </w:t>
      </w:r>
      <w:r w:rsidR="003314D1">
        <w:rPr>
          <w:sz w:val="28"/>
          <w:szCs w:val="28"/>
        </w:rPr>
        <w:t xml:space="preserve">Chief Constable (2012), the Court of Appeal found that a duty of care can extend beyond physical welfare to financial welfare, which clearly indicates that the courts are willing to hold emergency services liable even for harm that is not physical. Clearly, the courts are willing to impose a duty of care as they are even willing to include harm that is not severe. </w:t>
      </w:r>
    </w:p>
    <w:p w14:paraId="0F11B381" w14:textId="34FC16D2" w:rsidR="003314D1" w:rsidRDefault="003314D1">
      <w:pPr>
        <w:rPr>
          <w:sz w:val="28"/>
          <w:szCs w:val="28"/>
        </w:rPr>
      </w:pPr>
      <w:r>
        <w:rPr>
          <w:sz w:val="28"/>
          <w:szCs w:val="28"/>
        </w:rPr>
        <w:t xml:space="preserve">However, although these cases clearly highlight instances where the courts have been willing to impose a duty of care, the fact that the general approach towards the fire brigade and the police force is that they do not owe a duty of care to the general public suggests that the courts are not willing to impose a duty that the </w:t>
      </w:r>
      <w:proofErr w:type="gramStart"/>
      <w:r>
        <w:rPr>
          <w:sz w:val="28"/>
          <w:szCs w:val="28"/>
        </w:rPr>
        <w:t>aforementioned cases</w:t>
      </w:r>
      <w:proofErr w:type="gramEnd"/>
      <w:r>
        <w:rPr>
          <w:sz w:val="28"/>
          <w:szCs w:val="28"/>
        </w:rPr>
        <w:t xml:space="preserve"> are merely exceptions. </w:t>
      </w:r>
    </w:p>
    <w:p w14:paraId="46043A53" w14:textId="14D768B5" w:rsidR="003314D1" w:rsidRDefault="003314D1">
      <w:pPr>
        <w:rPr>
          <w:sz w:val="28"/>
          <w:szCs w:val="28"/>
        </w:rPr>
      </w:pPr>
      <w:r>
        <w:rPr>
          <w:sz w:val="28"/>
          <w:szCs w:val="28"/>
        </w:rPr>
        <w:t xml:space="preserve">In one of the joint appeals in Capital and Counties Bank Plc v Hampshire CC (1997) the court held that the fire brigade does not have a duty to fight fires competently. Additionally in Hill v Chief Constable of West Yorkshire (1988) the court found that the police do not owe a general duty of care to the public who suffer from police’s inability to apprehend a criminal. These decisions imply that the courts are unwilling to impose a duty of care as they allow the emergency services to not act to a standard that forces them to competently carry out their job. This unwillingness seems to be reserved for the emergency services </w:t>
      </w:r>
      <w:r w:rsidR="007B1346">
        <w:rPr>
          <w:sz w:val="28"/>
          <w:szCs w:val="28"/>
        </w:rPr>
        <w:t xml:space="preserve">especially when you consider cases like R v Adomako (1994) which involved the health service. The courts in this case imposed a duty of care on the anaesthetist and held them liable for an omission which led to a patients death. Clearly, there is a stark contrast between imposing a duty of care and </w:t>
      </w:r>
      <w:r w:rsidR="007B1346">
        <w:rPr>
          <w:sz w:val="28"/>
          <w:szCs w:val="28"/>
        </w:rPr>
        <w:lastRenderedPageBreak/>
        <w:t xml:space="preserve">liability onto the emergency services and the health services since omissions of the emergency services would foreseeably </w:t>
      </w:r>
      <w:proofErr w:type="gramStart"/>
      <w:r w:rsidR="007B1346">
        <w:rPr>
          <w:sz w:val="28"/>
          <w:szCs w:val="28"/>
        </w:rPr>
        <w:t>have an effect on</w:t>
      </w:r>
      <w:proofErr w:type="gramEnd"/>
      <w:r w:rsidR="007B1346">
        <w:rPr>
          <w:sz w:val="28"/>
          <w:szCs w:val="28"/>
        </w:rPr>
        <w:t xml:space="preserve"> the claimants, yet the courts do not impose a duty of care whereas they will in cases involving the health specialists. However, this is not because the courts are completely unwilling to impose a duty of care. Instead, the difference in work environments and public policy clearly plays a role in the courts willingness to impose a duty of care. In high pressure work environments that the fire brigade and the police force are more exposed to, members cannot be worried about how their omissions will affect other people as this could lead to a decrease in their efficiency and an overload in cases against the emergency services. Therefore, the courts are willing to impose a duty of care in cases where the emergency services </w:t>
      </w:r>
      <w:r w:rsidR="00954A7D">
        <w:rPr>
          <w:sz w:val="28"/>
          <w:szCs w:val="28"/>
        </w:rPr>
        <w:t xml:space="preserve">have exacerbated the situation like in Rigby v CC of Northamptonshire (1985), where the act of throwing a gas canister caused a fire risk, which ensures that the police are held accountable for acting irresponsibly but also allow for them to not have to overthink every action and even omission. </w:t>
      </w:r>
    </w:p>
    <w:p w14:paraId="5DE730EE" w14:textId="1F792520" w:rsidR="00954A7D" w:rsidRDefault="00954A7D">
      <w:pPr>
        <w:rPr>
          <w:sz w:val="28"/>
          <w:szCs w:val="28"/>
        </w:rPr>
      </w:pPr>
      <w:r>
        <w:rPr>
          <w:sz w:val="28"/>
          <w:szCs w:val="28"/>
        </w:rPr>
        <w:t xml:space="preserve">The common law principles that have been previously mentioned are also not the only routes that can be taken when making a negligence claim. </w:t>
      </w:r>
      <w:proofErr w:type="gramStart"/>
      <w:r>
        <w:rPr>
          <w:sz w:val="28"/>
          <w:szCs w:val="28"/>
        </w:rPr>
        <w:t>As a consequence</w:t>
      </w:r>
      <w:proofErr w:type="gramEnd"/>
      <w:r>
        <w:rPr>
          <w:sz w:val="28"/>
          <w:szCs w:val="28"/>
        </w:rPr>
        <w:t xml:space="preserve">, the fact that the general approach of the courts at common law is lenient towards the fire brigade and the police does not mean that they are not willing to impose a duty of care. This is because an individual can hold public authorities liable for their negligence by making a claim under the Human Rights Act 1998 which prevents public authorities from acting “in a way which is incompatible with a convention right” ( Human Rights Act, s6). Therefore, if the negligence of an emergency service infringes upon a convention right then the courts will be willing to impose a duty of care as the Human Rights Act has </w:t>
      </w:r>
      <w:r w:rsidR="00FB7C39">
        <w:rPr>
          <w:sz w:val="28"/>
          <w:szCs w:val="28"/>
        </w:rPr>
        <w:t xml:space="preserve">a significant amount of authority within UK law and so the courts are likely to want to uphold its principles as much as they can. </w:t>
      </w:r>
    </w:p>
    <w:p w14:paraId="0592017D" w14:textId="2CAF5804" w:rsidR="00FB7C39" w:rsidRDefault="00FB7C39">
      <w:pPr>
        <w:rPr>
          <w:sz w:val="28"/>
          <w:szCs w:val="28"/>
        </w:rPr>
      </w:pPr>
      <w:r>
        <w:rPr>
          <w:sz w:val="28"/>
          <w:szCs w:val="28"/>
        </w:rPr>
        <w:t xml:space="preserve">Overall, the courts are partially willing to impose a duty of care onto emergency services. Whilst they are highly reluctant to impose a duty of care for their omissions, this is not without its merits and is there to uphold public policy and ensure that the emergency service are able to act as efficiently as possible for wider society rather than specific individuals who bring a claim. This also does not mean that the courts are unwilling to impose a duty of care at all, instead, they are likely to impose a duty of care for the actions of the emergency services as the exacerbation of harm can usually be avoided which means they should be liable for any additional risks they create. </w:t>
      </w:r>
    </w:p>
    <w:p w14:paraId="5DD04F6B" w14:textId="682AEB13" w:rsidR="00804C0F" w:rsidRDefault="00804C0F">
      <w:pPr>
        <w:rPr>
          <w:sz w:val="28"/>
          <w:szCs w:val="28"/>
        </w:rPr>
      </w:pPr>
      <w:r>
        <w:rPr>
          <w:sz w:val="28"/>
          <w:szCs w:val="28"/>
        </w:rPr>
        <w:lastRenderedPageBreak/>
        <w:t>References:</w:t>
      </w:r>
    </w:p>
    <w:p w14:paraId="518918A2" w14:textId="2E48EA83" w:rsidR="00804C0F" w:rsidRDefault="00804C0F">
      <w:pPr>
        <w:rPr>
          <w:sz w:val="28"/>
          <w:szCs w:val="28"/>
        </w:rPr>
      </w:pPr>
      <w:r>
        <w:rPr>
          <w:sz w:val="28"/>
          <w:szCs w:val="28"/>
        </w:rPr>
        <w:t>Horsey, K. &amp; Rackley, E. (2021). Casebook on Tort Law. 16</w:t>
      </w:r>
      <w:r w:rsidRPr="00804C0F">
        <w:rPr>
          <w:sz w:val="28"/>
          <w:szCs w:val="28"/>
          <w:vertAlign w:val="superscript"/>
        </w:rPr>
        <w:t>th</w:t>
      </w:r>
      <w:r>
        <w:rPr>
          <w:sz w:val="28"/>
          <w:szCs w:val="28"/>
        </w:rPr>
        <w:t xml:space="preserve"> edition. Oxford Press, pp 13-14.</w:t>
      </w:r>
    </w:p>
    <w:p w14:paraId="3E596933" w14:textId="2AF635DB" w:rsidR="00804C0F" w:rsidRDefault="00804C0F">
      <w:pPr>
        <w:rPr>
          <w:sz w:val="28"/>
          <w:szCs w:val="28"/>
        </w:rPr>
      </w:pPr>
      <w:r>
        <w:rPr>
          <w:sz w:val="28"/>
          <w:szCs w:val="28"/>
        </w:rPr>
        <w:t xml:space="preserve">Laver, N. (2019). Tort Law. Available at </w:t>
      </w:r>
      <w:hyperlink r:id="rId7" w:history="1">
        <w:r w:rsidRPr="00672FEB">
          <w:rPr>
            <w:rStyle w:val="Hyperlink"/>
            <w:sz w:val="28"/>
            <w:szCs w:val="28"/>
          </w:rPr>
          <w:t>https://www.inbrief.co.uk/claiam-preparations/the-law-of-tort/</w:t>
        </w:r>
      </w:hyperlink>
      <w:r>
        <w:rPr>
          <w:sz w:val="28"/>
          <w:szCs w:val="28"/>
        </w:rPr>
        <w:t xml:space="preserve"> Accessed on 29</w:t>
      </w:r>
      <w:r w:rsidRPr="00804C0F">
        <w:rPr>
          <w:sz w:val="28"/>
          <w:szCs w:val="28"/>
          <w:vertAlign w:val="superscript"/>
        </w:rPr>
        <w:t>th</w:t>
      </w:r>
      <w:r>
        <w:rPr>
          <w:sz w:val="28"/>
          <w:szCs w:val="28"/>
        </w:rPr>
        <w:t xml:space="preserve"> of October 2022. </w:t>
      </w:r>
    </w:p>
    <w:p w14:paraId="1A3D5D56" w14:textId="1A6FB9E9" w:rsidR="00804C0F" w:rsidRDefault="00804C0F">
      <w:pPr>
        <w:rPr>
          <w:sz w:val="28"/>
          <w:szCs w:val="28"/>
        </w:rPr>
      </w:pPr>
      <w:r>
        <w:rPr>
          <w:sz w:val="28"/>
          <w:szCs w:val="28"/>
        </w:rPr>
        <w:t xml:space="preserve">Reuters, T. (2022). </w:t>
      </w:r>
      <w:r w:rsidR="00B27111">
        <w:rPr>
          <w:sz w:val="28"/>
          <w:szCs w:val="28"/>
        </w:rPr>
        <w:t xml:space="preserve">Tort. Available at </w:t>
      </w:r>
      <w:hyperlink r:id="rId8" w:history="1">
        <w:r w:rsidR="00B27111" w:rsidRPr="00672FEB">
          <w:rPr>
            <w:rStyle w:val="Hyperlink"/>
            <w:sz w:val="28"/>
            <w:szCs w:val="28"/>
          </w:rPr>
          <w:t>https://uk.practicallaw.thomsonreuters.com/6-107-7397?transitionType=Default&amp;contextData=(sc.Default)&amp;firstPage=true</w:t>
        </w:r>
      </w:hyperlink>
      <w:r w:rsidR="00B27111">
        <w:rPr>
          <w:sz w:val="28"/>
          <w:szCs w:val="28"/>
        </w:rPr>
        <w:t xml:space="preserve"> Accessed on 28</w:t>
      </w:r>
      <w:r w:rsidR="00B27111" w:rsidRPr="00B27111">
        <w:rPr>
          <w:sz w:val="28"/>
          <w:szCs w:val="28"/>
          <w:vertAlign w:val="superscript"/>
        </w:rPr>
        <w:t>th</w:t>
      </w:r>
      <w:r w:rsidR="00B27111">
        <w:rPr>
          <w:sz w:val="28"/>
          <w:szCs w:val="28"/>
        </w:rPr>
        <w:t xml:space="preserve"> of October 2022. </w:t>
      </w:r>
    </w:p>
    <w:p w14:paraId="4B3BE926" w14:textId="653D6E7A" w:rsidR="00B27111" w:rsidRDefault="00B27111">
      <w:pPr>
        <w:rPr>
          <w:sz w:val="28"/>
          <w:szCs w:val="28"/>
        </w:rPr>
      </w:pPr>
      <w:r>
        <w:rPr>
          <w:sz w:val="28"/>
          <w:szCs w:val="28"/>
        </w:rPr>
        <w:t>Cases:</w:t>
      </w:r>
    </w:p>
    <w:p w14:paraId="00C41CE2" w14:textId="7A6A3EF4" w:rsidR="00B27111" w:rsidRDefault="00B27111">
      <w:pPr>
        <w:rPr>
          <w:sz w:val="28"/>
          <w:szCs w:val="28"/>
        </w:rPr>
      </w:pPr>
      <w:r>
        <w:rPr>
          <w:sz w:val="28"/>
          <w:szCs w:val="28"/>
        </w:rPr>
        <w:t>An informer v Chief Constable (2012) EWCA civ 197</w:t>
      </w:r>
    </w:p>
    <w:p w14:paraId="58FE1D5C" w14:textId="58C59D7F" w:rsidR="00B27111" w:rsidRDefault="00B27111">
      <w:pPr>
        <w:rPr>
          <w:sz w:val="28"/>
          <w:szCs w:val="28"/>
        </w:rPr>
      </w:pPr>
      <w:r>
        <w:rPr>
          <w:sz w:val="28"/>
          <w:szCs w:val="28"/>
        </w:rPr>
        <w:t>Capital and Counties Bank Plc v Hampshire cc (1997) QB 1004</w:t>
      </w:r>
    </w:p>
    <w:p w14:paraId="3037FAA3" w14:textId="6C85DE91" w:rsidR="00B27111" w:rsidRDefault="00B27111">
      <w:pPr>
        <w:rPr>
          <w:sz w:val="28"/>
          <w:szCs w:val="28"/>
        </w:rPr>
      </w:pPr>
      <w:r>
        <w:rPr>
          <w:sz w:val="28"/>
          <w:szCs w:val="28"/>
        </w:rPr>
        <w:t>Caparo v Industries Plc v Dickman (1990) UKHL 2</w:t>
      </w:r>
    </w:p>
    <w:p w14:paraId="66B84D52" w14:textId="48D97BBC" w:rsidR="00B27111" w:rsidRDefault="00B27111">
      <w:pPr>
        <w:rPr>
          <w:sz w:val="28"/>
          <w:szCs w:val="28"/>
        </w:rPr>
      </w:pPr>
      <w:r>
        <w:rPr>
          <w:sz w:val="28"/>
          <w:szCs w:val="28"/>
        </w:rPr>
        <w:t xml:space="preserve">Clifford v Charles </w:t>
      </w:r>
      <w:proofErr w:type="spellStart"/>
      <w:r>
        <w:rPr>
          <w:sz w:val="28"/>
          <w:szCs w:val="28"/>
        </w:rPr>
        <w:t>Challen</w:t>
      </w:r>
      <w:proofErr w:type="spellEnd"/>
      <w:r>
        <w:rPr>
          <w:sz w:val="28"/>
          <w:szCs w:val="28"/>
        </w:rPr>
        <w:t xml:space="preserve"> and son (1951) KB 495 </w:t>
      </w:r>
    </w:p>
    <w:p w14:paraId="5A6CB8BB" w14:textId="186DDE6D" w:rsidR="00B27111" w:rsidRDefault="00B27111">
      <w:pPr>
        <w:rPr>
          <w:sz w:val="28"/>
          <w:szCs w:val="28"/>
        </w:rPr>
      </w:pPr>
      <w:r>
        <w:rPr>
          <w:sz w:val="28"/>
          <w:szCs w:val="28"/>
        </w:rPr>
        <w:t>Donoghue v Stevenson (1932) AC 562</w:t>
      </w:r>
    </w:p>
    <w:p w14:paraId="49FAB076" w14:textId="40C4F998" w:rsidR="00B27111" w:rsidRDefault="00B27111">
      <w:pPr>
        <w:rPr>
          <w:sz w:val="28"/>
          <w:szCs w:val="28"/>
        </w:rPr>
      </w:pPr>
      <w:r>
        <w:rPr>
          <w:sz w:val="28"/>
          <w:szCs w:val="28"/>
        </w:rPr>
        <w:t>Hill v Chief Constable of West Yorkshire (1989) AC 53</w:t>
      </w:r>
    </w:p>
    <w:p w14:paraId="5FA8013A" w14:textId="0E523183" w:rsidR="00B27111" w:rsidRDefault="00B27111">
      <w:pPr>
        <w:rPr>
          <w:sz w:val="28"/>
          <w:szCs w:val="28"/>
        </w:rPr>
      </w:pPr>
      <w:r>
        <w:rPr>
          <w:sz w:val="28"/>
          <w:szCs w:val="28"/>
        </w:rPr>
        <w:t>Kent v Griffiths (2000) QB 36</w:t>
      </w:r>
    </w:p>
    <w:p w14:paraId="02422511" w14:textId="47A23598" w:rsidR="00B27111" w:rsidRDefault="00B27111">
      <w:pPr>
        <w:rPr>
          <w:sz w:val="28"/>
          <w:szCs w:val="28"/>
        </w:rPr>
      </w:pPr>
      <w:r>
        <w:rPr>
          <w:sz w:val="28"/>
          <w:szCs w:val="28"/>
        </w:rPr>
        <w:t>Pape v Cumbria CC (1992) 2 All ER 211</w:t>
      </w:r>
    </w:p>
    <w:p w14:paraId="34EEE9B4" w14:textId="3D9C56B0" w:rsidR="00B27111" w:rsidRDefault="00B27111">
      <w:pPr>
        <w:rPr>
          <w:sz w:val="28"/>
          <w:szCs w:val="28"/>
        </w:rPr>
      </w:pPr>
      <w:r>
        <w:rPr>
          <w:sz w:val="28"/>
          <w:szCs w:val="28"/>
        </w:rPr>
        <w:t>R v Adomako (1994) 3 All ER 79</w:t>
      </w:r>
    </w:p>
    <w:p w14:paraId="31B66EC9" w14:textId="34CED79B" w:rsidR="00B27111" w:rsidRDefault="00B27111">
      <w:pPr>
        <w:rPr>
          <w:sz w:val="28"/>
          <w:szCs w:val="28"/>
        </w:rPr>
      </w:pPr>
      <w:r>
        <w:rPr>
          <w:sz w:val="28"/>
          <w:szCs w:val="28"/>
        </w:rPr>
        <w:t>Rigby v CC Northamptonshire (1985) 2 All ER 986, (1985) WLR 1242</w:t>
      </w:r>
    </w:p>
    <w:p w14:paraId="7E3216F1" w14:textId="46F52B81" w:rsidR="00B27111" w:rsidRDefault="00B27111">
      <w:pPr>
        <w:rPr>
          <w:sz w:val="28"/>
          <w:szCs w:val="28"/>
        </w:rPr>
      </w:pPr>
      <w:r>
        <w:rPr>
          <w:sz w:val="28"/>
          <w:szCs w:val="28"/>
        </w:rPr>
        <w:t xml:space="preserve">Robinson v CC West Yorkshire Police (2018) </w:t>
      </w:r>
      <w:r w:rsidR="00E746D2">
        <w:rPr>
          <w:sz w:val="28"/>
          <w:szCs w:val="28"/>
        </w:rPr>
        <w:t xml:space="preserve">2 WLR 595 Supreme Court </w:t>
      </w:r>
    </w:p>
    <w:p w14:paraId="4692D592" w14:textId="06BD6609" w:rsidR="00E746D2" w:rsidRDefault="00E746D2">
      <w:pPr>
        <w:rPr>
          <w:sz w:val="28"/>
          <w:szCs w:val="28"/>
        </w:rPr>
      </w:pPr>
      <w:r>
        <w:rPr>
          <w:sz w:val="28"/>
          <w:szCs w:val="28"/>
        </w:rPr>
        <w:t xml:space="preserve">Swinney v CC Northumbria (1997) QB 464 </w:t>
      </w:r>
    </w:p>
    <w:p w14:paraId="2B001DE5" w14:textId="3E879DA1" w:rsidR="00E746D2" w:rsidRDefault="00E746D2">
      <w:pPr>
        <w:rPr>
          <w:sz w:val="28"/>
          <w:szCs w:val="28"/>
        </w:rPr>
      </w:pPr>
    </w:p>
    <w:p w14:paraId="73B6EF3E" w14:textId="72F67E1F" w:rsidR="00E746D2" w:rsidRDefault="00E746D2">
      <w:pPr>
        <w:rPr>
          <w:sz w:val="28"/>
          <w:szCs w:val="28"/>
        </w:rPr>
      </w:pPr>
      <w:r>
        <w:rPr>
          <w:sz w:val="28"/>
          <w:szCs w:val="28"/>
        </w:rPr>
        <w:t>Act:</w:t>
      </w:r>
    </w:p>
    <w:p w14:paraId="7551597A" w14:textId="37EFF18E" w:rsidR="00E746D2" w:rsidRDefault="00E746D2">
      <w:pPr>
        <w:rPr>
          <w:sz w:val="28"/>
          <w:szCs w:val="28"/>
        </w:rPr>
      </w:pPr>
      <w:r>
        <w:rPr>
          <w:sz w:val="28"/>
          <w:szCs w:val="28"/>
        </w:rPr>
        <w:t xml:space="preserve">Human Rights Act 1998 s6. </w:t>
      </w:r>
    </w:p>
    <w:p w14:paraId="48808FC3" w14:textId="77777777" w:rsidR="00804C0F" w:rsidRPr="002356F3" w:rsidRDefault="00804C0F">
      <w:pPr>
        <w:rPr>
          <w:sz w:val="28"/>
          <w:szCs w:val="28"/>
        </w:rPr>
      </w:pPr>
    </w:p>
    <w:sectPr w:rsidR="00804C0F" w:rsidRPr="002356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6F3"/>
    <w:rsid w:val="002356F3"/>
    <w:rsid w:val="003314D1"/>
    <w:rsid w:val="003979A8"/>
    <w:rsid w:val="00532141"/>
    <w:rsid w:val="007B1346"/>
    <w:rsid w:val="00804C0F"/>
    <w:rsid w:val="00954A7D"/>
    <w:rsid w:val="009925A3"/>
    <w:rsid w:val="009E3CC6"/>
    <w:rsid w:val="00A47067"/>
    <w:rsid w:val="00B27111"/>
    <w:rsid w:val="00CC2B3E"/>
    <w:rsid w:val="00E746D2"/>
    <w:rsid w:val="00EC0CD3"/>
    <w:rsid w:val="00FB7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A5CDE"/>
  <w15:chartTrackingRefBased/>
  <w15:docId w15:val="{EDE0B5DD-217C-4CD0-B54E-4560076AC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4C0F"/>
    <w:rPr>
      <w:color w:val="0563C1" w:themeColor="hyperlink"/>
      <w:u w:val="single"/>
    </w:rPr>
  </w:style>
  <w:style w:type="character" w:styleId="UnresolvedMention">
    <w:name w:val="Unresolved Mention"/>
    <w:basedOn w:val="DefaultParagraphFont"/>
    <w:uiPriority w:val="99"/>
    <w:semiHidden/>
    <w:unhideWhenUsed/>
    <w:rsid w:val="00804C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practicallaw.thomsonreuters.com/6-107-7397?transitionType=Default&amp;contextData=(sc.Default)&amp;firstPage=true" TargetMode="External"/><Relationship Id="rId3" Type="http://schemas.openxmlformats.org/officeDocument/2006/relationships/customXml" Target="../customXml/item3.xml"/><Relationship Id="rId7" Type="http://schemas.openxmlformats.org/officeDocument/2006/relationships/hyperlink" Target="https://www.inbrief.co.uk/claiam-preparations/the-law-of-tor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8" ma:contentTypeDescription="Create a new document." ma:contentTypeScope="" ma:versionID="61b6f0b0ff82c7c924a98f28775f66f9">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458dbebdbe87ebc850759af510e76d33"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1F397DF-9188-41A7-BC92-44E77C031E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A4908CA-DDE0-4147-9961-392FFA13643E}">
  <ds:schemaRefs>
    <ds:schemaRef ds:uri="http://schemas.microsoft.com/sharepoint/v3/contenttype/forms"/>
  </ds:schemaRefs>
</ds:datastoreItem>
</file>

<file path=customXml/itemProps3.xml><?xml version="1.0" encoding="utf-8"?>
<ds:datastoreItem xmlns:ds="http://schemas.openxmlformats.org/officeDocument/2006/customXml" ds:itemID="{97DD4B7F-3910-4CFE-B27B-FA0915D2230E}">
  <ds:schemaRefs>
    <ds:schemaRef ds:uri="http://www.w3.org/XML/1998/namespace"/>
    <ds:schemaRef ds:uri="http://schemas.microsoft.com/office/2006/documentManagement/types"/>
    <ds:schemaRef ds:uri="http://purl.org/dc/dcmitype/"/>
    <ds:schemaRef ds:uri="be49ff73-cec0-4379-9da8-63ff3cc411bb"/>
    <ds:schemaRef ds:uri="http://schemas.openxmlformats.org/package/2006/metadata/core-properties"/>
    <ds:schemaRef ds:uri="http://schemas.microsoft.com/office/2006/metadata/properties"/>
    <ds:schemaRef ds:uri="http://purl.org/dc/terms/"/>
    <ds:schemaRef ds:uri="http://schemas.microsoft.com/office/infopath/2007/PartnerControls"/>
    <ds:schemaRef ds:uri="90b58af8-24e5-4252-ab67-b2f2985aee88"/>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5</Pages>
  <Words>1823</Words>
  <Characters>10395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dc:creator>
  <cp:keywords/>
  <dc:description/>
  <cp:lastModifiedBy>Christine</cp:lastModifiedBy>
  <cp:revision>1</cp:revision>
  <dcterms:created xsi:type="dcterms:W3CDTF">2022-11-02T22:40:00Z</dcterms:created>
  <dcterms:modified xsi:type="dcterms:W3CDTF">2022-11-03T00:54:00Z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