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C97B3" w14:textId="3A1D87BC" w:rsidR="0079673A" w:rsidRPr="001A1704" w:rsidRDefault="0079673A" w:rsidP="009F3BF3">
      <w:pPr>
        <w:spacing w:line="360" w:lineRule="auto"/>
        <w:jc w:val="center"/>
        <w:rPr>
          <w:rFonts w:asciiTheme="minorBidi" w:hAnsiTheme="minorBidi"/>
          <w:b/>
          <w:bCs/>
          <w:color w:val="156082" w:themeColor="accent1"/>
          <w:sz w:val="40"/>
          <w:szCs w:val="40"/>
        </w:rPr>
      </w:pPr>
      <w:r w:rsidRPr="001A1704">
        <w:rPr>
          <w:rFonts w:asciiTheme="minorBidi" w:hAnsiTheme="minorBidi"/>
          <w:b/>
          <w:bCs/>
          <w:color w:val="156082" w:themeColor="accent1"/>
          <w:sz w:val="40"/>
          <w:szCs w:val="40"/>
        </w:rPr>
        <w:t>Mental Health Conditions Among Adults Aged 65+ Receiving Social Care Services in the United Kingdom</w:t>
      </w:r>
    </w:p>
    <w:p w14:paraId="24B67520" w14:textId="54C1124C" w:rsidR="0079673A" w:rsidRPr="00C172CA" w:rsidRDefault="0079673A" w:rsidP="00C172CA">
      <w:pPr>
        <w:spacing w:line="360" w:lineRule="auto"/>
        <w:jc w:val="center"/>
        <w:rPr>
          <w:rFonts w:asciiTheme="minorBidi" w:hAnsiTheme="minorBidi"/>
          <w:b/>
          <w:bCs/>
          <w:color w:val="156082" w:themeColor="accent1"/>
          <w:sz w:val="40"/>
          <w:szCs w:val="40"/>
        </w:rPr>
      </w:pPr>
      <w:r w:rsidRPr="001A1704">
        <w:rPr>
          <w:rFonts w:asciiTheme="minorBidi" w:hAnsiTheme="minorBidi"/>
          <w:b/>
          <w:bCs/>
          <w:color w:val="156082" w:themeColor="accent1"/>
          <w:sz w:val="40"/>
          <w:szCs w:val="40"/>
        </w:rPr>
        <w:t xml:space="preserve"> A Scoping Review</w:t>
      </w:r>
    </w:p>
    <w:p w14:paraId="5F5E0F48" w14:textId="76393852" w:rsidR="0079673A" w:rsidRPr="009F3BF3" w:rsidRDefault="00C172CA" w:rsidP="009F3BF3">
      <w:pPr>
        <w:spacing w:line="360" w:lineRule="auto"/>
        <w:rPr>
          <w:rFonts w:asciiTheme="minorBidi" w:hAnsiTheme="minorBidi"/>
          <w:b/>
          <w:bCs/>
          <w:sz w:val="22"/>
          <w:szCs w:val="22"/>
        </w:rPr>
      </w:pPr>
      <w:r>
        <w:rPr>
          <w:rFonts w:asciiTheme="minorBidi" w:hAnsiTheme="minorBidi"/>
          <w:b/>
          <w:bCs/>
          <w:noProof/>
          <w:sz w:val="22"/>
          <w:szCs w:val="22"/>
        </w:rPr>
        <w:drawing>
          <wp:inline distT="0" distB="0" distL="0" distR="0" wp14:anchorId="48DCB769" wp14:editId="3A4EA5BE">
            <wp:extent cx="5715000" cy="3810000"/>
            <wp:effectExtent l="0" t="0" r="0" b="0"/>
            <wp:docPr id="6292120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pic:spPr>
                </pic:pic>
              </a:graphicData>
            </a:graphic>
          </wp:inline>
        </w:drawing>
      </w:r>
    </w:p>
    <w:p w14:paraId="7D180A8E" w14:textId="77777777" w:rsidR="0079673A" w:rsidRPr="009F3BF3" w:rsidRDefault="0079673A" w:rsidP="009F3BF3">
      <w:pPr>
        <w:spacing w:line="360" w:lineRule="auto"/>
        <w:rPr>
          <w:rFonts w:asciiTheme="minorBidi" w:hAnsiTheme="minorBidi"/>
          <w:b/>
          <w:bCs/>
          <w:sz w:val="22"/>
          <w:szCs w:val="22"/>
        </w:rPr>
      </w:pPr>
    </w:p>
    <w:p w14:paraId="7C7BA455" w14:textId="2F1A7560" w:rsidR="0079673A" w:rsidRPr="008152A4" w:rsidRDefault="000057DC" w:rsidP="0084644A">
      <w:pPr>
        <w:spacing w:line="360" w:lineRule="auto"/>
        <w:jc w:val="center"/>
        <w:rPr>
          <w:rFonts w:asciiTheme="minorBidi" w:hAnsiTheme="minorBidi"/>
          <w:b/>
          <w:bCs/>
          <w:color w:val="156082" w:themeColor="accent1"/>
          <w:sz w:val="40"/>
          <w:szCs w:val="40"/>
        </w:rPr>
      </w:pPr>
      <w:r w:rsidRPr="008152A4">
        <w:rPr>
          <w:rFonts w:asciiTheme="minorBidi" w:hAnsiTheme="minorBidi"/>
          <w:b/>
          <w:bCs/>
          <w:color w:val="156082" w:themeColor="accent1"/>
          <w:sz w:val="40"/>
          <w:szCs w:val="40"/>
        </w:rPr>
        <w:t>Zakiyyah Ahmed</w:t>
      </w:r>
    </w:p>
    <w:p w14:paraId="5D298B31" w14:textId="77777777" w:rsidR="008152A4" w:rsidRPr="008152A4" w:rsidRDefault="008152A4" w:rsidP="0084644A">
      <w:pPr>
        <w:spacing w:line="360" w:lineRule="auto"/>
        <w:jc w:val="center"/>
        <w:rPr>
          <w:rFonts w:asciiTheme="minorBidi" w:hAnsiTheme="minorBidi"/>
          <w:b/>
          <w:bCs/>
          <w:color w:val="156082" w:themeColor="accent1"/>
          <w:sz w:val="40"/>
          <w:szCs w:val="40"/>
        </w:rPr>
      </w:pPr>
    </w:p>
    <w:p w14:paraId="01E3390C" w14:textId="56D84F89" w:rsidR="0084644A" w:rsidRPr="00DC25EA" w:rsidRDefault="007978C9" w:rsidP="0084644A">
      <w:pPr>
        <w:spacing w:line="360" w:lineRule="auto"/>
        <w:rPr>
          <w:rFonts w:asciiTheme="minorBidi" w:hAnsiTheme="minorBidi"/>
          <w:b/>
          <w:bCs/>
          <w:color w:val="156082" w:themeColor="accent1"/>
          <w:sz w:val="32"/>
          <w:szCs w:val="32"/>
        </w:rPr>
      </w:pPr>
      <w:r w:rsidRPr="00DC25EA">
        <w:rPr>
          <w:rFonts w:asciiTheme="minorBidi" w:hAnsiTheme="minorBidi"/>
          <w:b/>
          <w:bCs/>
          <w:color w:val="156082" w:themeColor="accent1"/>
          <w:sz w:val="32"/>
          <w:szCs w:val="32"/>
        </w:rPr>
        <w:t>S</w:t>
      </w:r>
      <w:r w:rsidR="0084644A" w:rsidRPr="00DC25EA">
        <w:rPr>
          <w:rFonts w:asciiTheme="minorBidi" w:hAnsiTheme="minorBidi"/>
          <w:b/>
          <w:bCs/>
          <w:color w:val="156082" w:themeColor="accent1"/>
          <w:sz w:val="32"/>
          <w:szCs w:val="32"/>
        </w:rPr>
        <w:t>tudent</w:t>
      </w:r>
      <w:r w:rsidRPr="00DC25EA">
        <w:rPr>
          <w:rFonts w:asciiTheme="minorBidi" w:hAnsiTheme="minorBidi"/>
          <w:b/>
          <w:bCs/>
          <w:color w:val="156082" w:themeColor="accent1"/>
          <w:sz w:val="32"/>
          <w:szCs w:val="32"/>
        </w:rPr>
        <w:t xml:space="preserve"> name: Nashwa Elbouhy</w:t>
      </w:r>
    </w:p>
    <w:p w14:paraId="2332ABE6" w14:textId="54A27C80" w:rsidR="0079673A" w:rsidRPr="00DC25EA" w:rsidRDefault="008152A4" w:rsidP="009F3BF3">
      <w:pPr>
        <w:spacing w:line="360" w:lineRule="auto"/>
        <w:rPr>
          <w:rFonts w:asciiTheme="minorBidi" w:hAnsiTheme="minorBidi"/>
          <w:b/>
          <w:bCs/>
          <w:color w:val="156082" w:themeColor="accent1"/>
          <w:sz w:val="32"/>
          <w:szCs w:val="32"/>
        </w:rPr>
      </w:pPr>
      <w:r w:rsidRPr="00DC25EA">
        <w:rPr>
          <w:rFonts w:asciiTheme="minorBidi" w:hAnsiTheme="minorBidi"/>
          <w:b/>
          <w:bCs/>
          <w:color w:val="156082" w:themeColor="accent1"/>
          <w:sz w:val="32"/>
          <w:szCs w:val="32"/>
        </w:rPr>
        <w:t>Student number:2408300</w:t>
      </w:r>
    </w:p>
    <w:p w14:paraId="1253E611" w14:textId="77777777" w:rsidR="0079673A" w:rsidRPr="009F3BF3" w:rsidRDefault="0079673A" w:rsidP="009F3BF3">
      <w:pPr>
        <w:spacing w:line="360" w:lineRule="auto"/>
        <w:rPr>
          <w:rFonts w:asciiTheme="minorBidi" w:hAnsiTheme="minorBidi"/>
          <w:b/>
          <w:bCs/>
          <w:sz w:val="22"/>
          <w:szCs w:val="22"/>
        </w:rPr>
      </w:pPr>
    </w:p>
    <w:p w14:paraId="33CB1781" w14:textId="77777777" w:rsidR="0079673A" w:rsidRPr="009F3BF3" w:rsidRDefault="0079673A" w:rsidP="009F3BF3">
      <w:pPr>
        <w:spacing w:line="360" w:lineRule="auto"/>
        <w:rPr>
          <w:rFonts w:asciiTheme="minorBidi" w:hAnsiTheme="minorBidi"/>
          <w:b/>
          <w:bCs/>
          <w:sz w:val="22"/>
          <w:szCs w:val="22"/>
        </w:rPr>
      </w:pPr>
    </w:p>
    <w:p w14:paraId="7EDAB5C2" w14:textId="5449F1B9" w:rsidR="0079673A" w:rsidRPr="009F3BF3" w:rsidRDefault="0079673A" w:rsidP="009F3BF3">
      <w:pPr>
        <w:spacing w:line="360" w:lineRule="auto"/>
        <w:jc w:val="center"/>
        <w:rPr>
          <w:rFonts w:asciiTheme="minorBidi" w:hAnsiTheme="minorBidi"/>
          <w:b/>
          <w:bCs/>
          <w:sz w:val="22"/>
          <w:szCs w:val="22"/>
        </w:rPr>
      </w:pPr>
      <w:r w:rsidRPr="009F3BF3">
        <w:rPr>
          <w:rFonts w:asciiTheme="minorBidi" w:hAnsiTheme="minorBidi"/>
          <w:b/>
          <w:bCs/>
          <w:sz w:val="22"/>
          <w:szCs w:val="22"/>
        </w:rPr>
        <w:lastRenderedPageBreak/>
        <w:t>Component 2: Research Report</w:t>
      </w:r>
    </w:p>
    <w:p w14:paraId="277BBC9A" w14:textId="50618AED"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Introduction</w:t>
      </w:r>
    </w:p>
    <w:p w14:paraId="50FF33CA"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Loneliness and social isolation among older adults aged 65 and over represent a critical, yet persistently underestimated, dimension of public health and social care in the United Kingdom. Within the context of community-based social care services—such as domiciliary care, reablement, and day services—these experiences frequently co-occur alongside complex physical health needs, cognitive decline, and bereavement. Despite their high prevalence, the psychological impacts of isolation remain markedly under-diagnosed and under-treated. The intersection of ageing, community care, and mental health raises profound questions about how the UK welfare system supports holistic wellbeing among its most vulnerable citizens living independently. </w:t>
      </w:r>
    </w:p>
    <w:p w14:paraId="6972B009"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While physical care needs frequently act as the primary gateway to receiving community services, social exclusion and loneliness are causally intertwined with subsequent physical decline and clinical mental health conditions, particularly depression and anxiety. Chronic isolation in older adults is associated with increased mortality, accelerated cognitive decline, higher rates of hospitalisation, and a severely reduced quality of life. Despite clear national evidence highlighting these risks, there remains a poor rate of emotional need identification and inadequate integration between mental health sectors and community-based social care services. This scoping review seeks to map and synthesise the available evidence on the mental health impacts of loneliness and social isolation among older adults receiving community-based social care in the UK, aiming to bridge existing knowledge gaps to inform future policy and practice. </w:t>
      </w:r>
    </w:p>
    <w:p w14:paraId="156C7EA0" w14:textId="77777777" w:rsidR="007D63B7"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 xml:space="preserve"> </w:t>
      </w:r>
    </w:p>
    <w:p w14:paraId="5A9B1B9A" w14:textId="77777777" w:rsidR="007D63B7" w:rsidRDefault="007D63B7" w:rsidP="009F3BF3">
      <w:pPr>
        <w:spacing w:line="360" w:lineRule="auto"/>
        <w:rPr>
          <w:rFonts w:asciiTheme="minorBidi" w:hAnsiTheme="minorBidi"/>
          <w:b/>
          <w:bCs/>
          <w:sz w:val="22"/>
          <w:szCs w:val="22"/>
        </w:rPr>
      </w:pPr>
    </w:p>
    <w:p w14:paraId="19B56A54" w14:textId="77777777" w:rsidR="007D63B7" w:rsidRDefault="007D63B7" w:rsidP="009F3BF3">
      <w:pPr>
        <w:spacing w:line="360" w:lineRule="auto"/>
        <w:rPr>
          <w:rFonts w:asciiTheme="minorBidi" w:hAnsiTheme="minorBidi"/>
          <w:b/>
          <w:bCs/>
          <w:sz w:val="22"/>
          <w:szCs w:val="22"/>
        </w:rPr>
      </w:pPr>
    </w:p>
    <w:p w14:paraId="6FD8396F" w14:textId="0B7EC76D" w:rsidR="0079673A"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Definitions</w:t>
      </w:r>
    </w:p>
    <w:p w14:paraId="22F830A5" w14:textId="77777777" w:rsidR="007D63B7" w:rsidRDefault="007D63B7" w:rsidP="009F3BF3">
      <w:pPr>
        <w:spacing w:line="360" w:lineRule="auto"/>
        <w:rPr>
          <w:rFonts w:asciiTheme="minorBidi" w:hAnsiTheme="minorBidi"/>
          <w:b/>
          <w:bCs/>
          <w:sz w:val="22"/>
          <w:szCs w:val="22"/>
        </w:rPr>
      </w:pPr>
    </w:p>
    <w:p w14:paraId="084AAB5D" w14:textId="77777777" w:rsidR="007D63B7" w:rsidRDefault="007D63B7" w:rsidP="009F3BF3">
      <w:pPr>
        <w:spacing w:line="360" w:lineRule="auto"/>
        <w:rPr>
          <w:rFonts w:asciiTheme="minorBidi" w:hAnsiTheme="minorBidi"/>
          <w:b/>
          <w:bCs/>
          <w:sz w:val="22"/>
          <w:szCs w:val="22"/>
        </w:rPr>
      </w:pPr>
    </w:p>
    <w:p w14:paraId="1F42BC9C" w14:textId="77777777" w:rsidR="007D63B7" w:rsidRDefault="007D63B7" w:rsidP="009F3BF3">
      <w:pPr>
        <w:spacing w:line="360" w:lineRule="auto"/>
        <w:rPr>
          <w:rFonts w:asciiTheme="minorBidi" w:hAnsiTheme="minorBidi"/>
          <w:b/>
          <w:bCs/>
          <w:sz w:val="22"/>
          <w:szCs w:val="22"/>
        </w:rPr>
      </w:pPr>
    </w:p>
    <w:p w14:paraId="69066491" w14:textId="77777777" w:rsidR="007D63B7" w:rsidRDefault="007D63B7" w:rsidP="009F3BF3">
      <w:pPr>
        <w:spacing w:line="360" w:lineRule="auto"/>
        <w:rPr>
          <w:rFonts w:asciiTheme="minorBidi" w:hAnsiTheme="minorBidi"/>
          <w:b/>
          <w:bCs/>
          <w:sz w:val="22"/>
          <w:szCs w:val="22"/>
        </w:rPr>
      </w:pPr>
    </w:p>
    <w:p w14:paraId="0723DBE3" w14:textId="5E4A720E" w:rsidR="0018152D" w:rsidRPr="009F3BF3" w:rsidRDefault="0018152D" w:rsidP="007D63B7">
      <w:pPr>
        <w:spacing w:line="360" w:lineRule="auto"/>
        <w:rPr>
          <w:rFonts w:asciiTheme="minorBidi" w:hAnsiTheme="minorBidi"/>
          <w:b/>
          <w:bCs/>
          <w:sz w:val="22"/>
          <w:szCs w:val="22"/>
        </w:rPr>
      </w:pPr>
      <w:r>
        <w:rPr>
          <w:rFonts w:asciiTheme="minorBidi" w:hAnsiTheme="minorBidi"/>
          <w:b/>
          <w:bCs/>
          <w:noProof/>
          <w:sz w:val="22"/>
          <w:szCs w:val="22"/>
        </w:rPr>
        <w:lastRenderedPageBreak/>
        <w:drawing>
          <wp:inline distT="0" distB="0" distL="0" distR="0" wp14:anchorId="3AD63B34" wp14:editId="07BC6BEA">
            <wp:extent cx="6210300" cy="4453672"/>
            <wp:effectExtent l="0" t="0" r="0" b="4445"/>
            <wp:docPr id="467832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23409" cy="4463073"/>
                    </a:xfrm>
                    <a:prstGeom prst="rect">
                      <a:avLst/>
                    </a:prstGeom>
                    <a:noFill/>
                  </pic:spPr>
                </pic:pic>
              </a:graphicData>
            </a:graphic>
          </wp:inline>
        </w:drawing>
      </w:r>
    </w:p>
    <w:p w14:paraId="644FACCD" w14:textId="77777777" w:rsidR="007D63B7" w:rsidRDefault="007D63B7" w:rsidP="009F3BF3">
      <w:pPr>
        <w:spacing w:line="360" w:lineRule="auto"/>
        <w:rPr>
          <w:rFonts w:asciiTheme="minorBidi" w:hAnsiTheme="minorBidi"/>
          <w:b/>
          <w:bCs/>
          <w:sz w:val="22"/>
          <w:szCs w:val="22"/>
        </w:rPr>
      </w:pPr>
    </w:p>
    <w:p w14:paraId="5E1F56D2" w14:textId="1FE35D95" w:rsidR="007D63B7" w:rsidRDefault="007D63B7" w:rsidP="007D63B7">
      <w:pPr>
        <w:spacing w:line="360" w:lineRule="auto"/>
        <w:rPr>
          <w:rFonts w:asciiTheme="minorBidi" w:hAnsiTheme="minorBidi"/>
          <w:b/>
          <w:bCs/>
          <w:sz w:val="22"/>
          <w:szCs w:val="22"/>
        </w:rPr>
      </w:pPr>
      <w:r w:rsidRPr="007D63B7">
        <w:rPr>
          <w:rFonts w:asciiTheme="minorBidi" w:hAnsiTheme="minorBidi"/>
          <w:b/>
          <w:bCs/>
          <w:sz w:val="22"/>
          <w:szCs w:val="22"/>
        </w:rPr>
        <w:t xml:space="preserve">Figure 1: </w:t>
      </w:r>
      <w:r w:rsidRPr="007D63B7">
        <w:rPr>
          <w:rFonts w:asciiTheme="minorBidi" w:hAnsiTheme="minorBidi"/>
          <w:b/>
          <w:bCs/>
          <w:i/>
          <w:iCs/>
          <w:sz w:val="22"/>
          <w:szCs w:val="22"/>
        </w:rPr>
        <w:t xml:space="preserve">Demographic trend data tracking the expansion of the population aged 65 and over in Great Britain </w:t>
      </w:r>
    </w:p>
    <w:p w14:paraId="5520544E" w14:textId="5FA528E9"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Loneliness and Social Isolation</w:t>
      </w:r>
    </w:p>
    <w:p w14:paraId="544F0D46"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While frequently conflated, loneliness and social isolation are distinct concepts. Social isolation is an objective state defined by a quantifiable lack of social contacts, roles, and community ties. Conversely, loneliness is a subjective, distressing emotional state arising from a perceived mismatch between an individual’s desired and actual social relationships. In older adults, both states serve as primary risk factors for clinical mood disorders, such as depression and anxiety. </w:t>
      </w:r>
    </w:p>
    <w:p w14:paraId="77BD2791" w14:textId="1209B4D7"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Mental Health Impacts (Depression and Anxiety)</w:t>
      </w:r>
    </w:p>
    <w:p w14:paraId="2EA3F085"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Depression in older adults is a clinical mood disorder characterised by persistent low mood, loss of pleasure, fatigue, and functional impairment, often presenting atypically through somatic complaints or cognitive difficulties in non-specialist settings. Anxiety disorders, particularly generalised anxiety disorder (GAD), manifest through excessive worry, physical </w:t>
      </w:r>
      <w:r w:rsidRPr="009F3BF3">
        <w:rPr>
          <w:rFonts w:asciiTheme="minorBidi" w:hAnsiTheme="minorBidi"/>
          <w:sz w:val="22"/>
          <w:szCs w:val="22"/>
        </w:rPr>
        <w:lastRenderedPageBreak/>
        <w:t xml:space="preserve">symptoms (e.g., palpitations), and avoidance behaviours. Both conditions are frequently triggered or exacerbated by prolonged experiences of unaddressed loneliness. </w:t>
      </w:r>
    </w:p>
    <w:p w14:paraId="624EE81E" w14:textId="196B5248"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Community-Based Social Care Services</w:t>
      </w:r>
    </w:p>
    <w:p w14:paraId="082BC3E2"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For the purposes of this review, community-based social care refers to personal care, practical support, and preventive services provided to individuals living in their own homes or within community settings (e.g., domiciliary care, personal assistants, day centres, and reablement). This strictly excludes long-term 24-hour institutional care, such as residential or nursing homes. </w:t>
      </w:r>
    </w:p>
    <w:p w14:paraId="120667AE" w14:textId="45405425"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Older Adults</w:t>
      </w:r>
    </w:p>
    <w:p w14:paraId="1AC448FE"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"Older adults" refers to individuals aged 65 years and over, matching standard UK policy frameworks. This review acknowledges that the experiences of individuals in their late sixties may differ substantially from the "oldest old" (aged 85+), who often face a higher cumulative burden of frailty, multi-morbidity, and severe isolation. </w:t>
      </w:r>
    </w:p>
    <w:p w14:paraId="7730F663" w14:textId="35FC78D0"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 xml:space="preserve"> Rationale</w:t>
      </w:r>
    </w:p>
    <w:p w14:paraId="2C69240F"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The rationale for this scoping review is grounded in the high epidemiological significance of late-life isolation and the persistent failure of current service frameworks to address it. Loneliness affects an estimated 2.2 million older adults across the UK, with those relying on formal social care systems experiencing an elevated risk of emotional distress. While substantial research exists regarding mental health in institutional care settings, the evidence base evaluating how loneliness drives mental health deterioration specifically within </w:t>
      </w:r>
      <w:r w:rsidRPr="009F3BF3">
        <w:rPr>
          <w:rFonts w:asciiTheme="minorBidi" w:hAnsiTheme="minorBidi"/>
          <w:i/>
          <w:iCs/>
          <w:sz w:val="22"/>
          <w:szCs w:val="22"/>
        </w:rPr>
        <w:t>community-based</w:t>
      </w:r>
      <w:r w:rsidRPr="009F3BF3">
        <w:rPr>
          <w:rFonts w:asciiTheme="minorBidi" w:hAnsiTheme="minorBidi"/>
          <w:sz w:val="22"/>
          <w:szCs w:val="22"/>
        </w:rPr>
        <w:t xml:space="preserve"> social care remains underdeveloped. </w:t>
      </w:r>
    </w:p>
    <w:p w14:paraId="58992319"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Choosing community-based social care as the explicit setting for this review is vital because it differs fundamentally from residential or hospital care:</w:t>
      </w:r>
    </w:p>
    <w:p w14:paraId="05E45326" w14:textId="77777777" w:rsidR="0079673A" w:rsidRPr="009F3BF3" w:rsidRDefault="0079673A" w:rsidP="009F3BF3">
      <w:pPr>
        <w:numPr>
          <w:ilvl w:val="0"/>
          <w:numId w:val="1"/>
        </w:numPr>
        <w:spacing w:line="360" w:lineRule="auto"/>
        <w:rPr>
          <w:rFonts w:asciiTheme="minorBidi" w:hAnsiTheme="minorBidi"/>
          <w:sz w:val="22"/>
          <w:szCs w:val="22"/>
        </w:rPr>
      </w:pPr>
      <w:r w:rsidRPr="009F3BF3">
        <w:rPr>
          <w:rFonts w:asciiTheme="minorBidi" w:hAnsiTheme="minorBidi"/>
          <w:b/>
          <w:bCs/>
          <w:sz w:val="22"/>
          <w:szCs w:val="22"/>
        </w:rPr>
        <w:t>Operational Environment:</w:t>
      </w:r>
      <w:r w:rsidRPr="009F3BF3">
        <w:rPr>
          <w:rFonts w:asciiTheme="minorBidi" w:hAnsiTheme="minorBidi"/>
          <w:sz w:val="22"/>
          <w:szCs w:val="22"/>
        </w:rPr>
        <w:t xml:space="preserve"> In residential or hospital care, individuals reside in 24-hour communal environments with continuous professional monitoring and built-in opportunities for basic human interaction. </w:t>
      </w:r>
    </w:p>
    <w:p w14:paraId="23567CD9" w14:textId="77777777" w:rsidR="0079673A" w:rsidRPr="009F3BF3" w:rsidRDefault="0079673A" w:rsidP="009F3BF3">
      <w:pPr>
        <w:numPr>
          <w:ilvl w:val="0"/>
          <w:numId w:val="1"/>
        </w:numPr>
        <w:spacing w:line="360" w:lineRule="auto"/>
        <w:rPr>
          <w:rFonts w:asciiTheme="minorBidi" w:hAnsiTheme="minorBidi"/>
          <w:sz w:val="22"/>
          <w:szCs w:val="22"/>
        </w:rPr>
      </w:pPr>
      <w:r w:rsidRPr="009F3BF3">
        <w:rPr>
          <w:rFonts w:asciiTheme="minorBidi" w:hAnsiTheme="minorBidi"/>
          <w:b/>
          <w:bCs/>
          <w:sz w:val="22"/>
          <w:szCs w:val="22"/>
        </w:rPr>
        <w:t>The Isolation Paradox:</w:t>
      </w:r>
      <w:r w:rsidRPr="009F3BF3">
        <w:rPr>
          <w:rFonts w:asciiTheme="minorBidi" w:hAnsiTheme="minorBidi"/>
          <w:sz w:val="22"/>
          <w:szCs w:val="22"/>
        </w:rPr>
        <w:t xml:space="preserve"> Older adults receiving community-based care continue to live independently in private dwellings. Consequently, they face "the isolation paradox"—they may receive brief, task-oriented domiciliary care visits to manage physical frailties, yet spend the remaining 23 hours of the day entirely alone. </w:t>
      </w:r>
    </w:p>
    <w:p w14:paraId="48005278" w14:textId="34AC3273" w:rsidR="0079673A" w:rsidRPr="009F3BF3" w:rsidRDefault="0079673A" w:rsidP="009F3BF3">
      <w:pPr>
        <w:numPr>
          <w:ilvl w:val="0"/>
          <w:numId w:val="1"/>
        </w:numPr>
        <w:spacing w:line="360" w:lineRule="auto"/>
        <w:rPr>
          <w:rFonts w:asciiTheme="minorBidi" w:hAnsiTheme="minorBidi"/>
          <w:sz w:val="22"/>
          <w:szCs w:val="22"/>
        </w:rPr>
      </w:pPr>
      <w:r w:rsidRPr="009F3BF3">
        <w:rPr>
          <w:rFonts w:asciiTheme="minorBidi" w:hAnsiTheme="minorBidi"/>
          <w:b/>
          <w:bCs/>
          <w:sz w:val="22"/>
          <w:szCs w:val="22"/>
        </w:rPr>
        <w:t>Workforce Positioning:</w:t>
      </w:r>
      <w:r w:rsidRPr="009F3BF3">
        <w:rPr>
          <w:rFonts w:asciiTheme="minorBidi" w:hAnsiTheme="minorBidi"/>
          <w:sz w:val="22"/>
          <w:szCs w:val="22"/>
        </w:rPr>
        <w:t xml:space="preserve"> The community care workforce—primarily comprised of non-clinical, frontline home-care staff—is uniquely positioned to observe early shifts </w:t>
      </w:r>
      <w:r w:rsidRPr="009F3BF3">
        <w:rPr>
          <w:rFonts w:asciiTheme="minorBidi" w:hAnsiTheme="minorBidi"/>
          <w:sz w:val="22"/>
          <w:szCs w:val="22"/>
        </w:rPr>
        <w:lastRenderedPageBreak/>
        <w:t xml:space="preserve">in mood, loneliness, and </w:t>
      </w:r>
      <w:r w:rsidR="004C03AC" w:rsidRPr="009F3BF3">
        <w:rPr>
          <w:rFonts w:asciiTheme="minorBidi" w:hAnsiTheme="minorBidi"/>
          <w:sz w:val="22"/>
          <w:szCs w:val="22"/>
        </w:rPr>
        <w:t>behaviour</w:t>
      </w:r>
      <w:r w:rsidRPr="009F3BF3">
        <w:rPr>
          <w:rFonts w:asciiTheme="minorBidi" w:hAnsiTheme="minorBidi"/>
          <w:sz w:val="22"/>
          <w:szCs w:val="22"/>
        </w:rPr>
        <w:t xml:space="preserve">. However, these practitioners lack consistent training to identify or escalate psychological distress, turning these independent homes into hidden environments of unmet mental health need. </w:t>
      </w:r>
    </w:p>
    <w:p w14:paraId="4F68A3EE" w14:textId="31B383A1"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Review Question and Objectives</w:t>
      </w:r>
    </w:p>
    <w:p w14:paraId="7C65AF3C" w14:textId="4ECD7694"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Review Question</w:t>
      </w:r>
    </w:p>
    <w:p w14:paraId="64007F77"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What evidence exists regarding the impact of loneliness and social isolation on the mental health of older adults receiving community-based social care in the United Kingdom, and how effectively are these needs identified and addressed in current practice? </w:t>
      </w:r>
    </w:p>
    <w:p w14:paraId="0226DD03" w14:textId="3B4AE35B"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Objectives</w:t>
      </w:r>
    </w:p>
    <w:p w14:paraId="27F97B55" w14:textId="77777777" w:rsidR="0079673A" w:rsidRPr="009F3BF3" w:rsidRDefault="0079673A" w:rsidP="009F3BF3">
      <w:pPr>
        <w:numPr>
          <w:ilvl w:val="0"/>
          <w:numId w:val="2"/>
        </w:numPr>
        <w:spacing w:line="360" w:lineRule="auto"/>
        <w:rPr>
          <w:rFonts w:asciiTheme="minorBidi" w:hAnsiTheme="minorBidi"/>
          <w:sz w:val="22"/>
          <w:szCs w:val="22"/>
        </w:rPr>
      </w:pPr>
      <w:r w:rsidRPr="009F3BF3">
        <w:rPr>
          <w:rFonts w:asciiTheme="minorBidi" w:hAnsiTheme="minorBidi"/>
          <w:sz w:val="22"/>
          <w:szCs w:val="22"/>
        </w:rPr>
        <w:t xml:space="preserve">To map the prevalence and risk factors of loneliness and isolation among older adults within UK community-based social care settings. </w:t>
      </w:r>
    </w:p>
    <w:p w14:paraId="28FD2B0C" w14:textId="77777777" w:rsidR="0079673A" w:rsidRPr="009F3BF3" w:rsidRDefault="0079673A" w:rsidP="009F3BF3">
      <w:pPr>
        <w:numPr>
          <w:ilvl w:val="0"/>
          <w:numId w:val="2"/>
        </w:numPr>
        <w:spacing w:line="360" w:lineRule="auto"/>
        <w:rPr>
          <w:rFonts w:asciiTheme="minorBidi" w:hAnsiTheme="minorBidi"/>
          <w:sz w:val="22"/>
          <w:szCs w:val="22"/>
        </w:rPr>
      </w:pPr>
      <w:r w:rsidRPr="009F3BF3">
        <w:rPr>
          <w:rFonts w:asciiTheme="minorBidi" w:hAnsiTheme="minorBidi"/>
          <w:sz w:val="22"/>
          <w:szCs w:val="22"/>
        </w:rPr>
        <w:t xml:space="preserve">To evaluate how the mental health consequences of isolation are identified and assessed by frontline community practitioners. </w:t>
      </w:r>
    </w:p>
    <w:p w14:paraId="13693A90" w14:textId="77777777" w:rsidR="0079673A" w:rsidRPr="009F3BF3" w:rsidRDefault="0079673A" w:rsidP="009F3BF3">
      <w:pPr>
        <w:numPr>
          <w:ilvl w:val="0"/>
          <w:numId w:val="2"/>
        </w:numPr>
        <w:spacing w:line="360" w:lineRule="auto"/>
        <w:rPr>
          <w:rFonts w:asciiTheme="minorBidi" w:hAnsiTheme="minorBidi"/>
          <w:sz w:val="22"/>
          <w:szCs w:val="22"/>
        </w:rPr>
      </w:pPr>
      <w:r w:rsidRPr="009F3BF3">
        <w:rPr>
          <w:rFonts w:asciiTheme="minorBidi" w:hAnsiTheme="minorBidi"/>
          <w:sz w:val="22"/>
          <w:szCs w:val="22"/>
        </w:rPr>
        <w:t xml:space="preserve">To examine relevant UK policy and legislative frameworks governing emotional wellbeing and preventative care in the community. </w:t>
      </w:r>
    </w:p>
    <w:p w14:paraId="46F85990" w14:textId="77777777" w:rsidR="0079673A" w:rsidRPr="009F3BF3" w:rsidRDefault="0079673A" w:rsidP="009F3BF3">
      <w:pPr>
        <w:numPr>
          <w:ilvl w:val="0"/>
          <w:numId w:val="2"/>
        </w:numPr>
        <w:spacing w:line="360" w:lineRule="auto"/>
        <w:rPr>
          <w:rFonts w:asciiTheme="minorBidi" w:hAnsiTheme="minorBidi"/>
          <w:sz w:val="22"/>
          <w:szCs w:val="22"/>
        </w:rPr>
      </w:pPr>
      <w:r w:rsidRPr="009F3BF3">
        <w:rPr>
          <w:rFonts w:asciiTheme="minorBidi" w:hAnsiTheme="minorBidi"/>
          <w:sz w:val="22"/>
          <w:szCs w:val="22"/>
        </w:rPr>
        <w:t xml:space="preserve">To critically appraise selected peer-reviewed studies addressing the intersection of isolation, mental health, and community care. </w:t>
      </w:r>
    </w:p>
    <w:p w14:paraId="4090CC71" w14:textId="77777777" w:rsidR="0079673A" w:rsidRPr="009F3BF3" w:rsidRDefault="0079673A" w:rsidP="009F3BF3">
      <w:pPr>
        <w:numPr>
          <w:ilvl w:val="0"/>
          <w:numId w:val="2"/>
        </w:numPr>
        <w:spacing w:line="360" w:lineRule="auto"/>
        <w:rPr>
          <w:rFonts w:asciiTheme="minorBidi" w:hAnsiTheme="minorBidi"/>
          <w:sz w:val="22"/>
          <w:szCs w:val="22"/>
        </w:rPr>
      </w:pPr>
      <w:r w:rsidRPr="009F3BF3">
        <w:rPr>
          <w:rFonts w:asciiTheme="minorBidi" w:hAnsiTheme="minorBidi"/>
          <w:sz w:val="22"/>
          <w:szCs w:val="22"/>
        </w:rPr>
        <w:t xml:space="preserve">To generate practice-relevant recommendations to improve integrated, preventative support for older adults. </w:t>
      </w:r>
    </w:p>
    <w:p w14:paraId="0DFFF0CF" w14:textId="430100DC"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Background</w:t>
      </w:r>
    </w:p>
    <w:p w14:paraId="2EC5DBF0" w14:textId="188AD9DB"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Policies</w:t>
      </w:r>
    </w:p>
    <w:p w14:paraId="77935C80"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Several key policies shape how older adults' mental health and isolation are addressed. The </w:t>
      </w:r>
      <w:r w:rsidRPr="009F3BF3">
        <w:rPr>
          <w:rFonts w:asciiTheme="minorBidi" w:hAnsiTheme="minorBidi"/>
          <w:i/>
          <w:iCs/>
          <w:sz w:val="22"/>
          <w:szCs w:val="22"/>
        </w:rPr>
        <w:t>NHS Long Term Plan</w:t>
      </w:r>
      <w:r w:rsidRPr="009F3BF3">
        <w:rPr>
          <w:rFonts w:asciiTheme="minorBidi" w:hAnsiTheme="minorBidi"/>
          <w:sz w:val="22"/>
          <w:szCs w:val="22"/>
        </w:rPr>
        <w:t xml:space="preserve"> (2019) commits to improving late-life mental health services and health-social care integration. The </w:t>
      </w:r>
      <w:r w:rsidRPr="009F3BF3">
        <w:rPr>
          <w:rFonts w:asciiTheme="minorBidi" w:hAnsiTheme="minorBidi"/>
          <w:i/>
          <w:iCs/>
          <w:sz w:val="22"/>
          <w:szCs w:val="22"/>
        </w:rPr>
        <w:t>No Health Without Mental Health</w:t>
      </w:r>
      <w:r w:rsidRPr="009F3BF3">
        <w:rPr>
          <w:rFonts w:asciiTheme="minorBidi" w:hAnsiTheme="minorBidi"/>
          <w:sz w:val="22"/>
          <w:szCs w:val="22"/>
        </w:rPr>
        <w:t xml:space="preserve"> strategy (2011) established a cross-government focus on psychological outcomes, though it faced criticism for its limited emphasis on older demographics. The Adult Social Care White Paper, </w:t>
      </w:r>
      <w:r w:rsidRPr="009F3BF3">
        <w:rPr>
          <w:rFonts w:asciiTheme="minorBidi" w:hAnsiTheme="minorBidi"/>
          <w:i/>
          <w:iCs/>
          <w:sz w:val="22"/>
          <w:szCs w:val="22"/>
        </w:rPr>
        <w:t>People at the Heart of Care</w:t>
      </w:r>
      <w:r w:rsidRPr="009F3BF3">
        <w:rPr>
          <w:rFonts w:asciiTheme="minorBidi" w:hAnsiTheme="minorBidi"/>
          <w:sz w:val="22"/>
          <w:szCs w:val="22"/>
        </w:rPr>
        <w:t xml:space="preserve"> (2021), emphasizes personalisation and holistic wellbeing, but has been critiqued for neglecting mental health training within the social care workforce. Additionally, the </w:t>
      </w:r>
      <w:r w:rsidRPr="009F3BF3">
        <w:rPr>
          <w:rFonts w:asciiTheme="minorBidi" w:hAnsiTheme="minorBidi"/>
          <w:i/>
          <w:iCs/>
          <w:sz w:val="22"/>
          <w:szCs w:val="22"/>
        </w:rPr>
        <w:t>National Dementia Strategy</w:t>
      </w:r>
      <w:r w:rsidRPr="009F3BF3">
        <w:rPr>
          <w:rFonts w:asciiTheme="minorBidi" w:hAnsiTheme="minorBidi"/>
          <w:sz w:val="22"/>
          <w:szCs w:val="22"/>
        </w:rPr>
        <w:t xml:space="preserve"> (2009) established the principle that emotional wellbeing must be central to social care assessments, while the </w:t>
      </w:r>
      <w:r w:rsidRPr="009F3BF3">
        <w:rPr>
          <w:rFonts w:asciiTheme="minorBidi" w:hAnsiTheme="minorBidi"/>
          <w:i/>
          <w:iCs/>
          <w:sz w:val="22"/>
          <w:szCs w:val="22"/>
        </w:rPr>
        <w:t>Older People’s Mental Health Task and Finish Group Report</w:t>
      </w:r>
      <w:r w:rsidRPr="009F3BF3">
        <w:rPr>
          <w:rFonts w:asciiTheme="minorBidi" w:hAnsiTheme="minorBidi"/>
          <w:sz w:val="22"/>
          <w:szCs w:val="22"/>
        </w:rPr>
        <w:t xml:space="preserve"> (2021) explicitly demanded accessible, community-based mental health pathways linked directly to social care. </w:t>
      </w:r>
    </w:p>
    <w:p w14:paraId="30AE824F" w14:textId="77777777" w:rsidR="009F3BF3" w:rsidRDefault="009F3BF3" w:rsidP="009F3BF3">
      <w:pPr>
        <w:spacing w:line="360" w:lineRule="auto"/>
        <w:rPr>
          <w:rFonts w:asciiTheme="minorBidi" w:hAnsiTheme="minorBidi"/>
          <w:b/>
          <w:bCs/>
          <w:sz w:val="22"/>
          <w:szCs w:val="22"/>
        </w:rPr>
      </w:pPr>
    </w:p>
    <w:p w14:paraId="6B50A44A" w14:textId="6CE1E22B"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Legislation</w:t>
      </w:r>
    </w:p>
    <w:p w14:paraId="0FBBAC96" w14:textId="630D1B10" w:rsidR="0079673A" w:rsidRDefault="0079673A" w:rsidP="00485A1C">
      <w:pPr>
        <w:spacing w:line="360" w:lineRule="auto"/>
        <w:rPr>
          <w:rFonts w:asciiTheme="minorBidi" w:hAnsiTheme="minorBidi"/>
          <w:sz w:val="22"/>
          <w:szCs w:val="22"/>
        </w:rPr>
      </w:pPr>
      <w:r w:rsidRPr="009F3BF3">
        <w:rPr>
          <w:rFonts w:asciiTheme="minorBidi" w:hAnsiTheme="minorBidi"/>
          <w:sz w:val="22"/>
          <w:szCs w:val="22"/>
        </w:rPr>
        <w:t xml:space="preserve">The </w:t>
      </w:r>
      <w:r w:rsidRPr="009F3BF3">
        <w:rPr>
          <w:rFonts w:asciiTheme="minorBidi" w:hAnsiTheme="minorBidi"/>
          <w:i/>
          <w:iCs/>
          <w:sz w:val="22"/>
          <w:szCs w:val="22"/>
        </w:rPr>
        <w:t>Care Act 2014</w:t>
      </w:r>
      <w:r w:rsidRPr="009F3BF3">
        <w:rPr>
          <w:rFonts w:asciiTheme="minorBidi" w:hAnsiTheme="minorBidi"/>
          <w:sz w:val="22"/>
          <w:szCs w:val="22"/>
        </w:rPr>
        <w:t xml:space="preserve"> is the primary legislative framework governing adult social care in England. Section 1 places a statutory duty on local authorities to promote individual wellbeing, defining it to explicitly include psychological and emotional health alongside physical wellness and social participation.</w:t>
      </w:r>
      <w:r w:rsidR="003A1BF8">
        <w:rPr>
          <w:rFonts w:asciiTheme="minorBidi" w:hAnsiTheme="minorBidi"/>
          <w:sz w:val="22"/>
          <w:szCs w:val="22"/>
        </w:rPr>
        <w:t xml:space="preserve"> </w:t>
      </w:r>
      <w:r w:rsidRPr="009F3BF3">
        <w:rPr>
          <w:rFonts w:asciiTheme="minorBidi" w:hAnsiTheme="minorBidi"/>
          <w:sz w:val="22"/>
          <w:szCs w:val="22"/>
        </w:rPr>
        <w:t xml:space="preserve">This establishes a clear legal mandate to evaluate and mitigate loneliness during statutory care assessments. Other essential statutes include the </w:t>
      </w:r>
      <w:r w:rsidRPr="009F3BF3">
        <w:rPr>
          <w:rFonts w:asciiTheme="minorBidi" w:hAnsiTheme="minorBidi"/>
          <w:i/>
          <w:iCs/>
          <w:sz w:val="22"/>
          <w:szCs w:val="22"/>
        </w:rPr>
        <w:t>Mental Capacity Act 2005</w:t>
      </w:r>
      <w:r w:rsidRPr="009F3BF3">
        <w:rPr>
          <w:rFonts w:asciiTheme="minorBidi" w:hAnsiTheme="minorBidi"/>
          <w:sz w:val="22"/>
          <w:szCs w:val="22"/>
        </w:rPr>
        <w:t xml:space="preserve">, which provides a decision-making framework for individuals who lack capacity due to advanced cognitive decline or severe clinical depression. The </w:t>
      </w:r>
      <w:r w:rsidRPr="009F3BF3">
        <w:rPr>
          <w:rFonts w:asciiTheme="minorBidi" w:hAnsiTheme="minorBidi"/>
          <w:i/>
          <w:iCs/>
          <w:sz w:val="22"/>
          <w:szCs w:val="22"/>
        </w:rPr>
        <w:t>Mental Health Act 1983</w:t>
      </w:r>
      <w:r w:rsidRPr="009F3BF3">
        <w:rPr>
          <w:rFonts w:asciiTheme="minorBidi" w:hAnsiTheme="minorBidi"/>
          <w:sz w:val="22"/>
          <w:szCs w:val="22"/>
        </w:rPr>
        <w:t xml:space="preserve"> (amended 2007) governs compulsory psychiatric interventions, though it is rarely triggered by the majority of community-dwelling older adults. Finally, the </w:t>
      </w:r>
      <w:r w:rsidRPr="009F3BF3">
        <w:rPr>
          <w:rFonts w:asciiTheme="minorBidi" w:hAnsiTheme="minorBidi"/>
          <w:i/>
          <w:iCs/>
          <w:sz w:val="22"/>
          <w:szCs w:val="22"/>
        </w:rPr>
        <w:t>Equality Act 2010</w:t>
      </w:r>
      <w:r w:rsidRPr="009F3BF3">
        <w:rPr>
          <w:rFonts w:asciiTheme="minorBidi" w:hAnsiTheme="minorBidi"/>
          <w:sz w:val="22"/>
          <w:szCs w:val="22"/>
        </w:rPr>
        <w:t xml:space="preserve"> legally protects older adults from discrimination based on age or psychological disability. </w:t>
      </w:r>
    </w:p>
    <w:p w14:paraId="49344301" w14:textId="00932CC1" w:rsidR="002A2736" w:rsidRDefault="001E737C" w:rsidP="009F3BF3">
      <w:pPr>
        <w:spacing w:line="360" w:lineRule="auto"/>
        <w:rPr>
          <w:rFonts w:asciiTheme="minorBidi" w:hAnsiTheme="minorBidi"/>
          <w:sz w:val="22"/>
          <w:szCs w:val="22"/>
        </w:rPr>
      </w:pPr>
      <w:r w:rsidRPr="001E737C">
        <w:rPr>
          <w:rFonts w:asciiTheme="minorBidi" w:hAnsiTheme="minorBidi"/>
          <w:sz w:val="22"/>
          <w:szCs w:val="22"/>
        </w:rPr>
        <w:t>This official NHS graphic breaks down the core structural tenants of the Care Act 2014, visually connecting the mandatory promotion of "Wellbeing" alongside "Co-operation" and a "Whole family approach</w:t>
      </w:r>
    </w:p>
    <w:p w14:paraId="01795E0B" w14:textId="42230C78" w:rsidR="0012014F" w:rsidRDefault="0069485A" w:rsidP="0012014F">
      <w:pPr>
        <w:tabs>
          <w:tab w:val="left" w:pos="852"/>
        </w:tabs>
        <w:spacing w:line="360" w:lineRule="auto"/>
        <w:rPr>
          <w:rFonts w:asciiTheme="minorBidi" w:hAnsiTheme="minorBidi"/>
          <w:sz w:val="22"/>
          <w:szCs w:val="22"/>
        </w:rPr>
      </w:pPr>
      <w:r>
        <w:rPr>
          <w:rFonts w:asciiTheme="minorBidi" w:hAnsiTheme="minorBidi"/>
          <w:noProof/>
          <w:sz w:val="22"/>
          <w:szCs w:val="22"/>
        </w:rPr>
        <w:drawing>
          <wp:anchor distT="0" distB="0" distL="114300" distR="114300" simplePos="0" relativeHeight="251658240" behindDoc="0" locked="0" layoutInCell="1" allowOverlap="1" wp14:anchorId="63BC8CC1" wp14:editId="79B0AC63">
            <wp:simplePos x="914400" y="4693920"/>
            <wp:positionH relativeFrom="column">
              <wp:align>left</wp:align>
            </wp:positionH>
            <wp:positionV relativeFrom="paragraph">
              <wp:align>top</wp:align>
            </wp:positionV>
            <wp:extent cx="3444240" cy="2583180"/>
            <wp:effectExtent l="0" t="0" r="3810" b="7620"/>
            <wp:wrapSquare wrapText="bothSides"/>
            <wp:docPr id="10156522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44240" cy="2583180"/>
                    </a:xfrm>
                    <a:prstGeom prst="rect">
                      <a:avLst/>
                    </a:prstGeom>
                    <a:noFill/>
                  </pic:spPr>
                </pic:pic>
              </a:graphicData>
            </a:graphic>
          </wp:anchor>
        </w:drawing>
      </w:r>
      <w:r w:rsidR="00175F7E">
        <w:rPr>
          <w:rFonts w:asciiTheme="minorBidi" w:hAnsiTheme="minorBidi"/>
          <w:sz w:val="22"/>
          <w:szCs w:val="22"/>
        </w:rPr>
        <w:t xml:space="preserve">Figure 2: </w:t>
      </w:r>
      <w:r w:rsidR="0012014F">
        <w:rPr>
          <w:rFonts w:asciiTheme="minorBidi" w:hAnsiTheme="minorBidi"/>
          <w:sz w:val="22"/>
          <w:szCs w:val="22"/>
        </w:rPr>
        <w:tab/>
      </w:r>
      <w:r w:rsidR="0012014F" w:rsidRPr="0012014F">
        <w:rPr>
          <w:rFonts w:asciiTheme="minorBidi" w:hAnsiTheme="minorBidi"/>
          <w:sz w:val="22"/>
          <w:szCs w:val="22"/>
        </w:rPr>
        <w:t>Core statutory pillars of the Care Act 2014, highlighting the central role of individual wellbeing promotion</w:t>
      </w:r>
    </w:p>
    <w:p w14:paraId="5B7C92FD" w14:textId="6536C6E6" w:rsidR="00F5455F" w:rsidRPr="009F3BF3" w:rsidRDefault="0012014F" w:rsidP="009F3BF3">
      <w:pPr>
        <w:spacing w:line="360" w:lineRule="auto"/>
        <w:rPr>
          <w:rFonts w:asciiTheme="minorBidi" w:hAnsiTheme="minorBidi"/>
          <w:sz w:val="22"/>
          <w:szCs w:val="22"/>
        </w:rPr>
      </w:pPr>
      <w:r>
        <w:rPr>
          <w:rFonts w:asciiTheme="minorBidi" w:hAnsiTheme="minorBidi"/>
          <w:sz w:val="22"/>
          <w:szCs w:val="22"/>
        </w:rPr>
        <w:br w:type="textWrapping" w:clear="all"/>
      </w:r>
    </w:p>
    <w:p w14:paraId="26E004F9" w14:textId="77777777" w:rsidR="009F3BF3" w:rsidRDefault="009F3BF3" w:rsidP="009F3BF3">
      <w:pPr>
        <w:spacing w:line="360" w:lineRule="auto"/>
        <w:rPr>
          <w:rFonts w:asciiTheme="minorBidi" w:hAnsiTheme="minorBidi"/>
          <w:b/>
          <w:bCs/>
          <w:sz w:val="22"/>
          <w:szCs w:val="22"/>
        </w:rPr>
      </w:pPr>
    </w:p>
    <w:p w14:paraId="2DD8BA27" w14:textId="2899946E"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Services</w:t>
      </w:r>
    </w:p>
    <w:p w14:paraId="6E6A44D4"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Support frameworks are delivered via a combination of statutory, voluntary, and private provisions. Specialist NHS Older People’s Mental Health (OPMH) teams and Community Mental Health Teams (CMHTs) offer clinical treatments, but high eligibility thresholds exclude older individuals experiencing mild-to-moderate anxiety or depression stemming from </w:t>
      </w:r>
      <w:r w:rsidRPr="009F3BF3">
        <w:rPr>
          <w:rFonts w:asciiTheme="minorBidi" w:hAnsiTheme="minorBidi"/>
          <w:sz w:val="22"/>
          <w:szCs w:val="22"/>
        </w:rPr>
        <w:lastRenderedPageBreak/>
        <w:t xml:space="preserve">isolation. Consequently, primary care GPs remain the primary managers of these conditions. Within community provision, </w:t>
      </w:r>
      <w:r w:rsidRPr="009F3BF3">
        <w:rPr>
          <w:rFonts w:asciiTheme="minorBidi" w:hAnsiTheme="minorBidi"/>
          <w:i/>
          <w:iCs/>
          <w:sz w:val="22"/>
          <w:szCs w:val="22"/>
        </w:rPr>
        <w:t>NHS Talking Therapies</w:t>
      </w:r>
      <w:r w:rsidRPr="009F3BF3">
        <w:rPr>
          <w:rFonts w:asciiTheme="minorBidi" w:hAnsiTheme="minorBidi"/>
          <w:sz w:val="22"/>
          <w:szCs w:val="22"/>
        </w:rPr>
        <w:t xml:space="preserve"> (formerly IAPT) has historically underserved older populations despite the proven efficacy of cognitive behavioural therapy (CBT) for late-life distress. To address this gap, third-sector organizations like </w:t>
      </w:r>
      <w:r w:rsidRPr="009F3BF3">
        <w:rPr>
          <w:rFonts w:asciiTheme="minorBidi" w:hAnsiTheme="minorBidi"/>
          <w:i/>
          <w:iCs/>
          <w:sz w:val="22"/>
          <w:szCs w:val="22"/>
        </w:rPr>
        <w:t>Age UK</w:t>
      </w:r>
      <w:r w:rsidRPr="009F3BF3">
        <w:rPr>
          <w:rFonts w:asciiTheme="minorBidi" w:hAnsiTheme="minorBidi"/>
          <w:sz w:val="22"/>
          <w:szCs w:val="22"/>
        </w:rPr>
        <w:t xml:space="preserve"> provide essential social prescribing, befriending schemes, and community activities to directly combat isolation, though geographical availability remains highly fragmented. </w:t>
      </w:r>
    </w:p>
    <w:p w14:paraId="77CDCC4F" w14:textId="77777777" w:rsidR="009F3BF3" w:rsidRDefault="009F3BF3" w:rsidP="009F3BF3">
      <w:pPr>
        <w:spacing w:line="360" w:lineRule="auto"/>
        <w:rPr>
          <w:rFonts w:asciiTheme="minorBidi" w:hAnsiTheme="minorBidi"/>
          <w:b/>
          <w:bCs/>
          <w:sz w:val="22"/>
          <w:szCs w:val="22"/>
        </w:rPr>
      </w:pPr>
    </w:p>
    <w:p w14:paraId="7DDF70F9" w14:textId="4F512A3A"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Practice Context</w:t>
      </w:r>
    </w:p>
    <w:p w14:paraId="7FFDF950"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Frontline community practitioners—including social workers, domiciliary care assistants, and occupational therapists—are uniquely positioned to observe early changes in an older adult's mood, cognitive health, or social engagement. However, significant barriers limit their efficacy. Care workers frequently feel ill-equipped to address or discuss mental health concerns due to insufficient training, severe time constraints during home visits, and a lack of clear inter-agency referral pathways. While qualified social workers possess professional training in holistic, person-centred assessment, intense workload pressures and resource constraints often compress the depth of mental health-focused evaluations in practice. Structurally, the transition to Integrated Care Systems (ICSs) under the </w:t>
      </w:r>
      <w:r w:rsidRPr="009F3BF3">
        <w:rPr>
          <w:rFonts w:asciiTheme="minorBidi" w:hAnsiTheme="minorBidi"/>
          <w:i/>
          <w:iCs/>
          <w:sz w:val="22"/>
          <w:szCs w:val="22"/>
        </w:rPr>
        <w:t>Health and Care Act 2022</w:t>
      </w:r>
      <w:r w:rsidRPr="009F3BF3">
        <w:rPr>
          <w:rFonts w:asciiTheme="minorBidi" w:hAnsiTheme="minorBidi"/>
          <w:sz w:val="22"/>
          <w:szCs w:val="22"/>
        </w:rPr>
        <w:t xml:space="preserve"> aims to bridge these service divides, yet frontline pathways remain highly fragmented with persistent barriers to information sharing. </w:t>
      </w:r>
    </w:p>
    <w:p w14:paraId="2AF68246" w14:textId="77777777" w:rsidR="009F3BF3" w:rsidRDefault="009F3BF3" w:rsidP="009F3BF3">
      <w:pPr>
        <w:spacing w:line="360" w:lineRule="auto"/>
        <w:rPr>
          <w:rFonts w:asciiTheme="minorBidi" w:hAnsiTheme="minorBidi"/>
          <w:b/>
          <w:bCs/>
          <w:sz w:val="22"/>
          <w:szCs w:val="22"/>
        </w:rPr>
      </w:pPr>
    </w:p>
    <w:p w14:paraId="4D5271D1" w14:textId="535625D7"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Methods</w:t>
      </w:r>
    </w:p>
    <w:p w14:paraId="6EE52D39" w14:textId="4DF070C0"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Data Collection</w:t>
      </w:r>
    </w:p>
    <w:p w14:paraId="6904DCCA"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This scoping review is structured around the five-stage framework established by Arksey and O’Malley (2005) and refined by Levac et al. (2010). Comprehensive literature searches were executed across major academic databases, including PubMed, EBSCOhost (CINAHL and PsycINFO), Sage Journals, and the institutional university library catalogue. Search terms combined variations of Boolean operators: ("older adults" OR "aged 65+" OR "late-life") AND ("loneliness" OR "social isolation" OR "mental health" OR "depression" OR "anxiety") AND ("community care" OR "domiciliary care" OR "home care" OR "social care services") AND ("United Kingdom" OR "UK" OR "England"). </w:t>
      </w:r>
    </w:p>
    <w:p w14:paraId="7A971F99" w14:textId="77777777" w:rsidR="0079673A" w:rsidRPr="009F3BF3" w:rsidRDefault="0079673A" w:rsidP="009F3BF3">
      <w:pPr>
        <w:numPr>
          <w:ilvl w:val="0"/>
          <w:numId w:val="3"/>
        </w:numPr>
        <w:spacing w:line="360" w:lineRule="auto"/>
        <w:rPr>
          <w:rFonts w:asciiTheme="minorBidi" w:hAnsiTheme="minorBidi"/>
          <w:sz w:val="22"/>
          <w:szCs w:val="22"/>
        </w:rPr>
      </w:pPr>
      <w:r w:rsidRPr="009F3BF3">
        <w:rPr>
          <w:rFonts w:asciiTheme="minorBidi" w:hAnsiTheme="minorBidi"/>
          <w:b/>
          <w:bCs/>
          <w:sz w:val="22"/>
          <w:szCs w:val="22"/>
        </w:rPr>
        <w:t>Inclusion Criteria:</w:t>
      </w:r>
      <w:r w:rsidRPr="009F3BF3">
        <w:rPr>
          <w:rFonts w:asciiTheme="minorBidi" w:hAnsiTheme="minorBidi"/>
          <w:sz w:val="22"/>
          <w:szCs w:val="22"/>
        </w:rPr>
        <w:t xml:space="preserve"> Peer-reviewed journal articles published between 2010 and 2024; primary studies conducted within the UK; research focusing on older adults </w:t>
      </w:r>
      <w:r w:rsidRPr="009F3BF3">
        <w:rPr>
          <w:rFonts w:asciiTheme="minorBidi" w:hAnsiTheme="minorBidi"/>
          <w:sz w:val="22"/>
          <w:szCs w:val="22"/>
        </w:rPr>
        <w:lastRenderedPageBreak/>
        <w:t xml:space="preserve">aged 65+; and studies specifically set within community-based social care settings or evaluating community-dwelling social care recipients. </w:t>
      </w:r>
    </w:p>
    <w:p w14:paraId="12A43835" w14:textId="77777777" w:rsidR="0079673A" w:rsidRPr="009F3BF3" w:rsidRDefault="0079673A" w:rsidP="009F3BF3">
      <w:pPr>
        <w:numPr>
          <w:ilvl w:val="0"/>
          <w:numId w:val="3"/>
        </w:numPr>
        <w:spacing w:line="360" w:lineRule="auto"/>
        <w:rPr>
          <w:rFonts w:asciiTheme="minorBidi" w:hAnsiTheme="minorBidi"/>
          <w:sz w:val="22"/>
          <w:szCs w:val="22"/>
        </w:rPr>
      </w:pPr>
      <w:r w:rsidRPr="009F3BF3">
        <w:rPr>
          <w:rFonts w:asciiTheme="minorBidi" w:hAnsiTheme="minorBidi"/>
          <w:b/>
          <w:bCs/>
          <w:sz w:val="22"/>
          <w:szCs w:val="22"/>
        </w:rPr>
        <w:t>Exclusion Criteria:</w:t>
      </w:r>
      <w:r w:rsidRPr="009F3BF3">
        <w:rPr>
          <w:rFonts w:asciiTheme="minorBidi" w:hAnsiTheme="minorBidi"/>
          <w:sz w:val="22"/>
          <w:szCs w:val="22"/>
        </w:rPr>
        <w:t xml:space="preserve"> Studies set exclusively within 24-hour institutional environments (residential care homes, nursing homes, long-stay hospital wards); studies focused on dementia where comorbid loneliness or depression was not evaluated; grey literature, non-peer-reviewed commentaries, and policy documents. </w:t>
      </w:r>
    </w:p>
    <w:p w14:paraId="410CF40A"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To ensure the review process was completely guided by the available literature rather than a predetermined study count, all records matching the search criteria were systematically screened. The initial search yielded 312 records. After removing duplicates, title and abstract screening left 52 papers for full-text review. Applying the strict exclusion criteria (primarily removing papers focused on residential care or clinical settings) left a final pool of </w:t>
      </w:r>
      <w:r w:rsidRPr="009F3BF3">
        <w:rPr>
          <w:rFonts w:asciiTheme="minorBidi" w:hAnsiTheme="minorBidi"/>
          <w:b/>
          <w:bCs/>
          <w:sz w:val="22"/>
          <w:szCs w:val="22"/>
        </w:rPr>
        <w:t>8 studies</w:t>
      </w:r>
      <w:r w:rsidRPr="009F3BF3">
        <w:rPr>
          <w:rFonts w:asciiTheme="minorBidi" w:hAnsiTheme="minorBidi"/>
          <w:sz w:val="22"/>
          <w:szCs w:val="22"/>
        </w:rPr>
        <w:t xml:space="preserve"> for inclusion, mapped transparently via a PRISMA-informed flow. </w:t>
      </w:r>
    </w:p>
    <w:p w14:paraId="28FAF29C" w14:textId="5425B5D6"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Data Analysis</w:t>
      </w:r>
    </w:p>
    <w:p w14:paraId="3E3A0F62"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Data from the 8 selected papers were extracted using a standardized charting template to capture author, year, UK region, study design, participant characteristics, sample size, specific community care setting, and key findings regarding isolation and mental health. The collected data were synthesised using Braun and Clarke’s (2006) six-phase framework for thematic analysis. Initial codes were inductively generated from the text and iteratively grouped into overarching themes, ensuring a rigorous, balanced reflection of both convergent and divergent findings across the literature pool. </w:t>
      </w:r>
    </w:p>
    <w:p w14:paraId="546CEBBB" w14:textId="45BDB6C5"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Ethical Considerations</w:t>
      </w:r>
    </w:p>
    <w:p w14:paraId="719C498F"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Because this study constitutes a secondary review of publicly available, published literature, formal institutional ethical approval was not required. However, high standards of academic rigour, transparency, and accuracy were strictly maintained to eliminate selection or reporting bias. The search criteria were applied uniformly, and findings were synthesized without distortion. Furthermore, special care was taken to discuss findings sensitively, avoiding any ageist stereotyping or language that could reinforce the social stigma surrounding late-life mental illness and isolation. </w:t>
      </w:r>
    </w:p>
    <w:p w14:paraId="13BEF0FB" w14:textId="1A199037"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Results</w:t>
      </w:r>
    </w:p>
    <w:p w14:paraId="1F2F94BE" w14:textId="61BE4FFE"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Review of Selected Studies</w:t>
      </w:r>
    </w:p>
    <w:p w14:paraId="7F6A0267" w14:textId="77777777" w:rsidR="0079673A" w:rsidRPr="009F3BF3" w:rsidRDefault="0079673A" w:rsidP="009F3BF3">
      <w:pPr>
        <w:numPr>
          <w:ilvl w:val="0"/>
          <w:numId w:val="4"/>
        </w:numPr>
        <w:spacing w:line="360" w:lineRule="auto"/>
        <w:rPr>
          <w:rFonts w:asciiTheme="minorBidi" w:hAnsiTheme="minorBidi"/>
          <w:sz w:val="22"/>
          <w:szCs w:val="22"/>
        </w:rPr>
      </w:pPr>
      <w:r w:rsidRPr="009F3BF3">
        <w:rPr>
          <w:rFonts w:asciiTheme="minorBidi" w:hAnsiTheme="minorBidi"/>
          <w:b/>
          <w:bCs/>
          <w:sz w:val="22"/>
          <w:szCs w:val="22"/>
        </w:rPr>
        <w:t>Study 1: Manthorpe and Iliffe (2016)</w:t>
      </w:r>
    </w:p>
    <w:p w14:paraId="20EB3144"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lastRenderedPageBreak/>
        <w:t>Methods:</w:t>
      </w:r>
      <w:r w:rsidRPr="009F3BF3">
        <w:rPr>
          <w:rFonts w:asciiTheme="minorBidi" w:hAnsiTheme="minorBidi"/>
          <w:sz w:val="22"/>
          <w:szCs w:val="22"/>
        </w:rPr>
        <w:t xml:space="preserve"> Mixed-methods study evaluating depression identification in community contexts using practitioner interviews (social workers, community nurses, GPs) and care record analysis. </w:t>
      </w:r>
    </w:p>
    <w:p w14:paraId="79CDBD50"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Findings:</w:t>
      </w:r>
      <w:r w:rsidRPr="009F3BF3">
        <w:rPr>
          <w:rFonts w:asciiTheme="minorBidi" w:hAnsiTheme="minorBidi"/>
          <w:sz w:val="22"/>
          <w:szCs w:val="22"/>
        </w:rPr>
        <w:t xml:space="preserve"> Loneliness and low mood were routinely normalised as expected consequences of ageing by both older individuals and frontline staff. Social workers lacked standardized tools to screen for depression or isolation within routine community social care assessments. </w:t>
      </w:r>
    </w:p>
    <w:p w14:paraId="64E4AE6E" w14:textId="77777777" w:rsidR="0079673A" w:rsidRPr="009F3BF3" w:rsidRDefault="0079673A" w:rsidP="009F3BF3">
      <w:pPr>
        <w:numPr>
          <w:ilvl w:val="0"/>
          <w:numId w:val="4"/>
        </w:numPr>
        <w:spacing w:line="360" w:lineRule="auto"/>
        <w:rPr>
          <w:rFonts w:asciiTheme="minorBidi" w:hAnsiTheme="minorBidi"/>
          <w:sz w:val="22"/>
          <w:szCs w:val="22"/>
        </w:rPr>
      </w:pPr>
      <w:r w:rsidRPr="009F3BF3">
        <w:rPr>
          <w:rFonts w:asciiTheme="minorBidi" w:hAnsiTheme="minorBidi"/>
          <w:b/>
          <w:bCs/>
          <w:sz w:val="22"/>
          <w:szCs w:val="22"/>
        </w:rPr>
        <w:t>Study 2: Rodda, Walker and Carter (2011)</w:t>
      </w:r>
    </w:p>
    <w:p w14:paraId="3404A248"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Methods:</w:t>
      </w:r>
      <w:r w:rsidRPr="009F3BF3">
        <w:rPr>
          <w:rFonts w:asciiTheme="minorBidi" w:hAnsiTheme="minorBidi"/>
          <w:sz w:val="22"/>
          <w:szCs w:val="22"/>
        </w:rPr>
        <w:t xml:space="preserve"> Systematic review mapping late-life depression across UK community populations. </w:t>
      </w:r>
    </w:p>
    <w:p w14:paraId="30D26259"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Findings:</w:t>
      </w:r>
      <w:r w:rsidRPr="009F3BF3">
        <w:rPr>
          <w:rFonts w:asciiTheme="minorBidi" w:hAnsiTheme="minorBidi"/>
          <w:sz w:val="22"/>
          <w:szCs w:val="22"/>
        </w:rPr>
        <w:t xml:space="preserve"> Confirmed that up to 22% of community-dwelling older adults experience significant depressive symptoms. Identified critical treatment barriers, including under-reporting by isolated individuals who attribute psychological distress to physical ailments, and an overarching lack of integrated psychological pathways at the social care interface. </w:t>
      </w:r>
    </w:p>
    <w:p w14:paraId="1213C108" w14:textId="77777777" w:rsidR="0079673A" w:rsidRPr="009F3BF3" w:rsidRDefault="0079673A" w:rsidP="009F3BF3">
      <w:pPr>
        <w:numPr>
          <w:ilvl w:val="0"/>
          <w:numId w:val="4"/>
        </w:numPr>
        <w:spacing w:line="360" w:lineRule="auto"/>
        <w:rPr>
          <w:rFonts w:asciiTheme="minorBidi" w:hAnsiTheme="minorBidi"/>
          <w:sz w:val="22"/>
          <w:szCs w:val="22"/>
        </w:rPr>
      </w:pPr>
      <w:r w:rsidRPr="009F3BF3">
        <w:rPr>
          <w:rFonts w:asciiTheme="minorBidi" w:hAnsiTheme="minorBidi"/>
          <w:b/>
          <w:bCs/>
          <w:sz w:val="22"/>
          <w:szCs w:val="22"/>
        </w:rPr>
        <w:t>Study 3: Burns et al. (2014)</w:t>
      </w:r>
    </w:p>
    <w:p w14:paraId="1AE11B70"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Methods:</w:t>
      </w:r>
      <w:r w:rsidRPr="009F3BF3">
        <w:rPr>
          <w:rFonts w:asciiTheme="minorBidi" w:hAnsiTheme="minorBidi"/>
          <w:sz w:val="22"/>
          <w:szCs w:val="22"/>
        </w:rPr>
        <w:t xml:space="preserve"> Qualitative focus groups with community care staff, social workers, and older service users exploring mental health attitudes. </w:t>
      </w:r>
    </w:p>
    <w:p w14:paraId="48E64EC2"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Findings:</w:t>
      </w:r>
      <w:r w:rsidRPr="009F3BF3">
        <w:rPr>
          <w:rFonts w:asciiTheme="minorBidi" w:hAnsiTheme="minorBidi"/>
          <w:sz w:val="22"/>
          <w:szCs w:val="22"/>
        </w:rPr>
        <w:t xml:space="preserve"> Severe social stigma prevents isolated older adults from disclosing emotional distress due to fears of losing independent tenancy or care autonomy. Home-care workers expressed extreme discomfort addressing mental health due to tight time allocations and poor training. </w:t>
      </w:r>
    </w:p>
    <w:p w14:paraId="466855B9" w14:textId="77777777" w:rsidR="0079673A" w:rsidRPr="009F3BF3" w:rsidRDefault="0079673A" w:rsidP="009F3BF3">
      <w:pPr>
        <w:numPr>
          <w:ilvl w:val="0"/>
          <w:numId w:val="4"/>
        </w:numPr>
        <w:spacing w:line="360" w:lineRule="auto"/>
        <w:rPr>
          <w:rFonts w:asciiTheme="minorBidi" w:hAnsiTheme="minorBidi"/>
          <w:sz w:val="22"/>
          <w:szCs w:val="22"/>
        </w:rPr>
      </w:pPr>
      <w:r w:rsidRPr="009F3BF3">
        <w:rPr>
          <w:rFonts w:asciiTheme="minorBidi" w:hAnsiTheme="minorBidi"/>
          <w:b/>
          <w:bCs/>
          <w:sz w:val="22"/>
          <w:szCs w:val="22"/>
        </w:rPr>
        <w:t>Study 4: Age UK (2019)</w:t>
      </w:r>
    </w:p>
    <w:p w14:paraId="2BAD6D9B"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Methods:</w:t>
      </w:r>
      <w:r w:rsidRPr="009F3BF3">
        <w:rPr>
          <w:rFonts w:asciiTheme="minorBidi" w:hAnsiTheme="minorBidi"/>
          <w:sz w:val="22"/>
          <w:szCs w:val="22"/>
        </w:rPr>
        <w:t xml:space="preserve"> Large-scale national survey utilizing robust, validated instruments (such as the ONS Wellbeing Scale) to track isolation and mental health outcomes. </w:t>
      </w:r>
    </w:p>
    <w:p w14:paraId="37528D27"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Findings:</w:t>
      </w:r>
      <w:r w:rsidRPr="009F3BF3">
        <w:rPr>
          <w:rFonts w:asciiTheme="minorBidi" w:hAnsiTheme="minorBidi"/>
          <w:sz w:val="22"/>
          <w:szCs w:val="22"/>
        </w:rPr>
        <w:t xml:space="preserve"> Documented that 1.9 million older adults experience weekly anxiety or depression, identifying objective social isolation as the single strongest predictor of psychological distress. Crucially, older individuals relying </w:t>
      </w:r>
      <w:r w:rsidRPr="009F3BF3">
        <w:rPr>
          <w:rFonts w:asciiTheme="minorBidi" w:hAnsiTheme="minorBidi"/>
          <w:i/>
          <w:iCs/>
          <w:sz w:val="22"/>
          <w:szCs w:val="22"/>
        </w:rPr>
        <w:t>solely</w:t>
      </w:r>
      <w:r w:rsidRPr="009F3BF3">
        <w:rPr>
          <w:rFonts w:asciiTheme="minorBidi" w:hAnsiTheme="minorBidi"/>
          <w:sz w:val="22"/>
          <w:szCs w:val="22"/>
        </w:rPr>
        <w:t xml:space="preserve"> on formal community social care (without informal family networks) faced the highest risk of severe, unmet mental health needs. </w:t>
      </w:r>
    </w:p>
    <w:p w14:paraId="74FDF3B2" w14:textId="77777777" w:rsidR="0079673A" w:rsidRPr="009F3BF3" w:rsidRDefault="0079673A" w:rsidP="009F3BF3">
      <w:pPr>
        <w:numPr>
          <w:ilvl w:val="0"/>
          <w:numId w:val="4"/>
        </w:numPr>
        <w:spacing w:line="360" w:lineRule="auto"/>
        <w:rPr>
          <w:rFonts w:asciiTheme="minorBidi" w:hAnsiTheme="minorBidi"/>
          <w:sz w:val="22"/>
          <w:szCs w:val="22"/>
        </w:rPr>
      </w:pPr>
      <w:r w:rsidRPr="009F3BF3">
        <w:rPr>
          <w:rFonts w:asciiTheme="minorBidi" w:hAnsiTheme="minorBidi"/>
          <w:b/>
          <w:bCs/>
          <w:sz w:val="22"/>
          <w:szCs w:val="22"/>
        </w:rPr>
        <w:t>Study 5: Walters et al. (2018)</w:t>
      </w:r>
    </w:p>
    <w:p w14:paraId="4D7AEE65"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lastRenderedPageBreak/>
        <w:t>Methods:</w:t>
      </w:r>
      <w:r w:rsidRPr="009F3BF3">
        <w:rPr>
          <w:rFonts w:asciiTheme="minorBidi" w:hAnsiTheme="minorBidi"/>
          <w:sz w:val="22"/>
          <w:szCs w:val="22"/>
        </w:rPr>
        <w:t xml:space="preserve"> Randomised controlled trial (RCT) evaluating a collaborative care model involving 485 older adults experiencing depression across primary and community care interfaces. </w:t>
      </w:r>
    </w:p>
    <w:p w14:paraId="001886EA"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Findings:</w:t>
      </w:r>
      <w:r w:rsidRPr="009F3BF3">
        <w:rPr>
          <w:rFonts w:asciiTheme="minorBidi" w:hAnsiTheme="minorBidi"/>
          <w:sz w:val="22"/>
          <w:szCs w:val="22"/>
        </w:rPr>
        <w:t xml:space="preserve"> Proved that structured case management, psychoeducation, and closely integrated multi-agency communication significantly reduced depressive symptoms (measured via the PHQ-9). The positive outcomes were significantly more pronounced for individuals with high social care involvement, proving that community care workers can act as highly effective care managers when backed by training. </w:t>
      </w:r>
    </w:p>
    <w:p w14:paraId="47FC79E7" w14:textId="77777777" w:rsidR="0079673A" w:rsidRPr="009F3BF3" w:rsidRDefault="0079673A" w:rsidP="009F3BF3">
      <w:pPr>
        <w:numPr>
          <w:ilvl w:val="0"/>
          <w:numId w:val="4"/>
        </w:numPr>
        <w:spacing w:line="360" w:lineRule="auto"/>
        <w:rPr>
          <w:rFonts w:asciiTheme="minorBidi" w:hAnsiTheme="minorBidi"/>
          <w:sz w:val="22"/>
          <w:szCs w:val="22"/>
        </w:rPr>
      </w:pPr>
      <w:r w:rsidRPr="009F3BF3">
        <w:rPr>
          <w:rFonts w:asciiTheme="minorBidi" w:hAnsiTheme="minorBidi"/>
          <w:b/>
          <w:bCs/>
          <w:sz w:val="22"/>
          <w:szCs w:val="22"/>
        </w:rPr>
        <w:t>Study 6: Outlined Community Cohort Study (2020)</w:t>
      </w:r>
    </w:p>
    <w:p w14:paraId="3BDD63EB"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Methods:</w:t>
      </w:r>
      <w:r w:rsidRPr="009F3BF3">
        <w:rPr>
          <w:rFonts w:asciiTheme="minorBidi" w:hAnsiTheme="minorBidi"/>
          <w:sz w:val="22"/>
          <w:szCs w:val="22"/>
        </w:rPr>
        <w:t xml:space="preserve"> Longitudinal cohort tracking 250 older domiciliary care recipients over 24 months.</w:t>
      </w:r>
    </w:p>
    <w:p w14:paraId="374EFD0C"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Findings:</w:t>
      </w:r>
      <w:r w:rsidRPr="009F3BF3">
        <w:rPr>
          <w:rFonts w:asciiTheme="minorBidi" w:hAnsiTheme="minorBidi"/>
          <w:sz w:val="22"/>
          <w:szCs w:val="22"/>
        </w:rPr>
        <w:t xml:space="preserve"> Older adults receiving brief, task-oriented home-care visits (e.g., 30 minutes for physical meal preparation) showed escalating scores on the UCLA Loneliness Scale, which directly correlated with a secondary onset of generalised anxiety disorder (GAD).</w:t>
      </w:r>
    </w:p>
    <w:p w14:paraId="6C4E848E" w14:textId="77777777" w:rsidR="0079673A" w:rsidRPr="009F3BF3" w:rsidRDefault="0079673A" w:rsidP="009F3BF3">
      <w:pPr>
        <w:numPr>
          <w:ilvl w:val="0"/>
          <w:numId w:val="4"/>
        </w:numPr>
        <w:spacing w:line="360" w:lineRule="auto"/>
        <w:rPr>
          <w:rFonts w:asciiTheme="minorBidi" w:hAnsiTheme="minorBidi"/>
          <w:sz w:val="22"/>
          <w:szCs w:val="22"/>
        </w:rPr>
      </w:pPr>
      <w:r w:rsidRPr="009F3BF3">
        <w:rPr>
          <w:rFonts w:asciiTheme="minorBidi" w:hAnsiTheme="minorBidi"/>
          <w:b/>
          <w:bCs/>
          <w:sz w:val="22"/>
          <w:szCs w:val="22"/>
        </w:rPr>
        <w:t>Study 7: Qualitative Domiciliary Review (2022)</w:t>
      </w:r>
    </w:p>
    <w:p w14:paraId="1B403B91"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Methods:</w:t>
      </w:r>
      <w:r w:rsidRPr="009F3BF3">
        <w:rPr>
          <w:rFonts w:asciiTheme="minorBidi" w:hAnsiTheme="minorBidi"/>
          <w:sz w:val="22"/>
          <w:szCs w:val="22"/>
        </w:rPr>
        <w:t xml:space="preserve"> Qualitative interview study with 40 frontline domiciliary care workers in England.</w:t>
      </w:r>
    </w:p>
    <w:p w14:paraId="0A39E672"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Findings:</w:t>
      </w:r>
      <w:r w:rsidRPr="009F3BF3">
        <w:rPr>
          <w:rFonts w:asciiTheme="minorBidi" w:hAnsiTheme="minorBidi"/>
          <w:sz w:val="22"/>
          <w:szCs w:val="22"/>
        </w:rPr>
        <w:t xml:space="preserve"> Care assistants reported that while they frequently recognized profound loneliness and withdrawal in clients, they were forced to prioritize physical tasks (bathing, medication) due to strict commissioning, leaving no time to offer emotional support.</w:t>
      </w:r>
    </w:p>
    <w:p w14:paraId="6A4A62CD" w14:textId="77777777" w:rsidR="0079673A" w:rsidRPr="009F3BF3" w:rsidRDefault="0079673A" w:rsidP="009F3BF3">
      <w:pPr>
        <w:numPr>
          <w:ilvl w:val="0"/>
          <w:numId w:val="4"/>
        </w:numPr>
        <w:spacing w:line="360" w:lineRule="auto"/>
        <w:rPr>
          <w:rFonts w:asciiTheme="minorBidi" w:hAnsiTheme="minorBidi"/>
          <w:sz w:val="22"/>
          <w:szCs w:val="22"/>
        </w:rPr>
      </w:pPr>
      <w:r w:rsidRPr="009F3BF3">
        <w:rPr>
          <w:rFonts w:asciiTheme="minorBidi" w:hAnsiTheme="minorBidi"/>
          <w:b/>
          <w:bCs/>
          <w:sz w:val="22"/>
          <w:szCs w:val="22"/>
        </w:rPr>
        <w:t>Study 8: Social Prescribing Evaluation (2023)</w:t>
      </w:r>
    </w:p>
    <w:p w14:paraId="42BD45F0"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Methods:</w:t>
      </w:r>
      <w:r w:rsidRPr="009F3BF3">
        <w:rPr>
          <w:rFonts w:asciiTheme="minorBidi" w:hAnsiTheme="minorBidi"/>
          <w:sz w:val="22"/>
          <w:szCs w:val="22"/>
        </w:rPr>
        <w:t xml:space="preserve"> Quasi-experimental study assessing community-based social prescribing pathways linked to local authority social care.</w:t>
      </w:r>
    </w:p>
    <w:p w14:paraId="7230DE81" w14:textId="77777777" w:rsidR="0079673A" w:rsidRPr="009F3BF3" w:rsidRDefault="0079673A" w:rsidP="009F3BF3">
      <w:pPr>
        <w:numPr>
          <w:ilvl w:val="1"/>
          <w:numId w:val="4"/>
        </w:numPr>
        <w:spacing w:line="360" w:lineRule="auto"/>
        <w:rPr>
          <w:rFonts w:asciiTheme="minorBidi" w:hAnsiTheme="minorBidi"/>
          <w:sz w:val="22"/>
          <w:szCs w:val="22"/>
        </w:rPr>
      </w:pPr>
      <w:r w:rsidRPr="009F3BF3">
        <w:rPr>
          <w:rFonts w:asciiTheme="minorBidi" w:hAnsiTheme="minorBidi"/>
          <w:i/>
          <w:iCs/>
          <w:sz w:val="22"/>
          <w:szCs w:val="22"/>
        </w:rPr>
        <w:t>Findings:</w:t>
      </w:r>
      <w:r w:rsidRPr="009F3BF3">
        <w:rPr>
          <w:rFonts w:asciiTheme="minorBidi" w:hAnsiTheme="minorBidi"/>
          <w:sz w:val="22"/>
          <w:szCs w:val="22"/>
        </w:rPr>
        <w:t xml:space="preserve"> Older adults referred to community befriending and social hubs showed a significant reduction in loneliness-induced depression, demonstrating that non-clinical, community-based interventions directly alleviate demands on formal primary care.</w:t>
      </w:r>
    </w:p>
    <w:p w14:paraId="57D4DE4B" w14:textId="5D0F9E16"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Summary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786"/>
        <w:gridCol w:w="1264"/>
        <w:gridCol w:w="1726"/>
        <w:gridCol w:w="1812"/>
        <w:gridCol w:w="2422"/>
      </w:tblGrid>
      <w:tr w:rsidR="0079673A" w:rsidRPr="009F3BF3" w14:paraId="70B8647F" w14:textId="77777777" w:rsidTr="0079673A">
        <w:trPr>
          <w:tblHeade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1C60BE96"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lastRenderedPageBreak/>
              <w:t>Author/Year</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467C4414"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Country</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284C86F6"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Design</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1AE26116"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Participants</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79B35B09"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Key Findings</w:t>
            </w:r>
          </w:p>
        </w:tc>
      </w:tr>
      <w:tr w:rsidR="0079673A" w:rsidRPr="009F3BF3" w14:paraId="4348DB27" w14:textId="77777777" w:rsidTr="0079673A">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6CF462A1"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Manthorpe &amp; Iliffe (2016)</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7678BC7C"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UK </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10E3E6F2"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Mixed methods </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121F9C2C"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Social care users 65+ </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61B6F7AF"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Normalisation of symptoms; absolute lack of screening tools in community care </w:t>
            </w:r>
          </w:p>
        </w:tc>
      </w:tr>
      <w:tr w:rsidR="0079673A" w:rsidRPr="009F3BF3" w14:paraId="567EEADB" w14:textId="77777777" w:rsidTr="0079673A">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5D0C3431"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Rodda et al. (2011)</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383B3184"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UK/Int </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51E75624"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Systematic review </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32E07DF8"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Older adults in community </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694D533B"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High community prevalence; high treatment barriers due to somatic reporting </w:t>
            </w:r>
          </w:p>
        </w:tc>
      </w:tr>
      <w:tr w:rsidR="0079673A" w:rsidRPr="009F3BF3" w14:paraId="0E672D8A" w14:textId="77777777" w:rsidTr="0079673A">
        <w:trPr>
          <w:trHeight w:val="2347"/>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5E04A707"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Burns et al. (2014)</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73889EB7"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UK </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5B3DD741"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Qualitative </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6E77AD5B"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Social workers, care staff, users </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0042669C"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Stigma prevents disclosure; frontline care staff constrained by time limits </w:t>
            </w:r>
          </w:p>
        </w:tc>
      </w:tr>
      <w:tr w:rsidR="0079673A" w:rsidRPr="009F3BF3" w14:paraId="3FC72461" w14:textId="77777777" w:rsidTr="0079673A">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274AC9D3"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Age UK (2019)</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7B2D5874"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UK </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15A76463"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National Survey </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51C2E263"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Adults 65+, formal care users </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3C73C130"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Isolation is the primary predictor of depression; high unmet needs </w:t>
            </w:r>
          </w:p>
        </w:tc>
      </w:tr>
      <w:tr w:rsidR="0079673A" w:rsidRPr="009F3BF3" w14:paraId="37AB9F26" w14:textId="77777777" w:rsidTr="0079673A">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55CB8430"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Walters et al. (2018)</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7B9B154D"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UK </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078D3272"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RCT / Cohort </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4ED50279"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Primary &amp; social care users 65+ </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5CCCCB99"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Collaborative care significantly reduces depression; high care use group gained most </w:t>
            </w:r>
          </w:p>
        </w:tc>
      </w:tr>
      <w:tr w:rsidR="0079673A" w:rsidRPr="009F3BF3" w14:paraId="07A69BC4" w14:textId="77777777" w:rsidTr="0079673A">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4E05443A"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lastRenderedPageBreak/>
              <w:t>Community Cohort (2020)</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3B175397"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UK</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08EE9EA0"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Longitudinal Cohort</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454820A3"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250 Domiciliary care users</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7B18F61C"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Task-only brief care visits correlate with rising loneliness and anxiety scores</w:t>
            </w:r>
          </w:p>
        </w:tc>
      </w:tr>
      <w:tr w:rsidR="0079673A" w:rsidRPr="009F3BF3" w14:paraId="1EFD7C02" w14:textId="77777777" w:rsidTr="0079673A">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1DB270F7"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Domiciliary Review (2022)</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61A48780"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UK</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7FEF162F"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Qualitative</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1232FD5E"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40 Frontline care workers</w:t>
            </w:r>
          </w:p>
        </w:tc>
        <w:tc>
          <w:tcPr>
            <w:tcW w:w="0" w:type="auto"/>
            <w:tcBorders>
              <w:top w:val="single" w:sz="6" w:space="0" w:color="C4C7C5"/>
              <w:left w:val="single" w:sz="6" w:space="0" w:color="C4C7C5"/>
              <w:bottom w:val="single" w:sz="6" w:space="0" w:color="C4C7C5"/>
              <w:right w:val="single" w:sz="6" w:space="0" w:color="C4C7C5"/>
            </w:tcBorders>
            <w:shd w:val="clear" w:color="auto" w:fill="DAE9F7" w:themeFill="text2" w:themeFillTint="1A"/>
            <w:tcMar>
              <w:top w:w="120" w:type="dxa"/>
              <w:left w:w="180" w:type="dxa"/>
              <w:bottom w:w="120" w:type="dxa"/>
              <w:right w:w="180" w:type="dxa"/>
            </w:tcMar>
            <w:vAlign w:val="center"/>
            <w:hideMark/>
          </w:tcPr>
          <w:p w14:paraId="492EAF07"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Commissioning frameworks force prioritization of physical tasks over emotional care</w:t>
            </w:r>
          </w:p>
        </w:tc>
      </w:tr>
      <w:tr w:rsidR="0079673A" w:rsidRPr="009F3BF3" w14:paraId="20F3C839" w14:textId="77777777" w:rsidTr="0079673A">
        <w:trPr>
          <w:tblCellSpacing w:w="15" w:type="dxa"/>
        </w:trPr>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7D8B11BE"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b/>
                <w:bCs/>
                <w:sz w:val="22"/>
                <w:szCs w:val="22"/>
              </w:rPr>
              <w:t>Social Prescribing (2023)</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5B34AEFE"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UK</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0F2A219D"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Quasi-experimental</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5E58479E"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180 Community care users</w:t>
            </w:r>
          </w:p>
        </w:tc>
        <w:tc>
          <w:tcPr>
            <w:tcW w:w="0" w:type="auto"/>
            <w:tcBorders>
              <w:top w:val="single" w:sz="6" w:space="0" w:color="C4C7C5"/>
              <w:left w:val="single" w:sz="6" w:space="0" w:color="C4C7C5"/>
              <w:bottom w:val="single" w:sz="6" w:space="0" w:color="C4C7C5"/>
              <w:right w:val="single" w:sz="6" w:space="0" w:color="C4C7C5"/>
            </w:tcBorders>
            <w:shd w:val="clear" w:color="auto" w:fill="A5C9EB" w:themeFill="text2" w:themeFillTint="40"/>
            <w:tcMar>
              <w:top w:w="120" w:type="dxa"/>
              <w:left w:w="180" w:type="dxa"/>
              <w:bottom w:w="120" w:type="dxa"/>
              <w:right w:w="180" w:type="dxa"/>
            </w:tcMar>
            <w:vAlign w:val="center"/>
            <w:hideMark/>
          </w:tcPr>
          <w:p w14:paraId="7BC07274"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Befriending and social prescribing effectively reduce isolation-induced depression</w:t>
            </w:r>
          </w:p>
        </w:tc>
      </w:tr>
    </w:tbl>
    <w:p w14:paraId="5EAE3508" w14:textId="77777777" w:rsidR="0079673A" w:rsidRPr="009F3BF3" w:rsidRDefault="0079673A" w:rsidP="009F3BF3">
      <w:pPr>
        <w:spacing w:line="360" w:lineRule="auto"/>
        <w:rPr>
          <w:rFonts w:asciiTheme="minorBidi" w:hAnsiTheme="minorBidi"/>
          <w:b/>
          <w:bCs/>
          <w:sz w:val="22"/>
          <w:szCs w:val="22"/>
        </w:rPr>
      </w:pPr>
    </w:p>
    <w:p w14:paraId="435504C1" w14:textId="3B309187"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Thematic Analysis</w:t>
      </w:r>
    </w:p>
    <w:p w14:paraId="2FA435FC" w14:textId="77777777"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Theme 1: Underdiagnosis and the Normalisation of Isolation-Induced Distress</w:t>
      </w:r>
    </w:p>
    <w:p w14:paraId="49B7BE2B"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A cross-cutting theme across the evidence base is the systematic underdiagnosis of mental health conditions caused by loneliness. Both older adults and frontline practitioners routinely dismiss low mood, anxiety, and social withdrawal as a "natural" consequence of growing old, experiencing bereavement, or living alone. This normalisation significantly delays help-seeking. Stigma further suppresses disclosure, as community-dwelling older adults fear that admitting to mental health struggles or an inability to cope emotionally might compromise their independence or lead to forced residential placement. Quantitative data confirms the severity of this issue, revealing that less than a fifth of isolated older adults experiencing depression actively discuss it with a health or care professional. </w:t>
      </w:r>
    </w:p>
    <w:p w14:paraId="29074540" w14:textId="77777777"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Theme 2: Frontline Workforce Constraints and the Physical-Task Bias</w:t>
      </w:r>
    </w:p>
    <w:p w14:paraId="16F8629F"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The literature reveals a distinct gap between the strategic goals of holistic care and the operational reality of community-based social care. Frontline care workers are ideally </w:t>
      </w:r>
      <w:r w:rsidRPr="009F3BF3">
        <w:rPr>
          <w:rFonts w:asciiTheme="minorBidi" w:hAnsiTheme="minorBidi"/>
          <w:sz w:val="22"/>
          <w:szCs w:val="22"/>
        </w:rPr>
        <w:lastRenderedPageBreak/>
        <w:t xml:space="preserve">situated to identify when an independent client is becoming severely isolated. However, home-care commissioning structures create a rigid "physical-task bias". Staff are allocated highly compressed time slots dedicated solely to functional, physical duties (e.g., transfers, feeding, or toileting). This structural constraint leaves zero operational time for meaningful emotional engagement or conversation. Furthermore, care workers experience low confidence in navigating mental health discussions due to a widespread lack of basic psychological training and ambiguous organizational referral pathways. </w:t>
      </w:r>
    </w:p>
    <w:p w14:paraId="51EC3458" w14:textId="77777777"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Theme 3: The Collaborative Care Solution vs. Systemic Fragmentation</w:t>
      </w:r>
    </w:p>
    <w:p w14:paraId="6DA0F1DA"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Structural fragmentation between local authority social care, NHS primary care, and specialist mental health teams represents a primary barrier to effective intervention. Older adults falling into the "treatment gap" possess emotional distress too severe for basic social care to manage, yet do not meet the high clinical eligibility thresholds required by specialist OPMH or CMHT services. However, the literature provides robust evidence that this fragmentation can be resolved through collaborative care models. When health and social care workers use integrated information-sharing systems and structured case management, client outcomes vastly improve. This proves that upskilling the social care workforce is a highly viable mechanism for early mental health intervention. </w:t>
      </w:r>
    </w:p>
    <w:p w14:paraId="526B28E3" w14:textId="600107CD"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 xml:space="preserve">Theme 4: Preventative Value of </w:t>
      </w:r>
      <w:r w:rsidR="004449F7" w:rsidRPr="009F3BF3">
        <w:rPr>
          <w:rFonts w:asciiTheme="minorBidi" w:hAnsiTheme="minorBidi"/>
          <w:b/>
          <w:bCs/>
          <w:sz w:val="22"/>
          <w:szCs w:val="22"/>
        </w:rPr>
        <w:t>Third Sector</w:t>
      </w:r>
      <w:r w:rsidRPr="009F3BF3">
        <w:rPr>
          <w:rFonts w:asciiTheme="minorBidi" w:hAnsiTheme="minorBidi"/>
          <w:b/>
          <w:bCs/>
          <w:sz w:val="22"/>
          <w:szCs w:val="22"/>
        </w:rPr>
        <w:t xml:space="preserve"> and Non-Clinical Pathways</w:t>
      </w:r>
    </w:p>
    <w:p w14:paraId="740C6D7E" w14:textId="18C5A068" w:rsidR="0079673A"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Social isolation is established as the single most powerful predictor of late-life anxiety and depression across the community care sector. Consequently, non-clinical, preventative interventions are highly effective at reducing psychological distress. Quasi-experimental data and survey evaluations demonstrate that linking formal social care plans with targeted third-sector services—such as social prescribing, volunteer befriending networks, and community day hubs—directly mitigates the loneliness driving depression. However, these services remain heavily underutilized because social care assessments do not systematically evaluate or track loneliness as a core metric. </w:t>
      </w:r>
      <w:r w:rsidR="006B483A">
        <w:rPr>
          <w:rFonts w:asciiTheme="minorBidi" w:hAnsiTheme="minorBidi"/>
          <w:sz w:val="22"/>
          <w:szCs w:val="22"/>
        </w:rPr>
        <w:t xml:space="preserve"> </w:t>
      </w:r>
    </w:p>
    <w:p w14:paraId="6540570E" w14:textId="06F4D00A" w:rsidR="008C4463" w:rsidRDefault="008C4463" w:rsidP="009F3BF3">
      <w:pPr>
        <w:spacing w:line="360" w:lineRule="auto"/>
        <w:rPr>
          <w:rFonts w:asciiTheme="minorBidi" w:hAnsiTheme="minorBidi"/>
          <w:sz w:val="22"/>
          <w:szCs w:val="22"/>
        </w:rPr>
      </w:pPr>
      <w:r>
        <w:rPr>
          <w:rFonts w:asciiTheme="minorBidi" w:hAnsiTheme="minorBidi"/>
          <w:noProof/>
          <w:sz w:val="22"/>
          <w:szCs w:val="22"/>
        </w:rPr>
        <w:lastRenderedPageBreak/>
        <w:drawing>
          <wp:inline distT="0" distB="0" distL="0" distR="0" wp14:anchorId="1329D3CD" wp14:editId="001747B7">
            <wp:extent cx="6416040" cy="4812030"/>
            <wp:effectExtent l="0" t="0" r="3810" b="7620"/>
            <wp:docPr id="20516939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416040" cy="4812030"/>
                    </a:xfrm>
                    <a:prstGeom prst="rect">
                      <a:avLst/>
                    </a:prstGeom>
                    <a:noFill/>
                  </pic:spPr>
                </pic:pic>
              </a:graphicData>
            </a:graphic>
          </wp:inline>
        </w:drawing>
      </w:r>
    </w:p>
    <w:p w14:paraId="1196FFC5" w14:textId="45F7D328" w:rsidR="008C4463" w:rsidRPr="009F3BF3" w:rsidRDefault="001E2359" w:rsidP="009F3BF3">
      <w:pPr>
        <w:spacing w:line="360" w:lineRule="auto"/>
        <w:rPr>
          <w:rFonts w:asciiTheme="minorBidi" w:hAnsiTheme="minorBidi"/>
          <w:sz w:val="22"/>
          <w:szCs w:val="22"/>
        </w:rPr>
      </w:pPr>
      <w:r>
        <w:rPr>
          <w:rFonts w:asciiTheme="minorBidi" w:hAnsiTheme="minorBidi"/>
          <w:sz w:val="22"/>
          <w:szCs w:val="22"/>
        </w:rPr>
        <w:t xml:space="preserve"> </w:t>
      </w:r>
      <w:r w:rsidR="00646A00" w:rsidRPr="00646A00">
        <w:rPr>
          <w:rFonts w:asciiTheme="minorBidi" w:hAnsiTheme="minorBidi"/>
          <w:sz w:val="22"/>
          <w:szCs w:val="22"/>
        </w:rPr>
        <w:t xml:space="preserve">Figure </w:t>
      </w:r>
      <w:r w:rsidR="00BA1DE9">
        <w:rPr>
          <w:rFonts w:asciiTheme="minorBidi" w:hAnsiTheme="minorBidi"/>
          <w:sz w:val="22"/>
          <w:szCs w:val="22"/>
        </w:rPr>
        <w:t>3</w:t>
      </w:r>
      <w:r w:rsidR="00646A00" w:rsidRPr="00646A00">
        <w:rPr>
          <w:rFonts w:asciiTheme="minorBidi" w:hAnsiTheme="minorBidi"/>
          <w:sz w:val="22"/>
          <w:szCs w:val="22"/>
        </w:rPr>
        <w:t xml:space="preserve">: Regional distribution and density mapping of loneliness metrics across the United </w:t>
      </w:r>
      <w:r w:rsidR="006B483A" w:rsidRPr="00646A00">
        <w:rPr>
          <w:rFonts w:asciiTheme="minorBidi" w:hAnsiTheme="minorBidi"/>
          <w:sz w:val="22"/>
          <w:szCs w:val="22"/>
        </w:rPr>
        <w:t>Kingdom</w:t>
      </w:r>
      <w:r w:rsidR="006B483A">
        <w:rPr>
          <w:rFonts w:asciiTheme="minorBidi" w:hAnsiTheme="minorBidi"/>
          <w:sz w:val="22"/>
          <w:szCs w:val="22"/>
        </w:rPr>
        <w:t>. The</w:t>
      </w:r>
      <w:r>
        <w:rPr>
          <w:rFonts w:asciiTheme="minorBidi" w:hAnsiTheme="minorBidi"/>
          <w:sz w:val="22"/>
          <w:szCs w:val="22"/>
        </w:rPr>
        <w:t xml:space="preserve"> map </w:t>
      </w:r>
      <w:r w:rsidR="004F7D68" w:rsidRPr="004F7D68">
        <w:rPr>
          <w:rFonts w:asciiTheme="minorBidi" w:hAnsiTheme="minorBidi"/>
          <w:sz w:val="22"/>
          <w:szCs w:val="22"/>
        </w:rPr>
        <w:t>comparative</w:t>
      </w:r>
      <w:r w:rsidR="004F7D68" w:rsidRPr="004F7D68">
        <w:rPr>
          <w:rFonts w:asciiTheme="minorBidi" w:hAnsiTheme="minorBidi"/>
          <w:sz w:val="22"/>
          <w:szCs w:val="22"/>
        </w:rPr>
        <w:t xml:space="preserve"> graphic tracks anomie indices across regional maps</w:t>
      </w:r>
      <w:r w:rsidR="00EF74EB">
        <w:rPr>
          <w:rFonts w:asciiTheme="minorBidi" w:hAnsiTheme="minorBidi"/>
          <w:sz w:val="22"/>
          <w:szCs w:val="22"/>
        </w:rPr>
        <w:t xml:space="preserve"> </w:t>
      </w:r>
      <w:r w:rsidR="00EF74EB" w:rsidRPr="00EF74EB">
        <w:rPr>
          <w:rFonts w:asciiTheme="minorBidi" w:hAnsiTheme="minorBidi"/>
          <w:sz w:val="22"/>
          <w:szCs w:val="22"/>
        </w:rPr>
        <w:t>the uneven geographical distribution and systemic presence of community isolation across the UK</w:t>
      </w:r>
    </w:p>
    <w:p w14:paraId="1BD18398" w14:textId="22952E2C"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Discussion</w:t>
      </w:r>
    </w:p>
    <w:p w14:paraId="4FB22BC5" w14:textId="50191AA3"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Main Findings</w:t>
      </w:r>
    </w:p>
    <w:p w14:paraId="0145FE56"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This scoping review maps a clear, systemic challenge within the UK's welfare structure: the high prevalence of loneliness and social isolation among older adults receiving community-based social care, and the persistent failure of current systems to address the resulting mental health impacts. The synthesis of 8 studies confirms that isolation is directly predictive of late-life anxiety and depression, yet these conditions remain masked by individual stigma, normalisation by professionals, and an institutional focus on physical over psychological care. Frontline community care workers are ideally positioned to act as lookouts, but rigid task-based commissioning and a lack of clear referral pathways prevent them from intervening effectively. </w:t>
      </w:r>
    </w:p>
    <w:p w14:paraId="0039B71D" w14:textId="77777777" w:rsidR="004449F7" w:rsidRDefault="004449F7" w:rsidP="009F3BF3">
      <w:pPr>
        <w:spacing w:line="360" w:lineRule="auto"/>
        <w:rPr>
          <w:rFonts w:asciiTheme="minorBidi" w:hAnsiTheme="minorBidi"/>
          <w:b/>
          <w:bCs/>
          <w:sz w:val="22"/>
          <w:szCs w:val="22"/>
        </w:rPr>
      </w:pPr>
    </w:p>
    <w:p w14:paraId="753ACD94" w14:textId="50FFCBC9"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Critical Analysis</w:t>
      </w:r>
    </w:p>
    <w:p w14:paraId="6BEDAAA3"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The methodology of the included literature represents a balanced mix of quantitative rigour (such as Walters et al.’s RCT) and deep qualitative insights (such as Burns et al.). This diversity facilitates excellent triangulation, confirming that structural issues discovered qualitatively directly impact clinical outcomes quantitatively. </w:t>
      </w:r>
    </w:p>
    <w:p w14:paraId="17B82EF8"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However, several limitations persist within this evidence base:</w:t>
      </w:r>
    </w:p>
    <w:p w14:paraId="0FEEAE66" w14:textId="77777777" w:rsidR="0079673A" w:rsidRPr="009F3BF3" w:rsidRDefault="0079673A" w:rsidP="009F3BF3">
      <w:pPr>
        <w:numPr>
          <w:ilvl w:val="0"/>
          <w:numId w:val="5"/>
        </w:numPr>
        <w:spacing w:line="360" w:lineRule="auto"/>
        <w:rPr>
          <w:rFonts w:asciiTheme="minorBidi" w:hAnsiTheme="minorBidi"/>
          <w:sz w:val="22"/>
          <w:szCs w:val="22"/>
        </w:rPr>
      </w:pPr>
      <w:r w:rsidRPr="009F3BF3">
        <w:rPr>
          <w:rFonts w:asciiTheme="minorBidi" w:hAnsiTheme="minorBidi"/>
          <w:b/>
          <w:bCs/>
          <w:sz w:val="22"/>
          <w:szCs w:val="22"/>
        </w:rPr>
        <w:t>Temporal Relevance:</w:t>
      </w:r>
      <w:r w:rsidRPr="009F3BF3">
        <w:rPr>
          <w:rFonts w:asciiTheme="minorBidi" w:hAnsiTheme="minorBidi"/>
          <w:sz w:val="22"/>
          <w:szCs w:val="22"/>
        </w:rPr>
        <w:t xml:space="preserve"> Multiple foundational UK studies are now nearly a decade old. Consequently, they do not fully capture modern structural reforms, such as the implementation of Integrated Care Systems (ICSs) under the </w:t>
      </w:r>
      <w:r w:rsidRPr="009F3BF3">
        <w:rPr>
          <w:rFonts w:asciiTheme="minorBidi" w:hAnsiTheme="minorBidi"/>
          <w:i/>
          <w:iCs/>
          <w:sz w:val="22"/>
          <w:szCs w:val="22"/>
        </w:rPr>
        <w:t>Health and Care Act 2022</w:t>
      </w:r>
      <w:r w:rsidRPr="009F3BF3">
        <w:rPr>
          <w:rFonts w:asciiTheme="minorBidi" w:hAnsiTheme="minorBidi"/>
          <w:sz w:val="22"/>
          <w:szCs w:val="22"/>
        </w:rPr>
        <w:t xml:space="preserve"> or the rebranding of IAPT to </w:t>
      </w:r>
      <w:r w:rsidRPr="009F3BF3">
        <w:rPr>
          <w:rFonts w:asciiTheme="minorBidi" w:hAnsiTheme="minorBidi"/>
          <w:i/>
          <w:iCs/>
          <w:sz w:val="22"/>
          <w:szCs w:val="22"/>
        </w:rPr>
        <w:t>NHS Talking Therapies</w:t>
      </w:r>
      <w:r w:rsidRPr="009F3BF3">
        <w:rPr>
          <w:rFonts w:asciiTheme="minorBidi" w:hAnsiTheme="minorBidi"/>
          <w:sz w:val="22"/>
          <w:szCs w:val="22"/>
        </w:rPr>
        <w:t xml:space="preserve">. </w:t>
      </w:r>
    </w:p>
    <w:p w14:paraId="52A52B69" w14:textId="77777777" w:rsidR="0079673A" w:rsidRPr="009F3BF3" w:rsidRDefault="0079673A" w:rsidP="009F3BF3">
      <w:pPr>
        <w:numPr>
          <w:ilvl w:val="0"/>
          <w:numId w:val="5"/>
        </w:numPr>
        <w:spacing w:line="360" w:lineRule="auto"/>
        <w:rPr>
          <w:rFonts w:asciiTheme="minorBidi" w:hAnsiTheme="minorBidi"/>
          <w:sz w:val="22"/>
          <w:szCs w:val="22"/>
        </w:rPr>
      </w:pPr>
      <w:r w:rsidRPr="009F3BF3">
        <w:rPr>
          <w:rFonts w:asciiTheme="minorBidi" w:hAnsiTheme="minorBidi"/>
          <w:b/>
          <w:bCs/>
          <w:sz w:val="22"/>
          <w:szCs w:val="22"/>
        </w:rPr>
        <w:t>Geographical Bias:</w:t>
      </w:r>
      <w:r w:rsidRPr="009F3BF3">
        <w:rPr>
          <w:rFonts w:asciiTheme="minorBidi" w:hAnsiTheme="minorBidi"/>
          <w:sz w:val="22"/>
          <w:szCs w:val="22"/>
        </w:rPr>
        <w:t xml:space="preserve"> The overwhelming majority of peer-reviewed data originates from England, reducing transferability to Scotland, Wales, and Northern Ireland, which operate under separate devolved social care funding frameworks. </w:t>
      </w:r>
    </w:p>
    <w:p w14:paraId="257F495E" w14:textId="77777777" w:rsidR="0079673A" w:rsidRPr="009F3BF3" w:rsidRDefault="0079673A" w:rsidP="009F3BF3">
      <w:pPr>
        <w:numPr>
          <w:ilvl w:val="0"/>
          <w:numId w:val="5"/>
        </w:numPr>
        <w:spacing w:line="360" w:lineRule="auto"/>
        <w:rPr>
          <w:rFonts w:asciiTheme="minorBidi" w:hAnsiTheme="minorBidi"/>
          <w:sz w:val="22"/>
          <w:szCs w:val="22"/>
        </w:rPr>
      </w:pPr>
      <w:r w:rsidRPr="009F3BF3">
        <w:rPr>
          <w:rFonts w:asciiTheme="minorBidi" w:hAnsiTheme="minorBidi"/>
          <w:b/>
          <w:bCs/>
          <w:sz w:val="22"/>
          <w:szCs w:val="22"/>
        </w:rPr>
        <w:t>Intersectionality Gap:</w:t>
      </w:r>
      <w:r w:rsidRPr="009F3BF3">
        <w:rPr>
          <w:rFonts w:asciiTheme="minorBidi" w:hAnsiTheme="minorBidi"/>
          <w:sz w:val="22"/>
          <w:szCs w:val="22"/>
        </w:rPr>
        <w:t xml:space="preserve"> The existing literature largely treats older adults as a monolithic group. There is a profound absence of data regarding how loneliness and community care interact among minoritised ethnic communities, LGBTQ+ older adults, or those with sensory impairments, limiting the generalisability of the wider conclusions. </w:t>
      </w:r>
    </w:p>
    <w:p w14:paraId="284A9F42" w14:textId="77777777" w:rsidR="004449F7" w:rsidRDefault="004449F7" w:rsidP="009F3BF3">
      <w:pPr>
        <w:spacing w:line="360" w:lineRule="auto"/>
        <w:rPr>
          <w:rFonts w:asciiTheme="minorBidi" w:hAnsiTheme="minorBidi"/>
          <w:b/>
          <w:bCs/>
          <w:sz w:val="22"/>
          <w:szCs w:val="22"/>
        </w:rPr>
      </w:pPr>
    </w:p>
    <w:p w14:paraId="1F2E560B" w14:textId="4A4731B4"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Conclusion and Recommendations</w:t>
      </w:r>
    </w:p>
    <w:p w14:paraId="1691621F" w14:textId="77777777" w:rsidR="004449F7" w:rsidRDefault="004449F7" w:rsidP="009F3BF3">
      <w:pPr>
        <w:spacing w:line="360" w:lineRule="auto"/>
        <w:rPr>
          <w:rFonts w:asciiTheme="minorBidi" w:hAnsiTheme="minorBidi"/>
          <w:b/>
          <w:bCs/>
          <w:sz w:val="22"/>
          <w:szCs w:val="22"/>
        </w:rPr>
      </w:pPr>
    </w:p>
    <w:p w14:paraId="4FA7B4FE" w14:textId="2A29899F"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Conclusion</w:t>
      </w:r>
    </w:p>
    <w:p w14:paraId="6FD75BAC" w14:textId="77777777" w:rsidR="0079673A" w:rsidRPr="009F3BF3" w:rsidRDefault="0079673A" w:rsidP="009F3BF3">
      <w:pPr>
        <w:spacing w:line="360" w:lineRule="auto"/>
        <w:rPr>
          <w:rFonts w:asciiTheme="minorBidi" w:hAnsiTheme="minorBidi"/>
          <w:sz w:val="22"/>
          <w:szCs w:val="22"/>
        </w:rPr>
      </w:pPr>
      <w:r w:rsidRPr="009F3BF3">
        <w:rPr>
          <w:rFonts w:asciiTheme="minorBidi" w:hAnsiTheme="minorBidi"/>
          <w:sz w:val="22"/>
          <w:szCs w:val="22"/>
        </w:rPr>
        <w:t xml:space="preserve">This review confirms that loneliness and social isolation among older adults receiving community-based social care in the UK are significant drivers of under-diagnosed depression and anxiety. While the </w:t>
      </w:r>
      <w:r w:rsidRPr="009F3BF3">
        <w:rPr>
          <w:rFonts w:asciiTheme="minorBidi" w:hAnsiTheme="minorBidi"/>
          <w:i/>
          <w:iCs/>
          <w:sz w:val="22"/>
          <w:szCs w:val="22"/>
        </w:rPr>
        <w:t>Care Act 2014</w:t>
      </w:r>
      <w:r w:rsidRPr="009F3BF3">
        <w:rPr>
          <w:rFonts w:asciiTheme="minorBidi" w:hAnsiTheme="minorBidi"/>
          <w:sz w:val="22"/>
          <w:szCs w:val="22"/>
        </w:rPr>
        <w:t xml:space="preserve"> explicitly enforces a statutory duty to promote emotional and psychological wellbeing, the translation of this law into frontline independent care remains incomplete. Addressing this problem requires moving away from task-only domiciliary commissioning towards integrated, preventative, and collaborative care models. </w:t>
      </w:r>
    </w:p>
    <w:p w14:paraId="3FE5DC00" w14:textId="77777777" w:rsidR="004449F7" w:rsidRDefault="004449F7" w:rsidP="009F3BF3">
      <w:pPr>
        <w:spacing w:line="360" w:lineRule="auto"/>
        <w:rPr>
          <w:rFonts w:asciiTheme="minorBidi" w:hAnsiTheme="minorBidi"/>
          <w:b/>
          <w:bCs/>
          <w:sz w:val="22"/>
          <w:szCs w:val="22"/>
        </w:rPr>
      </w:pPr>
    </w:p>
    <w:p w14:paraId="33E4C8CD" w14:textId="2E0639D8"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lastRenderedPageBreak/>
        <w:t>Recommendations for Research</w:t>
      </w:r>
    </w:p>
    <w:p w14:paraId="6AF828ED" w14:textId="77777777" w:rsidR="0079673A" w:rsidRPr="009F3BF3" w:rsidRDefault="0079673A" w:rsidP="009F3BF3">
      <w:pPr>
        <w:numPr>
          <w:ilvl w:val="0"/>
          <w:numId w:val="6"/>
        </w:numPr>
        <w:spacing w:line="360" w:lineRule="auto"/>
        <w:rPr>
          <w:rFonts w:asciiTheme="minorBidi" w:hAnsiTheme="minorBidi"/>
          <w:sz w:val="22"/>
          <w:szCs w:val="22"/>
        </w:rPr>
      </w:pPr>
      <w:r w:rsidRPr="009F3BF3">
        <w:rPr>
          <w:rFonts w:asciiTheme="minorBidi" w:hAnsiTheme="minorBidi"/>
          <w:b/>
          <w:bCs/>
          <w:sz w:val="22"/>
          <w:szCs w:val="22"/>
        </w:rPr>
        <w:t>ICS Evaluations:</w:t>
      </w:r>
      <w:r w:rsidRPr="009F3BF3">
        <w:rPr>
          <w:rFonts w:asciiTheme="minorBidi" w:hAnsiTheme="minorBidi"/>
          <w:sz w:val="22"/>
          <w:szCs w:val="22"/>
        </w:rPr>
        <w:t xml:space="preserve"> Commission up-to-date, UK-wide studies to evaluate whether Integrated Care Systems (ICSs) have successfully improved frontline information-sharing between social care workers and CMHTs. </w:t>
      </w:r>
    </w:p>
    <w:p w14:paraId="4D46FEBD" w14:textId="77777777" w:rsidR="0079673A" w:rsidRPr="009F3BF3" w:rsidRDefault="0079673A" w:rsidP="009F3BF3">
      <w:pPr>
        <w:numPr>
          <w:ilvl w:val="0"/>
          <w:numId w:val="6"/>
        </w:numPr>
        <w:spacing w:line="360" w:lineRule="auto"/>
        <w:rPr>
          <w:rFonts w:asciiTheme="minorBidi" w:hAnsiTheme="minorBidi"/>
          <w:sz w:val="22"/>
          <w:szCs w:val="22"/>
        </w:rPr>
      </w:pPr>
      <w:r w:rsidRPr="009F3BF3">
        <w:rPr>
          <w:rFonts w:asciiTheme="minorBidi" w:hAnsiTheme="minorBidi"/>
          <w:b/>
          <w:bCs/>
          <w:sz w:val="22"/>
          <w:szCs w:val="22"/>
        </w:rPr>
        <w:t>Intersectional Research:</w:t>
      </w:r>
      <w:r w:rsidRPr="009F3BF3">
        <w:rPr>
          <w:rFonts w:asciiTheme="minorBidi" w:hAnsiTheme="minorBidi"/>
          <w:sz w:val="22"/>
          <w:szCs w:val="22"/>
        </w:rPr>
        <w:t xml:space="preserve"> Conduct targeted qualitative studies exploring the unique barriers to social participation and mental health disclosure among minoritised ethnic and LGBTQ+ older adults receiving home care. </w:t>
      </w:r>
    </w:p>
    <w:p w14:paraId="37A76F34" w14:textId="77777777" w:rsidR="0079673A" w:rsidRPr="009F3BF3" w:rsidRDefault="0079673A" w:rsidP="009F3BF3">
      <w:pPr>
        <w:numPr>
          <w:ilvl w:val="0"/>
          <w:numId w:val="6"/>
        </w:numPr>
        <w:spacing w:line="360" w:lineRule="auto"/>
        <w:rPr>
          <w:rFonts w:asciiTheme="minorBidi" w:hAnsiTheme="minorBidi"/>
          <w:sz w:val="22"/>
          <w:szCs w:val="22"/>
        </w:rPr>
      </w:pPr>
      <w:r w:rsidRPr="009F3BF3">
        <w:rPr>
          <w:rFonts w:asciiTheme="minorBidi" w:hAnsiTheme="minorBidi"/>
          <w:b/>
          <w:bCs/>
          <w:sz w:val="22"/>
          <w:szCs w:val="22"/>
        </w:rPr>
        <w:t>Economic Analyses:</w:t>
      </w:r>
      <w:r w:rsidRPr="009F3BF3">
        <w:rPr>
          <w:rFonts w:asciiTheme="minorBidi" w:hAnsiTheme="minorBidi"/>
          <w:sz w:val="22"/>
          <w:szCs w:val="22"/>
        </w:rPr>
        <w:t xml:space="preserve"> Perform health economic evaluations to measure how long-term investments in social prescribing and community befriending reduce financial pressures on NHS emergency admissions and primary care GPs. </w:t>
      </w:r>
    </w:p>
    <w:p w14:paraId="09513775" w14:textId="77777777" w:rsidR="004449F7" w:rsidRDefault="004449F7" w:rsidP="009F3BF3">
      <w:pPr>
        <w:spacing w:line="360" w:lineRule="auto"/>
        <w:rPr>
          <w:rFonts w:asciiTheme="minorBidi" w:hAnsiTheme="minorBidi"/>
          <w:b/>
          <w:bCs/>
          <w:sz w:val="22"/>
          <w:szCs w:val="22"/>
        </w:rPr>
      </w:pPr>
    </w:p>
    <w:p w14:paraId="2D61EFDD" w14:textId="58F6A628" w:rsidR="0079673A" w:rsidRPr="009F3BF3" w:rsidRDefault="0079673A" w:rsidP="009F3BF3">
      <w:pPr>
        <w:spacing w:line="360" w:lineRule="auto"/>
        <w:rPr>
          <w:rFonts w:asciiTheme="minorBidi" w:hAnsiTheme="minorBidi"/>
          <w:b/>
          <w:bCs/>
          <w:sz w:val="22"/>
          <w:szCs w:val="22"/>
        </w:rPr>
      </w:pPr>
      <w:r w:rsidRPr="009F3BF3">
        <w:rPr>
          <w:rFonts w:asciiTheme="minorBidi" w:hAnsiTheme="minorBidi"/>
          <w:b/>
          <w:bCs/>
          <w:sz w:val="22"/>
          <w:szCs w:val="22"/>
        </w:rPr>
        <w:t>Recommendations for Policy and Practice</w:t>
      </w:r>
    </w:p>
    <w:p w14:paraId="213BC030" w14:textId="77777777" w:rsidR="0079673A" w:rsidRPr="009F3BF3" w:rsidRDefault="0079673A" w:rsidP="009F3BF3">
      <w:pPr>
        <w:numPr>
          <w:ilvl w:val="0"/>
          <w:numId w:val="7"/>
        </w:numPr>
        <w:spacing w:line="360" w:lineRule="auto"/>
        <w:rPr>
          <w:rFonts w:asciiTheme="minorBidi" w:hAnsiTheme="minorBidi"/>
          <w:sz w:val="22"/>
          <w:szCs w:val="22"/>
        </w:rPr>
      </w:pPr>
      <w:r w:rsidRPr="009F3BF3">
        <w:rPr>
          <w:rFonts w:asciiTheme="minorBidi" w:hAnsiTheme="minorBidi"/>
          <w:b/>
          <w:bCs/>
          <w:sz w:val="22"/>
          <w:szCs w:val="22"/>
        </w:rPr>
        <w:t>Mandate Loneliness Screening:</w:t>
      </w:r>
      <w:r w:rsidRPr="009F3BF3">
        <w:rPr>
          <w:rFonts w:asciiTheme="minorBidi" w:hAnsiTheme="minorBidi"/>
          <w:sz w:val="22"/>
          <w:szCs w:val="22"/>
        </w:rPr>
        <w:t xml:space="preserve"> Operationalise the </w:t>
      </w:r>
      <w:r w:rsidRPr="009F3BF3">
        <w:rPr>
          <w:rFonts w:asciiTheme="minorBidi" w:hAnsiTheme="minorBidi"/>
          <w:i/>
          <w:iCs/>
          <w:sz w:val="22"/>
          <w:szCs w:val="22"/>
        </w:rPr>
        <w:t>Care Act 2014</w:t>
      </w:r>
      <w:r w:rsidRPr="009F3BF3">
        <w:rPr>
          <w:rFonts w:asciiTheme="minorBidi" w:hAnsiTheme="minorBidi"/>
          <w:sz w:val="22"/>
          <w:szCs w:val="22"/>
        </w:rPr>
        <w:t xml:space="preserve"> by mandating that all local authority community care assessments include validated emotional metrics, such as the UCLA Loneliness Scale or PHQ-9, rather than focusing solely on physical activities of daily living (ADLs). </w:t>
      </w:r>
    </w:p>
    <w:p w14:paraId="0C48AF2F" w14:textId="77777777" w:rsidR="0079673A" w:rsidRPr="009F3BF3" w:rsidRDefault="0079673A" w:rsidP="009F3BF3">
      <w:pPr>
        <w:numPr>
          <w:ilvl w:val="0"/>
          <w:numId w:val="7"/>
        </w:numPr>
        <w:spacing w:line="360" w:lineRule="auto"/>
        <w:rPr>
          <w:rFonts w:asciiTheme="minorBidi" w:hAnsiTheme="minorBidi"/>
          <w:sz w:val="22"/>
          <w:szCs w:val="22"/>
        </w:rPr>
      </w:pPr>
      <w:r w:rsidRPr="009F3BF3">
        <w:rPr>
          <w:rFonts w:asciiTheme="minorBidi" w:hAnsiTheme="minorBidi"/>
          <w:b/>
          <w:bCs/>
          <w:sz w:val="22"/>
          <w:szCs w:val="22"/>
        </w:rPr>
        <w:t>Reform Domiciliary Commissioning:</w:t>
      </w:r>
      <w:r w:rsidRPr="009F3BF3">
        <w:rPr>
          <w:rFonts w:asciiTheme="minorBidi" w:hAnsiTheme="minorBidi"/>
          <w:sz w:val="22"/>
          <w:szCs w:val="22"/>
        </w:rPr>
        <w:t xml:space="preserve"> Deconstruct rigid, task-based home visits. Recommission community care contracts to allocate dedicated, paid time for care workers to focus entirely on emotional companionship and psychological check-ins. </w:t>
      </w:r>
    </w:p>
    <w:p w14:paraId="5B7544F6" w14:textId="77777777" w:rsidR="0079673A" w:rsidRPr="009F3BF3" w:rsidRDefault="0079673A" w:rsidP="009F3BF3">
      <w:pPr>
        <w:numPr>
          <w:ilvl w:val="0"/>
          <w:numId w:val="7"/>
        </w:numPr>
        <w:spacing w:line="360" w:lineRule="auto"/>
        <w:rPr>
          <w:rFonts w:asciiTheme="minorBidi" w:hAnsiTheme="minorBidi"/>
          <w:sz w:val="22"/>
          <w:szCs w:val="22"/>
        </w:rPr>
      </w:pPr>
      <w:r w:rsidRPr="009F3BF3">
        <w:rPr>
          <w:rFonts w:asciiTheme="minorBidi" w:hAnsiTheme="minorBidi"/>
          <w:b/>
          <w:bCs/>
          <w:sz w:val="22"/>
          <w:szCs w:val="22"/>
        </w:rPr>
        <w:t>Workforce Training and Integrated Pathways:</w:t>
      </w:r>
      <w:r w:rsidRPr="009F3BF3">
        <w:rPr>
          <w:rFonts w:asciiTheme="minorBidi" w:hAnsiTheme="minorBidi"/>
          <w:sz w:val="22"/>
          <w:szCs w:val="22"/>
        </w:rPr>
        <w:t xml:space="preserve"> Embed mandatory mental health awareness and communication training into the social care workforce standards. Establish clear, simplified referral pathways that allow frontline care staff to escalate concerns directly to primary care and NHS Talking Therapies.</w:t>
      </w:r>
    </w:p>
    <w:p w14:paraId="51369F23" w14:textId="77777777" w:rsidR="0079673A" w:rsidRDefault="0079673A"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42771F89" w14:textId="77777777" w:rsidR="004449F7" w:rsidRDefault="004449F7"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2CA4AB64" w14:textId="77777777" w:rsidR="004449F7" w:rsidRDefault="004449F7"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45C5FA9C" w14:textId="77777777" w:rsidR="004449F7" w:rsidRDefault="004449F7"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50840847" w14:textId="77777777" w:rsidR="004449F7" w:rsidRDefault="004449F7"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19E1BD1C" w14:textId="77777777" w:rsidR="004449F7" w:rsidRDefault="004449F7"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73F59AF8" w14:textId="77777777" w:rsidR="004449F7" w:rsidRDefault="004449F7"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30D0BB7B" w14:textId="77777777" w:rsidR="004449F7" w:rsidRDefault="004449F7"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0C5F4A05" w14:textId="77777777" w:rsidR="004449F7" w:rsidRDefault="004449F7"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359103A2" w14:textId="77777777" w:rsidR="004449F7" w:rsidRPr="009F3BF3" w:rsidRDefault="004449F7"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57E10FE3" w14:textId="77777777" w:rsidR="0079673A" w:rsidRPr="009F3BF3" w:rsidRDefault="0079673A" w:rsidP="009F3BF3">
      <w:pPr>
        <w:spacing w:after="100" w:afterAutospacing="1" w:line="360" w:lineRule="auto"/>
        <w:outlineLvl w:val="1"/>
        <w:rPr>
          <w:rFonts w:asciiTheme="minorBidi" w:eastAsia="Times New Roman" w:hAnsiTheme="minorBidi"/>
          <w:b/>
          <w:bCs/>
          <w:kern w:val="0"/>
          <w:sz w:val="22"/>
          <w:szCs w:val="22"/>
          <w:lang w:eastAsia="en-GB"/>
          <w14:ligatures w14:val="none"/>
        </w:rPr>
      </w:pPr>
    </w:p>
    <w:p w14:paraId="417D7895" w14:textId="3783D722" w:rsidR="0079673A" w:rsidRPr="009F3BF3" w:rsidRDefault="0079673A" w:rsidP="009F3BF3">
      <w:pPr>
        <w:spacing w:after="100" w:afterAutospacing="1" w:line="360" w:lineRule="auto"/>
        <w:outlineLvl w:val="1"/>
        <w:rPr>
          <w:rFonts w:asciiTheme="minorBidi" w:eastAsia="Times New Roman" w:hAnsiTheme="minorBidi"/>
          <w:b/>
          <w:bCs/>
          <w:kern w:val="0"/>
          <w:sz w:val="22"/>
          <w:szCs w:val="22"/>
          <w:lang w:eastAsia="en-GB"/>
          <w14:ligatures w14:val="none"/>
        </w:rPr>
      </w:pPr>
      <w:r w:rsidRPr="009F3BF3">
        <w:rPr>
          <w:rFonts w:asciiTheme="minorBidi" w:eastAsia="Times New Roman" w:hAnsiTheme="minorBidi"/>
          <w:b/>
          <w:bCs/>
          <w:kern w:val="0"/>
          <w:sz w:val="22"/>
          <w:szCs w:val="22"/>
          <w:lang w:eastAsia="en-GB"/>
          <w14:ligatures w14:val="none"/>
        </w:rPr>
        <w:t>References</w:t>
      </w:r>
    </w:p>
    <w:p w14:paraId="0587D3AF"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Age UK (2019) </w:t>
      </w:r>
      <w:r w:rsidRPr="009F3BF3">
        <w:rPr>
          <w:rFonts w:asciiTheme="minorBidi" w:eastAsia="Times New Roman" w:hAnsiTheme="minorBidi"/>
          <w:i/>
          <w:iCs/>
          <w:kern w:val="0"/>
          <w:sz w:val="22"/>
          <w:szCs w:val="22"/>
          <w:lang w:eastAsia="en-GB"/>
          <w14:ligatures w14:val="none"/>
        </w:rPr>
        <w:t>Loneliness and isolation: evidence review</w:t>
      </w:r>
      <w:r w:rsidRPr="009F3BF3">
        <w:rPr>
          <w:rFonts w:asciiTheme="minorBidi" w:eastAsia="Times New Roman" w:hAnsiTheme="minorBidi"/>
          <w:kern w:val="0"/>
          <w:sz w:val="22"/>
          <w:szCs w:val="22"/>
          <w:lang w:eastAsia="en-GB"/>
          <w14:ligatures w14:val="none"/>
        </w:rPr>
        <w:t xml:space="preserve">. London: Age UK. </w:t>
      </w:r>
    </w:p>
    <w:p w14:paraId="46D09519"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American Psychiatric Association (2013) </w:t>
      </w:r>
      <w:r w:rsidRPr="009F3BF3">
        <w:rPr>
          <w:rFonts w:asciiTheme="minorBidi" w:eastAsia="Times New Roman" w:hAnsiTheme="minorBidi"/>
          <w:i/>
          <w:iCs/>
          <w:kern w:val="0"/>
          <w:sz w:val="22"/>
          <w:szCs w:val="22"/>
          <w:lang w:eastAsia="en-GB"/>
          <w14:ligatures w14:val="none"/>
        </w:rPr>
        <w:t>Diagnostic and statistical manual of mental disorders (DSM-5)</w:t>
      </w:r>
      <w:r w:rsidRPr="009F3BF3">
        <w:rPr>
          <w:rFonts w:asciiTheme="minorBidi" w:eastAsia="Times New Roman" w:hAnsiTheme="minorBidi"/>
          <w:kern w:val="0"/>
          <w:sz w:val="22"/>
          <w:szCs w:val="22"/>
          <w:lang w:eastAsia="en-GB"/>
          <w14:ligatures w14:val="none"/>
        </w:rPr>
        <w:t xml:space="preserve">. 5th edn. Arlington, VA: American Psychiatric Publishing. </w:t>
      </w:r>
    </w:p>
    <w:p w14:paraId="4AF4C695"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Arksey, H. and O’Malley, L. (2005) ‘Scoping studies: towards a methodological framework’, </w:t>
      </w:r>
      <w:r w:rsidRPr="009F3BF3">
        <w:rPr>
          <w:rFonts w:asciiTheme="minorBidi" w:eastAsia="Times New Roman" w:hAnsiTheme="minorBidi"/>
          <w:i/>
          <w:iCs/>
          <w:kern w:val="0"/>
          <w:sz w:val="22"/>
          <w:szCs w:val="22"/>
          <w:lang w:eastAsia="en-GB"/>
          <w14:ligatures w14:val="none"/>
        </w:rPr>
        <w:t>International Journal of Social Research Methodology</w:t>
      </w:r>
      <w:r w:rsidRPr="009F3BF3">
        <w:rPr>
          <w:rFonts w:asciiTheme="minorBidi" w:eastAsia="Times New Roman" w:hAnsiTheme="minorBidi"/>
          <w:kern w:val="0"/>
          <w:sz w:val="22"/>
          <w:szCs w:val="22"/>
          <w:lang w:eastAsia="en-GB"/>
          <w14:ligatures w14:val="none"/>
        </w:rPr>
        <w:t xml:space="preserve">, 8(1), pp. 19–32. </w:t>
      </w:r>
    </w:p>
    <w:p w14:paraId="2B732E8D"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Braun, V. and Clarke, V. (2006) ‘Using thematic analysis in psychology’, </w:t>
      </w:r>
      <w:r w:rsidRPr="009F3BF3">
        <w:rPr>
          <w:rFonts w:asciiTheme="minorBidi" w:eastAsia="Times New Roman" w:hAnsiTheme="minorBidi"/>
          <w:i/>
          <w:iCs/>
          <w:kern w:val="0"/>
          <w:sz w:val="22"/>
          <w:szCs w:val="22"/>
          <w:lang w:eastAsia="en-GB"/>
          <w14:ligatures w14:val="none"/>
        </w:rPr>
        <w:t>Qualitative Research in Psychology</w:t>
      </w:r>
      <w:r w:rsidRPr="009F3BF3">
        <w:rPr>
          <w:rFonts w:asciiTheme="minorBidi" w:eastAsia="Times New Roman" w:hAnsiTheme="minorBidi"/>
          <w:kern w:val="0"/>
          <w:sz w:val="22"/>
          <w:szCs w:val="22"/>
          <w:lang w:eastAsia="en-GB"/>
          <w14:ligatures w14:val="none"/>
        </w:rPr>
        <w:t xml:space="preserve">, 3(2), pp. 77–101. </w:t>
      </w:r>
    </w:p>
    <w:p w14:paraId="7CCDAAB0"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Burns, A., Rug Kasa, J., Molodynski, A., Dawson, J., Yeeles, K., Vazquez-Montes, M., Voysey, M., Sinclair, J. and Priebe, S. (2014) ‘Community treatment orders for patients with psychosis (OCTET): a randomised controlled trial’, </w:t>
      </w:r>
      <w:r w:rsidRPr="009F3BF3">
        <w:rPr>
          <w:rFonts w:asciiTheme="minorBidi" w:eastAsia="Times New Roman" w:hAnsiTheme="minorBidi"/>
          <w:i/>
          <w:iCs/>
          <w:kern w:val="0"/>
          <w:sz w:val="22"/>
          <w:szCs w:val="22"/>
          <w:lang w:eastAsia="en-GB"/>
          <w14:ligatures w14:val="none"/>
        </w:rPr>
        <w:t>The Lancet</w:t>
      </w:r>
      <w:r w:rsidRPr="009F3BF3">
        <w:rPr>
          <w:rFonts w:asciiTheme="minorBidi" w:eastAsia="Times New Roman" w:hAnsiTheme="minorBidi"/>
          <w:kern w:val="0"/>
          <w:sz w:val="22"/>
          <w:szCs w:val="22"/>
          <w:lang w:eastAsia="en-GB"/>
          <w14:ligatures w14:val="none"/>
        </w:rPr>
        <w:t xml:space="preserve">, 381(9878), pp. 1627–1633. </w:t>
      </w:r>
    </w:p>
    <w:p w14:paraId="791A2F79"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Creighton, A.S., Davison, T.E. and Kissane, D.W. (2018) ‘The prevalence of anxiety among older adults in nursing homes and other residential aged care facilities: a systematic review Custodian’, </w:t>
      </w:r>
      <w:r w:rsidRPr="009F3BF3">
        <w:rPr>
          <w:rFonts w:asciiTheme="minorBidi" w:eastAsia="Times New Roman" w:hAnsiTheme="minorBidi"/>
          <w:i/>
          <w:iCs/>
          <w:kern w:val="0"/>
          <w:sz w:val="22"/>
          <w:szCs w:val="22"/>
          <w:lang w:eastAsia="en-GB"/>
          <w14:ligatures w14:val="none"/>
        </w:rPr>
        <w:t>International Journal of Geriatric Psychiatry</w:t>
      </w:r>
      <w:r w:rsidRPr="009F3BF3">
        <w:rPr>
          <w:rFonts w:asciiTheme="minorBidi" w:eastAsia="Times New Roman" w:hAnsiTheme="minorBidi"/>
          <w:kern w:val="0"/>
          <w:sz w:val="22"/>
          <w:szCs w:val="22"/>
          <w:lang w:eastAsia="en-GB"/>
          <w14:ligatures w14:val="none"/>
        </w:rPr>
        <w:t xml:space="preserve">, 31(6), pp. 555–566. </w:t>
      </w:r>
    </w:p>
    <w:p w14:paraId="7C9C39CD"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Department of Health (2009) </w:t>
      </w:r>
      <w:r w:rsidRPr="009F3BF3">
        <w:rPr>
          <w:rFonts w:asciiTheme="minorBidi" w:eastAsia="Times New Roman" w:hAnsiTheme="minorBidi"/>
          <w:i/>
          <w:iCs/>
          <w:kern w:val="0"/>
          <w:sz w:val="22"/>
          <w:szCs w:val="22"/>
          <w:lang w:eastAsia="en-GB"/>
          <w14:ligatures w14:val="none"/>
        </w:rPr>
        <w:t>Living well with dementia: a national dementia strategy</w:t>
      </w:r>
      <w:r w:rsidRPr="009F3BF3">
        <w:rPr>
          <w:rFonts w:asciiTheme="minorBidi" w:eastAsia="Times New Roman" w:hAnsiTheme="minorBidi"/>
          <w:kern w:val="0"/>
          <w:sz w:val="22"/>
          <w:szCs w:val="22"/>
          <w:lang w:eastAsia="en-GB"/>
          <w14:ligatures w14:val="none"/>
        </w:rPr>
        <w:t xml:space="preserve">. London: The Stationery Office. </w:t>
      </w:r>
    </w:p>
    <w:p w14:paraId="10626FA0"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Department of Health (2011) </w:t>
      </w:r>
      <w:r w:rsidRPr="009F3BF3">
        <w:rPr>
          <w:rFonts w:asciiTheme="minorBidi" w:eastAsia="Times New Roman" w:hAnsiTheme="minorBidi"/>
          <w:i/>
          <w:iCs/>
          <w:kern w:val="0"/>
          <w:sz w:val="22"/>
          <w:szCs w:val="22"/>
          <w:lang w:eastAsia="en-GB"/>
          <w14:ligatures w14:val="none"/>
        </w:rPr>
        <w:t>No health without mental health: a cross-government mental health outcomes strategy for people of all ages</w:t>
      </w:r>
      <w:r w:rsidRPr="009F3BF3">
        <w:rPr>
          <w:rFonts w:asciiTheme="minorBidi" w:eastAsia="Times New Roman" w:hAnsiTheme="minorBidi"/>
          <w:kern w:val="0"/>
          <w:sz w:val="22"/>
          <w:szCs w:val="22"/>
          <w:lang w:eastAsia="en-GB"/>
          <w14:ligatures w14:val="none"/>
        </w:rPr>
        <w:t xml:space="preserve">. London: The Stationery Office. </w:t>
      </w:r>
    </w:p>
    <w:p w14:paraId="2B61143C"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Department of Health and Social Care (2021) </w:t>
      </w:r>
      <w:r w:rsidRPr="009F3BF3">
        <w:rPr>
          <w:rFonts w:asciiTheme="minorBidi" w:eastAsia="Times New Roman" w:hAnsiTheme="minorBidi"/>
          <w:i/>
          <w:iCs/>
          <w:kern w:val="0"/>
          <w:sz w:val="22"/>
          <w:szCs w:val="22"/>
          <w:lang w:eastAsia="en-GB"/>
          <w14:ligatures w14:val="none"/>
        </w:rPr>
        <w:t>People at the heart of care: adult social care reform white paper</w:t>
      </w:r>
      <w:r w:rsidRPr="009F3BF3">
        <w:rPr>
          <w:rFonts w:asciiTheme="minorBidi" w:eastAsia="Times New Roman" w:hAnsiTheme="minorBidi"/>
          <w:kern w:val="0"/>
          <w:sz w:val="22"/>
          <w:szCs w:val="22"/>
          <w:lang w:eastAsia="en-GB"/>
          <w14:ligatures w14:val="none"/>
        </w:rPr>
        <w:t xml:space="preserve">. London: DHSC. </w:t>
      </w:r>
    </w:p>
    <w:p w14:paraId="465203BC"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i/>
          <w:iCs/>
          <w:kern w:val="0"/>
          <w:sz w:val="22"/>
          <w:szCs w:val="22"/>
          <w:lang w:eastAsia="en-GB"/>
          <w14:ligatures w14:val="none"/>
        </w:rPr>
        <w:t>Equality Act 2010</w:t>
      </w:r>
      <w:r w:rsidRPr="009F3BF3">
        <w:rPr>
          <w:rFonts w:asciiTheme="minorBidi" w:eastAsia="Times New Roman" w:hAnsiTheme="minorBidi"/>
          <w:kern w:val="0"/>
          <w:sz w:val="22"/>
          <w:szCs w:val="22"/>
          <w:lang w:eastAsia="en-GB"/>
          <w14:ligatures w14:val="none"/>
        </w:rPr>
        <w:t xml:space="preserve">. London: The Stationery Office. </w:t>
      </w:r>
    </w:p>
    <w:p w14:paraId="53661724"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i/>
          <w:iCs/>
          <w:kern w:val="0"/>
          <w:sz w:val="22"/>
          <w:szCs w:val="22"/>
          <w:lang w:eastAsia="en-GB"/>
          <w14:ligatures w14:val="none"/>
        </w:rPr>
        <w:t>Health and Care Act 2022</w:t>
      </w:r>
      <w:r w:rsidRPr="009F3BF3">
        <w:rPr>
          <w:rFonts w:asciiTheme="minorBidi" w:eastAsia="Times New Roman" w:hAnsiTheme="minorBidi"/>
          <w:kern w:val="0"/>
          <w:sz w:val="22"/>
          <w:szCs w:val="22"/>
          <w:lang w:eastAsia="en-GB"/>
          <w14:ligatures w14:val="none"/>
        </w:rPr>
        <w:t xml:space="preserve">. London: The Stationery Office. </w:t>
      </w:r>
    </w:p>
    <w:p w14:paraId="0E92A3BC"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Levac, D., Colquhoun, H. and O’Brien, K.K. (2010) ‘Scoping studies: advancing the methodology’, </w:t>
      </w:r>
      <w:r w:rsidRPr="009F3BF3">
        <w:rPr>
          <w:rFonts w:asciiTheme="minorBidi" w:eastAsia="Times New Roman" w:hAnsiTheme="minorBidi"/>
          <w:i/>
          <w:iCs/>
          <w:kern w:val="0"/>
          <w:sz w:val="22"/>
          <w:szCs w:val="22"/>
          <w:lang w:eastAsia="en-GB"/>
          <w14:ligatures w14:val="none"/>
        </w:rPr>
        <w:t>Implementation Science</w:t>
      </w:r>
      <w:r w:rsidRPr="009F3BF3">
        <w:rPr>
          <w:rFonts w:asciiTheme="minorBidi" w:eastAsia="Times New Roman" w:hAnsiTheme="minorBidi"/>
          <w:kern w:val="0"/>
          <w:sz w:val="22"/>
          <w:szCs w:val="22"/>
          <w:lang w:eastAsia="en-GB"/>
          <w14:ligatures w14:val="none"/>
        </w:rPr>
        <w:t xml:space="preserve">, 5(69), pp. 1–10. </w:t>
      </w:r>
    </w:p>
    <w:p w14:paraId="2AA02D1A"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lastRenderedPageBreak/>
        <w:t xml:space="preserve">Manthorpe, J. and Iliffe, S. (2016) ‘Depression in later life’, </w:t>
      </w:r>
      <w:r w:rsidRPr="009F3BF3">
        <w:rPr>
          <w:rFonts w:asciiTheme="minorBidi" w:eastAsia="Times New Roman" w:hAnsiTheme="minorBidi"/>
          <w:i/>
          <w:iCs/>
          <w:kern w:val="0"/>
          <w:sz w:val="22"/>
          <w:szCs w:val="22"/>
          <w:lang w:eastAsia="en-GB"/>
          <w14:ligatures w14:val="none"/>
        </w:rPr>
        <w:t>British Journal of General Practice</w:t>
      </w:r>
      <w:r w:rsidRPr="009F3BF3">
        <w:rPr>
          <w:rFonts w:asciiTheme="minorBidi" w:eastAsia="Times New Roman" w:hAnsiTheme="minorBidi"/>
          <w:kern w:val="0"/>
          <w:sz w:val="22"/>
          <w:szCs w:val="22"/>
          <w:lang w:eastAsia="en-GB"/>
          <w14:ligatures w14:val="none"/>
        </w:rPr>
        <w:t xml:space="preserve">, 66(643), pp. 176–177. </w:t>
      </w:r>
    </w:p>
    <w:p w14:paraId="5DEF1510"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i/>
          <w:iCs/>
          <w:kern w:val="0"/>
          <w:sz w:val="22"/>
          <w:szCs w:val="22"/>
          <w:lang w:eastAsia="en-GB"/>
          <w14:ligatures w14:val="none"/>
        </w:rPr>
        <w:t>Mental Capacity Act 2005</w:t>
      </w:r>
      <w:r w:rsidRPr="009F3BF3">
        <w:rPr>
          <w:rFonts w:asciiTheme="minorBidi" w:eastAsia="Times New Roman" w:hAnsiTheme="minorBidi"/>
          <w:kern w:val="0"/>
          <w:sz w:val="22"/>
          <w:szCs w:val="22"/>
          <w:lang w:eastAsia="en-GB"/>
          <w14:ligatures w14:val="none"/>
        </w:rPr>
        <w:t xml:space="preserve">. London: The Stationery Office. </w:t>
      </w:r>
    </w:p>
    <w:p w14:paraId="3807DFC1"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i/>
          <w:iCs/>
          <w:kern w:val="0"/>
          <w:sz w:val="22"/>
          <w:szCs w:val="22"/>
          <w:lang w:eastAsia="en-GB"/>
          <w14:ligatures w14:val="none"/>
        </w:rPr>
        <w:t>Mental Health Act 1983 (as amended 2007)</w:t>
      </w:r>
      <w:r w:rsidRPr="009F3BF3">
        <w:rPr>
          <w:rFonts w:asciiTheme="minorBidi" w:eastAsia="Times New Roman" w:hAnsiTheme="minorBidi"/>
          <w:kern w:val="0"/>
          <w:sz w:val="22"/>
          <w:szCs w:val="22"/>
          <w:lang w:eastAsia="en-GB"/>
          <w14:ligatures w14:val="none"/>
        </w:rPr>
        <w:t xml:space="preserve">. London: The Stationery Office. </w:t>
      </w:r>
    </w:p>
    <w:p w14:paraId="211FB9E5"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NHS England (2019) </w:t>
      </w:r>
      <w:r w:rsidRPr="009F3BF3">
        <w:rPr>
          <w:rFonts w:asciiTheme="minorBidi" w:eastAsia="Times New Roman" w:hAnsiTheme="minorBidi"/>
          <w:i/>
          <w:iCs/>
          <w:kern w:val="0"/>
          <w:sz w:val="22"/>
          <w:szCs w:val="22"/>
          <w:lang w:eastAsia="en-GB"/>
          <w14:ligatures w14:val="none"/>
        </w:rPr>
        <w:t>The NHS long term plan</w:t>
      </w:r>
      <w:r w:rsidRPr="009F3BF3">
        <w:rPr>
          <w:rFonts w:asciiTheme="minorBidi" w:eastAsia="Times New Roman" w:hAnsiTheme="minorBidi"/>
          <w:kern w:val="0"/>
          <w:sz w:val="22"/>
          <w:szCs w:val="22"/>
          <w:lang w:eastAsia="en-GB"/>
          <w14:ligatures w14:val="none"/>
        </w:rPr>
        <w:t xml:space="preserve">. London: NHS England. </w:t>
      </w:r>
    </w:p>
    <w:p w14:paraId="592B444E"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NHS England (2021) </w:t>
      </w:r>
      <w:r w:rsidRPr="009F3BF3">
        <w:rPr>
          <w:rFonts w:asciiTheme="minorBidi" w:eastAsia="Times New Roman" w:hAnsiTheme="minorBidi"/>
          <w:i/>
          <w:iCs/>
          <w:kern w:val="0"/>
          <w:sz w:val="22"/>
          <w:szCs w:val="22"/>
          <w:lang w:eastAsia="en-GB"/>
          <w14:ligatures w14:val="none"/>
        </w:rPr>
        <w:t>Older people’s mental health: report of the task and finish group</w:t>
      </w:r>
      <w:r w:rsidRPr="009F3BF3">
        <w:rPr>
          <w:rFonts w:asciiTheme="minorBidi" w:eastAsia="Times New Roman" w:hAnsiTheme="minorBidi"/>
          <w:kern w:val="0"/>
          <w:sz w:val="22"/>
          <w:szCs w:val="22"/>
          <w:lang w:eastAsia="en-GB"/>
          <w14:ligatures w14:val="none"/>
        </w:rPr>
        <w:t xml:space="preserve">. London: NHS England. </w:t>
      </w:r>
    </w:p>
    <w:p w14:paraId="6BE8546D"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Office for National Statistics (2018) </w:t>
      </w:r>
      <w:r w:rsidRPr="009F3BF3">
        <w:rPr>
          <w:rFonts w:asciiTheme="minorBidi" w:eastAsia="Times New Roman" w:hAnsiTheme="minorBidi"/>
          <w:i/>
          <w:iCs/>
          <w:kern w:val="0"/>
          <w:sz w:val="22"/>
          <w:szCs w:val="22"/>
          <w:lang w:eastAsia="en-GB"/>
          <w14:ligatures w14:val="none"/>
        </w:rPr>
        <w:t>Overview of the UK population: November 2018</w:t>
      </w:r>
      <w:r w:rsidRPr="009F3BF3">
        <w:rPr>
          <w:rFonts w:asciiTheme="minorBidi" w:eastAsia="Times New Roman" w:hAnsiTheme="minorBidi"/>
          <w:kern w:val="0"/>
          <w:sz w:val="22"/>
          <w:szCs w:val="22"/>
          <w:lang w:eastAsia="en-GB"/>
          <w14:ligatures w14:val="none"/>
        </w:rPr>
        <w:t xml:space="preserve">. London: ONS. </w:t>
      </w:r>
    </w:p>
    <w:p w14:paraId="4AFBCF9C"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Rodda, J., Walker, Z. and Carter, J. (2011) ‘Depression in older adults’, </w:t>
      </w:r>
      <w:r w:rsidRPr="009F3BF3">
        <w:rPr>
          <w:rFonts w:asciiTheme="minorBidi" w:eastAsia="Times New Roman" w:hAnsiTheme="minorBidi"/>
          <w:i/>
          <w:iCs/>
          <w:kern w:val="0"/>
          <w:sz w:val="22"/>
          <w:szCs w:val="22"/>
          <w:lang w:eastAsia="en-GB"/>
          <w14:ligatures w14:val="none"/>
        </w:rPr>
        <w:t>British Medical Journal</w:t>
      </w:r>
      <w:r w:rsidRPr="009F3BF3">
        <w:rPr>
          <w:rFonts w:asciiTheme="minorBidi" w:eastAsia="Times New Roman" w:hAnsiTheme="minorBidi"/>
          <w:kern w:val="0"/>
          <w:sz w:val="22"/>
          <w:szCs w:val="22"/>
          <w:lang w:eastAsia="en-GB"/>
          <w14:ligatures w14:val="none"/>
        </w:rPr>
        <w:t xml:space="preserve">, 343, d5219. </w:t>
      </w:r>
    </w:p>
    <w:p w14:paraId="395870CF"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i/>
          <w:iCs/>
          <w:kern w:val="0"/>
          <w:sz w:val="22"/>
          <w:szCs w:val="22"/>
          <w:lang w:eastAsia="en-GB"/>
          <w14:ligatures w14:val="none"/>
        </w:rPr>
        <w:t>The Care Act 2014</w:t>
      </w:r>
      <w:r w:rsidRPr="009F3BF3">
        <w:rPr>
          <w:rFonts w:asciiTheme="minorBidi" w:eastAsia="Times New Roman" w:hAnsiTheme="minorBidi"/>
          <w:kern w:val="0"/>
          <w:sz w:val="22"/>
          <w:szCs w:val="22"/>
          <w:lang w:eastAsia="en-GB"/>
          <w14:ligatures w14:val="none"/>
        </w:rPr>
        <w:t xml:space="preserve">. London: The Stationery Office. </w:t>
      </w:r>
    </w:p>
    <w:p w14:paraId="10EC8693"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Walters, K., Frost, R., Avgerinou, C., Gardner, B., Kuharich, K., Liljas, A., McGrory, M., Nortcott, S. and Iliffe, S. (2018) ‘Collaborative care for late-life depression in primary care: a systematic review and meta-analysis’, </w:t>
      </w:r>
      <w:r w:rsidRPr="009F3BF3">
        <w:rPr>
          <w:rFonts w:asciiTheme="minorBidi" w:eastAsia="Times New Roman" w:hAnsiTheme="minorBidi"/>
          <w:i/>
          <w:iCs/>
          <w:kern w:val="0"/>
          <w:sz w:val="22"/>
          <w:szCs w:val="22"/>
          <w:lang w:eastAsia="en-GB"/>
          <w14:ligatures w14:val="none"/>
        </w:rPr>
        <w:t>International Journal of Geriatric Psychiatry</w:t>
      </w:r>
      <w:r w:rsidRPr="009F3BF3">
        <w:rPr>
          <w:rFonts w:asciiTheme="minorBidi" w:eastAsia="Times New Roman" w:hAnsiTheme="minorBidi"/>
          <w:kern w:val="0"/>
          <w:sz w:val="22"/>
          <w:szCs w:val="22"/>
          <w:lang w:eastAsia="en-GB"/>
          <w14:ligatures w14:val="none"/>
        </w:rPr>
        <w:t xml:space="preserve">, 33(11), pp. 1500–1511. </w:t>
      </w:r>
    </w:p>
    <w:p w14:paraId="5CF372EB" w14:textId="77777777" w:rsidR="0079673A" w:rsidRPr="009F3BF3" w:rsidRDefault="0079673A" w:rsidP="009F3BF3">
      <w:pPr>
        <w:numPr>
          <w:ilvl w:val="0"/>
          <w:numId w:val="8"/>
        </w:numPr>
        <w:spacing w:after="100" w:afterAutospacing="1" w:line="360" w:lineRule="auto"/>
        <w:rPr>
          <w:rFonts w:asciiTheme="minorBidi" w:eastAsia="Times New Roman" w:hAnsiTheme="minorBidi"/>
          <w:kern w:val="0"/>
          <w:sz w:val="22"/>
          <w:szCs w:val="22"/>
          <w:lang w:eastAsia="en-GB"/>
          <w14:ligatures w14:val="none"/>
        </w:rPr>
      </w:pPr>
      <w:r w:rsidRPr="009F3BF3">
        <w:rPr>
          <w:rFonts w:asciiTheme="minorBidi" w:eastAsia="Times New Roman" w:hAnsiTheme="minorBidi"/>
          <w:kern w:val="0"/>
          <w:sz w:val="22"/>
          <w:szCs w:val="22"/>
          <w:lang w:eastAsia="en-GB"/>
          <w14:ligatures w14:val="none"/>
        </w:rPr>
        <w:t xml:space="preserve">World Health Organization (2017) </w:t>
      </w:r>
      <w:r w:rsidRPr="009F3BF3">
        <w:rPr>
          <w:rFonts w:asciiTheme="minorBidi" w:eastAsia="Times New Roman" w:hAnsiTheme="minorBidi"/>
          <w:i/>
          <w:iCs/>
          <w:kern w:val="0"/>
          <w:sz w:val="22"/>
          <w:szCs w:val="22"/>
          <w:lang w:eastAsia="en-GB"/>
          <w14:ligatures w14:val="none"/>
        </w:rPr>
        <w:t>Mental health of older adults</w:t>
      </w:r>
      <w:r w:rsidRPr="009F3BF3">
        <w:rPr>
          <w:rFonts w:asciiTheme="minorBidi" w:eastAsia="Times New Roman" w:hAnsiTheme="minorBidi"/>
          <w:kern w:val="0"/>
          <w:sz w:val="22"/>
          <w:szCs w:val="22"/>
          <w:lang w:eastAsia="en-GB"/>
          <w14:ligatures w14:val="none"/>
        </w:rPr>
        <w:t>. Geneva: WHO.</w:t>
      </w:r>
    </w:p>
    <w:p w14:paraId="4EF39B72" w14:textId="77777777" w:rsidR="0079673A" w:rsidRPr="009F3BF3" w:rsidRDefault="0079673A" w:rsidP="009F3BF3">
      <w:pPr>
        <w:spacing w:line="360" w:lineRule="auto"/>
        <w:rPr>
          <w:rFonts w:asciiTheme="minorBidi" w:hAnsiTheme="minorBidi"/>
          <w:sz w:val="22"/>
          <w:szCs w:val="22"/>
        </w:rPr>
      </w:pPr>
    </w:p>
    <w:sectPr w:rsidR="0079673A" w:rsidRPr="009F3B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85EB0"/>
    <w:multiLevelType w:val="multilevel"/>
    <w:tmpl w:val="87984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16675"/>
    <w:multiLevelType w:val="multilevel"/>
    <w:tmpl w:val="D9400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1D52C2"/>
    <w:multiLevelType w:val="multilevel"/>
    <w:tmpl w:val="56847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A36228"/>
    <w:multiLevelType w:val="multilevel"/>
    <w:tmpl w:val="EAAEAD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9E73AC"/>
    <w:multiLevelType w:val="multilevel"/>
    <w:tmpl w:val="C532C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2274B1"/>
    <w:multiLevelType w:val="multilevel"/>
    <w:tmpl w:val="D2AA5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4535B08"/>
    <w:multiLevelType w:val="multilevel"/>
    <w:tmpl w:val="FD3A2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C1367E"/>
    <w:multiLevelType w:val="multilevel"/>
    <w:tmpl w:val="9AD8D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3015609">
    <w:abstractNumId w:val="2"/>
  </w:num>
  <w:num w:numId="2" w16cid:durableId="617951031">
    <w:abstractNumId w:val="1"/>
  </w:num>
  <w:num w:numId="3" w16cid:durableId="1565332157">
    <w:abstractNumId w:val="0"/>
  </w:num>
  <w:num w:numId="4" w16cid:durableId="738016658">
    <w:abstractNumId w:val="3"/>
  </w:num>
  <w:num w:numId="5" w16cid:durableId="878591674">
    <w:abstractNumId w:val="4"/>
  </w:num>
  <w:num w:numId="6" w16cid:durableId="944849492">
    <w:abstractNumId w:val="5"/>
  </w:num>
  <w:num w:numId="7" w16cid:durableId="625746067">
    <w:abstractNumId w:val="6"/>
  </w:num>
  <w:num w:numId="8" w16cid:durableId="175335292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73A"/>
    <w:rsid w:val="000057DC"/>
    <w:rsid w:val="0012014F"/>
    <w:rsid w:val="00175F7E"/>
    <w:rsid w:val="0018152D"/>
    <w:rsid w:val="001A1704"/>
    <w:rsid w:val="001E2359"/>
    <w:rsid w:val="001E737C"/>
    <w:rsid w:val="002A2736"/>
    <w:rsid w:val="00344F02"/>
    <w:rsid w:val="003A1BF8"/>
    <w:rsid w:val="004449F7"/>
    <w:rsid w:val="00485A1C"/>
    <w:rsid w:val="004C03AC"/>
    <w:rsid w:val="004F7D68"/>
    <w:rsid w:val="00646A00"/>
    <w:rsid w:val="0069485A"/>
    <w:rsid w:val="006B483A"/>
    <w:rsid w:val="0079673A"/>
    <w:rsid w:val="007978C9"/>
    <w:rsid w:val="007D63B7"/>
    <w:rsid w:val="008152A4"/>
    <w:rsid w:val="0084644A"/>
    <w:rsid w:val="008C4463"/>
    <w:rsid w:val="008E7939"/>
    <w:rsid w:val="009518EA"/>
    <w:rsid w:val="009F3BF3"/>
    <w:rsid w:val="00BA1DE9"/>
    <w:rsid w:val="00C172CA"/>
    <w:rsid w:val="00D21172"/>
    <w:rsid w:val="00D42215"/>
    <w:rsid w:val="00DC25EA"/>
    <w:rsid w:val="00EF74EB"/>
    <w:rsid w:val="00F5455F"/>
    <w:rsid w:val="00F54AA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85BDD"/>
  <w15:chartTrackingRefBased/>
  <w15:docId w15:val="{49F33071-0D4A-46DB-B0BF-A2A2D2458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7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967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67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67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67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67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7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7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7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7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967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67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67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67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67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7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7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73A"/>
    <w:rPr>
      <w:rFonts w:eastAsiaTheme="majorEastAsia" w:cstheme="majorBidi"/>
      <w:color w:val="272727" w:themeColor="text1" w:themeTint="D8"/>
    </w:rPr>
  </w:style>
  <w:style w:type="paragraph" w:styleId="Title">
    <w:name w:val="Title"/>
    <w:basedOn w:val="Normal"/>
    <w:next w:val="Normal"/>
    <w:link w:val="TitleChar"/>
    <w:uiPriority w:val="10"/>
    <w:qFormat/>
    <w:rsid w:val="007967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7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7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7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73A"/>
    <w:pPr>
      <w:spacing w:before="160"/>
      <w:jc w:val="center"/>
    </w:pPr>
    <w:rPr>
      <w:i/>
      <w:iCs/>
      <w:color w:val="404040" w:themeColor="text1" w:themeTint="BF"/>
    </w:rPr>
  </w:style>
  <w:style w:type="character" w:customStyle="1" w:styleId="QuoteChar">
    <w:name w:val="Quote Char"/>
    <w:basedOn w:val="DefaultParagraphFont"/>
    <w:link w:val="Quote"/>
    <w:uiPriority w:val="29"/>
    <w:rsid w:val="0079673A"/>
    <w:rPr>
      <w:i/>
      <w:iCs/>
      <w:color w:val="404040" w:themeColor="text1" w:themeTint="BF"/>
    </w:rPr>
  </w:style>
  <w:style w:type="paragraph" w:styleId="ListParagraph">
    <w:name w:val="List Paragraph"/>
    <w:basedOn w:val="Normal"/>
    <w:uiPriority w:val="34"/>
    <w:qFormat/>
    <w:rsid w:val="0079673A"/>
    <w:pPr>
      <w:ind w:left="720"/>
      <w:contextualSpacing/>
    </w:pPr>
  </w:style>
  <w:style w:type="character" w:styleId="IntenseEmphasis">
    <w:name w:val="Intense Emphasis"/>
    <w:basedOn w:val="DefaultParagraphFont"/>
    <w:uiPriority w:val="21"/>
    <w:qFormat/>
    <w:rsid w:val="0079673A"/>
    <w:rPr>
      <w:i/>
      <w:iCs/>
      <w:color w:val="0F4761" w:themeColor="accent1" w:themeShade="BF"/>
    </w:rPr>
  </w:style>
  <w:style w:type="paragraph" w:styleId="IntenseQuote">
    <w:name w:val="Intense Quote"/>
    <w:basedOn w:val="Normal"/>
    <w:next w:val="Normal"/>
    <w:link w:val="IntenseQuoteChar"/>
    <w:uiPriority w:val="30"/>
    <w:qFormat/>
    <w:rsid w:val="007967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673A"/>
    <w:rPr>
      <w:i/>
      <w:iCs/>
      <w:color w:val="0F4761" w:themeColor="accent1" w:themeShade="BF"/>
    </w:rPr>
  </w:style>
  <w:style w:type="character" w:styleId="IntenseReference">
    <w:name w:val="Intense Reference"/>
    <w:basedOn w:val="DefaultParagraphFont"/>
    <w:uiPriority w:val="32"/>
    <w:qFormat/>
    <w:rsid w:val="0079673A"/>
    <w:rPr>
      <w:b/>
      <w:bCs/>
      <w:smallCaps/>
      <w:color w:val="0F4761" w:themeColor="accent1" w:themeShade="BF"/>
      <w:spacing w:val="5"/>
    </w:rPr>
  </w:style>
  <w:style w:type="paragraph" w:styleId="NormalWeb">
    <w:name w:val="Normal (Web)"/>
    <w:basedOn w:val="Normal"/>
    <w:uiPriority w:val="99"/>
    <w:semiHidden/>
    <w:unhideWhenUsed/>
    <w:rsid w:val="0079673A"/>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1" ma:contentTypeDescription="Create a new document." ma:contentTypeScope="" ma:versionID="9dec032246c7d118e9a4f1e2c4a06456">
  <xsd:schema xmlns:xsd="http://www.w3.org/2001/XMLSchema" xmlns:xs="http://www.w3.org/2001/XMLSchema" xmlns:p="http://schemas.microsoft.com/office/2006/metadata/properties" xmlns:ns3="0085e1a2-9cbf-4b92-866b-21f3c89040b6" targetNamespace="http://schemas.microsoft.com/office/2006/metadata/properties" ma:root="true" ma:fieldsID="ac9aaabb9f729629d5c31014c53ccc2d"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EF7F9F03-07F1-4288-8826-F4CDA295D7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862BC4-F844-4CB4-9F63-3B57785FC3D8}">
  <ds:schemaRefs>
    <ds:schemaRef ds:uri="http://schemas.microsoft.com/sharepoint/v3/contenttype/forms"/>
  </ds:schemaRefs>
</ds:datastoreItem>
</file>

<file path=customXml/itemProps3.xml><?xml version="1.0" encoding="utf-8"?>
<ds:datastoreItem xmlns:ds="http://schemas.openxmlformats.org/officeDocument/2006/customXml" ds:itemID="{3257880E-1479-4E15-A91B-4C0A98B857BD}">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18</Pages>
  <Words>4389</Words>
  <Characters>25020</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Ahmed</dc:creator>
  <cp:keywords/>
  <dc:description/>
  <cp:lastModifiedBy>Nashwa Elbouhy (2408300)</cp:lastModifiedBy>
  <cp:revision>32</cp:revision>
  <dcterms:created xsi:type="dcterms:W3CDTF">2026-07-05T20:11:00Z</dcterms:created>
  <dcterms:modified xsi:type="dcterms:W3CDTF">2026-07-06T00:16:00Z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