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3642DE" w14:textId="77777777" w:rsidR="00B97DCC" w:rsidRPr="00755197" w:rsidRDefault="00B97DCC" w:rsidP="00E65E30">
      <w:pPr>
        <w:spacing w:line="480" w:lineRule="auto"/>
        <w:rPr>
          <w:rFonts w:ascii="Times New Roman" w:hAnsi="Times New Roman" w:cs="Times New Roman"/>
          <w:sz w:val="24"/>
          <w:szCs w:val="24"/>
        </w:rPr>
      </w:pPr>
      <w:r>
        <w:rPr>
          <w:rFonts w:ascii="Times New Roman" w:hAnsi="Times New Roman" w:cs="Times New Roman"/>
          <w:sz w:val="24"/>
          <w:szCs w:val="24"/>
        </w:rPr>
        <w:t>Shakira Peters</w:t>
      </w:r>
      <w:r w:rsidRPr="00755197">
        <w:rPr>
          <w:rFonts w:ascii="Times New Roman" w:eastAsia="Times New Roman" w:hAnsi="Times New Roman" w:cs="Times New Roman"/>
          <w:sz w:val="24"/>
          <w:szCs w:val="24"/>
        </w:rPr>
        <w:fldChar w:fldCharType="begin"/>
      </w:r>
      <w:r w:rsidRPr="00755197">
        <w:rPr>
          <w:rFonts w:ascii="Times New Roman" w:eastAsia="Times New Roman" w:hAnsi="Times New Roman" w:cs="Times New Roman"/>
          <w:sz w:val="24"/>
          <w:szCs w:val="24"/>
        </w:rPr>
        <w:instrText xml:space="preserve"> HYPERLINK "https://moodle.uwtsd.ac.uk/course/view.php?id=8473" </w:instrText>
      </w:r>
      <w:r w:rsidRPr="00755197">
        <w:rPr>
          <w:rFonts w:ascii="Times New Roman" w:eastAsia="Times New Roman" w:hAnsi="Times New Roman" w:cs="Times New Roman"/>
          <w:sz w:val="24"/>
          <w:szCs w:val="24"/>
        </w:rPr>
      </w:r>
      <w:r w:rsidRPr="00755197">
        <w:rPr>
          <w:rFonts w:ascii="Times New Roman" w:eastAsia="Times New Roman" w:hAnsi="Times New Roman" w:cs="Times New Roman"/>
          <w:sz w:val="24"/>
          <w:szCs w:val="24"/>
        </w:rPr>
        <w:fldChar w:fldCharType="separate"/>
      </w:r>
    </w:p>
    <w:p w14:paraId="0DAFF9D8" w14:textId="77777777" w:rsidR="00B97DCC" w:rsidRPr="00755197" w:rsidRDefault="00B97DCC" w:rsidP="00E65E30">
      <w:pPr>
        <w:spacing w:after="100" w:afterAutospacing="1" w:line="480" w:lineRule="auto"/>
        <w:textAlignment w:val="center"/>
        <w:outlineLvl w:val="0"/>
        <w:rPr>
          <w:rFonts w:ascii="Times New Roman" w:eastAsia="Times New Roman" w:hAnsi="Times New Roman" w:cs="Times New Roman"/>
          <w:kern w:val="36"/>
          <w:sz w:val="24"/>
          <w:szCs w:val="24"/>
        </w:rPr>
      </w:pPr>
      <w:r w:rsidRPr="00755197">
        <w:rPr>
          <w:rFonts w:ascii="Times New Roman" w:eastAsia="Times New Roman" w:hAnsi="Times New Roman" w:cs="Times New Roman"/>
          <w:color w:val="212529"/>
          <w:kern w:val="36"/>
          <w:sz w:val="24"/>
          <w:szCs w:val="24"/>
        </w:rPr>
        <w:t>Medicine and Miracles: Health, Illness, and Cure</w:t>
      </w:r>
    </w:p>
    <w:p w14:paraId="331099FA" w14:textId="3A3F9C1D" w:rsidR="00B97DCC" w:rsidRDefault="00B97DCC" w:rsidP="00E65E30">
      <w:pPr>
        <w:spacing w:line="480" w:lineRule="auto"/>
        <w:rPr>
          <w:rFonts w:ascii="Times New Roman" w:hAnsi="Times New Roman" w:cs="Times New Roman"/>
          <w:sz w:val="24"/>
          <w:szCs w:val="24"/>
        </w:rPr>
      </w:pPr>
      <w:r w:rsidRPr="00755197">
        <w:rPr>
          <w:rFonts w:ascii="Times New Roman" w:eastAsia="Times New Roman" w:hAnsi="Times New Roman" w:cs="Times New Roman"/>
          <w:sz w:val="24"/>
          <w:szCs w:val="24"/>
        </w:rPr>
        <w:fldChar w:fldCharType="end"/>
      </w:r>
      <w:r>
        <w:rPr>
          <w:rFonts w:ascii="Times New Roman" w:hAnsi="Times New Roman" w:cs="Times New Roman"/>
          <w:sz w:val="24"/>
          <w:szCs w:val="24"/>
        </w:rPr>
        <w:t xml:space="preserve">Assignment </w:t>
      </w:r>
      <w:r>
        <w:rPr>
          <w:rFonts w:ascii="Times New Roman" w:hAnsi="Times New Roman" w:cs="Times New Roman"/>
          <w:sz w:val="24"/>
          <w:szCs w:val="24"/>
        </w:rPr>
        <w:t>3: Essay</w:t>
      </w:r>
    </w:p>
    <w:p w14:paraId="3554E7BE" w14:textId="709E37A8" w:rsidR="00D102A2" w:rsidRDefault="00D102A2" w:rsidP="00E65E30">
      <w:pPr>
        <w:spacing w:line="480" w:lineRule="auto"/>
        <w:rPr>
          <w:rFonts w:ascii="Times New Roman" w:hAnsi="Times New Roman" w:cs="Times New Roman"/>
          <w:sz w:val="24"/>
          <w:szCs w:val="24"/>
        </w:rPr>
      </w:pPr>
      <w:r>
        <w:rPr>
          <w:rFonts w:ascii="Times New Roman" w:hAnsi="Times New Roman" w:cs="Times New Roman"/>
          <w:sz w:val="24"/>
          <w:szCs w:val="24"/>
        </w:rPr>
        <w:t xml:space="preserve">Topic: </w:t>
      </w:r>
      <w:r w:rsidR="00FA3BFC" w:rsidRPr="00FA3BFC">
        <w:rPr>
          <w:rFonts w:ascii="Times New Roman" w:hAnsi="Times New Roman" w:cs="Times New Roman"/>
          <w:sz w:val="24"/>
          <w:szCs w:val="24"/>
        </w:rPr>
        <w:t>Ethnomedicine – medicine vs witchcraft</w:t>
      </w:r>
    </w:p>
    <w:p w14:paraId="1EEFE2BD" w14:textId="77777777" w:rsidR="00B97DCC" w:rsidRDefault="00B97DCC" w:rsidP="00B97DCC">
      <w:pPr>
        <w:spacing w:line="240" w:lineRule="auto"/>
        <w:rPr>
          <w:rFonts w:ascii="Times New Roman" w:hAnsi="Times New Roman" w:cs="Times New Roman"/>
          <w:sz w:val="24"/>
          <w:szCs w:val="24"/>
        </w:rPr>
      </w:pPr>
    </w:p>
    <w:p w14:paraId="4411C313" w14:textId="68FE0FE3" w:rsidR="003C22A5" w:rsidRDefault="00EF2417" w:rsidP="00E65E30">
      <w:pPr>
        <w:spacing w:line="480" w:lineRule="auto"/>
        <w:ind w:firstLine="720"/>
        <w:rPr>
          <w:rFonts w:ascii="Times New Roman" w:hAnsi="Times New Roman" w:cs="Times New Roman"/>
          <w:sz w:val="24"/>
          <w:szCs w:val="24"/>
        </w:rPr>
      </w:pPr>
      <w:r w:rsidRPr="00EF2417">
        <w:rPr>
          <w:rFonts w:ascii="Times New Roman" w:hAnsi="Times New Roman" w:cs="Times New Roman"/>
          <w:sz w:val="24"/>
          <w:szCs w:val="24"/>
        </w:rPr>
        <w:t>Ethnomedicine is defined as the comparative study of how different cultures view disease and how they treat or prevent it</w:t>
      </w:r>
      <w:r>
        <w:rPr>
          <w:rFonts w:ascii="Times New Roman" w:hAnsi="Times New Roman" w:cs="Times New Roman"/>
          <w:sz w:val="24"/>
          <w:szCs w:val="24"/>
        </w:rPr>
        <w:t xml:space="preserve"> </w:t>
      </w:r>
      <w:r w:rsidRPr="00EF2417">
        <w:rPr>
          <w:rFonts w:ascii="Times New Roman" w:hAnsi="Times New Roman" w:cs="Times New Roman"/>
          <w:sz w:val="24"/>
          <w:szCs w:val="24"/>
        </w:rPr>
        <w:t>also: the medical beliefs and practices of indigenous cultures.</w:t>
      </w:r>
      <w:r w:rsidR="00A91F3F">
        <w:rPr>
          <w:rStyle w:val="FootnoteReference"/>
          <w:rFonts w:ascii="Times New Roman" w:hAnsi="Times New Roman" w:cs="Times New Roman"/>
          <w:sz w:val="24"/>
          <w:szCs w:val="24"/>
        </w:rPr>
        <w:footnoteReference w:id="1"/>
      </w:r>
      <w:r w:rsidR="004A4D11">
        <w:rPr>
          <w:rFonts w:ascii="Times New Roman" w:hAnsi="Times New Roman" w:cs="Times New Roman"/>
          <w:sz w:val="24"/>
          <w:szCs w:val="24"/>
        </w:rPr>
        <w:t xml:space="preserve"> </w:t>
      </w:r>
      <w:r w:rsidR="003C22A5" w:rsidRPr="00555BFE">
        <w:rPr>
          <w:rFonts w:ascii="Times New Roman" w:hAnsi="Times New Roman" w:cs="Times New Roman"/>
          <w:sz w:val="24"/>
          <w:szCs w:val="24"/>
        </w:rPr>
        <w:t>It comprises a wide range of treatment modalities, including herbal medicine, acupuncture, massage, and spiritual healing.</w:t>
      </w:r>
      <w:r w:rsidR="00613714">
        <w:t xml:space="preserve"> </w:t>
      </w:r>
      <w:r w:rsidR="003C2DF0" w:rsidRPr="003C2DF0">
        <w:rPr>
          <w:rFonts w:ascii="Times New Roman" w:hAnsi="Times New Roman" w:cs="Times New Roman"/>
          <w:sz w:val="24"/>
          <w:szCs w:val="24"/>
        </w:rPr>
        <w:t>The contrast between biological approaches to healing and traditional practises labelled as witchcraft or sorcery is of special interest in ethnomedicine.</w:t>
      </w:r>
      <w:r w:rsidR="00417A2E" w:rsidRPr="00417A2E">
        <w:t xml:space="preserve"> </w:t>
      </w:r>
      <w:r w:rsidR="00417A2E" w:rsidRPr="00417A2E">
        <w:rPr>
          <w:rFonts w:ascii="Times New Roman" w:hAnsi="Times New Roman" w:cs="Times New Roman"/>
          <w:sz w:val="24"/>
          <w:szCs w:val="24"/>
        </w:rPr>
        <w:t>Ethnomedicine is a multidisciplinary field of research that incorporates concepts and methodologies from both the social and biological sciences, as well as culturally based biological and environmental knowledge, culturally based perception and cognition of the natural world, and associated behaviours and practises. It is concerned with cultural perceptions of health, sickness, and illness, as well as the process of seeking healthcare and healing practises. It bridges the gap between indigenous systems and their academic and modern applications.</w:t>
      </w:r>
      <w:r w:rsidR="001C64EB">
        <w:rPr>
          <w:rStyle w:val="FootnoteReference"/>
          <w:rFonts w:ascii="Times New Roman" w:hAnsi="Times New Roman" w:cs="Times New Roman"/>
          <w:sz w:val="24"/>
          <w:szCs w:val="24"/>
        </w:rPr>
        <w:footnoteReference w:id="2"/>
      </w:r>
      <w:r w:rsidR="003C22A5" w:rsidRPr="00555BFE">
        <w:rPr>
          <w:rFonts w:ascii="Times New Roman" w:hAnsi="Times New Roman" w:cs="Times New Roman"/>
          <w:sz w:val="24"/>
          <w:szCs w:val="24"/>
        </w:rPr>
        <w:t xml:space="preserve"> </w:t>
      </w:r>
      <w:r w:rsidR="00996EAC" w:rsidRPr="00996EAC">
        <w:rPr>
          <w:rFonts w:ascii="Times New Roman" w:hAnsi="Times New Roman" w:cs="Times New Roman"/>
          <w:sz w:val="24"/>
          <w:szCs w:val="24"/>
        </w:rPr>
        <w:t xml:space="preserve">The case study of traditional healers in Ghana will be used in this essay </w:t>
      </w:r>
      <w:r w:rsidR="00996EAC" w:rsidRPr="00996EAC">
        <w:rPr>
          <w:rFonts w:ascii="Times New Roman" w:hAnsi="Times New Roman" w:cs="Times New Roman"/>
          <w:sz w:val="24"/>
          <w:szCs w:val="24"/>
        </w:rPr>
        <w:lastRenderedPageBreak/>
        <w:t>to critically analyse the biological, social, and philosophical approaches to Ethnomedicine - medicine vs witchcraft.</w:t>
      </w:r>
      <w:r w:rsidR="00354B39">
        <w:rPr>
          <w:rFonts w:ascii="Times New Roman" w:hAnsi="Times New Roman" w:cs="Times New Roman"/>
          <w:sz w:val="24"/>
          <w:szCs w:val="24"/>
        </w:rPr>
        <w:t xml:space="preserve"> </w:t>
      </w:r>
    </w:p>
    <w:p w14:paraId="509BB235" w14:textId="02845F17" w:rsidR="00A44D59" w:rsidRDefault="00B3453D" w:rsidP="00E65E30">
      <w:pPr>
        <w:spacing w:line="480" w:lineRule="auto"/>
        <w:ind w:firstLine="720"/>
        <w:rPr>
          <w:rFonts w:ascii="Times New Roman" w:hAnsi="Times New Roman" w:cs="Times New Roman"/>
          <w:sz w:val="24"/>
          <w:szCs w:val="24"/>
        </w:rPr>
      </w:pPr>
      <w:r w:rsidRPr="00B3453D">
        <w:rPr>
          <w:rFonts w:ascii="Times New Roman" w:hAnsi="Times New Roman" w:cs="Times New Roman"/>
          <w:sz w:val="24"/>
          <w:szCs w:val="24"/>
        </w:rPr>
        <w:t>Traditional healers in Ghana are highly regarded and sought after for their healing expertise and skills. They are referred to as "witch doctors," and their practises frequently include the use of herbs, charms, and rituals to treat illness and ward off evil spirits.</w:t>
      </w:r>
      <w:r w:rsidR="002A6A8E">
        <w:rPr>
          <w:rStyle w:val="FootnoteReference"/>
          <w:rFonts w:ascii="Times New Roman" w:hAnsi="Times New Roman" w:cs="Times New Roman"/>
          <w:sz w:val="24"/>
          <w:szCs w:val="24"/>
        </w:rPr>
        <w:footnoteReference w:id="3"/>
      </w:r>
      <w:r w:rsidR="002A6A8E">
        <w:rPr>
          <w:rFonts w:ascii="Times New Roman" w:hAnsi="Times New Roman" w:cs="Times New Roman"/>
          <w:sz w:val="24"/>
          <w:szCs w:val="24"/>
        </w:rPr>
        <w:t xml:space="preserve"> </w:t>
      </w:r>
      <w:r w:rsidR="00491C45" w:rsidRPr="00491C45">
        <w:rPr>
          <w:rFonts w:ascii="Times New Roman" w:hAnsi="Times New Roman" w:cs="Times New Roman"/>
          <w:sz w:val="24"/>
          <w:szCs w:val="24"/>
        </w:rPr>
        <w:t xml:space="preserve">Because of their accessibility, availability, cost, cultural acceptance, spiritual, religious, and social aspects, traditional medicines are a popular </w:t>
      </w:r>
      <w:r w:rsidR="00491C45">
        <w:rPr>
          <w:rFonts w:ascii="Times New Roman" w:hAnsi="Times New Roman" w:cs="Times New Roman"/>
          <w:sz w:val="24"/>
          <w:szCs w:val="24"/>
        </w:rPr>
        <w:t>healthcare</w:t>
      </w:r>
      <w:r w:rsidR="00491C45" w:rsidRPr="00491C45">
        <w:rPr>
          <w:rFonts w:ascii="Times New Roman" w:hAnsi="Times New Roman" w:cs="Times New Roman"/>
          <w:sz w:val="24"/>
          <w:szCs w:val="24"/>
        </w:rPr>
        <w:t xml:space="preserve"> choice in many African communities. Herbal therapy is used by 70% of patients in Ghana, and the Centre for Scientific Research into Plant </w:t>
      </w:r>
      <w:r w:rsidR="00491C45">
        <w:rPr>
          <w:rFonts w:ascii="Times New Roman" w:hAnsi="Times New Roman" w:cs="Times New Roman"/>
          <w:sz w:val="24"/>
          <w:szCs w:val="24"/>
        </w:rPr>
        <w:t>Therapy</w:t>
      </w:r>
      <w:r w:rsidR="00491C45" w:rsidRPr="00491C45">
        <w:rPr>
          <w:rFonts w:ascii="Times New Roman" w:hAnsi="Times New Roman" w:cs="Times New Roman"/>
          <w:sz w:val="24"/>
          <w:szCs w:val="24"/>
        </w:rPr>
        <w:t xml:space="preserve"> has been investigating and improving traditional remedies since 1975.</w:t>
      </w:r>
      <w:r w:rsidR="00182E23">
        <w:rPr>
          <w:rFonts w:ascii="Times New Roman" w:hAnsi="Times New Roman" w:cs="Times New Roman"/>
          <w:sz w:val="24"/>
          <w:szCs w:val="24"/>
        </w:rPr>
        <w:t xml:space="preserve"> </w:t>
      </w:r>
      <w:r w:rsidR="00182E23" w:rsidRPr="00182E23">
        <w:rPr>
          <w:rFonts w:ascii="Times New Roman" w:hAnsi="Times New Roman" w:cs="Times New Roman"/>
          <w:sz w:val="24"/>
          <w:szCs w:val="24"/>
        </w:rPr>
        <w:t>Approximately 80% of traditional medicines are herbal medicines made from various parts of plants.</w:t>
      </w:r>
      <w:r w:rsidR="00B95EF0">
        <w:rPr>
          <w:rStyle w:val="FootnoteReference"/>
          <w:rFonts w:ascii="Times New Roman" w:hAnsi="Times New Roman" w:cs="Times New Roman"/>
          <w:sz w:val="24"/>
          <w:szCs w:val="24"/>
        </w:rPr>
        <w:footnoteReference w:id="4"/>
      </w:r>
      <w:r w:rsidR="009B0F2A">
        <w:rPr>
          <w:rFonts w:ascii="Times New Roman" w:hAnsi="Times New Roman" w:cs="Times New Roman"/>
          <w:sz w:val="24"/>
          <w:szCs w:val="24"/>
        </w:rPr>
        <w:t xml:space="preserve"> </w:t>
      </w:r>
    </w:p>
    <w:p w14:paraId="04A1027B" w14:textId="256C32FE" w:rsidR="00D04AD7" w:rsidRDefault="0043039A" w:rsidP="00E65E30">
      <w:pPr>
        <w:spacing w:line="480" w:lineRule="auto"/>
        <w:ind w:firstLine="720"/>
        <w:rPr>
          <w:rFonts w:ascii="Times New Roman" w:hAnsi="Times New Roman" w:cs="Times New Roman"/>
          <w:sz w:val="24"/>
          <w:szCs w:val="24"/>
        </w:rPr>
      </w:pPr>
      <w:r w:rsidRPr="0043039A">
        <w:rPr>
          <w:rFonts w:ascii="Times New Roman" w:hAnsi="Times New Roman" w:cs="Times New Roman"/>
          <w:sz w:val="24"/>
          <w:szCs w:val="24"/>
        </w:rPr>
        <w:t>These practises are typically viewed with suspicion and cynicism by biomedical practitioners, who see them as unscientific and potentially dangerous.</w:t>
      </w:r>
      <w:r w:rsidR="00397BB9">
        <w:rPr>
          <w:rFonts w:ascii="Times New Roman" w:hAnsi="Times New Roman" w:cs="Times New Roman"/>
          <w:sz w:val="24"/>
          <w:szCs w:val="24"/>
        </w:rPr>
        <w:t xml:space="preserve"> </w:t>
      </w:r>
      <w:r w:rsidR="00397BB9" w:rsidRPr="00397BB9">
        <w:rPr>
          <w:rFonts w:ascii="Times New Roman" w:hAnsi="Times New Roman" w:cs="Times New Roman"/>
          <w:sz w:val="24"/>
          <w:szCs w:val="24"/>
        </w:rPr>
        <w:t>A Biomedical practitioner is defined as a person who practices medicine based on the application of the principles of the natural sciences and especially biology and biochemistry</w:t>
      </w:r>
      <w:r w:rsidR="00397BB9">
        <w:rPr>
          <w:rFonts w:ascii="Times New Roman" w:hAnsi="Times New Roman" w:cs="Times New Roman"/>
          <w:sz w:val="24"/>
          <w:szCs w:val="24"/>
        </w:rPr>
        <w:t>.</w:t>
      </w:r>
      <w:r w:rsidR="00397BB9">
        <w:rPr>
          <w:rStyle w:val="FootnoteReference"/>
          <w:rFonts w:ascii="Times New Roman" w:hAnsi="Times New Roman" w:cs="Times New Roman"/>
          <w:sz w:val="24"/>
          <w:szCs w:val="24"/>
        </w:rPr>
        <w:footnoteReference w:id="5"/>
      </w:r>
      <w:r w:rsidR="005A6A44">
        <w:rPr>
          <w:rFonts w:ascii="Times New Roman" w:hAnsi="Times New Roman" w:cs="Times New Roman"/>
          <w:sz w:val="24"/>
          <w:szCs w:val="24"/>
        </w:rPr>
        <w:t xml:space="preserve"> </w:t>
      </w:r>
      <w:r w:rsidRPr="0043039A">
        <w:rPr>
          <w:rFonts w:ascii="Times New Roman" w:hAnsi="Times New Roman" w:cs="Times New Roman"/>
          <w:sz w:val="24"/>
          <w:szCs w:val="24"/>
        </w:rPr>
        <w:t xml:space="preserve">It is commonly </w:t>
      </w:r>
      <w:r w:rsidRPr="0043039A">
        <w:rPr>
          <w:rFonts w:ascii="Times New Roman" w:hAnsi="Times New Roman" w:cs="Times New Roman"/>
          <w:sz w:val="24"/>
          <w:szCs w:val="24"/>
        </w:rPr>
        <w:lastRenderedPageBreak/>
        <w:t xml:space="preserve">emphasised that the biomedical practitioner and his science hold the responsibility of fixing a problem and must be sensitive to the disease's cultural and social repercussions. The importance of a practitioner's expertise in the symbolic components of disease and healing is underlined, and this skill must be converted into clinically relevant suggestions and remedies. Because this expertise is frequently </w:t>
      </w:r>
      <w:r w:rsidR="00CD70CB">
        <w:rPr>
          <w:rFonts w:ascii="Times New Roman" w:hAnsi="Times New Roman" w:cs="Times New Roman"/>
          <w:sz w:val="24"/>
          <w:szCs w:val="24"/>
        </w:rPr>
        <w:t>sub-cultured</w:t>
      </w:r>
      <w:r w:rsidRPr="0043039A">
        <w:rPr>
          <w:rFonts w:ascii="Times New Roman" w:hAnsi="Times New Roman" w:cs="Times New Roman"/>
          <w:sz w:val="24"/>
          <w:szCs w:val="24"/>
        </w:rPr>
        <w:t xml:space="preserve"> and too tied to specific subcultures for general clinical application, guidelines</w:t>
      </w:r>
      <w:r w:rsidR="00F366A4">
        <w:rPr>
          <w:rFonts w:ascii="Times New Roman" w:hAnsi="Times New Roman" w:cs="Times New Roman"/>
          <w:sz w:val="24"/>
          <w:szCs w:val="24"/>
        </w:rPr>
        <w:t>,</w:t>
      </w:r>
      <w:r w:rsidRPr="0043039A">
        <w:rPr>
          <w:rFonts w:ascii="Times New Roman" w:hAnsi="Times New Roman" w:cs="Times New Roman"/>
          <w:sz w:val="24"/>
          <w:szCs w:val="24"/>
        </w:rPr>
        <w:t xml:space="preserve"> and recommendations are needed to translate exotica lessons into examples and techniques that can be used by anyone.</w:t>
      </w:r>
      <w:r w:rsidR="005A6A44">
        <w:rPr>
          <w:rStyle w:val="FootnoteReference"/>
          <w:rFonts w:ascii="Times New Roman" w:hAnsi="Times New Roman" w:cs="Times New Roman"/>
          <w:sz w:val="24"/>
          <w:szCs w:val="24"/>
        </w:rPr>
        <w:footnoteReference w:id="6"/>
      </w:r>
      <w:r w:rsidR="005A6A44">
        <w:rPr>
          <w:rFonts w:ascii="Times New Roman" w:hAnsi="Times New Roman" w:cs="Times New Roman"/>
          <w:sz w:val="24"/>
          <w:szCs w:val="24"/>
        </w:rPr>
        <w:t xml:space="preserve"> </w:t>
      </w:r>
      <w:r w:rsidR="002C2592" w:rsidRPr="002C2592">
        <w:rPr>
          <w:rFonts w:ascii="Times New Roman" w:hAnsi="Times New Roman" w:cs="Times New Roman"/>
          <w:sz w:val="24"/>
          <w:szCs w:val="24"/>
        </w:rPr>
        <w:t xml:space="preserve">Traditional healing practises </w:t>
      </w:r>
      <w:r w:rsidR="008F274D">
        <w:rPr>
          <w:rFonts w:ascii="Times New Roman" w:hAnsi="Times New Roman" w:cs="Times New Roman"/>
          <w:sz w:val="24"/>
          <w:szCs w:val="24"/>
        </w:rPr>
        <w:t xml:space="preserve">can also </w:t>
      </w:r>
      <w:r w:rsidR="002C2592" w:rsidRPr="002C2592">
        <w:rPr>
          <w:rFonts w:ascii="Times New Roman" w:hAnsi="Times New Roman" w:cs="Times New Roman"/>
          <w:sz w:val="24"/>
          <w:szCs w:val="24"/>
        </w:rPr>
        <w:t xml:space="preserve">be viewed as witchcraft by biomedical practitioners because </w:t>
      </w:r>
      <w:r w:rsidR="00112FCC">
        <w:rPr>
          <w:rFonts w:ascii="Times New Roman" w:hAnsi="Times New Roman" w:cs="Times New Roman"/>
          <w:sz w:val="24"/>
          <w:szCs w:val="24"/>
        </w:rPr>
        <w:t>their</w:t>
      </w:r>
      <w:r w:rsidR="002C2592" w:rsidRPr="002C2592">
        <w:rPr>
          <w:rFonts w:ascii="Times New Roman" w:hAnsi="Times New Roman" w:cs="Times New Roman"/>
          <w:sz w:val="24"/>
          <w:szCs w:val="24"/>
        </w:rPr>
        <w:t xml:space="preserve"> actions and decision-making are supported by scientific knowledge, observation, and multiple trials - they view the healing outcome as more substantial than traditional healing. They may be concerned about the risks associated with traditional practises such as the usage of toxic plants or the spread of infectious diseases.</w:t>
      </w:r>
      <w:r w:rsidR="00112FCC">
        <w:rPr>
          <w:rFonts w:ascii="Times New Roman" w:hAnsi="Times New Roman" w:cs="Times New Roman"/>
          <w:sz w:val="24"/>
          <w:szCs w:val="24"/>
        </w:rPr>
        <w:t xml:space="preserve"> </w:t>
      </w:r>
      <w:r w:rsidR="00E955D6" w:rsidRPr="00E955D6">
        <w:rPr>
          <w:rFonts w:ascii="Times New Roman" w:hAnsi="Times New Roman" w:cs="Times New Roman"/>
          <w:sz w:val="24"/>
          <w:szCs w:val="24"/>
        </w:rPr>
        <w:t xml:space="preserve">While traditional healing is based on ancient knowledge. </w:t>
      </w:r>
      <w:r w:rsidR="002C2592" w:rsidRPr="002C2592">
        <w:rPr>
          <w:rFonts w:ascii="Times New Roman" w:hAnsi="Times New Roman" w:cs="Times New Roman"/>
          <w:sz w:val="24"/>
          <w:szCs w:val="24"/>
        </w:rPr>
        <w:t xml:space="preserve">According to this point of view, the only method </w:t>
      </w:r>
      <w:r w:rsidR="00666E53">
        <w:rPr>
          <w:rFonts w:ascii="Times New Roman" w:hAnsi="Times New Roman" w:cs="Times New Roman"/>
          <w:sz w:val="24"/>
          <w:szCs w:val="24"/>
        </w:rPr>
        <w:t>of</w:t>
      </w:r>
      <w:r w:rsidR="002C2592" w:rsidRPr="002C2592">
        <w:rPr>
          <w:rFonts w:ascii="Times New Roman" w:hAnsi="Times New Roman" w:cs="Times New Roman"/>
          <w:sz w:val="24"/>
          <w:szCs w:val="24"/>
        </w:rPr>
        <w:t xml:space="preserve"> healing that is acceptable is one based on solid scientific evidence and controlled clinical studies</w:t>
      </w:r>
      <w:r w:rsidR="001B53CD">
        <w:rPr>
          <w:rFonts w:ascii="Times New Roman" w:hAnsi="Times New Roman" w:cs="Times New Roman"/>
          <w:sz w:val="24"/>
          <w:szCs w:val="24"/>
        </w:rPr>
        <w:t>.</w:t>
      </w:r>
      <w:r w:rsidR="001B53CD">
        <w:rPr>
          <w:rStyle w:val="FootnoteReference"/>
          <w:rFonts w:ascii="Times New Roman" w:hAnsi="Times New Roman" w:cs="Times New Roman"/>
          <w:sz w:val="24"/>
          <w:szCs w:val="24"/>
        </w:rPr>
        <w:footnoteReference w:id="7"/>
      </w:r>
    </w:p>
    <w:p w14:paraId="641C663A" w14:textId="0701B69C" w:rsidR="00945FFB" w:rsidRDefault="00EB500C" w:rsidP="00E65E30">
      <w:pPr>
        <w:spacing w:line="480" w:lineRule="auto"/>
        <w:ind w:firstLine="720"/>
        <w:rPr>
          <w:rFonts w:ascii="Times New Roman" w:hAnsi="Times New Roman" w:cs="Times New Roman"/>
          <w:sz w:val="24"/>
          <w:szCs w:val="24"/>
        </w:rPr>
      </w:pPr>
      <w:r w:rsidRPr="00EB500C">
        <w:rPr>
          <w:rFonts w:ascii="Times New Roman" w:hAnsi="Times New Roman" w:cs="Times New Roman"/>
          <w:sz w:val="24"/>
          <w:szCs w:val="24"/>
        </w:rPr>
        <w:t xml:space="preserve">This Biomedical approach to Traditional healing ignores the social and cultural aspects of their healing method. Traditional healing practises are strongly ingrained in local cultures and are frequently linked to religious and spiritual beliefs. It is emphasised that not all "productive" medications in Traditional healing obtain social acceptability, and that </w:t>
      </w:r>
      <w:r>
        <w:rPr>
          <w:rFonts w:ascii="Times New Roman" w:hAnsi="Times New Roman" w:cs="Times New Roman"/>
          <w:sz w:val="24"/>
          <w:szCs w:val="24"/>
        </w:rPr>
        <w:lastRenderedPageBreak/>
        <w:t>judgment</w:t>
      </w:r>
      <w:r w:rsidRPr="00EB500C">
        <w:rPr>
          <w:rFonts w:ascii="Times New Roman" w:hAnsi="Times New Roman" w:cs="Times New Roman"/>
          <w:sz w:val="24"/>
          <w:szCs w:val="24"/>
        </w:rPr>
        <w:t xml:space="preserve"> varies on the situation.</w:t>
      </w:r>
      <w:r>
        <w:rPr>
          <w:rStyle w:val="FootnoteReference"/>
          <w:rFonts w:ascii="Times New Roman" w:hAnsi="Times New Roman" w:cs="Times New Roman"/>
          <w:sz w:val="24"/>
          <w:szCs w:val="24"/>
        </w:rPr>
        <w:footnoteReference w:id="8"/>
      </w:r>
      <w:r w:rsidRPr="00EB500C">
        <w:rPr>
          <w:rFonts w:ascii="Times New Roman" w:hAnsi="Times New Roman" w:cs="Times New Roman"/>
          <w:sz w:val="24"/>
          <w:szCs w:val="24"/>
        </w:rPr>
        <w:t xml:space="preserve">  </w:t>
      </w:r>
      <w:r w:rsidR="006D6480" w:rsidRPr="006D6480">
        <w:rPr>
          <w:rFonts w:ascii="Times New Roman" w:hAnsi="Times New Roman" w:cs="Times New Roman"/>
          <w:sz w:val="24"/>
          <w:szCs w:val="24"/>
        </w:rPr>
        <w:t xml:space="preserve">It is emphasised that understanding present African Biomedicine begins with understanding how it was created. This demonstrates that traditional medicine dates back centuries to ancestral beliefs and </w:t>
      </w:r>
      <w:r w:rsidR="00D24098">
        <w:rPr>
          <w:rFonts w:ascii="Times New Roman" w:hAnsi="Times New Roman" w:cs="Times New Roman"/>
          <w:sz w:val="24"/>
          <w:szCs w:val="24"/>
        </w:rPr>
        <w:t>practices</w:t>
      </w:r>
      <w:r w:rsidR="006D6480" w:rsidRPr="006D6480">
        <w:rPr>
          <w:rFonts w:ascii="Times New Roman" w:hAnsi="Times New Roman" w:cs="Times New Roman"/>
          <w:sz w:val="24"/>
          <w:szCs w:val="24"/>
        </w:rPr>
        <w:t xml:space="preserve"> and should be respected even though it is not scientifically founded; it is part of a culture and should not be ignored or dismissed. It may be considered disrespectful to their culture because it has served them well for many years and they have been schooled to obey and trust their ancestors' </w:t>
      </w:r>
      <w:r w:rsidR="00D24098">
        <w:rPr>
          <w:rFonts w:ascii="Times New Roman" w:hAnsi="Times New Roman" w:cs="Times New Roman"/>
          <w:sz w:val="24"/>
          <w:szCs w:val="24"/>
        </w:rPr>
        <w:t>practices</w:t>
      </w:r>
      <w:r w:rsidR="006D6480" w:rsidRPr="006D6480">
        <w:rPr>
          <w:rFonts w:ascii="Times New Roman" w:hAnsi="Times New Roman" w:cs="Times New Roman"/>
          <w:sz w:val="24"/>
          <w:szCs w:val="24"/>
        </w:rPr>
        <w:t xml:space="preserve">. </w:t>
      </w:r>
      <w:r w:rsidR="004A7BB9" w:rsidRPr="004A7BB9">
        <w:rPr>
          <w:rFonts w:ascii="Times New Roman" w:hAnsi="Times New Roman" w:cs="Times New Roman"/>
          <w:sz w:val="24"/>
          <w:szCs w:val="24"/>
        </w:rPr>
        <w:t xml:space="preserve">It is also </w:t>
      </w:r>
      <w:r w:rsidR="00B925D9" w:rsidRPr="004A7BB9">
        <w:rPr>
          <w:rFonts w:ascii="Times New Roman" w:hAnsi="Times New Roman" w:cs="Times New Roman"/>
          <w:sz w:val="24"/>
          <w:szCs w:val="24"/>
        </w:rPr>
        <w:t>accentuated</w:t>
      </w:r>
      <w:r w:rsidR="004A7BB9" w:rsidRPr="004A7BB9">
        <w:rPr>
          <w:rFonts w:ascii="Times New Roman" w:hAnsi="Times New Roman" w:cs="Times New Roman"/>
          <w:sz w:val="24"/>
          <w:szCs w:val="24"/>
        </w:rPr>
        <w:t xml:space="preserve"> that even if Western Biomedicine could be transmitted in a mythical "pure" Western form, the long-term impact of its arrival would still be governed by local factors.</w:t>
      </w:r>
      <w:r w:rsidR="004A7BB9">
        <w:rPr>
          <w:rStyle w:val="FootnoteReference"/>
          <w:rFonts w:ascii="Times New Roman" w:hAnsi="Times New Roman" w:cs="Times New Roman"/>
          <w:sz w:val="24"/>
          <w:szCs w:val="24"/>
        </w:rPr>
        <w:footnoteReference w:id="9"/>
      </w:r>
      <w:r w:rsidR="00945FFB">
        <w:rPr>
          <w:rFonts w:ascii="Times New Roman" w:hAnsi="Times New Roman" w:cs="Times New Roman"/>
          <w:sz w:val="24"/>
          <w:szCs w:val="24"/>
        </w:rPr>
        <w:t xml:space="preserve"> </w:t>
      </w:r>
      <w:r w:rsidR="00945FFB" w:rsidRPr="00945FFB">
        <w:rPr>
          <w:rFonts w:ascii="Times New Roman" w:hAnsi="Times New Roman" w:cs="Times New Roman"/>
          <w:sz w:val="24"/>
          <w:szCs w:val="24"/>
        </w:rPr>
        <w:t>They are also inextricably related to social structures and relationships, with healers playing crucial roles as community leaders and mediators. Traditional healers may be viewed as having an important role in the health and well-being of their communities from a societal standpoint.</w:t>
      </w:r>
      <w:r w:rsidR="007A23EB">
        <w:rPr>
          <w:rStyle w:val="FootnoteReference"/>
          <w:rFonts w:ascii="Times New Roman" w:hAnsi="Times New Roman" w:cs="Times New Roman"/>
          <w:sz w:val="24"/>
          <w:szCs w:val="24"/>
        </w:rPr>
        <w:footnoteReference w:id="10"/>
      </w:r>
    </w:p>
    <w:p w14:paraId="2C7D3BA7" w14:textId="0A1A69CB" w:rsidR="00F813F4" w:rsidRPr="003336CD" w:rsidRDefault="00F813F4" w:rsidP="00E65E30">
      <w:pPr>
        <w:spacing w:line="480" w:lineRule="auto"/>
        <w:ind w:firstLine="720"/>
      </w:pPr>
      <w:r>
        <w:rPr>
          <w:rFonts w:ascii="Times New Roman" w:hAnsi="Times New Roman" w:cs="Times New Roman"/>
          <w:sz w:val="24"/>
          <w:szCs w:val="24"/>
        </w:rPr>
        <w:t xml:space="preserve">Philosophy is defined as </w:t>
      </w:r>
      <w:r w:rsidRPr="003336CD">
        <w:rPr>
          <w:rFonts w:ascii="Times New Roman" w:hAnsi="Times New Roman" w:cs="Times New Roman"/>
          <w:sz w:val="24"/>
          <w:szCs w:val="24"/>
        </w:rPr>
        <w:t xml:space="preserve">the use of reason in understanding such things as the nature of the real world and existence, the use and limits of knowledge, and the principles of moral </w:t>
      </w:r>
      <w:r w:rsidRPr="003336CD">
        <w:rPr>
          <w:rFonts w:ascii="Times New Roman" w:hAnsi="Times New Roman" w:cs="Times New Roman"/>
          <w:sz w:val="24"/>
          <w:szCs w:val="24"/>
        </w:rPr>
        <w:lastRenderedPageBreak/>
        <w:t>judgmen</w:t>
      </w:r>
      <w:r>
        <w:rPr>
          <w:rFonts w:ascii="Times New Roman" w:hAnsi="Times New Roman" w:cs="Times New Roman"/>
          <w:sz w:val="24"/>
          <w:szCs w:val="24"/>
        </w:rPr>
        <w:t>t.</w:t>
      </w:r>
      <w:r w:rsidR="00464326">
        <w:rPr>
          <w:rStyle w:val="FootnoteReference"/>
          <w:rFonts w:ascii="Times New Roman" w:hAnsi="Times New Roman" w:cs="Times New Roman"/>
          <w:sz w:val="24"/>
          <w:szCs w:val="24"/>
        </w:rPr>
        <w:footnoteReference w:id="11"/>
      </w:r>
      <w:r w:rsidR="002101EA">
        <w:rPr>
          <w:rFonts w:ascii="Times New Roman" w:hAnsi="Times New Roman" w:cs="Times New Roman"/>
          <w:sz w:val="24"/>
          <w:szCs w:val="24"/>
        </w:rPr>
        <w:t xml:space="preserve"> </w:t>
      </w:r>
      <w:r w:rsidR="002101EA" w:rsidRPr="002101EA">
        <w:rPr>
          <w:rFonts w:ascii="Times New Roman" w:hAnsi="Times New Roman" w:cs="Times New Roman"/>
          <w:sz w:val="24"/>
          <w:szCs w:val="24"/>
        </w:rPr>
        <w:t>The contrast between biological and traditional therapeutic practises raises significant philosophical problems concerning the nature of knowledge and competence. Knowledge, according to philosophy, is not restricted to scientific facts and theories, but can also be obtained from human experience, intuition, and cultural traditions.</w:t>
      </w:r>
      <w:r w:rsidR="00502B0D">
        <w:rPr>
          <w:rFonts w:ascii="Times New Roman" w:hAnsi="Times New Roman" w:cs="Times New Roman"/>
          <w:sz w:val="24"/>
          <w:szCs w:val="24"/>
        </w:rPr>
        <w:t xml:space="preserve"> Therefore</w:t>
      </w:r>
      <w:r w:rsidR="00502B0D" w:rsidRPr="00502B0D">
        <w:rPr>
          <w:rFonts w:ascii="Times New Roman" w:hAnsi="Times New Roman" w:cs="Times New Roman"/>
          <w:sz w:val="24"/>
          <w:szCs w:val="24"/>
        </w:rPr>
        <w:t>, from a philosophical standpoint, Traditional medicine is not incorrect, and even though the processes have not been scientifically tested and proven, it can still be used as a form of healing. This demonstrates that, even if science has not proven it, decades of practise can still be right.</w:t>
      </w:r>
      <w:r w:rsidR="00502B0D">
        <w:rPr>
          <w:rFonts w:ascii="Times New Roman" w:hAnsi="Times New Roman" w:cs="Times New Roman"/>
          <w:sz w:val="24"/>
          <w:szCs w:val="24"/>
        </w:rPr>
        <w:t xml:space="preserve"> </w:t>
      </w:r>
      <w:r w:rsidR="00667B5F" w:rsidRPr="00667B5F">
        <w:rPr>
          <w:rFonts w:ascii="Times New Roman" w:hAnsi="Times New Roman" w:cs="Times New Roman"/>
          <w:sz w:val="24"/>
          <w:szCs w:val="24"/>
        </w:rPr>
        <w:t>Philosophers have observed that biomedicine, particularly evidence-based medicine, places advocates of such non-biomedical systems in a no-win situation. One such philosophical problem is that some non-biomedical system assertions are stated to be non-measurable experiences.</w:t>
      </w:r>
      <w:r w:rsidR="000F5D73" w:rsidRPr="000F5D73">
        <w:rPr>
          <w:rStyle w:val="FootnoteReference"/>
          <w:rFonts w:ascii="Times New Roman" w:hAnsi="Times New Roman" w:cs="Times New Roman"/>
          <w:sz w:val="24"/>
          <w:szCs w:val="24"/>
        </w:rPr>
        <w:t xml:space="preserve"> </w:t>
      </w:r>
      <w:r w:rsidR="000F5D73">
        <w:rPr>
          <w:rStyle w:val="FootnoteReference"/>
          <w:rFonts w:ascii="Times New Roman" w:hAnsi="Times New Roman" w:cs="Times New Roman"/>
          <w:sz w:val="24"/>
          <w:szCs w:val="24"/>
        </w:rPr>
        <w:footnoteReference w:id="12"/>
      </w:r>
      <w:r w:rsidR="00D92850">
        <w:rPr>
          <w:rFonts w:ascii="Times New Roman" w:hAnsi="Times New Roman" w:cs="Times New Roman"/>
          <w:sz w:val="24"/>
          <w:szCs w:val="24"/>
        </w:rPr>
        <w:t xml:space="preserve"> </w:t>
      </w:r>
      <w:r w:rsidR="00142DF7" w:rsidRPr="00142DF7">
        <w:rPr>
          <w:rFonts w:ascii="Times New Roman" w:hAnsi="Times New Roman" w:cs="Times New Roman"/>
          <w:sz w:val="24"/>
          <w:szCs w:val="24"/>
        </w:rPr>
        <w:t xml:space="preserve">Traditional and complementary medicine have been demonstrated to improve </w:t>
      </w:r>
      <w:r w:rsidR="00142DF7">
        <w:rPr>
          <w:rFonts w:ascii="Times New Roman" w:hAnsi="Times New Roman" w:cs="Times New Roman"/>
          <w:sz w:val="24"/>
          <w:szCs w:val="24"/>
        </w:rPr>
        <w:t xml:space="preserve">the </w:t>
      </w:r>
      <w:r w:rsidR="00142DF7" w:rsidRPr="00142DF7">
        <w:rPr>
          <w:rFonts w:ascii="Times New Roman" w:hAnsi="Times New Roman" w:cs="Times New Roman"/>
          <w:sz w:val="24"/>
          <w:szCs w:val="24"/>
        </w:rPr>
        <w:t xml:space="preserve">quality of life in studies. To address the Region's rapidly </w:t>
      </w:r>
      <w:r w:rsidR="00142DF7">
        <w:rPr>
          <w:rFonts w:ascii="Times New Roman" w:hAnsi="Times New Roman" w:cs="Times New Roman"/>
          <w:sz w:val="24"/>
          <w:szCs w:val="24"/>
        </w:rPr>
        <w:t>aging</w:t>
      </w:r>
      <w:r w:rsidR="00142DF7" w:rsidRPr="00142DF7">
        <w:rPr>
          <w:rFonts w:ascii="Times New Roman" w:hAnsi="Times New Roman" w:cs="Times New Roman"/>
          <w:sz w:val="24"/>
          <w:szCs w:val="24"/>
        </w:rPr>
        <w:t xml:space="preserve"> population and rise in noncommunicable diseases, the promotion and development of traditional and complementary medicine can aid in the change from a </w:t>
      </w:r>
      <w:r w:rsidR="00142DF7">
        <w:rPr>
          <w:rFonts w:ascii="Times New Roman" w:hAnsi="Times New Roman" w:cs="Times New Roman"/>
          <w:sz w:val="24"/>
          <w:szCs w:val="24"/>
        </w:rPr>
        <w:t>disease-centred</w:t>
      </w:r>
      <w:r w:rsidR="00142DF7" w:rsidRPr="00142DF7">
        <w:rPr>
          <w:rFonts w:ascii="Times New Roman" w:hAnsi="Times New Roman" w:cs="Times New Roman"/>
          <w:sz w:val="24"/>
          <w:szCs w:val="24"/>
        </w:rPr>
        <w:t xml:space="preserve"> to a person- and </w:t>
      </w:r>
      <w:r w:rsidR="00142DF7">
        <w:rPr>
          <w:rFonts w:ascii="Times New Roman" w:hAnsi="Times New Roman" w:cs="Times New Roman"/>
          <w:sz w:val="24"/>
          <w:szCs w:val="24"/>
        </w:rPr>
        <w:t>community-</w:t>
      </w:r>
      <w:r w:rsidR="00274700">
        <w:rPr>
          <w:rFonts w:ascii="Times New Roman" w:hAnsi="Times New Roman" w:cs="Times New Roman"/>
          <w:sz w:val="24"/>
          <w:szCs w:val="24"/>
        </w:rPr>
        <w:t>centred</w:t>
      </w:r>
      <w:r w:rsidR="00142DF7" w:rsidRPr="00142DF7">
        <w:rPr>
          <w:rFonts w:ascii="Times New Roman" w:hAnsi="Times New Roman" w:cs="Times New Roman"/>
          <w:sz w:val="24"/>
          <w:szCs w:val="24"/>
        </w:rPr>
        <w:t xml:space="preserve"> approach to health. However, access to and availability of traditional and complementary medicine varies across the Region, and their evidence-based use is not fully </w:t>
      </w:r>
      <w:r w:rsidR="00142DF7" w:rsidRPr="00142DF7">
        <w:rPr>
          <w:rFonts w:ascii="Times New Roman" w:hAnsi="Times New Roman" w:cs="Times New Roman"/>
          <w:sz w:val="24"/>
          <w:szCs w:val="24"/>
        </w:rPr>
        <w:lastRenderedPageBreak/>
        <w:t>optimised.</w:t>
      </w:r>
      <w:r w:rsidR="00F00B74">
        <w:rPr>
          <w:rStyle w:val="FootnoteReference"/>
          <w:rFonts w:ascii="Times New Roman" w:hAnsi="Times New Roman" w:cs="Times New Roman"/>
          <w:sz w:val="24"/>
          <w:szCs w:val="24"/>
        </w:rPr>
        <w:footnoteReference w:id="13"/>
      </w:r>
      <w:r w:rsidR="00142DF7">
        <w:rPr>
          <w:rFonts w:ascii="Times New Roman" w:hAnsi="Times New Roman" w:cs="Times New Roman"/>
          <w:sz w:val="24"/>
          <w:szCs w:val="24"/>
        </w:rPr>
        <w:t xml:space="preserve"> </w:t>
      </w:r>
      <w:r w:rsidR="008509FA" w:rsidRPr="008509FA">
        <w:rPr>
          <w:rFonts w:ascii="Times New Roman" w:hAnsi="Times New Roman" w:cs="Times New Roman"/>
          <w:sz w:val="24"/>
          <w:szCs w:val="24"/>
        </w:rPr>
        <w:t>Traditional healers may have information that differs from that of biomedical practitioners, knowledge that is founded on years of accumulated expertise and experience. It may be impossible to define or measure this information, but it should not be discarded as unscientific or unreasonable.</w:t>
      </w:r>
    </w:p>
    <w:p w14:paraId="67C737D7" w14:textId="2B129637" w:rsidR="00906B2A" w:rsidRDefault="00292517" w:rsidP="00E65E30">
      <w:pPr>
        <w:spacing w:line="480" w:lineRule="auto"/>
        <w:ind w:firstLine="720"/>
        <w:rPr>
          <w:rFonts w:ascii="Times New Roman" w:hAnsi="Times New Roman" w:cs="Times New Roman"/>
          <w:sz w:val="24"/>
          <w:szCs w:val="24"/>
        </w:rPr>
      </w:pPr>
      <w:r w:rsidRPr="00292517">
        <w:rPr>
          <w:rFonts w:ascii="Times New Roman" w:hAnsi="Times New Roman" w:cs="Times New Roman"/>
          <w:sz w:val="24"/>
          <w:szCs w:val="24"/>
        </w:rPr>
        <w:t>Each approach to Medicine vs Witchcraft is essentially a cross-reference between science and belief. This demonstrates how differing perspectives and views may have an impact on societies, whether culturally, spiritually, or mentally. It demonstrates the impact that ancestors have on their communities, as well as the impact that science has on its students. This forms a boundary between scientific believers and those who believe in traditional medicine, creating an exciting debate in which each side has a valid reason for why their method of treatment is superior.</w:t>
      </w:r>
      <w:r w:rsidR="00070107" w:rsidRPr="00070107">
        <w:t xml:space="preserve"> </w:t>
      </w:r>
      <w:r w:rsidR="00070107" w:rsidRPr="00070107">
        <w:rPr>
          <w:rFonts w:ascii="Times New Roman" w:hAnsi="Times New Roman" w:cs="Times New Roman"/>
          <w:sz w:val="24"/>
          <w:szCs w:val="24"/>
        </w:rPr>
        <w:t>This is an understandable debate between the two points of view, because some patients may feel more at ease receiving Biomedical treatment or scientifically proven treatment because it has been proven to be accurate and a cure is guaranteed with evidence to back it up, or because they do not trust Traditional medicine. However, in the case of Traditional medicine, some patients may prefer this method of treatment due to its historical significance in their family, whether it has been passed down from generation to generation, and they trust this method over treatment from a biomedical standpoint.</w:t>
      </w:r>
      <w:r w:rsidR="00AB6369">
        <w:rPr>
          <w:rFonts w:ascii="Times New Roman" w:hAnsi="Times New Roman" w:cs="Times New Roman"/>
          <w:sz w:val="24"/>
          <w:szCs w:val="24"/>
        </w:rPr>
        <w:t xml:space="preserve"> </w:t>
      </w:r>
      <w:r w:rsidR="00AB6369" w:rsidRPr="00AB6369">
        <w:rPr>
          <w:rFonts w:ascii="Times New Roman" w:hAnsi="Times New Roman" w:cs="Times New Roman"/>
          <w:sz w:val="24"/>
          <w:szCs w:val="24"/>
        </w:rPr>
        <w:t>Many factors can influence why patients choose Traditional medicine over other treatments,</w:t>
      </w:r>
      <w:r w:rsidR="00C81052">
        <w:rPr>
          <w:rFonts w:ascii="Times New Roman" w:hAnsi="Times New Roman" w:cs="Times New Roman"/>
          <w:sz w:val="24"/>
          <w:szCs w:val="24"/>
        </w:rPr>
        <w:t xml:space="preserve"> t</w:t>
      </w:r>
      <w:r w:rsidR="00C81052" w:rsidRPr="00C81052">
        <w:rPr>
          <w:rFonts w:ascii="Times New Roman" w:hAnsi="Times New Roman" w:cs="Times New Roman"/>
          <w:sz w:val="24"/>
          <w:szCs w:val="24"/>
        </w:rPr>
        <w:t xml:space="preserve">his is a sign of importance to people who are part of this society, </w:t>
      </w:r>
      <w:r w:rsidR="00616DF6" w:rsidRPr="00C81052">
        <w:rPr>
          <w:rFonts w:ascii="Times New Roman" w:hAnsi="Times New Roman" w:cs="Times New Roman"/>
          <w:sz w:val="24"/>
          <w:szCs w:val="24"/>
        </w:rPr>
        <w:t>considering</w:t>
      </w:r>
      <w:r w:rsidR="00C81052" w:rsidRPr="00C81052">
        <w:rPr>
          <w:rFonts w:ascii="Times New Roman" w:hAnsi="Times New Roman" w:cs="Times New Roman"/>
          <w:sz w:val="24"/>
          <w:szCs w:val="24"/>
        </w:rPr>
        <w:t xml:space="preserve"> the cultural and social variables discussed previously.</w:t>
      </w:r>
      <w:r w:rsidR="00C81052">
        <w:rPr>
          <w:rFonts w:ascii="Times New Roman" w:hAnsi="Times New Roman" w:cs="Times New Roman"/>
          <w:sz w:val="24"/>
          <w:szCs w:val="24"/>
        </w:rPr>
        <w:t xml:space="preserve"> </w:t>
      </w:r>
      <w:r w:rsidR="0067390A" w:rsidRPr="0067390A">
        <w:rPr>
          <w:rFonts w:ascii="Times New Roman" w:hAnsi="Times New Roman" w:cs="Times New Roman"/>
          <w:sz w:val="24"/>
          <w:szCs w:val="24"/>
        </w:rPr>
        <w:t xml:space="preserve">The patient should be permitted to choose the treatment they choose without being judged. </w:t>
      </w:r>
      <w:r w:rsidR="00BD6A93">
        <w:rPr>
          <w:rFonts w:ascii="Times New Roman" w:hAnsi="Times New Roman" w:cs="Times New Roman"/>
          <w:sz w:val="24"/>
          <w:szCs w:val="24"/>
        </w:rPr>
        <w:t>This is s</w:t>
      </w:r>
      <w:r w:rsidR="00C64E9A">
        <w:rPr>
          <w:rFonts w:ascii="Times New Roman" w:hAnsi="Times New Roman" w:cs="Times New Roman"/>
          <w:sz w:val="24"/>
          <w:szCs w:val="24"/>
        </w:rPr>
        <w:t>een in an article</w:t>
      </w:r>
      <w:r w:rsidR="00A9073A">
        <w:rPr>
          <w:rFonts w:ascii="Times New Roman" w:hAnsi="Times New Roman" w:cs="Times New Roman"/>
          <w:sz w:val="24"/>
          <w:szCs w:val="24"/>
        </w:rPr>
        <w:t xml:space="preserve"> where a</w:t>
      </w:r>
      <w:r w:rsidR="00A9073A" w:rsidRPr="00A9073A">
        <w:rPr>
          <w:rFonts w:ascii="Times New Roman" w:hAnsi="Times New Roman" w:cs="Times New Roman"/>
          <w:sz w:val="24"/>
          <w:szCs w:val="24"/>
        </w:rPr>
        <w:t xml:space="preserve"> pharmacy </w:t>
      </w:r>
      <w:r w:rsidR="00A9073A" w:rsidRPr="00A9073A">
        <w:rPr>
          <w:rFonts w:ascii="Times New Roman" w:hAnsi="Times New Roman" w:cs="Times New Roman"/>
          <w:sz w:val="24"/>
          <w:szCs w:val="24"/>
        </w:rPr>
        <w:lastRenderedPageBreak/>
        <w:t xml:space="preserve">technician at a clinic said that her workplace provides both conventional and traditional medical care. She notes that many clients choose traditional medications and that they have their own consulting area, as do the orthodox. Certain conditions, such as sickle cell </w:t>
      </w:r>
      <w:r w:rsidR="00D96DA5">
        <w:rPr>
          <w:rFonts w:ascii="Times New Roman" w:hAnsi="Times New Roman" w:cs="Times New Roman"/>
          <w:sz w:val="24"/>
          <w:szCs w:val="24"/>
        </w:rPr>
        <w:t>anaemia</w:t>
      </w:r>
      <w:r w:rsidR="00A9073A" w:rsidRPr="00A9073A">
        <w:rPr>
          <w:rFonts w:ascii="Times New Roman" w:hAnsi="Times New Roman" w:cs="Times New Roman"/>
          <w:sz w:val="24"/>
          <w:szCs w:val="24"/>
        </w:rPr>
        <w:t>, diabetes, and hypertension, are thought to be better treated by traditional medicine.</w:t>
      </w:r>
      <w:r w:rsidR="00D96DA5">
        <w:rPr>
          <w:rFonts w:ascii="Times New Roman" w:hAnsi="Times New Roman" w:cs="Times New Roman"/>
          <w:sz w:val="24"/>
          <w:szCs w:val="24"/>
        </w:rPr>
        <w:t xml:space="preserve"> </w:t>
      </w:r>
      <w:r w:rsidR="006B0A85" w:rsidRPr="006B0A85">
        <w:rPr>
          <w:rFonts w:ascii="Times New Roman" w:hAnsi="Times New Roman" w:cs="Times New Roman"/>
          <w:sz w:val="24"/>
          <w:szCs w:val="24"/>
        </w:rPr>
        <w:t xml:space="preserve">The World Health Organisation has created technical tools and recommendations to assist African countries in incorporating traditional medicine into their </w:t>
      </w:r>
      <w:r w:rsidR="00D96DA5">
        <w:rPr>
          <w:rFonts w:ascii="Times New Roman" w:hAnsi="Times New Roman" w:cs="Times New Roman"/>
          <w:sz w:val="24"/>
          <w:szCs w:val="24"/>
        </w:rPr>
        <w:t>healthcare</w:t>
      </w:r>
      <w:r w:rsidR="006B0A85" w:rsidRPr="006B0A85">
        <w:rPr>
          <w:rFonts w:ascii="Times New Roman" w:hAnsi="Times New Roman" w:cs="Times New Roman"/>
          <w:sz w:val="24"/>
          <w:szCs w:val="24"/>
        </w:rPr>
        <w:t xml:space="preserve"> systems. 40 nations have established national policies and legal frameworks for traditional </w:t>
      </w:r>
      <w:r w:rsidR="00D96DA5">
        <w:rPr>
          <w:rFonts w:ascii="Times New Roman" w:hAnsi="Times New Roman" w:cs="Times New Roman"/>
          <w:sz w:val="24"/>
          <w:szCs w:val="24"/>
        </w:rPr>
        <w:t>healthcare</w:t>
      </w:r>
      <w:r w:rsidR="006B0A85" w:rsidRPr="006B0A85">
        <w:rPr>
          <w:rFonts w:ascii="Times New Roman" w:hAnsi="Times New Roman" w:cs="Times New Roman"/>
          <w:sz w:val="24"/>
          <w:szCs w:val="24"/>
        </w:rPr>
        <w:t xml:space="preserve"> practise, which serve as action plans to ensure access to high-quality traditional medicine items. These materials aid in the scientific confirmation of the safety, efficacy, and quality of African herbal medicine products.</w:t>
      </w:r>
      <w:r w:rsidR="00C80E55">
        <w:rPr>
          <w:rStyle w:val="FootnoteReference"/>
          <w:rFonts w:ascii="Times New Roman" w:hAnsi="Times New Roman" w:cs="Times New Roman"/>
          <w:sz w:val="24"/>
          <w:szCs w:val="24"/>
        </w:rPr>
        <w:footnoteReference w:id="14"/>
      </w:r>
      <w:r w:rsidR="00C80E55">
        <w:rPr>
          <w:rFonts w:ascii="Times New Roman" w:hAnsi="Times New Roman" w:cs="Times New Roman"/>
          <w:sz w:val="24"/>
          <w:szCs w:val="24"/>
        </w:rPr>
        <w:t xml:space="preserve"> </w:t>
      </w:r>
      <w:r w:rsidR="00AB6369" w:rsidRPr="00AB6369">
        <w:rPr>
          <w:rFonts w:ascii="Times New Roman" w:hAnsi="Times New Roman" w:cs="Times New Roman"/>
          <w:sz w:val="24"/>
          <w:szCs w:val="24"/>
        </w:rPr>
        <w:t>The fact that both Traditional Medicine and Biomedicine have worked for communities over the years demonstrates that, while one may be riskier than the other, there may be no wrong choice in treatment because it has worked for both sides over the years.</w:t>
      </w:r>
    </w:p>
    <w:p w14:paraId="399003EB" w14:textId="2837141C" w:rsidR="006D6480" w:rsidRPr="006D6480" w:rsidRDefault="0042089E" w:rsidP="00E65E30">
      <w:pPr>
        <w:spacing w:line="480" w:lineRule="auto"/>
        <w:ind w:firstLine="720"/>
        <w:rPr>
          <w:rFonts w:ascii="Times New Roman" w:hAnsi="Times New Roman" w:cs="Times New Roman"/>
          <w:sz w:val="24"/>
          <w:szCs w:val="24"/>
        </w:rPr>
      </w:pPr>
      <w:r>
        <w:rPr>
          <w:rFonts w:ascii="Times New Roman" w:hAnsi="Times New Roman" w:cs="Times New Roman"/>
          <w:sz w:val="24"/>
          <w:szCs w:val="24"/>
        </w:rPr>
        <w:t>In conclusion</w:t>
      </w:r>
      <w:r w:rsidRPr="0042089E">
        <w:rPr>
          <w:rFonts w:ascii="Times New Roman" w:hAnsi="Times New Roman" w:cs="Times New Roman"/>
          <w:sz w:val="24"/>
          <w:szCs w:val="24"/>
        </w:rPr>
        <w:t>, the case study of traditional healers in Ghana exemplifies the intricate interplay of biological, social, and philosophical approaches to ethnomedicine. While biomedical practitioners may dismiss traditional healing practises as superstitious and potentially harmful, a more nuanced approach acknowledges the role of cultural context, social relationships, and personal experience in shaping health and healing practises.</w:t>
      </w:r>
      <w:r w:rsidR="00AA1831">
        <w:rPr>
          <w:rFonts w:ascii="Times New Roman" w:hAnsi="Times New Roman" w:cs="Times New Roman"/>
          <w:sz w:val="24"/>
          <w:szCs w:val="24"/>
        </w:rPr>
        <w:t xml:space="preserve"> </w:t>
      </w:r>
      <w:r w:rsidR="00AF7BD2" w:rsidRPr="00AF7BD2">
        <w:rPr>
          <w:rFonts w:ascii="Times New Roman" w:hAnsi="Times New Roman" w:cs="Times New Roman"/>
          <w:sz w:val="24"/>
          <w:szCs w:val="24"/>
        </w:rPr>
        <w:t xml:space="preserve">Traditional healers are widely recognised and sought after in Ghana for their healing talents. Biomedical practitioners frequently perceive them as unscientific and dangerous, ignoring the social and cultural aspects of the healing process. This gap between biological and </w:t>
      </w:r>
      <w:r w:rsidR="00AF7BD2" w:rsidRPr="00AF7BD2">
        <w:rPr>
          <w:rFonts w:ascii="Times New Roman" w:hAnsi="Times New Roman" w:cs="Times New Roman"/>
          <w:sz w:val="24"/>
          <w:szCs w:val="24"/>
        </w:rPr>
        <w:lastRenderedPageBreak/>
        <w:t xml:space="preserve">conventional therapeutic practises raises philosophical questions about the nature of knowledge and competence. Medicine vs Witchcraft is a comparison between science and </w:t>
      </w:r>
      <w:r w:rsidR="00AF7BD2" w:rsidRPr="00AF7BD2">
        <w:rPr>
          <w:rFonts w:ascii="Times New Roman" w:hAnsi="Times New Roman" w:cs="Times New Roman"/>
          <w:sz w:val="24"/>
          <w:szCs w:val="24"/>
        </w:rPr>
        <w:t>religion.</w:t>
      </w:r>
      <w:r w:rsidR="00AF7BD2" w:rsidRPr="005F11D6">
        <w:rPr>
          <w:rFonts w:ascii="Times New Roman" w:hAnsi="Times New Roman" w:cs="Times New Roman"/>
          <w:sz w:val="24"/>
          <w:szCs w:val="24"/>
        </w:rPr>
        <w:t xml:space="preserve"> Better</w:t>
      </w:r>
      <w:r w:rsidR="005F11D6" w:rsidRPr="005F11D6">
        <w:rPr>
          <w:rFonts w:ascii="Times New Roman" w:hAnsi="Times New Roman" w:cs="Times New Roman"/>
          <w:sz w:val="24"/>
          <w:szCs w:val="24"/>
        </w:rPr>
        <w:t xml:space="preserve"> health outcomes and greater respect for varied kinds of medical knowledge and practise can be promoted by taking a more holistic and culturally sensitive approach to ethnomedicine.</w:t>
      </w:r>
    </w:p>
    <w:p w14:paraId="64F31374" w14:textId="77777777" w:rsidR="006D6480" w:rsidRPr="006D6480" w:rsidRDefault="006D6480" w:rsidP="00E65E30">
      <w:pPr>
        <w:spacing w:line="480" w:lineRule="auto"/>
        <w:ind w:firstLine="720"/>
        <w:rPr>
          <w:rFonts w:ascii="Times New Roman" w:hAnsi="Times New Roman" w:cs="Times New Roman"/>
          <w:sz w:val="24"/>
          <w:szCs w:val="24"/>
        </w:rPr>
      </w:pPr>
    </w:p>
    <w:p w14:paraId="5C3E351C" w14:textId="77777777" w:rsidR="006D6480" w:rsidRPr="006D6480" w:rsidRDefault="006D6480" w:rsidP="00E65E30">
      <w:pPr>
        <w:spacing w:line="480" w:lineRule="auto"/>
        <w:ind w:firstLine="720"/>
        <w:rPr>
          <w:rFonts w:ascii="Times New Roman" w:hAnsi="Times New Roman" w:cs="Times New Roman"/>
          <w:sz w:val="24"/>
          <w:szCs w:val="24"/>
        </w:rPr>
      </w:pPr>
    </w:p>
    <w:p w14:paraId="10CA5290" w14:textId="5988698F" w:rsidR="00EB500C" w:rsidRPr="00EB500C" w:rsidRDefault="00EB500C" w:rsidP="00E65E30">
      <w:pPr>
        <w:spacing w:line="480" w:lineRule="auto"/>
        <w:ind w:firstLine="720"/>
        <w:rPr>
          <w:rFonts w:ascii="Times New Roman" w:hAnsi="Times New Roman" w:cs="Times New Roman"/>
          <w:sz w:val="24"/>
          <w:szCs w:val="24"/>
        </w:rPr>
      </w:pPr>
    </w:p>
    <w:p w14:paraId="3CCE28DE" w14:textId="77777777" w:rsidR="00EB500C" w:rsidRPr="00EB500C" w:rsidRDefault="00EB500C" w:rsidP="00E65E30">
      <w:pPr>
        <w:spacing w:line="480" w:lineRule="auto"/>
        <w:ind w:firstLine="720"/>
        <w:rPr>
          <w:rFonts w:ascii="Times New Roman" w:hAnsi="Times New Roman" w:cs="Times New Roman"/>
          <w:sz w:val="24"/>
          <w:szCs w:val="24"/>
        </w:rPr>
      </w:pPr>
    </w:p>
    <w:p w14:paraId="4C029C39" w14:textId="77777777" w:rsidR="00EB500C" w:rsidRPr="00EB500C" w:rsidRDefault="00EB500C" w:rsidP="00E65E30">
      <w:pPr>
        <w:spacing w:line="480" w:lineRule="auto"/>
        <w:ind w:firstLine="720"/>
        <w:rPr>
          <w:rFonts w:ascii="Times New Roman" w:hAnsi="Times New Roman" w:cs="Times New Roman"/>
          <w:sz w:val="24"/>
          <w:szCs w:val="24"/>
        </w:rPr>
      </w:pPr>
    </w:p>
    <w:p w14:paraId="42ECF205" w14:textId="77777777" w:rsidR="00EB500C" w:rsidRDefault="00EB500C" w:rsidP="0043039A">
      <w:pPr>
        <w:ind w:firstLine="720"/>
        <w:rPr>
          <w:rFonts w:ascii="Times New Roman" w:hAnsi="Times New Roman" w:cs="Times New Roman"/>
          <w:sz w:val="24"/>
          <w:szCs w:val="24"/>
        </w:rPr>
      </w:pPr>
    </w:p>
    <w:p w14:paraId="27DDFA94" w14:textId="77777777" w:rsidR="00F22BDE" w:rsidRDefault="00F22BDE" w:rsidP="0043039A">
      <w:pPr>
        <w:ind w:firstLine="720"/>
        <w:rPr>
          <w:rFonts w:ascii="Times New Roman" w:hAnsi="Times New Roman" w:cs="Times New Roman"/>
          <w:sz w:val="24"/>
          <w:szCs w:val="24"/>
        </w:rPr>
      </w:pPr>
    </w:p>
    <w:p w14:paraId="4B5DDB17" w14:textId="77777777" w:rsidR="00E955D6" w:rsidRPr="00555BFE" w:rsidRDefault="00E955D6" w:rsidP="0043039A">
      <w:pPr>
        <w:ind w:firstLine="720"/>
        <w:rPr>
          <w:rFonts w:ascii="Times New Roman" w:hAnsi="Times New Roman" w:cs="Times New Roman"/>
          <w:sz w:val="24"/>
          <w:szCs w:val="24"/>
        </w:rPr>
      </w:pPr>
    </w:p>
    <w:p w14:paraId="0ACBC39C" w14:textId="02CBA085" w:rsidR="005A3233" w:rsidRDefault="005A3233" w:rsidP="00491C45">
      <w:pPr>
        <w:spacing w:line="240" w:lineRule="auto"/>
        <w:rPr>
          <w:rFonts w:ascii="Times New Roman" w:hAnsi="Times New Roman" w:cs="Times New Roman"/>
          <w:sz w:val="24"/>
          <w:szCs w:val="24"/>
        </w:rPr>
      </w:pPr>
    </w:p>
    <w:p w14:paraId="58D9D160" w14:textId="37423F85" w:rsidR="00ED74BF" w:rsidRDefault="00ED74BF" w:rsidP="00491C45">
      <w:pPr>
        <w:spacing w:line="240" w:lineRule="auto"/>
        <w:rPr>
          <w:rFonts w:ascii="Times New Roman" w:hAnsi="Times New Roman" w:cs="Times New Roman"/>
          <w:sz w:val="24"/>
          <w:szCs w:val="24"/>
        </w:rPr>
      </w:pPr>
    </w:p>
    <w:p w14:paraId="038BB487" w14:textId="21993F0A" w:rsidR="00ED74BF" w:rsidRDefault="00ED74BF" w:rsidP="00491C45">
      <w:pPr>
        <w:spacing w:line="240" w:lineRule="auto"/>
        <w:rPr>
          <w:rFonts w:ascii="Times New Roman" w:hAnsi="Times New Roman" w:cs="Times New Roman"/>
          <w:sz w:val="24"/>
          <w:szCs w:val="24"/>
        </w:rPr>
      </w:pPr>
    </w:p>
    <w:p w14:paraId="0F142B9E" w14:textId="13D9FCBB" w:rsidR="00ED74BF" w:rsidRDefault="00ED74BF" w:rsidP="00491C45">
      <w:pPr>
        <w:spacing w:line="240" w:lineRule="auto"/>
        <w:rPr>
          <w:rFonts w:ascii="Times New Roman" w:hAnsi="Times New Roman" w:cs="Times New Roman"/>
          <w:sz w:val="24"/>
          <w:szCs w:val="24"/>
        </w:rPr>
      </w:pPr>
    </w:p>
    <w:p w14:paraId="2CC14B7B" w14:textId="0E797458" w:rsidR="00ED74BF" w:rsidRDefault="00ED74BF" w:rsidP="00491C45">
      <w:pPr>
        <w:spacing w:line="240" w:lineRule="auto"/>
        <w:rPr>
          <w:rFonts w:ascii="Times New Roman" w:hAnsi="Times New Roman" w:cs="Times New Roman"/>
          <w:sz w:val="24"/>
          <w:szCs w:val="24"/>
        </w:rPr>
      </w:pPr>
    </w:p>
    <w:p w14:paraId="64711275" w14:textId="60DDFF13" w:rsidR="00ED74BF" w:rsidRDefault="00ED74BF" w:rsidP="00491C45">
      <w:pPr>
        <w:spacing w:line="240" w:lineRule="auto"/>
        <w:rPr>
          <w:rFonts w:ascii="Times New Roman" w:hAnsi="Times New Roman" w:cs="Times New Roman"/>
          <w:sz w:val="24"/>
          <w:szCs w:val="24"/>
        </w:rPr>
      </w:pPr>
    </w:p>
    <w:p w14:paraId="3F8F5D4F" w14:textId="79FB7EA1" w:rsidR="00ED74BF" w:rsidRDefault="00ED74BF" w:rsidP="00491C45">
      <w:pPr>
        <w:spacing w:line="240" w:lineRule="auto"/>
        <w:rPr>
          <w:rFonts w:ascii="Times New Roman" w:hAnsi="Times New Roman" w:cs="Times New Roman"/>
          <w:sz w:val="24"/>
          <w:szCs w:val="24"/>
        </w:rPr>
      </w:pPr>
    </w:p>
    <w:p w14:paraId="4035EC03" w14:textId="6FABFCF0" w:rsidR="00ED74BF" w:rsidRDefault="00ED74BF" w:rsidP="00491C45">
      <w:pPr>
        <w:spacing w:line="240" w:lineRule="auto"/>
        <w:rPr>
          <w:rFonts w:ascii="Times New Roman" w:hAnsi="Times New Roman" w:cs="Times New Roman"/>
          <w:sz w:val="24"/>
          <w:szCs w:val="24"/>
        </w:rPr>
      </w:pPr>
    </w:p>
    <w:p w14:paraId="341378D3" w14:textId="6A0F1762" w:rsidR="00ED74BF" w:rsidRDefault="00ED74BF" w:rsidP="00491C45">
      <w:pPr>
        <w:spacing w:line="240" w:lineRule="auto"/>
        <w:rPr>
          <w:rFonts w:ascii="Times New Roman" w:hAnsi="Times New Roman" w:cs="Times New Roman"/>
          <w:sz w:val="24"/>
          <w:szCs w:val="24"/>
        </w:rPr>
      </w:pPr>
    </w:p>
    <w:p w14:paraId="6000F78C" w14:textId="202593BF" w:rsidR="00ED74BF" w:rsidRDefault="00ED74BF" w:rsidP="00491C45">
      <w:pPr>
        <w:spacing w:line="240" w:lineRule="auto"/>
        <w:rPr>
          <w:rFonts w:ascii="Times New Roman" w:hAnsi="Times New Roman" w:cs="Times New Roman"/>
          <w:sz w:val="24"/>
          <w:szCs w:val="24"/>
        </w:rPr>
      </w:pPr>
    </w:p>
    <w:p w14:paraId="5CA1D0B7" w14:textId="46D0DD83" w:rsidR="00ED74BF" w:rsidRDefault="00ED74BF" w:rsidP="00491C45">
      <w:pPr>
        <w:spacing w:line="240" w:lineRule="auto"/>
        <w:rPr>
          <w:rFonts w:ascii="Times New Roman" w:hAnsi="Times New Roman" w:cs="Times New Roman"/>
          <w:sz w:val="24"/>
          <w:szCs w:val="24"/>
        </w:rPr>
      </w:pPr>
    </w:p>
    <w:p w14:paraId="55CECD0B" w14:textId="799D12C2" w:rsidR="00ED74BF" w:rsidRDefault="00ED74BF" w:rsidP="00491C45">
      <w:pPr>
        <w:spacing w:line="240" w:lineRule="auto"/>
        <w:rPr>
          <w:rFonts w:ascii="Times New Roman" w:hAnsi="Times New Roman" w:cs="Times New Roman"/>
          <w:sz w:val="24"/>
          <w:szCs w:val="24"/>
        </w:rPr>
      </w:pPr>
    </w:p>
    <w:p w14:paraId="19E58EAC" w14:textId="169F0912" w:rsidR="00ED74BF" w:rsidRDefault="00ED74BF" w:rsidP="00491C45">
      <w:pPr>
        <w:spacing w:line="240" w:lineRule="auto"/>
        <w:rPr>
          <w:rFonts w:ascii="Times New Roman" w:hAnsi="Times New Roman" w:cs="Times New Roman"/>
          <w:sz w:val="24"/>
          <w:szCs w:val="24"/>
        </w:rPr>
      </w:pPr>
    </w:p>
    <w:p w14:paraId="6E2BADEF" w14:textId="1CBCA515" w:rsidR="00ED74BF" w:rsidRDefault="00ED74BF" w:rsidP="00491C45">
      <w:pPr>
        <w:spacing w:line="240" w:lineRule="auto"/>
        <w:rPr>
          <w:rFonts w:ascii="Times New Roman" w:hAnsi="Times New Roman" w:cs="Times New Roman"/>
          <w:sz w:val="24"/>
          <w:szCs w:val="24"/>
        </w:rPr>
      </w:pPr>
    </w:p>
    <w:p w14:paraId="6DB6AA15" w14:textId="77777777" w:rsidR="00ED74BF" w:rsidRDefault="00ED74BF" w:rsidP="00ED74BF">
      <w:pPr>
        <w:pStyle w:val="NormalWeb"/>
        <w:spacing w:before="0" w:beforeAutospacing="0" w:after="240" w:afterAutospacing="0" w:line="360" w:lineRule="auto"/>
        <w:rPr>
          <w:sz w:val="36"/>
          <w:szCs w:val="36"/>
        </w:rPr>
      </w:pPr>
      <w:r>
        <w:rPr>
          <w:sz w:val="36"/>
          <w:szCs w:val="36"/>
        </w:rPr>
        <w:lastRenderedPageBreak/>
        <w:t>Bibliography</w:t>
      </w:r>
    </w:p>
    <w:p w14:paraId="13A7DAB9" w14:textId="77777777" w:rsidR="00ED74BF" w:rsidRDefault="00ED74BF" w:rsidP="00ED74BF">
      <w:pPr>
        <w:pStyle w:val="NormalWeb"/>
        <w:spacing w:before="0" w:beforeAutospacing="0" w:after="240" w:afterAutospacing="0" w:line="360" w:lineRule="auto"/>
        <w:ind w:left="720" w:hanging="720"/>
      </w:pPr>
      <w:r>
        <w:t xml:space="preserve">Baronov, David. 2010. </w:t>
      </w:r>
      <w:r>
        <w:rPr>
          <w:i/>
          <w:iCs/>
        </w:rPr>
        <w:t>The African Transformation of Western Medicine and the Dynamics of Global Cultural Exchange</w:t>
      </w:r>
      <w:r>
        <w:t xml:space="preserve"> (Philadelphia, Pa.: Temple University Press ; Chesham) [accessed 4 May 2023]</w:t>
      </w:r>
    </w:p>
    <w:p w14:paraId="297E9EAF" w14:textId="77777777" w:rsidR="00ED74BF" w:rsidRDefault="00ED74BF" w:rsidP="00ED74BF">
      <w:pPr>
        <w:pStyle w:val="NormalWeb"/>
        <w:spacing w:before="0" w:beforeAutospacing="0" w:after="240" w:afterAutospacing="0" w:line="360" w:lineRule="auto"/>
        <w:ind w:left="720" w:hanging="720"/>
      </w:pPr>
      <w:r>
        <w:t xml:space="preserve">Cambridge Dictionary. 2019. ‘PHILOSOPHY | Meaning in the Cambridge English Dictionary’, </w:t>
      </w:r>
      <w:r>
        <w:rPr>
          <w:i/>
          <w:iCs/>
        </w:rPr>
        <w:t>Cambridge.org</w:t>
      </w:r>
      <w:r>
        <w:t xml:space="preserve"> &lt;https://dictionary.cambridge.org/dictionary/english/philosophy&gt; [accessed 4 May 2023]</w:t>
      </w:r>
    </w:p>
    <w:p w14:paraId="799A713E" w14:textId="77777777" w:rsidR="00ED74BF" w:rsidRDefault="00ED74BF" w:rsidP="00ED74BF">
      <w:pPr>
        <w:pStyle w:val="NormalWeb"/>
        <w:spacing w:before="0" w:beforeAutospacing="0" w:after="240" w:afterAutospacing="0" w:line="360" w:lineRule="auto"/>
        <w:ind w:left="720" w:hanging="720"/>
      </w:pPr>
      <w:r>
        <w:t xml:space="preserve">Chidi Oguamanam. 2006. </w:t>
      </w:r>
      <w:r>
        <w:rPr>
          <w:i/>
          <w:iCs/>
        </w:rPr>
        <w:t>International Law and Indigenous Knowledge : Intellectual Property, Plant Biodiversity, and Traditional Medicine</w:t>
      </w:r>
      <w:r>
        <w:t xml:space="preserve"> (Toronto ; Buffalo: University Of Toronto Press) [accessed 4 May 2023]</w:t>
      </w:r>
    </w:p>
    <w:p w14:paraId="34F75747" w14:textId="77777777" w:rsidR="00ED74BF" w:rsidRDefault="00ED74BF" w:rsidP="00ED74BF">
      <w:pPr>
        <w:pStyle w:val="NormalWeb"/>
        <w:spacing w:before="0" w:beforeAutospacing="0" w:after="240" w:afterAutospacing="0" w:line="360" w:lineRule="auto"/>
        <w:ind w:left="720" w:hanging="720"/>
      </w:pPr>
      <w:r>
        <w:t xml:space="preserve">Chrisman, N, and T. Maretzki. 2012. </w:t>
      </w:r>
      <w:r>
        <w:rPr>
          <w:i/>
          <w:iCs/>
        </w:rPr>
        <w:t>Clinically Applied Anthropology</w:t>
      </w:r>
      <w:r>
        <w:t xml:space="preserve"> (Springer Science &amp; Business Media)</w:t>
      </w:r>
    </w:p>
    <w:p w14:paraId="0FDC0D19" w14:textId="77777777" w:rsidR="00ED74BF" w:rsidRDefault="00ED74BF" w:rsidP="00ED74BF">
      <w:pPr>
        <w:pStyle w:val="NormalWeb"/>
        <w:spacing w:before="0" w:beforeAutospacing="0" w:after="240" w:afterAutospacing="0" w:line="360" w:lineRule="auto"/>
        <w:ind w:left="720" w:hanging="720"/>
      </w:pPr>
      <w:r>
        <w:t xml:space="preserve">Ethnomedicine Practitioners Association of South Africa. 2006. ‘Ethnomedicine – Ethnomedicine Practitioners Association of South Africa’, </w:t>
      </w:r>
      <w:r>
        <w:rPr>
          <w:i/>
          <w:iCs/>
        </w:rPr>
        <w:t>Ethnomedicine Practitioners Association of South Africa</w:t>
      </w:r>
      <w:r>
        <w:t xml:space="preserve"> &lt;https://epasa.co.za/ethnomedicine/&gt; [accessed 3 May 2023]</w:t>
      </w:r>
    </w:p>
    <w:p w14:paraId="07EF2471" w14:textId="77777777" w:rsidR="00ED74BF" w:rsidRDefault="00ED74BF" w:rsidP="00ED74BF">
      <w:pPr>
        <w:pStyle w:val="NormalWeb"/>
        <w:spacing w:before="0" w:beforeAutospacing="0" w:after="240" w:afterAutospacing="0" w:line="360" w:lineRule="auto"/>
        <w:ind w:left="720" w:hanging="720"/>
      </w:pPr>
      <w:r>
        <w:t xml:space="preserve">Gelfand, Michael, and Sir Roy Welensky. 1964. </w:t>
      </w:r>
      <w:r>
        <w:rPr>
          <w:i/>
          <w:iCs/>
        </w:rPr>
        <w:t>Witch Doctor : Traditional Medicine Man of Rhodesia</w:t>
      </w:r>
      <w:r>
        <w:t xml:space="preserve"> (London : Harvill Press)</w:t>
      </w:r>
    </w:p>
    <w:p w14:paraId="7C55CAE7" w14:textId="77777777" w:rsidR="00ED74BF" w:rsidRDefault="00ED74BF" w:rsidP="00ED74BF">
      <w:pPr>
        <w:pStyle w:val="NormalWeb"/>
        <w:spacing w:before="0" w:beforeAutospacing="0" w:after="240" w:afterAutospacing="0" w:line="360" w:lineRule="auto"/>
        <w:ind w:left="720" w:hanging="720"/>
      </w:pPr>
      <w:r>
        <w:t xml:space="preserve">Jones, Clay . 2016. ‘Honoring Traditional Healing Practices in Global Health’, </w:t>
      </w:r>
      <w:r>
        <w:rPr>
          <w:i/>
          <w:iCs/>
        </w:rPr>
        <w:t>Globalhealth.duke.edu</w:t>
      </w:r>
      <w:r>
        <w:t xml:space="preserve"> &lt;https://globalhealth.duke.edu/news/honoring-traditional-healing-practices-global-health#:~:text=Shamans%2C%20herbalists%20and%20other%20healers%20are%20the%20wisest&gt; [accessed 4 May 2023]</w:t>
      </w:r>
    </w:p>
    <w:p w14:paraId="0256078B" w14:textId="77777777" w:rsidR="00ED74BF" w:rsidRDefault="00ED74BF" w:rsidP="00ED74BF">
      <w:pPr>
        <w:pStyle w:val="NormalWeb"/>
        <w:spacing w:before="0" w:beforeAutospacing="0" w:after="240" w:afterAutospacing="0" w:line="360" w:lineRule="auto"/>
        <w:ind w:left="720" w:hanging="720"/>
      </w:pPr>
      <w:r>
        <w:t xml:space="preserve">Krah, Eva, Johannes de Kruijf, and Luigi Ragno. 2017. ‘Integrating Traditional Healers into the Health Care System: Challenges and Opportunities in Rural Northern Ghana’, </w:t>
      </w:r>
      <w:r>
        <w:rPr>
          <w:i/>
          <w:iCs/>
        </w:rPr>
        <w:t>Journal of Community Health</w:t>
      </w:r>
      <w:r>
        <w:t>, 43.1: 157–63 &lt;https://doi.org/10.1007/s10900-017-0398-4&gt;</w:t>
      </w:r>
    </w:p>
    <w:p w14:paraId="396C0A48" w14:textId="77777777" w:rsidR="00ED74BF" w:rsidRDefault="00ED74BF" w:rsidP="00ED74BF">
      <w:pPr>
        <w:pStyle w:val="NormalWeb"/>
        <w:spacing w:before="0" w:beforeAutospacing="0" w:after="240" w:afterAutospacing="0" w:line="360" w:lineRule="auto"/>
        <w:ind w:left="720" w:hanging="720"/>
      </w:pPr>
      <w:r>
        <w:lastRenderedPageBreak/>
        <w:t xml:space="preserve">Kuper, Hilda. 1986. </w:t>
      </w:r>
      <w:r>
        <w:rPr>
          <w:i/>
          <w:iCs/>
        </w:rPr>
        <w:t>The Swazi: A South African Kingdom</w:t>
      </w:r>
      <w:r>
        <w:t>, ed. by George Spindler and Louise Spindler (Case Studies in Cultural Anthr)</w:t>
      </w:r>
    </w:p>
    <w:p w14:paraId="00D33B23" w14:textId="77777777" w:rsidR="00ED74BF" w:rsidRDefault="00ED74BF" w:rsidP="00ED74BF">
      <w:pPr>
        <w:pStyle w:val="NormalWeb"/>
        <w:spacing w:before="0" w:beforeAutospacing="0" w:after="240" w:afterAutospacing="0" w:line="360" w:lineRule="auto"/>
        <w:ind w:left="720" w:hanging="720"/>
      </w:pPr>
      <w:r>
        <w:t xml:space="preserve">Mukherjee, M. 2002. </w:t>
      </w:r>
      <w:r>
        <w:rPr>
          <w:i/>
          <w:iCs/>
        </w:rPr>
        <w:t>Ethnomedicine and Drug Discovery</w:t>
      </w:r>
      <w:r>
        <w:t xml:space="preserve"> (Elsevier Science)</w:t>
      </w:r>
    </w:p>
    <w:p w14:paraId="42906310" w14:textId="77777777" w:rsidR="00ED74BF" w:rsidRDefault="00ED74BF" w:rsidP="00ED74BF">
      <w:pPr>
        <w:pStyle w:val="NormalWeb"/>
        <w:spacing w:before="0" w:beforeAutospacing="0" w:after="240" w:afterAutospacing="0" w:line="360" w:lineRule="auto"/>
        <w:ind w:left="720" w:hanging="720"/>
      </w:pPr>
      <w:r>
        <w:t xml:space="preserve">Otto, Bakano . 2019. ‘Traditional Healers Broaden Health Care in Ghana’, </w:t>
      </w:r>
      <w:r>
        <w:rPr>
          <w:i/>
          <w:iCs/>
        </w:rPr>
        <w:t>WHO | Regional Office for Africa</w:t>
      </w:r>
      <w:r>
        <w:t xml:space="preserve"> &lt;https://www.afro.who.int/photo-story/traditional-healers-broaden-health-care-ghana&gt;</w:t>
      </w:r>
    </w:p>
    <w:p w14:paraId="3835433E" w14:textId="77777777" w:rsidR="00ED74BF" w:rsidRDefault="00ED74BF" w:rsidP="00ED74BF">
      <w:pPr>
        <w:pStyle w:val="NormalWeb"/>
        <w:spacing w:before="0" w:beforeAutospacing="0" w:after="240" w:afterAutospacing="0" w:line="360" w:lineRule="auto"/>
        <w:ind w:left="720" w:hanging="720"/>
      </w:pPr>
      <w:r>
        <w:t xml:space="preserve">Schons, Mary. 2022. ‘Witch Trials in the 21st Century | National Geographic Society’, </w:t>
      </w:r>
      <w:r>
        <w:rPr>
          <w:i/>
          <w:iCs/>
        </w:rPr>
        <w:t>Education.nationalgeographic.org</w:t>
      </w:r>
      <w:r>
        <w:t xml:space="preserve"> &lt;https://education.nationalgeographic.org/resource/witch-trials-21st-century/&gt; [accessed 3 May 2023]</w:t>
      </w:r>
    </w:p>
    <w:p w14:paraId="6E616C13" w14:textId="77777777" w:rsidR="00ED74BF" w:rsidRDefault="00ED74BF" w:rsidP="00ED74BF">
      <w:pPr>
        <w:pStyle w:val="NormalWeb"/>
        <w:spacing w:before="0" w:beforeAutospacing="0" w:after="240" w:afterAutospacing="0" w:line="360" w:lineRule="auto"/>
        <w:ind w:left="720" w:hanging="720"/>
      </w:pPr>
      <w:r>
        <w:t xml:space="preserve">Singer, Merrill, and Pamela I Erickson. 2015. </w:t>
      </w:r>
      <w:r>
        <w:rPr>
          <w:i/>
          <w:iCs/>
        </w:rPr>
        <w:t>A Companion to Medical Anthropology</w:t>
      </w:r>
      <w:r>
        <w:t xml:space="preserve"> (Malden, Mass ; Chichester: Wiley-Blackwell)</w:t>
      </w:r>
    </w:p>
    <w:p w14:paraId="2A7C0AD7" w14:textId="77777777" w:rsidR="00ED74BF" w:rsidRDefault="00ED74BF" w:rsidP="00ED74BF">
      <w:pPr>
        <w:pStyle w:val="NormalWeb"/>
        <w:spacing w:before="0" w:beforeAutospacing="0" w:after="240" w:afterAutospacing="0" w:line="360" w:lineRule="auto"/>
        <w:ind w:left="720" w:hanging="720"/>
      </w:pPr>
      <w:r>
        <w:t xml:space="preserve">Valles, Sean. 2020. ‘Philosophy of Biomedicine’, </w:t>
      </w:r>
      <w:r>
        <w:rPr>
          <w:i/>
          <w:iCs/>
        </w:rPr>
        <w:t>Stanford Encyclopedia of Philosophy</w:t>
      </w:r>
      <w:r>
        <w:t>, ed. by Edward N. Zalta (Metaphysics Research Lab, Stanford University) &lt;https://plato.stanford.edu/entries/biomedicine/&gt; [accessed 4 May 2023]</w:t>
      </w:r>
    </w:p>
    <w:p w14:paraId="73B8B058" w14:textId="77777777" w:rsidR="00ED74BF" w:rsidRDefault="00ED74BF" w:rsidP="00ED74BF">
      <w:pPr>
        <w:pStyle w:val="NormalWeb"/>
        <w:spacing w:before="0" w:beforeAutospacing="0" w:after="240" w:afterAutospacing="0" w:line="360" w:lineRule="auto"/>
        <w:ind w:left="720" w:hanging="720"/>
      </w:pPr>
      <w:r>
        <w:t xml:space="preserve">Webster, Merriam. 1901. ‘Definition of ETHNOMEDICINE’, </w:t>
      </w:r>
      <w:r>
        <w:rPr>
          <w:i/>
          <w:iCs/>
        </w:rPr>
        <w:t>Www.merriam-Webster.com</w:t>
      </w:r>
      <w:r>
        <w:t xml:space="preserve"> &lt;https://www.merriam-webster.com/dictionary/ethnomedicine&gt; [accessed 3 May 2023]</w:t>
      </w:r>
    </w:p>
    <w:p w14:paraId="0F5222CC" w14:textId="77777777" w:rsidR="00ED74BF" w:rsidRDefault="00ED74BF" w:rsidP="00ED74BF">
      <w:pPr>
        <w:pStyle w:val="NormalWeb"/>
        <w:spacing w:before="0" w:beforeAutospacing="0" w:after="240" w:afterAutospacing="0" w:line="360" w:lineRule="auto"/>
        <w:ind w:left="720" w:hanging="720"/>
      </w:pPr>
      <w:r>
        <w:t xml:space="preserve">———. 2019. ‘Definition of BIOMEDICINE’, </w:t>
      </w:r>
      <w:r>
        <w:rPr>
          <w:i/>
          <w:iCs/>
        </w:rPr>
        <w:t>Merriam-Webster.com</w:t>
      </w:r>
      <w:r>
        <w:t xml:space="preserve"> &lt;https://www.merriam-webster.com/dictionary/biomedicine&gt; [accessed 4 May 2023]</w:t>
      </w:r>
    </w:p>
    <w:p w14:paraId="5D0DA547" w14:textId="77777777" w:rsidR="00ED74BF" w:rsidRDefault="00ED74BF" w:rsidP="00ED74BF">
      <w:pPr>
        <w:pStyle w:val="NormalWeb"/>
        <w:spacing w:before="0" w:beforeAutospacing="0" w:after="240" w:afterAutospacing="0" w:line="360" w:lineRule="auto"/>
        <w:ind w:left="720" w:hanging="720"/>
      </w:pPr>
      <w:r>
        <w:t xml:space="preserve">World Health Organization. [n.d.]. ‘Traditional, Complementary and Integrative Medicine’, </w:t>
      </w:r>
      <w:r>
        <w:rPr>
          <w:i/>
          <w:iCs/>
        </w:rPr>
        <w:t>Www.who.int</w:t>
      </w:r>
      <w:r>
        <w:t xml:space="preserve"> &lt;https://www.who.int/westernpacific/health-topics/traditional-complementary-and-integrative-medicine#tab=tab_2&gt; [accessed 4 May 2023]</w:t>
      </w:r>
    </w:p>
    <w:p w14:paraId="0C15E8D4" w14:textId="77777777" w:rsidR="00ED74BF" w:rsidRPr="00B97DCC" w:rsidRDefault="00ED74BF" w:rsidP="00491C45">
      <w:pPr>
        <w:spacing w:line="240" w:lineRule="auto"/>
        <w:rPr>
          <w:rFonts w:ascii="Times New Roman" w:hAnsi="Times New Roman" w:cs="Times New Roman"/>
          <w:sz w:val="24"/>
          <w:szCs w:val="24"/>
        </w:rPr>
      </w:pPr>
    </w:p>
    <w:sectPr w:rsidR="00ED74BF" w:rsidRPr="00B97DC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125E8A" w14:textId="77777777" w:rsidR="00A91F3F" w:rsidRDefault="00A91F3F" w:rsidP="00A91F3F">
      <w:pPr>
        <w:spacing w:after="0" w:line="240" w:lineRule="auto"/>
      </w:pPr>
      <w:r>
        <w:separator/>
      </w:r>
    </w:p>
  </w:endnote>
  <w:endnote w:type="continuationSeparator" w:id="0">
    <w:p w14:paraId="72FD9073" w14:textId="77777777" w:rsidR="00A91F3F" w:rsidRDefault="00A91F3F" w:rsidP="00A91F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19A44E" w14:textId="77777777" w:rsidR="00A91F3F" w:rsidRDefault="00A91F3F" w:rsidP="00A91F3F">
      <w:pPr>
        <w:spacing w:after="0" w:line="240" w:lineRule="auto"/>
      </w:pPr>
      <w:r>
        <w:separator/>
      </w:r>
    </w:p>
  </w:footnote>
  <w:footnote w:type="continuationSeparator" w:id="0">
    <w:p w14:paraId="7DCC27A6" w14:textId="77777777" w:rsidR="00A91F3F" w:rsidRDefault="00A91F3F" w:rsidP="00A91F3F">
      <w:pPr>
        <w:spacing w:after="0" w:line="240" w:lineRule="auto"/>
      </w:pPr>
      <w:r>
        <w:continuationSeparator/>
      </w:r>
    </w:p>
  </w:footnote>
  <w:footnote w:id="1">
    <w:p w14:paraId="263A57D3" w14:textId="5E7335D7" w:rsidR="00A91F3F" w:rsidRDefault="00A91F3F" w:rsidP="00FF4728">
      <w:pPr>
        <w:pStyle w:val="NormalWeb"/>
        <w:spacing w:before="0" w:beforeAutospacing="0" w:after="240" w:afterAutospacing="0" w:line="360" w:lineRule="auto"/>
        <w:ind w:left="720" w:hanging="720"/>
      </w:pPr>
      <w:r>
        <w:rPr>
          <w:rStyle w:val="FootnoteReference"/>
        </w:rPr>
        <w:footnoteRef/>
      </w:r>
      <w:r>
        <w:t xml:space="preserve"> </w:t>
      </w:r>
      <w:r w:rsidR="00FF4728">
        <w:t xml:space="preserve">Webster, Merriam. 1901. ‘Definition of ETHNOMEDICINE’, </w:t>
      </w:r>
      <w:r w:rsidR="00FF4728">
        <w:rPr>
          <w:i/>
          <w:iCs/>
        </w:rPr>
        <w:t>Www.merriam-Webster.com</w:t>
      </w:r>
      <w:r w:rsidR="00FF4728">
        <w:t xml:space="preserve"> &lt;https://www.merriam-webster.com/dictionary/ethnomedicine&gt; [accessed 3 May 2023]</w:t>
      </w:r>
    </w:p>
  </w:footnote>
  <w:footnote w:id="2">
    <w:p w14:paraId="7C5FACBA" w14:textId="6E1B8F1F" w:rsidR="001C64EB" w:rsidRDefault="001C64EB" w:rsidP="005A3C95">
      <w:pPr>
        <w:pStyle w:val="NormalWeb"/>
        <w:spacing w:before="0" w:beforeAutospacing="0" w:after="240" w:afterAutospacing="0" w:line="360" w:lineRule="auto"/>
        <w:ind w:left="720" w:hanging="720"/>
      </w:pPr>
      <w:r>
        <w:rPr>
          <w:rStyle w:val="FootnoteReference"/>
        </w:rPr>
        <w:footnoteRef/>
      </w:r>
      <w:r>
        <w:t xml:space="preserve"> </w:t>
      </w:r>
      <w:r>
        <w:t xml:space="preserve">Ethnomedicine Practitioners Association of South Africa. 2006. ‘Ethnomedicine – Ethnomedicine Practitioners Association of South Africa’, </w:t>
      </w:r>
      <w:r>
        <w:rPr>
          <w:i/>
          <w:iCs/>
        </w:rPr>
        <w:t>Ethnomedicine Practitioners Association of South Africa</w:t>
      </w:r>
      <w:r>
        <w:t xml:space="preserve"> &lt;https://epasa.co.za/ethnomedicine/&gt; [accessed 3 May 2023]</w:t>
      </w:r>
    </w:p>
  </w:footnote>
  <w:footnote w:id="3">
    <w:p w14:paraId="721E63C9" w14:textId="77777777" w:rsidR="002A6A8E" w:rsidRDefault="002A6A8E" w:rsidP="002A6A8E">
      <w:pPr>
        <w:pStyle w:val="NormalWeb"/>
        <w:spacing w:before="0" w:beforeAutospacing="0" w:after="240" w:afterAutospacing="0" w:line="360" w:lineRule="auto"/>
        <w:ind w:left="720" w:hanging="720"/>
      </w:pPr>
      <w:r>
        <w:rPr>
          <w:rStyle w:val="FootnoteReference"/>
        </w:rPr>
        <w:footnoteRef/>
      </w:r>
      <w:r>
        <w:t xml:space="preserve"> </w:t>
      </w:r>
      <w:r>
        <w:t xml:space="preserve">Schons, Mary. 2022. ‘Witch Trials in the 21st Century | National Geographic Society’, </w:t>
      </w:r>
      <w:r>
        <w:rPr>
          <w:i/>
          <w:iCs/>
        </w:rPr>
        <w:t>Education.nationalgeographic.org</w:t>
      </w:r>
      <w:r>
        <w:t xml:space="preserve"> &lt;https://education.nationalgeographic.org/resource/witch-trials-21st-century/&gt; [accessed 3 May 2023]</w:t>
      </w:r>
    </w:p>
    <w:p w14:paraId="3F3620F2" w14:textId="12E71B18" w:rsidR="002A6A8E" w:rsidRDefault="002A6A8E">
      <w:pPr>
        <w:pStyle w:val="FootnoteText"/>
      </w:pPr>
    </w:p>
  </w:footnote>
  <w:footnote w:id="4">
    <w:p w14:paraId="74EE664F" w14:textId="4525C00A" w:rsidR="00B95EF0" w:rsidRDefault="00B95EF0" w:rsidP="00B95EF0">
      <w:pPr>
        <w:pStyle w:val="NormalWeb"/>
        <w:spacing w:before="0" w:beforeAutospacing="0" w:after="240" w:afterAutospacing="0" w:line="360" w:lineRule="auto"/>
        <w:ind w:left="720" w:hanging="720"/>
      </w:pPr>
      <w:r>
        <w:rPr>
          <w:rStyle w:val="FootnoteReference"/>
        </w:rPr>
        <w:footnoteRef/>
      </w:r>
      <w:r>
        <w:t xml:space="preserve"> </w:t>
      </w:r>
      <w:r>
        <w:t xml:space="preserve">Otto, </w:t>
      </w:r>
      <w:r w:rsidR="005E4644">
        <w:t>Bakano.</w:t>
      </w:r>
      <w:r>
        <w:t xml:space="preserve"> 2019. ‘Traditional Healers Broaden Health Care in Ghana’, </w:t>
      </w:r>
      <w:r>
        <w:rPr>
          <w:i/>
          <w:iCs/>
        </w:rPr>
        <w:t>WHO | Regional Office for Africa</w:t>
      </w:r>
      <w:r>
        <w:t xml:space="preserve"> &lt;https://www.afro.who.int/photo-story/traditional-healers-broaden-health-care-ghana&gt;</w:t>
      </w:r>
    </w:p>
    <w:p w14:paraId="4C472C6D" w14:textId="78D7E9FE" w:rsidR="00B95EF0" w:rsidRDefault="00B95EF0">
      <w:pPr>
        <w:pStyle w:val="FootnoteText"/>
      </w:pPr>
    </w:p>
  </w:footnote>
  <w:footnote w:id="5">
    <w:p w14:paraId="4842E4FA" w14:textId="0F8180BC" w:rsidR="00397BB9" w:rsidRDefault="00397BB9" w:rsidP="005A6A44">
      <w:pPr>
        <w:pStyle w:val="NormalWeb"/>
        <w:spacing w:before="0" w:beforeAutospacing="0" w:after="240" w:afterAutospacing="0" w:line="360" w:lineRule="auto"/>
        <w:ind w:left="720" w:hanging="720"/>
      </w:pPr>
      <w:r>
        <w:rPr>
          <w:rStyle w:val="FootnoteReference"/>
        </w:rPr>
        <w:footnoteRef/>
      </w:r>
      <w:r>
        <w:t xml:space="preserve"> </w:t>
      </w:r>
      <w:r w:rsidR="002F6616">
        <w:t xml:space="preserve">———. 2019. ‘Definition of BIOMEDICINE’, </w:t>
      </w:r>
      <w:r w:rsidR="002F6616">
        <w:rPr>
          <w:i/>
          <w:iCs/>
        </w:rPr>
        <w:t>Merriam-Webster.com</w:t>
      </w:r>
      <w:r w:rsidR="002F6616">
        <w:t xml:space="preserve"> &lt;https://www.merriam-webster.com/dictionary/biomedicine&gt; [accessed 4 May 2023]</w:t>
      </w:r>
    </w:p>
    <w:p w14:paraId="2FC9A6E6" w14:textId="77777777" w:rsidR="00397BB9" w:rsidRDefault="00397BB9" w:rsidP="00397BB9">
      <w:pPr>
        <w:pStyle w:val="FootnoteText"/>
      </w:pPr>
    </w:p>
  </w:footnote>
  <w:footnote w:id="6">
    <w:p w14:paraId="09632893" w14:textId="31FDB5BA" w:rsidR="005A6A44" w:rsidRDefault="005A6A44" w:rsidP="001B53CD">
      <w:pPr>
        <w:pStyle w:val="NormalWeb"/>
        <w:spacing w:before="0" w:beforeAutospacing="0" w:after="240" w:afterAutospacing="0" w:line="360" w:lineRule="auto"/>
        <w:ind w:left="720" w:hanging="720"/>
      </w:pPr>
      <w:r>
        <w:rPr>
          <w:rStyle w:val="FootnoteReference"/>
        </w:rPr>
        <w:footnoteRef/>
      </w:r>
      <w:r>
        <w:t xml:space="preserve"> Chrisman, N, and T. Maretzki. 2012. </w:t>
      </w:r>
      <w:r>
        <w:rPr>
          <w:i/>
          <w:iCs/>
        </w:rPr>
        <w:t>Clinically Applied Anthropology</w:t>
      </w:r>
      <w:r>
        <w:t xml:space="preserve"> (Springer Science &amp; Business Media)</w:t>
      </w:r>
    </w:p>
  </w:footnote>
  <w:footnote w:id="7">
    <w:p w14:paraId="1C3F50A4" w14:textId="77777777" w:rsidR="001B53CD" w:rsidRDefault="001B53CD" w:rsidP="001B53CD">
      <w:pPr>
        <w:pStyle w:val="NormalWeb"/>
        <w:spacing w:before="0" w:beforeAutospacing="0" w:after="240" w:afterAutospacing="0" w:line="360" w:lineRule="auto"/>
        <w:ind w:left="720" w:hanging="720"/>
      </w:pPr>
      <w:r>
        <w:rPr>
          <w:rStyle w:val="FootnoteReference"/>
        </w:rPr>
        <w:footnoteRef/>
      </w:r>
      <w:r>
        <w:t xml:space="preserve"> </w:t>
      </w:r>
      <w:r>
        <w:t xml:space="preserve">Krah, Eva, Johannes de Kruijf, and Luigi Ragno. 2017. ‘Integrating Traditional Healers into the Health Care System: Challenges and Opportunities in Rural Northern Ghana’, </w:t>
      </w:r>
      <w:r>
        <w:rPr>
          <w:i/>
          <w:iCs/>
        </w:rPr>
        <w:t>Journal of Community Health</w:t>
      </w:r>
      <w:r>
        <w:t xml:space="preserve">, 43.1: 157–63 </w:t>
      </w:r>
      <w:hyperlink r:id="rId1" w:history="1">
        <w:r w:rsidRPr="00DA403F">
          <w:rPr>
            <w:rStyle w:val="Hyperlink"/>
          </w:rPr>
          <w:t>https://doi.org/10.1007/s10900-017-0398-4</w:t>
        </w:r>
      </w:hyperlink>
    </w:p>
    <w:p w14:paraId="03323919" w14:textId="44055974" w:rsidR="001B53CD" w:rsidRDefault="001B53CD">
      <w:pPr>
        <w:pStyle w:val="FootnoteText"/>
      </w:pPr>
    </w:p>
  </w:footnote>
  <w:footnote w:id="8">
    <w:p w14:paraId="18D442C0" w14:textId="08815F8B" w:rsidR="00EB500C" w:rsidRDefault="00EB500C" w:rsidP="007A23EB">
      <w:pPr>
        <w:pStyle w:val="NormalWeb"/>
        <w:spacing w:before="0" w:beforeAutospacing="0" w:after="240" w:afterAutospacing="0" w:line="360" w:lineRule="auto"/>
        <w:ind w:left="720" w:hanging="720"/>
      </w:pPr>
      <w:r>
        <w:rPr>
          <w:rStyle w:val="FootnoteReference"/>
        </w:rPr>
        <w:footnoteRef/>
      </w:r>
      <w:r>
        <w:t xml:space="preserve"> </w:t>
      </w:r>
      <w:r w:rsidR="00B64C3C">
        <w:t xml:space="preserve">Kuper, Hilda. 1986. </w:t>
      </w:r>
      <w:r w:rsidR="00B64C3C">
        <w:rPr>
          <w:i/>
          <w:iCs/>
        </w:rPr>
        <w:t>The Swazi: A South African Kingdom</w:t>
      </w:r>
      <w:r w:rsidR="00B64C3C">
        <w:t>, ed. by George Spindler and Louise Spindler (Case Studies in Cultural Anthr)</w:t>
      </w:r>
    </w:p>
  </w:footnote>
  <w:footnote w:id="9">
    <w:p w14:paraId="612C9440" w14:textId="04DF2C60" w:rsidR="004A7BB9" w:rsidRDefault="004A7BB9" w:rsidP="007A23EB">
      <w:pPr>
        <w:pStyle w:val="NormalWeb"/>
        <w:spacing w:before="0" w:beforeAutospacing="0" w:after="240" w:afterAutospacing="0" w:line="360" w:lineRule="auto"/>
        <w:ind w:left="720" w:hanging="720"/>
      </w:pPr>
      <w:r>
        <w:rPr>
          <w:rStyle w:val="FootnoteReference"/>
        </w:rPr>
        <w:footnoteRef/>
      </w:r>
      <w:r>
        <w:t xml:space="preserve"> </w:t>
      </w:r>
      <w:r w:rsidR="00260459">
        <w:t xml:space="preserve">Baronov, David. 2010. </w:t>
      </w:r>
      <w:r w:rsidR="00260459">
        <w:rPr>
          <w:i/>
          <w:iCs/>
        </w:rPr>
        <w:t>The African Transformation of Western Medicine and the Dynamics of Global Cultural Exchange</w:t>
      </w:r>
      <w:r w:rsidR="00260459">
        <w:t xml:space="preserve"> (Philadelphia, Pa.: Temple University </w:t>
      </w:r>
      <w:r w:rsidR="00E77B80">
        <w:t>Press;</w:t>
      </w:r>
      <w:r w:rsidR="00260459">
        <w:t xml:space="preserve"> Chesham) [accessed 4 May 2023]</w:t>
      </w:r>
    </w:p>
  </w:footnote>
  <w:footnote w:id="10">
    <w:p w14:paraId="7D05E0A7" w14:textId="025AA13D" w:rsidR="007A23EB" w:rsidRDefault="007A23EB" w:rsidP="00464326">
      <w:pPr>
        <w:pStyle w:val="NormalWeb"/>
        <w:spacing w:before="0" w:beforeAutospacing="0" w:after="240" w:afterAutospacing="0" w:line="360" w:lineRule="auto"/>
        <w:ind w:left="720" w:hanging="720"/>
      </w:pPr>
      <w:r>
        <w:rPr>
          <w:rStyle w:val="FootnoteReference"/>
        </w:rPr>
        <w:footnoteRef/>
      </w:r>
      <w:r>
        <w:t xml:space="preserve"> </w:t>
      </w:r>
      <w:r>
        <w:t xml:space="preserve">Jones, </w:t>
      </w:r>
      <w:r w:rsidR="00E77B80">
        <w:t>Clay.</w:t>
      </w:r>
      <w:r>
        <w:t xml:space="preserve"> 2016. ‘Honoring Traditional Healing Practices in Global Health’, </w:t>
      </w:r>
      <w:r>
        <w:rPr>
          <w:i/>
          <w:iCs/>
        </w:rPr>
        <w:t>Globalhealth.duke.edu</w:t>
      </w:r>
      <w:r>
        <w:t xml:space="preserve"> &lt;https://globalhealth.duke.edu/news/honoring-traditional-healing-practices-global-health#:~:text=Shamans%2C%20herbalists%20and%20other%20healers%20are%20the%20wisest&gt; [accessed 4 May 2023]</w:t>
      </w:r>
    </w:p>
  </w:footnote>
  <w:footnote w:id="11">
    <w:p w14:paraId="78B295D7" w14:textId="77777777" w:rsidR="00464326" w:rsidRDefault="00464326" w:rsidP="00464326">
      <w:pPr>
        <w:pStyle w:val="NormalWeb"/>
        <w:spacing w:before="0" w:beforeAutospacing="0" w:after="240" w:afterAutospacing="0" w:line="360" w:lineRule="auto"/>
        <w:ind w:left="720" w:hanging="720"/>
      </w:pPr>
      <w:r>
        <w:rPr>
          <w:rStyle w:val="FootnoteReference"/>
        </w:rPr>
        <w:footnoteRef/>
      </w:r>
      <w:r>
        <w:t xml:space="preserve"> </w:t>
      </w:r>
      <w:r>
        <w:t xml:space="preserve">Cambridge Dictionary. 2019. ‘PHILOSOPHY | Meaning in the Cambridge English Dictionary’, </w:t>
      </w:r>
      <w:r>
        <w:rPr>
          <w:i/>
          <w:iCs/>
        </w:rPr>
        <w:t>Cambridge.org</w:t>
      </w:r>
      <w:r>
        <w:t xml:space="preserve"> &lt;https://dictionary.cambridge.org/dictionary/english/philosophy&gt; [accessed 4 May 2023]</w:t>
      </w:r>
    </w:p>
    <w:p w14:paraId="07FD3846" w14:textId="762B5C01" w:rsidR="00464326" w:rsidRDefault="00464326">
      <w:pPr>
        <w:pStyle w:val="FootnoteText"/>
      </w:pPr>
    </w:p>
  </w:footnote>
  <w:footnote w:id="12">
    <w:p w14:paraId="09F8390B" w14:textId="77777777" w:rsidR="000F5D73" w:rsidRDefault="000F5D73" w:rsidP="000F5D73">
      <w:pPr>
        <w:pStyle w:val="NormalWeb"/>
        <w:spacing w:before="0" w:beforeAutospacing="0" w:after="240" w:afterAutospacing="0" w:line="360" w:lineRule="auto"/>
        <w:ind w:left="720" w:hanging="720"/>
      </w:pPr>
      <w:r>
        <w:rPr>
          <w:rStyle w:val="FootnoteReference"/>
        </w:rPr>
        <w:footnoteRef/>
      </w:r>
      <w:r>
        <w:t xml:space="preserve"> Valles, Sean. 2020. ‘Philosophy of Biomedicine’, </w:t>
      </w:r>
      <w:r>
        <w:rPr>
          <w:i/>
          <w:iCs/>
        </w:rPr>
        <w:t>Stanford Encyclopedia of Philosophy</w:t>
      </w:r>
      <w:r>
        <w:t>, ed. by Edward N. Zalta (Metaphysics Research Lab, Stanford University) &lt;https://plato.stanford.edu/entries/biomedicine/&gt; [accessed 4 May 2023]</w:t>
      </w:r>
    </w:p>
    <w:p w14:paraId="12B10017" w14:textId="77777777" w:rsidR="000F5D73" w:rsidRDefault="000F5D73" w:rsidP="000F5D73">
      <w:pPr>
        <w:pStyle w:val="FootnoteText"/>
      </w:pPr>
    </w:p>
  </w:footnote>
  <w:footnote w:id="13">
    <w:p w14:paraId="2A04688F" w14:textId="77777777" w:rsidR="00F00B74" w:rsidRDefault="00F00B74" w:rsidP="00F00B74">
      <w:pPr>
        <w:pStyle w:val="NormalWeb"/>
        <w:spacing w:before="0" w:beforeAutospacing="0" w:after="240" w:afterAutospacing="0" w:line="360" w:lineRule="auto"/>
        <w:ind w:left="720" w:hanging="720"/>
      </w:pPr>
      <w:r>
        <w:rPr>
          <w:rStyle w:val="FootnoteReference"/>
        </w:rPr>
        <w:footnoteRef/>
      </w:r>
      <w:r>
        <w:t xml:space="preserve"> </w:t>
      </w:r>
      <w:r>
        <w:t xml:space="preserve">World Health Organization. [n.d.]. ‘Traditional, Complementary and Integrative Medicine’, </w:t>
      </w:r>
      <w:r>
        <w:rPr>
          <w:i/>
          <w:iCs/>
        </w:rPr>
        <w:t>Www.who.int</w:t>
      </w:r>
      <w:r>
        <w:t xml:space="preserve"> &lt;https://www.who.int/westernpacific/health-topics/traditional-complementary-and-integrative-medicine#tab=tab_2&gt; [accessed 4 May 2023]</w:t>
      </w:r>
    </w:p>
    <w:p w14:paraId="32594160" w14:textId="062C08E6" w:rsidR="00F00B74" w:rsidRDefault="00F00B74">
      <w:pPr>
        <w:pStyle w:val="FootnoteText"/>
      </w:pPr>
    </w:p>
  </w:footnote>
  <w:footnote w:id="14">
    <w:p w14:paraId="6EC95C42" w14:textId="77777777" w:rsidR="00C80E55" w:rsidRDefault="00C80E55" w:rsidP="00C80E55">
      <w:pPr>
        <w:pStyle w:val="NormalWeb"/>
        <w:spacing w:before="0" w:beforeAutospacing="0" w:after="240" w:afterAutospacing="0" w:line="360" w:lineRule="auto"/>
        <w:ind w:left="720" w:hanging="720"/>
      </w:pPr>
      <w:r>
        <w:rPr>
          <w:rStyle w:val="FootnoteReference"/>
        </w:rPr>
        <w:footnoteRef/>
      </w:r>
      <w:r>
        <w:t xml:space="preserve"> </w:t>
      </w:r>
      <w:r>
        <w:t xml:space="preserve">Otto, Bakano . 2019. ‘Traditional Healers Broaden Health Care in Ghana’, </w:t>
      </w:r>
      <w:r>
        <w:rPr>
          <w:i/>
          <w:iCs/>
        </w:rPr>
        <w:t>WHO | Regional Office for Africa</w:t>
      </w:r>
      <w:r>
        <w:t xml:space="preserve"> &lt;https://www.afro.who.int/photo-story/traditional-healers-broaden-health-care-ghana&gt;</w:t>
      </w:r>
    </w:p>
    <w:p w14:paraId="49B564E7" w14:textId="3DE54BAF" w:rsidR="00C80E55" w:rsidRDefault="00C80E55">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B97DCC"/>
    <w:rsid w:val="00070107"/>
    <w:rsid w:val="000F5D73"/>
    <w:rsid w:val="00112FCC"/>
    <w:rsid w:val="00113906"/>
    <w:rsid w:val="00142DF7"/>
    <w:rsid w:val="00182E23"/>
    <w:rsid w:val="001B0F08"/>
    <w:rsid w:val="001B53CD"/>
    <w:rsid w:val="001C64EB"/>
    <w:rsid w:val="002054BF"/>
    <w:rsid w:val="002101EA"/>
    <w:rsid w:val="002343B5"/>
    <w:rsid w:val="0025035B"/>
    <w:rsid w:val="00260459"/>
    <w:rsid w:val="00274700"/>
    <w:rsid w:val="00292517"/>
    <w:rsid w:val="002A6A8E"/>
    <w:rsid w:val="002C2592"/>
    <w:rsid w:val="002F6616"/>
    <w:rsid w:val="00354B39"/>
    <w:rsid w:val="00397BB9"/>
    <w:rsid w:val="003A3A40"/>
    <w:rsid w:val="003C22A5"/>
    <w:rsid w:val="003C2DF0"/>
    <w:rsid w:val="00417A2E"/>
    <w:rsid w:val="0042089E"/>
    <w:rsid w:val="0043039A"/>
    <w:rsid w:val="00464326"/>
    <w:rsid w:val="00491C45"/>
    <w:rsid w:val="004A4D11"/>
    <w:rsid w:val="004A7BB9"/>
    <w:rsid w:val="004D4722"/>
    <w:rsid w:val="004F6BBD"/>
    <w:rsid w:val="00502B0D"/>
    <w:rsid w:val="00532F01"/>
    <w:rsid w:val="005527A2"/>
    <w:rsid w:val="005853FC"/>
    <w:rsid w:val="005A3233"/>
    <w:rsid w:val="005A3C95"/>
    <w:rsid w:val="005A6A44"/>
    <w:rsid w:val="005E4644"/>
    <w:rsid w:val="005F11D6"/>
    <w:rsid w:val="00613714"/>
    <w:rsid w:val="00616DF6"/>
    <w:rsid w:val="00666E53"/>
    <w:rsid w:val="00667B5F"/>
    <w:rsid w:val="0067390A"/>
    <w:rsid w:val="006B0A85"/>
    <w:rsid w:val="006D6480"/>
    <w:rsid w:val="00705A87"/>
    <w:rsid w:val="0071160F"/>
    <w:rsid w:val="00717D32"/>
    <w:rsid w:val="007547CB"/>
    <w:rsid w:val="007831C5"/>
    <w:rsid w:val="007965B2"/>
    <w:rsid w:val="007A23EB"/>
    <w:rsid w:val="00806CEE"/>
    <w:rsid w:val="00822284"/>
    <w:rsid w:val="008509FA"/>
    <w:rsid w:val="008D5783"/>
    <w:rsid w:val="008F274D"/>
    <w:rsid w:val="00906B2A"/>
    <w:rsid w:val="00945FFB"/>
    <w:rsid w:val="00996EAC"/>
    <w:rsid w:val="009B0F2A"/>
    <w:rsid w:val="009F200E"/>
    <w:rsid w:val="00A44D59"/>
    <w:rsid w:val="00A841D5"/>
    <w:rsid w:val="00A9073A"/>
    <w:rsid w:val="00A91F3F"/>
    <w:rsid w:val="00AA1831"/>
    <w:rsid w:val="00AB6369"/>
    <w:rsid w:val="00AF7BD2"/>
    <w:rsid w:val="00B3453D"/>
    <w:rsid w:val="00B64C3C"/>
    <w:rsid w:val="00B925D9"/>
    <w:rsid w:val="00B95EF0"/>
    <w:rsid w:val="00B97DCC"/>
    <w:rsid w:val="00BD6A93"/>
    <w:rsid w:val="00C3442C"/>
    <w:rsid w:val="00C52B30"/>
    <w:rsid w:val="00C64E9A"/>
    <w:rsid w:val="00C80E55"/>
    <w:rsid w:val="00C81052"/>
    <w:rsid w:val="00C960D2"/>
    <w:rsid w:val="00CD3E83"/>
    <w:rsid w:val="00CD70CB"/>
    <w:rsid w:val="00D04AD7"/>
    <w:rsid w:val="00D102A2"/>
    <w:rsid w:val="00D24098"/>
    <w:rsid w:val="00D92850"/>
    <w:rsid w:val="00D96DA5"/>
    <w:rsid w:val="00E237CB"/>
    <w:rsid w:val="00E65E30"/>
    <w:rsid w:val="00E77B80"/>
    <w:rsid w:val="00E955D6"/>
    <w:rsid w:val="00EB500C"/>
    <w:rsid w:val="00ED74BF"/>
    <w:rsid w:val="00EF2417"/>
    <w:rsid w:val="00F00B74"/>
    <w:rsid w:val="00F17071"/>
    <w:rsid w:val="00F22BDE"/>
    <w:rsid w:val="00F366A4"/>
    <w:rsid w:val="00F418FE"/>
    <w:rsid w:val="00F813F4"/>
    <w:rsid w:val="00FA3BFC"/>
    <w:rsid w:val="00FF472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5A35D"/>
  <w15:chartTrackingRefBased/>
  <w15:docId w15:val="{0BD9E5A9-8104-4318-B833-CB4D9609BD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A91F3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91F3F"/>
    <w:rPr>
      <w:sz w:val="20"/>
      <w:szCs w:val="20"/>
    </w:rPr>
  </w:style>
  <w:style w:type="character" w:styleId="FootnoteReference">
    <w:name w:val="footnote reference"/>
    <w:basedOn w:val="DefaultParagraphFont"/>
    <w:uiPriority w:val="99"/>
    <w:semiHidden/>
    <w:unhideWhenUsed/>
    <w:rsid w:val="00A91F3F"/>
    <w:rPr>
      <w:vertAlign w:val="superscript"/>
    </w:rPr>
  </w:style>
  <w:style w:type="paragraph" w:styleId="NormalWeb">
    <w:name w:val="Normal (Web)"/>
    <w:basedOn w:val="Normal"/>
    <w:uiPriority w:val="99"/>
    <w:unhideWhenUsed/>
    <w:rsid w:val="00A91F3F"/>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5A6A44"/>
    <w:rPr>
      <w:color w:val="0563C1" w:themeColor="hyperlink"/>
      <w:u w:val="single"/>
    </w:rPr>
  </w:style>
  <w:style w:type="character" w:styleId="UnresolvedMention">
    <w:name w:val="Unresolved Mention"/>
    <w:basedOn w:val="DefaultParagraphFont"/>
    <w:uiPriority w:val="99"/>
    <w:semiHidden/>
    <w:unhideWhenUsed/>
    <w:rsid w:val="005A6A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772994">
      <w:bodyDiv w:val="1"/>
      <w:marLeft w:val="0"/>
      <w:marRight w:val="0"/>
      <w:marTop w:val="0"/>
      <w:marBottom w:val="0"/>
      <w:divBdr>
        <w:top w:val="none" w:sz="0" w:space="0" w:color="auto"/>
        <w:left w:val="none" w:sz="0" w:space="0" w:color="auto"/>
        <w:bottom w:val="none" w:sz="0" w:space="0" w:color="auto"/>
        <w:right w:val="none" w:sz="0" w:space="0" w:color="auto"/>
      </w:divBdr>
      <w:divsChild>
        <w:div w:id="953444686">
          <w:marLeft w:val="0"/>
          <w:marRight w:val="0"/>
          <w:marTop w:val="0"/>
          <w:marBottom w:val="0"/>
          <w:divBdr>
            <w:top w:val="none" w:sz="0" w:space="0" w:color="auto"/>
            <w:left w:val="none" w:sz="0" w:space="0" w:color="auto"/>
            <w:bottom w:val="none" w:sz="0" w:space="0" w:color="auto"/>
            <w:right w:val="none" w:sz="0" w:space="0" w:color="auto"/>
          </w:divBdr>
        </w:div>
      </w:divsChild>
    </w:div>
    <w:div w:id="133454026">
      <w:bodyDiv w:val="1"/>
      <w:marLeft w:val="0"/>
      <w:marRight w:val="0"/>
      <w:marTop w:val="0"/>
      <w:marBottom w:val="0"/>
      <w:divBdr>
        <w:top w:val="none" w:sz="0" w:space="0" w:color="auto"/>
        <w:left w:val="none" w:sz="0" w:space="0" w:color="auto"/>
        <w:bottom w:val="none" w:sz="0" w:space="0" w:color="auto"/>
        <w:right w:val="none" w:sz="0" w:space="0" w:color="auto"/>
      </w:divBdr>
      <w:divsChild>
        <w:div w:id="1795715253">
          <w:marLeft w:val="0"/>
          <w:marRight w:val="0"/>
          <w:marTop w:val="0"/>
          <w:marBottom w:val="0"/>
          <w:divBdr>
            <w:top w:val="none" w:sz="0" w:space="0" w:color="auto"/>
            <w:left w:val="none" w:sz="0" w:space="0" w:color="auto"/>
            <w:bottom w:val="none" w:sz="0" w:space="0" w:color="auto"/>
            <w:right w:val="none" w:sz="0" w:space="0" w:color="auto"/>
          </w:divBdr>
        </w:div>
      </w:divsChild>
    </w:div>
    <w:div w:id="247623186">
      <w:bodyDiv w:val="1"/>
      <w:marLeft w:val="0"/>
      <w:marRight w:val="0"/>
      <w:marTop w:val="0"/>
      <w:marBottom w:val="0"/>
      <w:divBdr>
        <w:top w:val="none" w:sz="0" w:space="0" w:color="auto"/>
        <w:left w:val="none" w:sz="0" w:space="0" w:color="auto"/>
        <w:bottom w:val="none" w:sz="0" w:space="0" w:color="auto"/>
        <w:right w:val="none" w:sz="0" w:space="0" w:color="auto"/>
      </w:divBdr>
      <w:divsChild>
        <w:div w:id="547960452">
          <w:marLeft w:val="0"/>
          <w:marRight w:val="0"/>
          <w:marTop w:val="0"/>
          <w:marBottom w:val="0"/>
          <w:divBdr>
            <w:top w:val="none" w:sz="0" w:space="0" w:color="auto"/>
            <w:left w:val="none" w:sz="0" w:space="0" w:color="auto"/>
            <w:bottom w:val="none" w:sz="0" w:space="0" w:color="auto"/>
            <w:right w:val="none" w:sz="0" w:space="0" w:color="auto"/>
          </w:divBdr>
        </w:div>
      </w:divsChild>
    </w:div>
    <w:div w:id="341126589">
      <w:bodyDiv w:val="1"/>
      <w:marLeft w:val="0"/>
      <w:marRight w:val="0"/>
      <w:marTop w:val="0"/>
      <w:marBottom w:val="0"/>
      <w:divBdr>
        <w:top w:val="none" w:sz="0" w:space="0" w:color="auto"/>
        <w:left w:val="none" w:sz="0" w:space="0" w:color="auto"/>
        <w:bottom w:val="none" w:sz="0" w:space="0" w:color="auto"/>
        <w:right w:val="none" w:sz="0" w:space="0" w:color="auto"/>
      </w:divBdr>
      <w:divsChild>
        <w:div w:id="1344356841">
          <w:marLeft w:val="0"/>
          <w:marRight w:val="0"/>
          <w:marTop w:val="0"/>
          <w:marBottom w:val="0"/>
          <w:divBdr>
            <w:top w:val="none" w:sz="0" w:space="0" w:color="auto"/>
            <w:left w:val="none" w:sz="0" w:space="0" w:color="auto"/>
            <w:bottom w:val="none" w:sz="0" w:space="0" w:color="auto"/>
            <w:right w:val="none" w:sz="0" w:space="0" w:color="auto"/>
          </w:divBdr>
        </w:div>
      </w:divsChild>
    </w:div>
    <w:div w:id="353966456">
      <w:bodyDiv w:val="1"/>
      <w:marLeft w:val="0"/>
      <w:marRight w:val="0"/>
      <w:marTop w:val="0"/>
      <w:marBottom w:val="0"/>
      <w:divBdr>
        <w:top w:val="none" w:sz="0" w:space="0" w:color="auto"/>
        <w:left w:val="none" w:sz="0" w:space="0" w:color="auto"/>
        <w:bottom w:val="none" w:sz="0" w:space="0" w:color="auto"/>
        <w:right w:val="none" w:sz="0" w:space="0" w:color="auto"/>
      </w:divBdr>
      <w:divsChild>
        <w:div w:id="682167601">
          <w:marLeft w:val="0"/>
          <w:marRight w:val="0"/>
          <w:marTop w:val="0"/>
          <w:marBottom w:val="0"/>
          <w:divBdr>
            <w:top w:val="none" w:sz="0" w:space="0" w:color="auto"/>
            <w:left w:val="none" w:sz="0" w:space="0" w:color="auto"/>
            <w:bottom w:val="none" w:sz="0" w:space="0" w:color="auto"/>
            <w:right w:val="none" w:sz="0" w:space="0" w:color="auto"/>
          </w:divBdr>
        </w:div>
      </w:divsChild>
    </w:div>
    <w:div w:id="404113118">
      <w:bodyDiv w:val="1"/>
      <w:marLeft w:val="0"/>
      <w:marRight w:val="0"/>
      <w:marTop w:val="0"/>
      <w:marBottom w:val="0"/>
      <w:divBdr>
        <w:top w:val="none" w:sz="0" w:space="0" w:color="auto"/>
        <w:left w:val="none" w:sz="0" w:space="0" w:color="auto"/>
        <w:bottom w:val="none" w:sz="0" w:space="0" w:color="auto"/>
        <w:right w:val="none" w:sz="0" w:space="0" w:color="auto"/>
      </w:divBdr>
      <w:divsChild>
        <w:div w:id="1138036147">
          <w:marLeft w:val="0"/>
          <w:marRight w:val="0"/>
          <w:marTop w:val="0"/>
          <w:marBottom w:val="0"/>
          <w:divBdr>
            <w:top w:val="none" w:sz="0" w:space="0" w:color="auto"/>
            <w:left w:val="none" w:sz="0" w:space="0" w:color="auto"/>
            <w:bottom w:val="none" w:sz="0" w:space="0" w:color="auto"/>
            <w:right w:val="none" w:sz="0" w:space="0" w:color="auto"/>
          </w:divBdr>
        </w:div>
      </w:divsChild>
    </w:div>
    <w:div w:id="542055609">
      <w:bodyDiv w:val="1"/>
      <w:marLeft w:val="0"/>
      <w:marRight w:val="0"/>
      <w:marTop w:val="0"/>
      <w:marBottom w:val="0"/>
      <w:divBdr>
        <w:top w:val="none" w:sz="0" w:space="0" w:color="auto"/>
        <w:left w:val="none" w:sz="0" w:space="0" w:color="auto"/>
        <w:bottom w:val="none" w:sz="0" w:space="0" w:color="auto"/>
        <w:right w:val="none" w:sz="0" w:space="0" w:color="auto"/>
      </w:divBdr>
      <w:divsChild>
        <w:div w:id="1560559511">
          <w:marLeft w:val="0"/>
          <w:marRight w:val="0"/>
          <w:marTop w:val="0"/>
          <w:marBottom w:val="0"/>
          <w:divBdr>
            <w:top w:val="none" w:sz="0" w:space="0" w:color="auto"/>
            <w:left w:val="none" w:sz="0" w:space="0" w:color="auto"/>
            <w:bottom w:val="none" w:sz="0" w:space="0" w:color="auto"/>
            <w:right w:val="none" w:sz="0" w:space="0" w:color="auto"/>
          </w:divBdr>
        </w:div>
      </w:divsChild>
    </w:div>
    <w:div w:id="634332194">
      <w:bodyDiv w:val="1"/>
      <w:marLeft w:val="0"/>
      <w:marRight w:val="0"/>
      <w:marTop w:val="0"/>
      <w:marBottom w:val="0"/>
      <w:divBdr>
        <w:top w:val="none" w:sz="0" w:space="0" w:color="auto"/>
        <w:left w:val="none" w:sz="0" w:space="0" w:color="auto"/>
        <w:bottom w:val="none" w:sz="0" w:space="0" w:color="auto"/>
        <w:right w:val="none" w:sz="0" w:space="0" w:color="auto"/>
      </w:divBdr>
      <w:divsChild>
        <w:div w:id="282083694">
          <w:marLeft w:val="0"/>
          <w:marRight w:val="0"/>
          <w:marTop w:val="0"/>
          <w:marBottom w:val="0"/>
          <w:divBdr>
            <w:top w:val="none" w:sz="0" w:space="0" w:color="auto"/>
            <w:left w:val="none" w:sz="0" w:space="0" w:color="auto"/>
            <w:bottom w:val="none" w:sz="0" w:space="0" w:color="auto"/>
            <w:right w:val="none" w:sz="0" w:space="0" w:color="auto"/>
          </w:divBdr>
        </w:div>
      </w:divsChild>
    </w:div>
    <w:div w:id="928545232">
      <w:bodyDiv w:val="1"/>
      <w:marLeft w:val="0"/>
      <w:marRight w:val="0"/>
      <w:marTop w:val="0"/>
      <w:marBottom w:val="0"/>
      <w:divBdr>
        <w:top w:val="none" w:sz="0" w:space="0" w:color="auto"/>
        <w:left w:val="none" w:sz="0" w:space="0" w:color="auto"/>
        <w:bottom w:val="none" w:sz="0" w:space="0" w:color="auto"/>
        <w:right w:val="none" w:sz="0" w:space="0" w:color="auto"/>
      </w:divBdr>
      <w:divsChild>
        <w:div w:id="2101441679">
          <w:marLeft w:val="0"/>
          <w:marRight w:val="0"/>
          <w:marTop w:val="0"/>
          <w:marBottom w:val="0"/>
          <w:divBdr>
            <w:top w:val="none" w:sz="0" w:space="0" w:color="auto"/>
            <w:left w:val="none" w:sz="0" w:space="0" w:color="auto"/>
            <w:bottom w:val="none" w:sz="0" w:space="0" w:color="auto"/>
            <w:right w:val="none" w:sz="0" w:space="0" w:color="auto"/>
          </w:divBdr>
        </w:div>
      </w:divsChild>
    </w:div>
    <w:div w:id="937179900">
      <w:bodyDiv w:val="1"/>
      <w:marLeft w:val="0"/>
      <w:marRight w:val="0"/>
      <w:marTop w:val="0"/>
      <w:marBottom w:val="0"/>
      <w:divBdr>
        <w:top w:val="none" w:sz="0" w:space="0" w:color="auto"/>
        <w:left w:val="none" w:sz="0" w:space="0" w:color="auto"/>
        <w:bottom w:val="none" w:sz="0" w:space="0" w:color="auto"/>
        <w:right w:val="none" w:sz="0" w:space="0" w:color="auto"/>
      </w:divBdr>
      <w:divsChild>
        <w:div w:id="840775885">
          <w:marLeft w:val="0"/>
          <w:marRight w:val="0"/>
          <w:marTop w:val="0"/>
          <w:marBottom w:val="0"/>
          <w:divBdr>
            <w:top w:val="none" w:sz="0" w:space="0" w:color="auto"/>
            <w:left w:val="none" w:sz="0" w:space="0" w:color="auto"/>
            <w:bottom w:val="none" w:sz="0" w:space="0" w:color="auto"/>
            <w:right w:val="none" w:sz="0" w:space="0" w:color="auto"/>
          </w:divBdr>
        </w:div>
      </w:divsChild>
    </w:div>
    <w:div w:id="991179117">
      <w:bodyDiv w:val="1"/>
      <w:marLeft w:val="0"/>
      <w:marRight w:val="0"/>
      <w:marTop w:val="0"/>
      <w:marBottom w:val="0"/>
      <w:divBdr>
        <w:top w:val="none" w:sz="0" w:space="0" w:color="auto"/>
        <w:left w:val="none" w:sz="0" w:space="0" w:color="auto"/>
        <w:bottom w:val="none" w:sz="0" w:space="0" w:color="auto"/>
        <w:right w:val="none" w:sz="0" w:space="0" w:color="auto"/>
      </w:divBdr>
      <w:divsChild>
        <w:div w:id="955791592">
          <w:marLeft w:val="0"/>
          <w:marRight w:val="0"/>
          <w:marTop w:val="0"/>
          <w:marBottom w:val="0"/>
          <w:divBdr>
            <w:top w:val="none" w:sz="0" w:space="0" w:color="auto"/>
            <w:left w:val="none" w:sz="0" w:space="0" w:color="auto"/>
            <w:bottom w:val="none" w:sz="0" w:space="0" w:color="auto"/>
            <w:right w:val="none" w:sz="0" w:space="0" w:color="auto"/>
          </w:divBdr>
        </w:div>
      </w:divsChild>
    </w:div>
    <w:div w:id="997418123">
      <w:bodyDiv w:val="1"/>
      <w:marLeft w:val="0"/>
      <w:marRight w:val="0"/>
      <w:marTop w:val="0"/>
      <w:marBottom w:val="0"/>
      <w:divBdr>
        <w:top w:val="none" w:sz="0" w:space="0" w:color="auto"/>
        <w:left w:val="none" w:sz="0" w:space="0" w:color="auto"/>
        <w:bottom w:val="none" w:sz="0" w:space="0" w:color="auto"/>
        <w:right w:val="none" w:sz="0" w:space="0" w:color="auto"/>
      </w:divBdr>
      <w:divsChild>
        <w:div w:id="452754616">
          <w:marLeft w:val="0"/>
          <w:marRight w:val="0"/>
          <w:marTop w:val="0"/>
          <w:marBottom w:val="0"/>
          <w:divBdr>
            <w:top w:val="none" w:sz="0" w:space="0" w:color="auto"/>
            <w:left w:val="none" w:sz="0" w:space="0" w:color="auto"/>
            <w:bottom w:val="none" w:sz="0" w:space="0" w:color="auto"/>
            <w:right w:val="none" w:sz="0" w:space="0" w:color="auto"/>
          </w:divBdr>
        </w:div>
      </w:divsChild>
    </w:div>
    <w:div w:id="1019164911">
      <w:bodyDiv w:val="1"/>
      <w:marLeft w:val="0"/>
      <w:marRight w:val="0"/>
      <w:marTop w:val="0"/>
      <w:marBottom w:val="0"/>
      <w:divBdr>
        <w:top w:val="none" w:sz="0" w:space="0" w:color="auto"/>
        <w:left w:val="none" w:sz="0" w:space="0" w:color="auto"/>
        <w:bottom w:val="none" w:sz="0" w:space="0" w:color="auto"/>
        <w:right w:val="none" w:sz="0" w:space="0" w:color="auto"/>
      </w:divBdr>
      <w:divsChild>
        <w:div w:id="50933181">
          <w:marLeft w:val="0"/>
          <w:marRight w:val="0"/>
          <w:marTop w:val="0"/>
          <w:marBottom w:val="0"/>
          <w:divBdr>
            <w:top w:val="none" w:sz="0" w:space="0" w:color="auto"/>
            <w:left w:val="none" w:sz="0" w:space="0" w:color="auto"/>
            <w:bottom w:val="none" w:sz="0" w:space="0" w:color="auto"/>
            <w:right w:val="none" w:sz="0" w:space="0" w:color="auto"/>
          </w:divBdr>
        </w:div>
      </w:divsChild>
    </w:div>
    <w:div w:id="1258126851">
      <w:bodyDiv w:val="1"/>
      <w:marLeft w:val="0"/>
      <w:marRight w:val="0"/>
      <w:marTop w:val="0"/>
      <w:marBottom w:val="0"/>
      <w:divBdr>
        <w:top w:val="none" w:sz="0" w:space="0" w:color="auto"/>
        <w:left w:val="none" w:sz="0" w:space="0" w:color="auto"/>
        <w:bottom w:val="none" w:sz="0" w:space="0" w:color="auto"/>
        <w:right w:val="none" w:sz="0" w:space="0" w:color="auto"/>
      </w:divBdr>
      <w:divsChild>
        <w:div w:id="1154176488">
          <w:marLeft w:val="0"/>
          <w:marRight w:val="0"/>
          <w:marTop w:val="0"/>
          <w:marBottom w:val="0"/>
          <w:divBdr>
            <w:top w:val="none" w:sz="0" w:space="0" w:color="auto"/>
            <w:left w:val="none" w:sz="0" w:space="0" w:color="auto"/>
            <w:bottom w:val="none" w:sz="0" w:space="0" w:color="auto"/>
            <w:right w:val="none" w:sz="0" w:space="0" w:color="auto"/>
          </w:divBdr>
        </w:div>
      </w:divsChild>
    </w:div>
    <w:div w:id="1373773414">
      <w:bodyDiv w:val="1"/>
      <w:marLeft w:val="0"/>
      <w:marRight w:val="0"/>
      <w:marTop w:val="0"/>
      <w:marBottom w:val="0"/>
      <w:divBdr>
        <w:top w:val="none" w:sz="0" w:space="0" w:color="auto"/>
        <w:left w:val="none" w:sz="0" w:space="0" w:color="auto"/>
        <w:bottom w:val="none" w:sz="0" w:space="0" w:color="auto"/>
        <w:right w:val="none" w:sz="0" w:space="0" w:color="auto"/>
      </w:divBdr>
      <w:divsChild>
        <w:div w:id="888301334">
          <w:marLeft w:val="0"/>
          <w:marRight w:val="0"/>
          <w:marTop w:val="0"/>
          <w:marBottom w:val="0"/>
          <w:divBdr>
            <w:top w:val="none" w:sz="0" w:space="0" w:color="auto"/>
            <w:left w:val="none" w:sz="0" w:space="0" w:color="auto"/>
            <w:bottom w:val="none" w:sz="0" w:space="0" w:color="auto"/>
            <w:right w:val="none" w:sz="0" w:space="0" w:color="auto"/>
          </w:divBdr>
        </w:div>
      </w:divsChild>
    </w:div>
    <w:div w:id="1392803117">
      <w:bodyDiv w:val="1"/>
      <w:marLeft w:val="0"/>
      <w:marRight w:val="0"/>
      <w:marTop w:val="0"/>
      <w:marBottom w:val="0"/>
      <w:divBdr>
        <w:top w:val="none" w:sz="0" w:space="0" w:color="auto"/>
        <w:left w:val="none" w:sz="0" w:space="0" w:color="auto"/>
        <w:bottom w:val="none" w:sz="0" w:space="0" w:color="auto"/>
        <w:right w:val="none" w:sz="0" w:space="0" w:color="auto"/>
      </w:divBdr>
      <w:divsChild>
        <w:div w:id="1518495280">
          <w:marLeft w:val="0"/>
          <w:marRight w:val="0"/>
          <w:marTop w:val="0"/>
          <w:marBottom w:val="0"/>
          <w:divBdr>
            <w:top w:val="none" w:sz="0" w:space="0" w:color="auto"/>
            <w:left w:val="none" w:sz="0" w:space="0" w:color="auto"/>
            <w:bottom w:val="none" w:sz="0" w:space="0" w:color="auto"/>
            <w:right w:val="none" w:sz="0" w:space="0" w:color="auto"/>
          </w:divBdr>
        </w:div>
      </w:divsChild>
    </w:div>
    <w:div w:id="1533224339">
      <w:bodyDiv w:val="1"/>
      <w:marLeft w:val="0"/>
      <w:marRight w:val="0"/>
      <w:marTop w:val="0"/>
      <w:marBottom w:val="0"/>
      <w:divBdr>
        <w:top w:val="none" w:sz="0" w:space="0" w:color="auto"/>
        <w:left w:val="none" w:sz="0" w:space="0" w:color="auto"/>
        <w:bottom w:val="none" w:sz="0" w:space="0" w:color="auto"/>
        <w:right w:val="none" w:sz="0" w:space="0" w:color="auto"/>
      </w:divBdr>
      <w:divsChild>
        <w:div w:id="744304115">
          <w:marLeft w:val="0"/>
          <w:marRight w:val="0"/>
          <w:marTop w:val="0"/>
          <w:marBottom w:val="0"/>
          <w:divBdr>
            <w:top w:val="none" w:sz="0" w:space="0" w:color="auto"/>
            <w:left w:val="none" w:sz="0" w:space="0" w:color="auto"/>
            <w:bottom w:val="none" w:sz="0" w:space="0" w:color="auto"/>
            <w:right w:val="none" w:sz="0" w:space="0" w:color="auto"/>
          </w:divBdr>
        </w:div>
      </w:divsChild>
    </w:div>
    <w:div w:id="1788238142">
      <w:bodyDiv w:val="1"/>
      <w:marLeft w:val="0"/>
      <w:marRight w:val="0"/>
      <w:marTop w:val="0"/>
      <w:marBottom w:val="0"/>
      <w:divBdr>
        <w:top w:val="none" w:sz="0" w:space="0" w:color="auto"/>
        <w:left w:val="none" w:sz="0" w:space="0" w:color="auto"/>
        <w:bottom w:val="none" w:sz="0" w:space="0" w:color="auto"/>
        <w:right w:val="none" w:sz="0" w:space="0" w:color="auto"/>
      </w:divBdr>
      <w:divsChild>
        <w:div w:id="1380281257">
          <w:marLeft w:val="0"/>
          <w:marRight w:val="0"/>
          <w:marTop w:val="0"/>
          <w:marBottom w:val="0"/>
          <w:divBdr>
            <w:top w:val="none" w:sz="0" w:space="0" w:color="auto"/>
            <w:left w:val="none" w:sz="0" w:space="0" w:color="auto"/>
            <w:bottom w:val="none" w:sz="0" w:space="0" w:color="auto"/>
            <w:right w:val="none" w:sz="0" w:space="0" w:color="auto"/>
          </w:divBdr>
        </w:div>
      </w:divsChild>
    </w:div>
    <w:div w:id="2094010030">
      <w:bodyDiv w:val="1"/>
      <w:marLeft w:val="0"/>
      <w:marRight w:val="0"/>
      <w:marTop w:val="0"/>
      <w:marBottom w:val="0"/>
      <w:divBdr>
        <w:top w:val="none" w:sz="0" w:space="0" w:color="auto"/>
        <w:left w:val="none" w:sz="0" w:space="0" w:color="auto"/>
        <w:bottom w:val="none" w:sz="0" w:space="0" w:color="auto"/>
        <w:right w:val="none" w:sz="0" w:space="0" w:color="auto"/>
      </w:divBdr>
      <w:divsChild>
        <w:div w:id="4469748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s>
</file>

<file path=word/_rels/footnotes.xml.rels><?xml version="1.0" encoding="UTF-8" standalone="yes"?>
<Relationships xmlns="http://schemas.openxmlformats.org/package/2006/relationships"><Relationship Id="rId1" Type="http://schemas.openxmlformats.org/officeDocument/2006/relationships/hyperlink" Target="https://doi.org/10.1007/s10900-017-0398-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A3C566BAC5B13499E9DCD0476CF4E5C" ma:contentTypeVersion="6" ma:contentTypeDescription="Create a new document." ma:contentTypeScope="" ma:versionID="a8885a61235d5571b0329a33a78c678b">
  <xsd:schema xmlns:xsd="http://www.w3.org/2001/XMLSchema" xmlns:xs="http://www.w3.org/2001/XMLSchema" xmlns:p="http://schemas.microsoft.com/office/2006/metadata/properties" xmlns:ns3="9c3d0223-1bd4-4bbc-b487-5ec876b00c97" targetNamespace="http://schemas.microsoft.com/office/2006/metadata/properties" ma:root="true" ma:fieldsID="6027caa12f09872e37741e04ef285c13" ns3:_="">
    <xsd:import namespace="9c3d0223-1bd4-4bbc-b487-5ec876b00c9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3d0223-1bd4-4bbc-b487-5ec876b00c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c3d0223-1bd4-4bbc-b487-5ec876b00c97"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4D90FB-E435-4C47-A813-57AC1A48DA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3d0223-1bd4-4bbc-b487-5ec876b00c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86085C0-7DB8-438C-8EDE-31CFB35CE2C1}">
  <ds:schemaRefs>
    <ds:schemaRef ds:uri="http://schemas.microsoft.com/sharepoint/v3/contenttype/forms"/>
  </ds:schemaRefs>
</ds:datastoreItem>
</file>

<file path=customXml/itemProps3.xml><?xml version="1.0" encoding="utf-8"?>
<ds:datastoreItem xmlns:ds="http://schemas.openxmlformats.org/officeDocument/2006/customXml" ds:itemID="{69C92DC8-EEDB-41A4-862D-F87BF9EFF427}">
  <ds:schemaRefs>
    <ds:schemaRef ds:uri="http://purl.org/dc/dcmitype/"/>
    <ds:schemaRef ds:uri="http://purl.org/dc/elements/1.1/"/>
    <ds:schemaRef ds:uri="http://purl.org/dc/terms/"/>
    <ds:schemaRef ds:uri="http://schemas.microsoft.com/office/2006/metadata/properties"/>
    <ds:schemaRef ds:uri="http://schemas.microsoft.com/office/2006/documentManagement/types"/>
    <ds:schemaRef ds:uri="http://schemas.openxmlformats.org/package/2006/metadata/core-properties"/>
    <ds:schemaRef ds:uri="http://schemas.microsoft.com/office/infopath/2007/PartnerControls"/>
    <ds:schemaRef ds:uri="9c3d0223-1bd4-4bbc-b487-5ec876b00c97"/>
    <ds:schemaRef ds:uri="http://www.w3.org/XML/1998/namespace"/>
  </ds:schemaRefs>
</ds:datastoreItem>
</file>

<file path=customXml/itemProps4.xml><?xml version="1.0" encoding="utf-8"?>
<ds:datastoreItem xmlns:ds="http://schemas.openxmlformats.org/officeDocument/2006/customXml" ds:itemID="{DA6EE1B8-CBF8-4654-90D4-63D592DD36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1349</TotalTime>
  <Pages>10</Pages>
  <Words>2085</Words>
  <Characters>11886</Characters>
  <Application>Microsoft Office Word</Application>
  <DocSecurity>0</DocSecurity>
  <Lines>99</Lines>
  <Paragraphs>27</Paragraphs>
  <ScaleCrop>false</ScaleCrop>
  <Company/>
  <LinksUpToDate>false</LinksUpToDate>
  <CharactersWithSpaces>13944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Shakira Peters (2118593)</dc:creator>
  <cp:keywords/>
  <dc:description/>
  <cp:lastModifiedBy>Shakira Peters</cp:lastModifiedBy>
  <cp:revision>108</cp:revision>
  <dcterms:created xsi:type="dcterms:W3CDTF">2023-05-03T20:14:00Z</dcterms:created>
  <dcterms:modified xsi:type="dcterms:W3CDTF">2023-05-04T19:31:00Z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c0f26193-f127-42bd-9016-b19e0d9835e0</vt:lpwstr>
  </property>
  <property fmtid="{D5CDD505-2E9C-101B-9397-08002B2CF9AE}" pid="3" name="ContentTypeId">
    <vt:lpwstr>0x0101009A3C566BAC5B13499E9DCD0476CF4E5C</vt:lpwstr>
  </property>
</Properties>
</file>