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A028" w14:textId="128BEA96" w:rsidR="006651F1" w:rsidRDefault="006651F1" w:rsidP="0036106E">
      <w:pPr>
        <w:ind w:left="720" w:hanging="360"/>
      </w:pPr>
      <w:r>
        <w:t>Proposed title</w:t>
      </w:r>
    </w:p>
    <w:p w14:paraId="7273DC7C" w14:textId="5690F5A2" w:rsidR="00794555" w:rsidRDefault="0036106E" w:rsidP="0036106E">
      <w:pPr>
        <w:pStyle w:val="ListParagraph"/>
        <w:numPr>
          <w:ilvl w:val="0"/>
          <w:numId w:val="1"/>
        </w:numPr>
      </w:pPr>
      <w:r w:rsidRPr="0036106E">
        <w:t>Empowering Inclusive Learning: Transformative Design Principles for Virtual Learning Environments (VLEs) Catering to Students with Additional Learning Needs</w:t>
      </w:r>
      <w:r w:rsidR="002D0914">
        <w:t xml:space="preserve"> </w:t>
      </w:r>
      <w:r w:rsidR="00D83D66">
        <w:t>–</w:t>
      </w:r>
      <w:r w:rsidR="00D83D66">
        <w:rPr>
          <w:color w:val="FF0000"/>
        </w:rPr>
        <w:t>2</w:t>
      </w:r>
      <w:r w:rsidR="00D83D66" w:rsidRPr="00D83D66">
        <w:rPr>
          <w:color w:val="FF0000"/>
          <w:vertAlign w:val="superscript"/>
        </w:rPr>
        <w:t>nd</w:t>
      </w:r>
      <w:r w:rsidR="00D83D66">
        <w:rPr>
          <w:color w:val="FF0000"/>
        </w:rPr>
        <w:t xml:space="preserve"> </w:t>
      </w:r>
    </w:p>
    <w:p w14:paraId="3B0983A3" w14:textId="3678249B" w:rsidR="0036106E" w:rsidRDefault="0036106E" w:rsidP="0036106E">
      <w:pPr>
        <w:pStyle w:val="ListParagraph"/>
        <w:numPr>
          <w:ilvl w:val="0"/>
          <w:numId w:val="1"/>
        </w:numPr>
      </w:pPr>
      <w:r w:rsidRPr="0036106E">
        <w:t>Navigating the Digital Landscape: Strategies for Crafting Accessible and Engaging Virtual Learning Environments (VLEs) for Students with Additional Learning Needs</w:t>
      </w:r>
      <w:r w:rsidR="00D83D66">
        <w:rPr>
          <w:color w:val="FF0000"/>
        </w:rPr>
        <w:t>—</w:t>
      </w:r>
      <w:r w:rsidR="00D827C5">
        <w:rPr>
          <w:color w:val="FF0000"/>
        </w:rPr>
        <w:t>3</w:t>
      </w:r>
      <w:r w:rsidR="00D83D66" w:rsidRPr="00D83D66">
        <w:rPr>
          <w:color w:val="FF0000"/>
          <w:vertAlign w:val="superscript"/>
        </w:rPr>
        <w:t>rd</w:t>
      </w:r>
      <w:r w:rsidR="00D83D66">
        <w:rPr>
          <w:color w:val="FF0000"/>
        </w:rPr>
        <w:t xml:space="preserve"> </w:t>
      </w:r>
    </w:p>
    <w:p w14:paraId="2B823A58" w14:textId="29544DEF" w:rsidR="0036106E" w:rsidRPr="008C4D5F" w:rsidRDefault="0036106E" w:rsidP="0036106E">
      <w:pPr>
        <w:pStyle w:val="ListParagraph"/>
        <w:numPr>
          <w:ilvl w:val="0"/>
          <w:numId w:val="1"/>
        </w:numPr>
        <w:rPr>
          <w:strike/>
        </w:rPr>
      </w:pPr>
      <w:r w:rsidRPr="008C4D5F">
        <w:rPr>
          <w:strike/>
        </w:rPr>
        <w:t>Optimizing Virtual Learning Environments (VLEs) for Inclusivity: A Human-Computer Interaction Study with a Focus on Students with Additional Learning Needs</w:t>
      </w:r>
    </w:p>
    <w:p w14:paraId="570B4E96" w14:textId="2FA92EDF" w:rsidR="0036106E" w:rsidRDefault="0036106E" w:rsidP="0036106E">
      <w:pPr>
        <w:pStyle w:val="ListParagraph"/>
        <w:numPr>
          <w:ilvl w:val="0"/>
          <w:numId w:val="1"/>
        </w:numPr>
      </w:pPr>
      <w:r w:rsidRPr="0036106E">
        <w:t>Enhancing Accessibility and User Experience of Virtual Learning Environments (VLEs)  for Students with Additional Learning Needs: A User-</w:t>
      </w:r>
      <w:proofErr w:type="spellStart"/>
      <w:r w:rsidRPr="0036106E">
        <w:t>Centered</w:t>
      </w:r>
      <w:proofErr w:type="spellEnd"/>
      <w:r w:rsidRPr="0036106E">
        <w:t xml:space="preserve"> Design Approach</w:t>
      </w:r>
      <w:r w:rsidR="00D83D66">
        <w:rPr>
          <w:color w:val="FF0000"/>
        </w:rPr>
        <w:t>—1</w:t>
      </w:r>
      <w:r w:rsidR="00D83D66" w:rsidRPr="00D83D66">
        <w:rPr>
          <w:color w:val="FF0000"/>
          <w:vertAlign w:val="superscript"/>
        </w:rPr>
        <w:t>st</w:t>
      </w:r>
      <w:r w:rsidR="00D83D66">
        <w:rPr>
          <w:color w:val="FF0000"/>
        </w:rPr>
        <w:t xml:space="preserve"> choice</w:t>
      </w:r>
    </w:p>
    <w:p w14:paraId="7B409331" w14:textId="77777777" w:rsidR="00945133" w:rsidRPr="00945133" w:rsidRDefault="00945133" w:rsidP="00945133">
      <w:pPr>
        <w:jc w:val="both"/>
        <w:rPr>
          <w:b/>
          <w:bCs/>
        </w:rPr>
      </w:pPr>
      <w:r w:rsidRPr="00945133">
        <w:rPr>
          <w:b/>
          <w:bCs/>
        </w:rPr>
        <w:t>Background and Context</w:t>
      </w:r>
    </w:p>
    <w:p w14:paraId="775BBF4D" w14:textId="77777777" w:rsidR="00945133" w:rsidRPr="00945133" w:rsidRDefault="00945133" w:rsidP="00945133">
      <w:pPr>
        <w:jc w:val="both"/>
        <w:rPr>
          <w:b/>
          <w:bCs/>
        </w:rPr>
      </w:pPr>
      <w:r w:rsidRPr="00945133">
        <w:rPr>
          <w:b/>
          <w:bCs/>
        </w:rPr>
        <w:t>With the widespread integration of computers and computing systems in a technologically advanced society, "computer literacy" is regarded as a crucial skill in the educational sector. Computer literacy involves the ability to operate, understand, and manage a computing system, and this skill is necessary for utilizing virtual learning environment (VLE) systems for educational purposes. However, computer literacy does not necessarily lead to the "effective and efficient" use of VLE systems.</w:t>
      </w:r>
    </w:p>
    <w:p w14:paraId="15C6DA98" w14:textId="77777777" w:rsidR="00945133" w:rsidRPr="00945133" w:rsidRDefault="00945133" w:rsidP="00945133">
      <w:pPr>
        <w:jc w:val="both"/>
        <w:rPr>
          <w:b/>
          <w:bCs/>
        </w:rPr>
      </w:pPr>
    </w:p>
    <w:p w14:paraId="08BCC92C" w14:textId="77777777" w:rsidR="00945133" w:rsidRPr="00945133" w:rsidRDefault="00945133" w:rsidP="00945133">
      <w:pPr>
        <w:jc w:val="both"/>
        <w:rPr>
          <w:b/>
          <w:bCs/>
        </w:rPr>
      </w:pPr>
      <w:r w:rsidRPr="00945133">
        <w:rPr>
          <w:b/>
          <w:bCs/>
        </w:rPr>
        <w:t>Creating an enhanced educational experience today requires diverse tools and technology, balanced with guided and independent learning to accommodate students with varying learning styles. Despite the potential benefits, VLE users often do not fully explore these features. Addressing these challenges and promoting a user-</w:t>
      </w:r>
      <w:proofErr w:type="spellStart"/>
      <w:r w:rsidRPr="00945133">
        <w:rPr>
          <w:b/>
          <w:bCs/>
        </w:rPr>
        <w:t>centered</w:t>
      </w:r>
      <w:proofErr w:type="spellEnd"/>
      <w:r w:rsidRPr="00945133">
        <w:rPr>
          <w:b/>
          <w:bCs/>
        </w:rPr>
        <w:t xml:space="preserve"> approach can help educational institutions maximize the potential of VLEs to enrich teaching and learning experiences.</w:t>
      </w:r>
    </w:p>
    <w:p w14:paraId="4D7E4931" w14:textId="77777777" w:rsidR="00945133" w:rsidRPr="00945133" w:rsidRDefault="00945133" w:rsidP="00945133">
      <w:pPr>
        <w:jc w:val="both"/>
        <w:rPr>
          <w:b/>
          <w:bCs/>
        </w:rPr>
      </w:pPr>
    </w:p>
    <w:p w14:paraId="00CABD16" w14:textId="77777777" w:rsidR="00945133" w:rsidRPr="00945133" w:rsidRDefault="00945133" w:rsidP="00945133">
      <w:pPr>
        <w:jc w:val="both"/>
        <w:rPr>
          <w:b/>
          <w:bCs/>
        </w:rPr>
      </w:pPr>
      <w:r w:rsidRPr="00945133">
        <w:rPr>
          <w:b/>
          <w:bCs/>
        </w:rPr>
        <w:t xml:space="preserve">As systems are independently developed, there will be variations in interactive design quality, created by designers of differing skills (Toko, Guy, 2019). An interaction design is considered poor when users struggle to use it and good when users find it easy to interact with (Lazar, Feng, and </w:t>
      </w:r>
      <w:proofErr w:type="spellStart"/>
      <w:r w:rsidRPr="00945133">
        <w:rPr>
          <w:b/>
          <w:bCs/>
        </w:rPr>
        <w:t>Hochheiser</w:t>
      </w:r>
      <w:proofErr w:type="spellEnd"/>
      <w:r w:rsidRPr="00945133">
        <w:rPr>
          <w:b/>
          <w:bCs/>
        </w:rPr>
        <w:t>, 2010). Poor interaction design discourages continued usage, frustrates users, limits interactivity, fosters resentment, and reduces system use.</w:t>
      </w:r>
    </w:p>
    <w:p w14:paraId="7CC4B820" w14:textId="77777777" w:rsidR="00945133" w:rsidRPr="00945133" w:rsidRDefault="00945133" w:rsidP="00945133">
      <w:pPr>
        <w:jc w:val="both"/>
        <w:rPr>
          <w:b/>
          <w:bCs/>
        </w:rPr>
      </w:pPr>
    </w:p>
    <w:p w14:paraId="21D89A3D" w14:textId="77777777" w:rsidR="00945133" w:rsidRPr="00945133" w:rsidRDefault="00945133" w:rsidP="00945133">
      <w:pPr>
        <w:jc w:val="both"/>
        <w:rPr>
          <w:b/>
          <w:bCs/>
        </w:rPr>
      </w:pPr>
      <w:r w:rsidRPr="00945133">
        <w:rPr>
          <w:b/>
          <w:bCs/>
        </w:rPr>
        <w:t xml:space="preserve">Usability and user experience are critical factors that can significantly influence learning outcomes, especially for students with diverse learning needs. This is evident in the field of Human-Computer Interaction (HCI). HCI plays a crucial role in guiding both designers and users of computing systems like Moodle by recognizing users’ needs and aspirations. This study aims to better understand the relationship between students with additional learning needs and their Learning Management System. The accompanying figure illustrates the overall role of HCI in interactivity and its impact on the relationship between academia and interface designers of products like Moodle (Ojha, Jovanovic &amp; </w:t>
      </w:r>
      <w:proofErr w:type="spellStart"/>
      <w:r w:rsidRPr="00945133">
        <w:rPr>
          <w:b/>
          <w:bCs/>
        </w:rPr>
        <w:t>Giuchiglia</w:t>
      </w:r>
      <w:proofErr w:type="spellEnd"/>
      <w:r w:rsidRPr="00945133">
        <w:rPr>
          <w:b/>
          <w:bCs/>
        </w:rPr>
        <w:t>, 2015).</w:t>
      </w:r>
    </w:p>
    <w:p w14:paraId="0DA1E9DC" w14:textId="7B934932" w:rsidR="00945133" w:rsidRPr="00945133" w:rsidRDefault="00361627" w:rsidP="00945133">
      <w:pPr>
        <w:jc w:val="both"/>
        <w:rPr>
          <w:b/>
          <w:bCs/>
        </w:rPr>
      </w:pPr>
      <w:r w:rsidRPr="001F2DC2">
        <w:rPr>
          <w:noProof/>
        </w:rPr>
        <w:lastRenderedPageBreak/>
        <w:drawing>
          <wp:inline distT="0" distB="0" distL="0" distR="0" wp14:anchorId="5C6BF428" wp14:editId="34827913">
            <wp:extent cx="4286250" cy="3209925"/>
            <wp:effectExtent l="0" t="0" r="0" b="9525"/>
            <wp:docPr id="2" name="Picture 2" descr="A diagram of the user experience usa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the user experience usability&#10;&#10;Description automatically generated"/>
                    <pic:cNvPicPr/>
                  </pic:nvPicPr>
                  <pic:blipFill>
                    <a:blip r:embed="rId6"/>
                    <a:stretch>
                      <a:fillRect/>
                    </a:stretch>
                  </pic:blipFill>
                  <pic:spPr>
                    <a:xfrm>
                      <a:off x="0" y="0"/>
                      <a:ext cx="4286250" cy="3209925"/>
                    </a:xfrm>
                    <a:prstGeom prst="rect">
                      <a:avLst/>
                    </a:prstGeom>
                  </pic:spPr>
                </pic:pic>
              </a:graphicData>
            </a:graphic>
          </wp:inline>
        </w:drawing>
      </w:r>
    </w:p>
    <w:p w14:paraId="17954C48" w14:textId="77777777" w:rsidR="00945133" w:rsidRPr="00945133" w:rsidRDefault="00945133" w:rsidP="00945133">
      <w:pPr>
        <w:jc w:val="both"/>
        <w:rPr>
          <w:b/>
          <w:bCs/>
        </w:rPr>
      </w:pPr>
      <w:r w:rsidRPr="00945133">
        <w:rPr>
          <w:b/>
          <w:bCs/>
        </w:rPr>
        <w:t>Figure: Human Interaction (adapted from Interaction Design Foundation)</w:t>
      </w:r>
    </w:p>
    <w:p w14:paraId="559C11D7" w14:textId="77777777" w:rsidR="00945133" w:rsidRPr="00945133" w:rsidRDefault="00945133" w:rsidP="00945133">
      <w:pPr>
        <w:jc w:val="both"/>
        <w:rPr>
          <w:b/>
          <w:bCs/>
        </w:rPr>
      </w:pPr>
      <w:r w:rsidRPr="00945133">
        <w:rPr>
          <w:b/>
          <w:bCs/>
        </w:rPr>
        <w:t xml:space="preserve">The discipline of Interaction Design in computer science and HCI is pivotal in shaping the interface and functionality of VLEs to align with human-computer interaction needs. Design principles are a collection of heuristics, procedures, human biases, and design patterns compiled by researchers and interaction design experts over many years. These heuristics serve as a starting point for any tool requiring human interface interaction. Design principles typically associate changes across design-related areas like human </w:t>
      </w:r>
      <w:proofErr w:type="spellStart"/>
      <w:r w:rsidRPr="00945133">
        <w:rPr>
          <w:b/>
          <w:bCs/>
        </w:rPr>
        <w:t>behavior</w:t>
      </w:r>
      <w:proofErr w:type="spellEnd"/>
      <w:r w:rsidRPr="00945133">
        <w:rPr>
          <w:b/>
          <w:bCs/>
        </w:rPr>
        <w:t>, culture, and ergonomics. They assist engineers in enhancing usability, inspiring insights, providing appeal, and instructing users (</w:t>
      </w:r>
      <w:proofErr w:type="spellStart"/>
      <w:r w:rsidRPr="00945133">
        <w:rPr>
          <w:b/>
          <w:bCs/>
        </w:rPr>
        <w:t>Lidwell</w:t>
      </w:r>
      <w:proofErr w:type="spellEnd"/>
      <w:r w:rsidRPr="00945133">
        <w:rPr>
          <w:b/>
          <w:bCs/>
        </w:rPr>
        <w:t>, Holden &amp; Butler, 2007), and can improve VLE design.</w:t>
      </w:r>
    </w:p>
    <w:p w14:paraId="5F653AF9" w14:textId="77777777" w:rsidR="00945133" w:rsidRPr="00945133" w:rsidRDefault="00945133" w:rsidP="00945133">
      <w:pPr>
        <w:jc w:val="both"/>
        <w:rPr>
          <w:b/>
          <w:bCs/>
        </w:rPr>
      </w:pPr>
    </w:p>
    <w:p w14:paraId="49944271" w14:textId="77777777" w:rsidR="00945133" w:rsidRPr="00945133" w:rsidRDefault="00945133" w:rsidP="00945133">
      <w:pPr>
        <w:jc w:val="both"/>
        <w:rPr>
          <w:b/>
          <w:bCs/>
        </w:rPr>
      </w:pPr>
      <w:r w:rsidRPr="00945133">
        <w:rPr>
          <w:b/>
          <w:bCs/>
        </w:rPr>
        <w:t xml:space="preserve">Interaction designers aim to create products that are utilitarian, user-friendly, technically feasible, and commercially viable. Central to this </w:t>
      </w:r>
      <w:proofErr w:type="spellStart"/>
      <w:r w:rsidRPr="00945133">
        <w:rPr>
          <w:b/>
          <w:bCs/>
        </w:rPr>
        <w:t>endeavor</w:t>
      </w:r>
      <w:proofErr w:type="spellEnd"/>
      <w:r w:rsidRPr="00945133">
        <w:rPr>
          <w:b/>
          <w:bCs/>
        </w:rPr>
        <w:t xml:space="preserve"> is usability, defined by ISO 9241-11 as the extent to which a product can be used by specified users to achieve specified goals with effectiveness, efficiency, and satisfaction. Additionally, Interaction Design focuses on enhancing User Experience (UX) goals, including satisfaction, enjoyment, and emotional </w:t>
      </w:r>
      <w:proofErr w:type="spellStart"/>
      <w:r w:rsidRPr="00945133">
        <w:rPr>
          <w:b/>
          <w:bCs/>
        </w:rPr>
        <w:t>fulfillment</w:t>
      </w:r>
      <w:proofErr w:type="spellEnd"/>
      <w:r w:rsidRPr="00945133">
        <w:rPr>
          <w:b/>
          <w:bCs/>
        </w:rPr>
        <w:t xml:space="preserve"> alongside efficiency and productivity.</w:t>
      </w:r>
    </w:p>
    <w:p w14:paraId="57C5B6AD" w14:textId="77777777" w:rsidR="00945133" w:rsidRPr="00945133" w:rsidRDefault="00945133" w:rsidP="00945133">
      <w:pPr>
        <w:jc w:val="both"/>
        <w:rPr>
          <w:b/>
          <w:bCs/>
        </w:rPr>
      </w:pPr>
    </w:p>
    <w:p w14:paraId="56FDEB94" w14:textId="77777777" w:rsidR="00945133" w:rsidRPr="00945133" w:rsidRDefault="00945133" w:rsidP="00945133">
      <w:pPr>
        <w:jc w:val="both"/>
        <w:rPr>
          <w:b/>
          <w:bCs/>
        </w:rPr>
      </w:pPr>
      <w:r w:rsidRPr="00945133">
        <w:rPr>
          <w:b/>
          <w:bCs/>
        </w:rPr>
        <w:t>Design principles help users recover from errors, promote consistency, enhance recognition over recall, provide flexibility and efficiency, as well as aesthetics and documentation. These principles can significantly impact usability and user experience goals.</w:t>
      </w:r>
    </w:p>
    <w:p w14:paraId="664379B6" w14:textId="77777777" w:rsidR="00945133" w:rsidRPr="00945133" w:rsidRDefault="00945133" w:rsidP="00945133">
      <w:pPr>
        <w:jc w:val="both"/>
        <w:rPr>
          <w:b/>
          <w:bCs/>
        </w:rPr>
      </w:pPr>
    </w:p>
    <w:p w14:paraId="1EFC49C9" w14:textId="77777777" w:rsidR="00945133" w:rsidRDefault="00945133" w:rsidP="00945133">
      <w:pPr>
        <w:jc w:val="both"/>
        <w:rPr>
          <w:b/>
          <w:bCs/>
        </w:rPr>
      </w:pPr>
      <w:r w:rsidRPr="00945133">
        <w:rPr>
          <w:b/>
          <w:bCs/>
        </w:rPr>
        <w:t>Within this framework, this research proposal aims to explore how design principles can be leveraged to enhance the usability and user experience of VLEs for students with additional learning needs.</w:t>
      </w:r>
    </w:p>
    <w:p w14:paraId="1BD463D7" w14:textId="28FD7849" w:rsidR="00851CB5" w:rsidRDefault="00851CB5" w:rsidP="00945133">
      <w:pPr>
        <w:jc w:val="both"/>
        <w:rPr>
          <w:b/>
          <w:bCs/>
        </w:rPr>
      </w:pPr>
      <w:r w:rsidRPr="00851CB5">
        <w:rPr>
          <w:b/>
          <w:bCs/>
        </w:rPr>
        <w:t>Proposed objectives</w:t>
      </w:r>
    </w:p>
    <w:p w14:paraId="3D461900" w14:textId="77777777" w:rsidR="00B009C9" w:rsidRDefault="00B009C9" w:rsidP="00B322E7">
      <w:pPr>
        <w:jc w:val="both"/>
      </w:pPr>
      <w:r>
        <w:lastRenderedPageBreak/>
        <w:t>The primary objectives of this research are as follows:</w:t>
      </w:r>
    </w:p>
    <w:p w14:paraId="4539F3A2" w14:textId="77777777" w:rsidR="00B009C9" w:rsidRDefault="00B009C9" w:rsidP="00B322E7">
      <w:pPr>
        <w:jc w:val="both"/>
      </w:pPr>
    </w:p>
    <w:p w14:paraId="5B447780" w14:textId="77777777" w:rsidR="00B009C9" w:rsidRDefault="00B009C9" w:rsidP="00B322E7">
      <w:pPr>
        <w:jc w:val="both"/>
      </w:pPr>
      <w:r>
        <w:t xml:space="preserve">   a. To assess the existing design principles of LMS used in higher education in Wales and their alignment with the needs of students with additional needs.</w:t>
      </w:r>
    </w:p>
    <w:p w14:paraId="6CA947AF" w14:textId="77777777" w:rsidR="00B009C9" w:rsidRDefault="00B009C9" w:rsidP="00B322E7">
      <w:pPr>
        <w:jc w:val="both"/>
      </w:pPr>
      <w:r>
        <w:t xml:space="preserve">   b. To identify the specific challenges faced by students with additional needs when using LMS in higher education settings.</w:t>
      </w:r>
    </w:p>
    <w:p w14:paraId="352FEAC7" w14:textId="77777777" w:rsidR="00B009C9" w:rsidRDefault="00B009C9" w:rsidP="00B322E7">
      <w:pPr>
        <w:jc w:val="both"/>
      </w:pPr>
      <w:r>
        <w:t xml:space="preserve">   c. To propose design modifications and enhancements to LMS based on universal design principles tailored to the Welsh higher education context.</w:t>
      </w:r>
    </w:p>
    <w:p w14:paraId="0A4EA4D8" w14:textId="77777777" w:rsidR="00B009C9" w:rsidRDefault="00B009C9" w:rsidP="00B322E7">
      <w:pPr>
        <w:jc w:val="both"/>
      </w:pPr>
      <w:r>
        <w:t xml:space="preserve">   d. To evaluate the effectiveness of the modified LMS in improving access and learning outcomes for students with additional needs in Wales.</w:t>
      </w:r>
    </w:p>
    <w:p w14:paraId="2BFA6118" w14:textId="0616B010" w:rsidR="00B009C9" w:rsidRDefault="00B009C9" w:rsidP="00B322E7">
      <w:pPr>
        <w:jc w:val="both"/>
      </w:pPr>
      <w:r>
        <w:t xml:space="preserve">   e. To provide guidelines for LMS developers, Welsh universities, and policymakers to create inclusive digital learning environments.</w:t>
      </w:r>
    </w:p>
    <w:p w14:paraId="1D391D66" w14:textId="77777777" w:rsidR="00485027" w:rsidRPr="00485027" w:rsidRDefault="00485027" w:rsidP="00485027">
      <w:pPr>
        <w:jc w:val="both"/>
        <w:rPr>
          <w:b/>
          <w:bCs/>
        </w:rPr>
      </w:pPr>
      <w:r w:rsidRPr="00485027">
        <w:rPr>
          <w:b/>
          <w:bCs/>
        </w:rPr>
        <w:t>Proposed Methodology</w:t>
      </w:r>
    </w:p>
    <w:p w14:paraId="33298F1F" w14:textId="77777777" w:rsidR="00485027" w:rsidRPr="00485027" w:rsidRDefault="00485027" w:rsidP="00485027">
      <w:pPr>
        <w:jc w:val="both"/>
        <w:rPr>
          <w:b/>
          <w:bCs/>
        </w:rPr>
      </w:pPr>
      <w:r w:rsidRPr="00485027">
        <w:rPr>
          <w:b/>
          <w:bCs/>
        </w:rPr>
        <w:t xml:space="preserve">This section covers Research Design, Methods of Data Collection, Population and Sample Selection, Validation and Reliability of Instruments, Data Collection Procedures, Ethical Considerations, Data Analysis, and Interpretation of Results. The methodology aims to clarify the procedures before the study begins and to describe the conditions under which data will be collected and </w:t>
      </w:r>
      <w:proofErr w:type="spellStart"/>
      <w:r w:rsidRPr="00485027">
        <w:rPr>
          <w:b/>
          <w:bCs/>
        </w:rPr>
        <w:t>analyzed</w:t>
      </w:r>
      <w:proofErr w:type="spellEnd"/>
      <w:r w:rsidRPr="00485027">
        <w:rPr>
          <w:b/>
          <w:bCs/>
        </w:rPr>
        <w:t>. It also includes any elements that may affect the authenticity of the research process (Ridley, 2013).</w:t>
      </w:r>
    </w:p>
    <w:p w14:paraId="5C647386" w14:textId="77777777" w:rsidR="00485027" w:rsidRPr="00485027" w:rsidRDefault="00485027" w:rsidP="00485027">
      <w:pPr>
        <w:jc w:val="both"/>
        <w:rPr>
          <w:b/>
          <w:bCs/>
        </w:rPr>
      </w:pPr>
    </w:p>
    <w:p w14:paraId="14B0BEAA" w14:textId="77777777" w:rsidR="00485027" w:rsidRPr="00485027" w:rsidRDefault="00485027" w:rsidP="00485027">
      <w:pPr>
        <w:jc w:val="both"/>
        <w:rPr>
          <w:b/>
          <w:bCs/>
        </w:rPr>
      </w:pPr>
      <w:r w:rsidRPr="00485027">
        <w:rPr>
          <w:b/>
          <w:bCs/>
        </w:rPr>
        <w:t>This research is exploratory. Exploratory research addresses problems that have not been clearly defined, establishing priorities, developing operational definitions, and improving the final research design. It helps determine the best research design, data-collection method, and subject selection. Although Moodle is widely used in educational institutions, its full potential is not yet realized, and the root cause is still unknown. Therefore, exploratory research on this subject is essential for university leadership to consider future investments and expansions.</w:t>
      </w:r>
    </w:p>
    <w:p w14:paraId="5B8F3136" w14:textId="77777777" w:rsidR="00485027" w:rsidRPr="00485027" w:rsidRDefault="00485027" w:rsidP="00485027">
      <w:pPr>
        <w:jc w:val="both"/>
        <w:rPr>
          <w:b/>
          <w:bCs/>
        </w:rPr>
      </w:pPr>
    </w:p>
    <w:p w14:paraId="1F5FB9F6" w14:textId="77777777" w:rsidR="00485027" w:rsidRPr="00485027" w:rsidRDefault="00485027" w:rsidP="00485027">
      <w:pPr>
        <w:jc w:val="both"/>
        <w:rPr>
          <w:b/>
          <w:bCs/>
        </w:rPr>
      </w:pPr>
      <w:r w:rsidRPr="00485027">
        <w:rPr>
          <w:b/>
          <w:bCs/>
        </w:rPr>
        <w:t>To achieve the research objectives, the following methodology will be employed:</w:t>
      </w:r>
    </w:p>
    <w:p w14:paraId="366DE7F0" w14:textId="77777777" w:rsidR="00485027" w:rsidRPr="00485027" w:rsidRDefault="00485027" w:rsidP="00485027">
      <w:pPr>
        <w:jc w:val="both"/>
        <w:rPr>
          <w:b/>
          <w:bCs/>
        </w:rPr>
      </w:pPr>
    </w:p>
    <w:p w14:paraId="3167A64C" w14:textId="77777777" w:rsidR="00485027" w:rsidRPr="00485027" w:rsidRDefault="00485027" w:rsidP="00485027">
      <w:pPr>
        <w:jc w:val="both"/>
        <w:rPr>
          <w:b/>
          <w:bCs/>
        </w:rPr>
      </w:pPr>
      <w:r w:rsidRPr="00485027">
        <w:rPr>
          <w:b/>
          <w:bCs/>
        </w:rPr>
        <w:t>Data Collection: Surveys, interviews, and feedback from students with additional needs, educators, and accessibility experts in Welsh higher education institutions will be gathered to understand their experiences and needs. The study population will include students with additional needs from all disciplines who are actively enrolled, as well as registered VLE users. Technical/Associate Professionals registered as course builders and instructors for their respective modules will also be considered.</w:t>
      </w:r>
    </w:p>
    <w:p w14:paraId="70638FB7" w14:textId="77777777" w:rsidR="00485027" w:rsidRPr="00485027" w:rsidRDefault="00485027" w:rsidP="00485027">
      <w:pPr>
        <w:jc w:val="both"/>
        <w:rPr>
          <w:b/>
          <w:bCs/>
        </w:rPr>
      </w:pPr>
    </w:p>
    <w:p w14:paraId="368D6514" w14:textId="77777777" w:rsidR="00485027" w:rsidRPr="00485027" w:rsidRDefault="00485027" w:rsidP="00485027">
      <w:pPr>
        <w:jc w:val="both"/>
        <w:rPr>
          <w:b/>
          <w:bCs/>
        </w:rPr>
      </w:pPr>
      <w:r w:rsidRPr="00485027">
        <w:rPr>
          <w:b/>
          <w:bCs/>
        </w:rPr>
        <w:t>LMS Evaluation: An analysis of existing LMS platforms used in Welsh higher education will be conducted to assess their adherence to accessibility standards and inclusive design principles.</w:t>
      </w:r>
    </w:p>
    <w:p w14:paraId="696B8502" w14:textId="77777777" w:rsidR="00485027" w:rsidRPr="00485027" w:rsidRDefault="00485027" w:rsidP="00485027">
      <w:pPr>
        <w:jc w:val="both"/>
        <w:rPr>
          <w:b/>
          <w:bCs/>
        </w:rPr>
      </w:pPr>
    </w:p>
    <w:p w14:paraId="5CDA8846" w14:textId="77777777" w:rsidR="00485027" w:rsidRPr="00485027" w:rsidRDefault="00485027" w:rsidP="00485027">
      <w:pPr>
        <w:jc w:val="both"/>
        <w:rPr>
          <w:b/>
          <w:bCs/>
        </w:rPr>
      </w:pPr>
      <w:r w:rsidRPr="00485027">
        <w:rPr>
          <w:b/>
          <w:bCs/>
        </w:rPr>
        <w:lastRenderedPageBreak/>
        <w:t>Design Modifications: Based on the findings, design modifications will be proposed to enhance the accessibility and inclusivity of LMS in the Welsh higher education context.</w:t>
      </w:r>
    </w:p>
    <w:p w14:paraId="46AACA82" w14:textId="77777777" w:rsidR="00485027" w:rsidRPr="00485027" w:rsidRDefault="00485027" w:rsidP="00485027">
      <w:pPr>
        <w:jc w:val="both"/>
        <w:rPr>
          <w:b/>
          <w:bCs/>
        </w:rPr>
      </w:pPr>
    </w:p>
    <w:p w14:paraId="2127B857" w14:textId="77777777" w:rsidR="00485027" w:rsidRPr="00485027" w:rsidRDefault="00485027" w:rsidP="00485027">
      <w:pPr>
        <w:jc w:val="both"/>
        <w:rPr>
          <w:b/>
          <w:bCs/>
        </w:rPr>
      </w:pPr>
      <w:r w:rsidRPr="00485027">
        <w:rPr>
          <w:b/>
          <w:bCs/>
        </w:rPr>
        <w:t>User Testing: The modified LMS will be tested by students with additional needs in Welsh universities to evaluate its usability, accessibility, and impact on learning outcomes.</w:t>
      </w:r>
    </w:p>
    <w:p w14:paraId="0BD7B6A7" w14:textId="77777777" w:rsidR="00485027" w:rsidRPr="00485027" w:rsidRDefault="00485027" w:rsidP="00485027">
      <w:pPr>
        <w:jc w:val="both"/>
        <w:rPr>
          <w:b/>
          <w:bCs/>
        </w:rPr>
      </w:pPr>
    </w:p>
    <w:p w14:paraId="6D86DE5C" w14:textId="77777777" w:rsidR="00485027" w:rsidRPr="00485027" w:rsidRDefault="00485027" w:rsidP="00485027">
      <w:pPr>
        <w:jc w:val="both"/>
        <w:rPr>
          <w:b/>
          <w:bCs/>
        </w:rPr>
      </w:pPr>
      <w:r w:rsidRPr="00485027">
        <w:rPr>
          <w:b/>
          <w:bCs/>
        </w:rPr>
        <w:t>Data Analysis: Qualitative and quantitative data analysis will be performed to derive guidelines and recommendations for LMS design in Welsh higher education.</w:t>
      </w:r>
    </w:p>
    <w:p w14:paraId="6A0D6A61" w14:textId="77777777" w:rsidR="00485027" w:rsidRPr="00485027" w:rsidRDefault="00485027" w:rsidP="00485027">
      <w:pPr>
        <w:jc w:val="both"/>
        <w:rPr>
          <w:b/>
          <w:bCs/>
        </w:rPr>
      </w:pPr>
    </w:p>
    <w:p w14:paraId="1FB6E7ED" w14:textId="77777777" w:rsidR="00485027" w:rsidRPr="00485027" w:rsidRDefault="00485027" w:rsidP="00485027">
      <w:pPr>
        <w:jc w:val="both"/>
        <w:rPr>
          <w:b/>
          <w:bCs/>
        </w:rPr>
      </w:pPr>
      <w:r w:rsidRPr="00485027">
        <w:rPr>
          <w:b/>
          <w:bCs/>
        </w:rPr>
        <w:t>Validation: The proposed design modifications and guidelines will be validated through expert reviews and feedback from students, educators, and relevant stakeholders in Wales.</w:t>
      </w:r>
    </w:p>
    <w:p w14:paraId="46EC3D06" w14:textId="77777777" w:rsidR="00485027" w:rsidRPr="00485027" w:rsidRDefault="00485027" w:rsidP="00485027">
      <w:pPr>
        <w:jc w:val="both"/>
        <w:rPr>
          <w:b/>
          <w:bCs/>
        </w:rPr>
      </w:pPr>
    </w:p>
    <w:p w14:paraId="6FEDE56B" w14:textId="77777777" w:rsidR="00485027" w:rsidRPr="00485027" w:rsidRDefault="00485027" w:rsidP="00485027">
      <w:pPr>
        <w:jc w:val="both"/>
        <w:rPr>
          <w:b/>
          <w:bCs/>
        </w:rPr>
      </w:pPr>
      <w:r w:rsidRPr="00485027">
        <w:rPr>
          <w:b/>
          <w:bCs/>
        </w:rPr>
        <w:t>Ethical Considerations</w:t>
      </w:r>
    </w:p>
    <w:p w14:paraId="11C1F2BC" w14:textId="227642C5" w:rsidR="00485027" w:rsidRPr="007A1BBB" w:rsidRDefault="00485027" w:rsidP="00485027">
      <w:pPr>
        <w:jc w:val="both"/>
      </w:pPr>
      <w:r w:rsidRPr="007A1BBB">
        <w:t>In any research project involving human participants, it is crucial to protect those involved and the information they provide (McCartan et al., 2012). Research ethics encompasses general principles and guidelines that guide researchers during the compilation of a research project, ensuring trust between participants and researchers. This trust ensures that data collected remains confidential and that the research results accurately reflect an honest attempt by the scientific community to describe outcomes without bias. Since this research involves participants, workgroups for data gathering, and analysis, it is vital to adhere to these ethical considerations.</w:t>
      </w:r>
    </w:p>
    <w:p w14:paraId="5DF84A6B" w14:textId="77777777" w:rsidR="007A1BBB" w:rsidRPr="00485027" w:rsidRDefault="007A1BBB" w:rsidP="00485027">
      <w:pPr>
        <w:jc w:val="both"/>
        <w:rPr>
          <w:b/>
          <w:bCs/>
        </w:rPr>
      </w:pPr>
    </w:p>
    <w:p w14:paraId="4629AFFC" w14:textId="55602513" w:rsidR="00ED31BB" w:rsidRDefault="00E51A62" w:rsidP="00B322E7">
      <w:pPr>
        <w:jc w:val="both"/>
        <w:rPr>
          <w:b/>
          <w:bCs/>
        </w:rPr>
      </w:pPr>
      <w:r w:rsidRPr="00E51A62">
        <w:rPr>
          <w:b/>
          <w:bCs/>
        </w:rPr>
        <w:t>Contribution to the field of knowledge</w:t>
      </w:r>
    </w:p>
    <w:p w14:paraId="601651EA" w14:textId="250D7A40" w:rsidR="003E5637" w:rsidRDefault="003E5637" w:rsidP="00B322E7">
      <w:pPr>
        <w:jc w:val="both"/>
      </w:pPr>
      <w:r>
        <w:t>This research is expected to make several contributions:</w:t>
      </w:r>
    </w:p>
    <w:p w14:paraId="770ABECE" w14:textId="3D69EFB2" w:rsidR="003E5637" w:rsidRDefault="003E5637" w:rsidP="00B322E7">
      <w:pPr>
        <w:jc w:val="both"/>
      </w:pPr>
      <w:r>
        <w:t xml:space="preserve">   a. Inclusive Design Principles: Identification of design principles specific to LMS that promote inclusivity and accessibility for higher education students with additional needs in Wales.</w:t>
      </w:r>
    </w:p>
    <w:p w14:paraId="241B4A66" w14:textId="405C011A" w:rsidR="003E5637" w:rsidRDefault="003E5637" w:rsidP="00B322E7">
      <w:pPr>
        <w:jc w:val="both"/>
      </w:pPr>
      <w:r>
        <w:t xml:space="preserve">   b. Enhanced Access: Improving access to digital learning resources and experiences for all higher education students in Wales, regardless of their abilities or disabilities.</w:t>
      </w:r>
    </w:p>
    <w:p w14:paraId="558B61FC" w14:textId="67E496E8" w:rsidR="003E5637" w:rsidRDefault="003E5637" w:rsidP="00B322E7">
      <w:pPr>
        <w:jc w:val="both"/>
      </w:pPr>
      <w:r>
        <w:t xml:space="preserve">   c. Practical Implementation: Providing practical guidance for LMS developers, Welsh universities, and policymakers on creating accessible and inclusive digital learning environments tailored to the local context.</w:t>
      </w:r>
    </w:p>
    <w:p w14:paraId="34F336AB" w14:textId="5F3AE313" w:rsidR="003E5637" w:rsidRDefault="003E5637" w:rsidP="00B322E7">
      <w:pPr>
        <w:jc w:val="both"/>
      </w:pPr>
      <w:r>
        <w:t xml:space="preserve">   d. Policy and Advocacy: Contributing to policy recommendations and advocacy efforts aimed at promoting inclusive education through technology in Welsh higher education.</w:t>
      </w:r>
    </w:p>
    <w:p w14:paraId="73ECD1ED" w14:textId="7EF9A1A0" w:rsidR="004F6457" w:rsidRDefault="004F6457" w:rsidP="00AF63E4">
      <w:r w:rsidRPr="004F6457">
        <w:rPr>
          <w:b/>
          <w:bCs/>
        </w:rPr>
        <w:t>Indicative bibliography</w:t>
      </w:r>
    </w:p>
    <w:p w14:paraId="1095415F" w14:textId="1FD729A2" w:rsidR="00C67A87" w:rsidRDefault="001843D8" w:rsidP="00C161A6">
      <w:r>
        <w:t>[</w:t>
      </w:r>
      <w:r w:rsidR="008A5A30">
        <w:t>1</w:t>
      </w:r>
      <w:r w:rsidR="00A72719">
        <w:t xml:space="preserve">]. </w:t>
      </w:r>
      <w:r w:rsidR="00A72719" w:rsidRPr="00A72719">
        <w:t xml:space="preserve">G. Toko, “Good Or Poor Design: Comprehending </w:t>
      </w:r>
      <w:proofErr w:type="spellStart"/>
      <w:r w:rsidR="00A72719" w:rsidRPr="00A72719">
        <w:t>Ux</w:t>
      </w:r>
      <w:proofErr w:type="spellEnd"/>
      <w:r w:rsidR="00A72719" w:rsidRPr="00A72719">
        <w:t xml:space="preserve"> From an Interactive Designer Perspective, the Case of Handheld Devices,” Special Issue, Dec. 2019</w:t>
      </w:r>
      <w:r w:rsidR="003671A9">
        <w:t>.</w:t>
      </w:r>
      <w:r w:rsidR="00491EE9">
        <w:rPr>
          <w:noProof/>
        </w:rPr>
        <w:t xml:space="preserve"> </w:t>
      </w:r>
    </w:p>
    <w:p w14:paraId="601F9DCE" w14:textId="58801223" w:rsidR="009F6BCD" w:rsidRDefault="00CF7140" w:rsidP="009F6BCD">
      <w:r>
        <w:lastRenderedPageBreak/>
        <w:t xml:space="preserve">[2]. </w:t>
      </w:r>
      <w:r w:rsidR="009F6BCD">
        <w:t xml:space="preserve">J. </w:t>
      </w:r>
      <w:proofErr w:type="spellStart"/>
      <w:r w:rsidR="009F6BCD">
        <w:t>Jinjuan</w:t>
      </w:r>
      <w:proofErr w:type="spellEnd"/>
      <w:r w:rsidR="009F6BCD">
        <w:t xml:space="preserve"> et al., “RESEARCH METHODS IN HUMAN-COMPUTER INTERACTION.” Available: http://sonify.psych.gatech.edu/~walkerb/classes/ms-hci/extrareading/LazarFengHochheiser-CH14-and-Ch15.pdf</w:t>
      </w:r>
    </w:p>
    <w:p w14:paraId="5F5C6DCC" w14:textId="6839A442" w:rsidR="00F142AE" w:rsidRDefault="004A1E47" w:rsidP="009F6BCD">
      <w:r>
        <w:t>[</w:t>
      </w:r>
      <w:r w:rsidR="00023FDB">
        <w:t>3</w:t>
      </w:r>
      <w:r>
        <w:t xml:space="preserve">]. </w:t>
      </w:r>
      <w:r w:rsidR="00137157" w:rsidRPr="00137157">
        <w:t xml:space="preserve">Ojha </w:t>
      </w:r>
      <w:proofErr w:type="spellStart"/>
      <w:r w:rsidR="00137157" w:rsidRPr="00137157">
        <w:t>SR.,Jovanovic</w:t>
      </w:r>
      <w:proofErr w:type="spellEnd"/>
      <w:r w:rsidR="00137157" w:rsidRPr="00137157">
        <w:t xml:space="preserve"> M., </w:t>
      </w:r>
      <w:proofErr w:type="spellStart"/>
      <w:r w:rsidR="00137157" w:rsidRPr="00137157">
        <w:t>Giunchiglia.F</w:t>
      </w:r>
      <w:proofErr w:type="spellEnd"/>
      <w:r w:rsidR="00137157" w:rsidRPr="00137157">
        <w:t>, 2015. “Entity-centric visualization of open data”, Human-computer interaction–INTERACT 2015, Springer International Publishing, pp. 149-166.</w:t>
      </w:r>
    </w:p>
    <w:p w14:paraId="71214643" w14:textId="21F0F114" w:rsidR="00C10428" w:rsidRDefault="00F97DAC" w:rsidP="00C10428">
      <w:r>
        <w:t>[</w:t>
      </w:r>
      <w:r w:rsidR="00137157">
        <w:t>4</w:t>
      </w:r>
      <w:r>
        <w:t xml:space="preserve">]. </w:t>
      </w:r>
      <w:r w:rsidR="00C10428">
        <w:t xml:space="preserve">D. A. </w:t>
      </w:r>
      <w:proofErr w:type="spellStart"/>
      <w:r w:rsidR="00C10428">
        <w:t>Falvo</w:t>
      </w:r>
      <w:proofErr w:type="spellEnd"/>
      <w:r w:rsidR="00C10428">
        <w:t xml:space="preserve"> and M. Urban, “W. </w:t>
      </w:r>
      <w:proofErr w:type="spellStart"/>
      <w:r w:rsidR="00C10428">
        <w:t>Lidwell</w:t>
      </w:r>
      <w:proofErr w:type="spellEnd"/>
      <w:r w:rsidR="00C10428">
        <w:t xml:space="preserve">, K. Holden and J. Butler: Universal Principles of Design,” Educational Technology Research and Development, vol. 55, no. 3, pp. 297–300, Apr. 2007, </w:t>
      </w:r>
      <w:proofErr w:type="spellStart"/>
      <w:r w:rsidR="00C10428">
        <w:t>doi</w:t>
      </w:r>
      <w:proofErr w:type="spellEnd"/>
      <w:r w:rsidR="00C10428">
        <w:t>: https://doi.org/10.1007/s11423-007-9036-7.</w:t>
      </w:r>
    </w:p>
    <w:p w14:paraId="2ED45AA3" w14:textId="1FC9FB00" w:rsidR="00621AA3" w:rsidRDefault="004529DB" w:rsidP="00621AA3">
      <w:r>
        <w:t>[</w:t>
      </w:r>
      <w:r w:rsidR="00137157">
        <w:t>5</w:t>
      </w:r>
      <w:r>
        <w:t xml:space="preserve">]. </w:t>
      </w:r>
      <w:r w:rsidR="00621AA3">
        <w:t>D. Ridley, LITERATURE REVIEW : a step-by-step guide for students. 2013.</w:t>
      </w:r>
    </w:p>
    <w:p w14:paraId="05480A05" w14:textId="2F40B9CC" w:rsidR="00586B06" w:rsidRDefault="00586B06" w:rsidP="00586B06">
      <w:r>
        <w:t>[</w:t>
      </w:r>
      <w:r w:rsidR="00137157">
        <w:t>6</w:t>
      </w:r>
      <w:r>
        <w:t xml:space="preserve">]. C. McCartan, D. </w:t>
      </w:r>
      <w:proofErr w:type="spellStart"/>
      <w:r>
        <w:t>Schubotz</w:t>
      </w:r>
      <w:proofErr w:type="spellEnd"/>
      <w:r>
        <w:t xml:space="preserve">, and J. Murphy, “The Self-Conscious Researcher—Post-Modern Perspectives of Participatory Research with Young People,” Forum Qualitative </w:t>
      </w:r>
      <w:proofErr w:type="spellStart"/>
      <w:r>
        <w:t>Sozialforschung</w:t>
      </w:r>
      <w:proofErr w:type="spellEnd"/>
      <w:r>
        <w:t xml:space="preserve"> / Forum: Qualitative Social Research, vol. 13, no. 1, Jan. 2012, </w:t>
      </w:r>
      <w:proofErr w:type="spellStart"/>
      <w:r>
        <w:t>doi</w:t>
      </w:r>
      <w:proofErr w:type="spellEnd"/>
      <w:r>
        <w:t>: https://doi.org/10.17169/fqs-13.1.1798.</w:t>
      </w:r>
    </w:p>
    <w:p w14:paraId="0A387D29" w14:textId="5339F33A" w:rsidR="00AF63E4" w:rsidRDefault="00AF63E4" w:rsidP="00AF63E4">
      <w:r>
        <w:t>[</w:t>
      </w:r>
      <w:r w:rsidR="00137157">
        <w:t>7</w:t>
      </w:r>
      <w:r>
        <w:t xml:space="preserve">]. S. Shanmugasundaram and D. P. Chidambaram, "Design Principles for </w:t>
      </w:r>
      <w:proofErr w:type="spellStart"/>
      <w:r>
        <w:t>Pedogogical</w:t>
      </w:r>
      <w:proofErr w:type="spellEnd"/>
      <w:r>
        <w:t xml:space="preserve"> Improvisation," 2023 IEEE AFRICON, Nairobi, Kenya, 2023, pp. 1-6, </w:t>
      </w:r>
      <w:proofErr w:type="spellStart"/>
      <w:r>
        <w:t>doi</w:t>
      </w:r>
      <w:proofErr w:type="spellEnd"/>
      <w:r>
        <w:t>: 10.1109/AFRICON55910.2023.10293423.</w:t>
      </w:r>
    </w:p>
    <w:p w14:paraId="34265155" w14:textId="1442D3DA" w:rsidR="00AF63E4" w:rsidRDefault="00AF63E4" w:rsidP="00AF63E4">
      <w:r>
        <w:t>[</w:t>
      </w:r>
      <w:r w:rsidR="00137157">
        <w:t>8</w:t>
      </w:r>
      <w:r>
        <w:t xml:space="preserve">]. Suresh Shanmugasundaram &amp; Divya </w:t>
      </w:r>
      <w:proofErr w:type="spellStart"/>
      <w:r>
        <w:t>Preya</w:t>
      </w:r>
      <w:proofErr w:type="spellEnd"/>
      <w:r>
        <w:t xml:space="preserve"> Chidambaram (2020) Learners’ Perceptions of the Design Principles of Blackboard, Africa Education Review, 17:4, 56-71, DOI: 10.1080/18146627.2020.1868071</w:t>
      </w:r>
    </w:p>
    <w:p w14:paraId="31665B7B" w14:textId="62BA5ECF" w:rsidR="00AF63E4" w:rsidRDefault="00AF63E4" w:rsidP="00AF63E4">
      <w:r>
        <w:t>[</w:t>
      </w:r>
      <w:r w:rsidR="00137157">
        <w:t>9</w:t>
      </w:r>
      <w:r>
        <w:t xml:space="preserve">]. </w:t>
      </w:r>
      <w:proofErr w:type="spellStart"/>
      <w:r>
        <w:t>Alsumait</w:t>
      </w:r>
      <w:proofErr w:type="spellEnd"/>
      <w:r>
        <w:t>, A., Al-</w:t>
      </w:r>
      <w:proofErr w:type="spellStart"/>
      <w:r>
        <w:t>Osaimi</w:t>
      </w:r>
      <w:proofErr w:type="spellEnd"/>
      <w:r>
        <w:t>, A. 2009. Usability heuristics evaluation for child e-learning applications. In Proc. Of the 11th ACM Int’l Conf. on Information Integration and Web-based Applications &amp; Services, Dec: 425-430.</w:t>
      </w:r>
    </w:p>
    <w:p w14:paraId="3ED04850" w14:textId="2E0A71A4" w:rsidR="00AF63E4" w:rsidRDefault="00AF63E4" w:rsidP="00AF63E4">
      <w:r>
        <w:t>[</w:t>
      </w:r>
      <w:r w:rsidR="00137157">
        <w:t>10</w:t>
      </w:r>
      <w:r>
        <w:t xml:space="preserve">]. Hussain, A., </w:t>
      </w:r>
      <w:proofErr w:type="spellStart"/>
      <w:r>
        <w:t>Mkpojiogu</w:t>
      </w:r>
      <w:proofErr w:type="spellEnd"/>
      <w:r>
        <w:t xml:space="preserve">, E.O.C. 2015. The effect of responsive web design on the user experience with laptop and smart phone devices. </w:t>
      </w:r>
      <w:proofErr w:type="spellStart"/>
      <w:r>
        <w:t>Jurnal</w:t>
      </w:r>
      <w:proofErr w:type="spellEnd"/>
      <w:r>
        <w:t xml:space="preserve"> </w:t>
      </w:r>
      <w:proofErr w:type="spellStart"/>
      <w:r>
        <w:t>Teknologi</w:t>
      </w:r>
      <w:proofErr w:type="spellEnd"/>
      <w:r>
        <w:t>, 77 (4): 41-47.</w:t>
      </w:r>
    </w:p>
    <w:p w14:paraId="5772FB9B" w14:textId="2E9D6267" w:rsidR="00AF63E4" w:rsidRDefault="00AF63E4" w:rsidP="00AF63E4">
      <w:r>
        <w:t>[1</w:t>
      </w:r>
      <w:r w:rsidR="00137157">
        <w:t>1</w:t>
      </w:r>
      <w:r>
        <w:t xml:space="preserve">]. </w:t>
      </w:r>
      <w:proofErr w:type="spellStart"/>
      <w:r>
        <w:t>Furqon</w:t>
      </w:r>
      <w:proofErr w:type="spellEnd"/>
      <w:r>
        <w:t xml:space="preserve">, M. &amp; </w:t>
      </w:r>
      <w:proofErr w:type="spellStart"/>
      <w:r>
        <w:t>Sinaga</w:t>
      </w:r>
      <w:proofErr w:type="spellEnd"/>
      <w:r>
        <w:t xml:space="preserve">, </w:t>
      </w:r>
      <w:proofErr w:type="spellStart"/>
      <w:r>
        <w:t>Parlindungan</w:t>
      </w:r>
      <w:proofErr w:type="spellEnd"/>
      <w:r>
        <w:t xml:space="preserve"> &amp; </w:t>
      </w:r>
      <w:proofErr w:type="spellStart"/>
      <w:r>
        <w:t>Liliasari</w:t>
      </w:r>
      <w:proofErr w:type="spellEnd"/>
      <w:r>
        <w:t xml:space="preserve">, </w:t>
      </w:r>
      <w:proofErr w:type="spellStart"/>
      <w:r>
        <w:t>Liliasari</w:t>
      </w:r>
      <w:proofErr w:type="spellEnd"/>
      <w:r>
        <w:t xml:space="preserve"> &amp; Riza, Lala. (2023). The Impact of Learning Management System (LMS) Usage on Students. TEM Journal. 12. 1082-1089.</w:t>
      </w:r>
    </w:p>
    <w:p w14:paraId="712B3B47" w14:textId="77777777" w:rsidR="00AF63E4" w:rsidRDefault="00AF63E4" w:rsidP="00AF63E4">
      <w:r>
        <w:t>10.18421/TEM122-54.</w:t>
      </w:r>
    </w:p>
    <w:p w14:paraId="228E080F" w14:textId="0B31456D" w:rsidR="00AF63E4" w:rsidRDefault="00AF63E4" w:rsidP="00AF63E4">
      <w:r>
        <w:t>[1</w:t>
      </w:r>
      <w:r w:rsidR="00137157">
        <w:t>2</w:t>
      </w:r>
      <w:r>
        <w:t xml:space="preserve">]. Martin, N., Wray, M., James, A., </w:t>
      </w:r>
      <w:proofErr w:type="spellStart"/>
      <w:r>
        <w:t>Draffan</w:t>
      </w:r>
      <w:proofErr w:type="spellEnd"/>
      <w:r>
        <w:t>, E. A., Krupa, J., &amp; Turner, P. (2019). Implementing inclusive teaching and learning in UK higher education–utilising universal design for learning (UDL) as a route to excellence.</w:t>
      </w:r>
    </w:p>
    <w:p w14:paraId="50704CDE" w14:textId="055E30DC" w:rsidR="009A3987" w:rsidRDefault="009A3987" w:rsidP="009A3987">
      <w:r>
        <w:t xml:space="preserve">[13]. </w:t>
      </w:r>
      <w:r w:rsidRPr="00F142AE">
        <w:t>Kobayashi. M, Sosik.V.S&amp;Huffaker.D,2015. “Not Some Trumped Up Beef: Assessing Credibility of Online Restaurant Reviews”, Proceedings of Human-Computer Interaction – INTERACT 2015, vol 9298. Springer.</w:t>
      </w:r>
    </w:p>
    <w:p w14:paraId="670BF2D9" w14:textId="77777777" w:rsidR="009A3987" w:rsidRDefault="009A3987" w:rsidP="00AF63E4"/>
    <w:p w14:paraId="5C512E34" w14:textId="77777777" w:rsidR="00AF63E4" w:rsidRDefault="00AF63E4" w:rsidP="00AF63E4"/>
    <w:p w14:paraId="4B60F7DC" w14:textId="77777777" w:rsidR="00AF63E4" w:rsidRDefault="00AF63E4" w:rsidP="00586B06"/>
    <w:p w14:paraId="4B29394C" w14:textId="37B51B83" w:rsidR="00FA789D" w:rsidRDefault="00586B06" w:rsidP="00586B06">
      <w:r>
        <w:t>‌</w:t>
      </w:r>
    </w:p>
    <w:p w14:paraId="722391C9" w14:textId="23A5FD8D" w:rsidR="004529DB" w:rsidRDefault="00621AA3" w:rsidP="00621AA3">
      <w:r>
        <w:t>‌</w:t>
      </w:r>
    </w:p>
    <w:p w14:paraId="7B6236AD" w14:textId="24916237" w:rsidR="00CF7140" w:rsidRPr="004F6457" w:rsidRDefault="00C10428" w:rsidP="00C10428">
      <w:r>
        <w:lastRenderedPageBreak/>
        <w:t>‌</w:t>
      </w:r>
    </w:p>
    <w:sectPr w:rsidR="00CF7140" w:rsidRPr="004F6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6E40"/>
    <w:multiLevelType w:val="hybridMultilevel"/>
    <w:tmpl w:val="A64075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C7430A"/>
    <w:multiLevelType w:val="hybridMultilevel"/>
    <w:tmpl w:val="4BA44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5309D"/>
    <w:multiLevelType w:val="hybridMultilevel"/>
    <w:tmpl w:val="681C94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1A4506"/>
    <w:multiLevelType w:val="hybridMultilevel"/>
    <w:tmpl w:val="BD3E7DA8"/>
    <w:lvl w:ilvl="0" w:tplc="7274264C">
      <w:start w:val="1"/>
      <w:numFmt w:val="lowerLetter"/>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num w:numId="1" w16cid:durableId="1184396594">
    <w:abstractNumId w:val="1"/>
  </w:num>
  <w:num w:numId="2" w16cid:durableId="1818568764">
    <w:abstractNumId w:val="3"/>
  </w:num>
  <w:num w:numId="3" w16cid:durableId="575826836">
    <w:abstractNumId w:val="2"/>
  </w:num>
  <w:num w:numId="4" w16cid:durableId="110318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06E"/>
    <w:rsid w:val="000135EC"/>
    <w:rsid w:val="00023FDB"/>
    <w:rsid w:val="0003058B"/>
    <w:rsid w:val="00031C51"/>
    <w:rsid w:val="00035989"/>
    <w:rsid w:val="000441FF"/>
    <w:rsid w:val="00060B0E"/>
    <w:rsid w:val="00077E34"/>
    <w:rsid w:val="00097174"/>
    <w:rsid w:val="000E6665"/>
    <w:rsid w:val="000F3FF5"/>
    <w:rsid w:val="000F68B0"/>
    <w:rsid w:val="00137157"/>
    <w:rsid w:val="0014474B"/>
    <w:rsid w:val="00173794"/>
    <w:rsid w:val="00177C91"/>
    <w:rsid w:val="001843D8"/>
    <w:rsid w:val="0019721F"/>
    <w:rsid w:val="001B496E"/>
    <w:rsid w:val="00203591"/>
    <w:rsid w:val="00226049"/>
    <w:rsid w:val="00256A9B"/>
    <w:rsid w:val="002632AF"/>
    <w:rsid w:val="002B1FF1"/>
    <w:rsid w:val="002C7AE6"/>
    <w:rsid w:val="002D0914"/>
    <w:rsid w:val="002D48B6"/>
    <w:rsid w:val="002D79FE"/>
    <w:rsid w:val="00302E40"/>
    <w:rsid w:val="00322A17"/>
    <w:rsid w:val="003263A1"/>
    <w:rsid w:val="00331CAB"/>
    <w:rsid w:val="00336D05"/>
    <w:rsid w:val="003555F0"/>
    <w:rsid w:val="003564D5"/>
    <w:rsid w:val="0036106E"/>
    <w:rsid w:val="00361627"/>
    <w:rsid w:val="003616ED"/>
    <w:rsid w:val="003671A9"/>
    <w:rsid w:val="003D3447"/>
    <w:rsid w:val="003E5637"/>
    <w:rsid w:val="003F4312"/>
    <w:rsid w:val="00403DD5"/>
    <w:rsid w:val="0041269D"/>
    <w:rsid w:val="00420824"/>
    <w:rsid w:val="004224C2"/>
    <w:rsid w:val="00441E8B"/>
    <w:rsid w:val="00451B26"/>
    <w:rsid w:val="004529DB"/>
    <w:rsid w:val="00454051"/>
    <w:rsid w:val="00481677"/>
    <w:rsid w:val="00485027"/>
    <w:rsid w:val="00491EE9"/>
    <w:rsid w:val="004A1E47"/>
    <w:rsid w:val="004F6457"/>
    <w:rsid w:val="00511648"/>
    <w:rsid w:val="005125D7"/>
    <w:rsid w:val="00561528"/>
    <w:rsid w:val="00586B06"/>
    <w:rsid w:val="005904BE"/>
    <w:rsid w:val="00590B88"/>
    <w:rsid w:val="00596CF7"/>
    <w:rsid w:val="005C439A"/>
    <w:rsid w:val="005F6F31"/>
    <w:rsid w:val="00601536"/>
    <w:rsid w:val="00621AA3"/>
    <w:rsid w:val="006637BF"/>
    <w:rsid w:val="006651F1"/>
    <w:rsid w:val="006677D7"/>
    <w:rsid w:val="006872CA"/>
    <w:rsid w:val="00687835"/>
    <w:rsid w:val="006901E1"/>
    <w:rsid w:val="006D3D78"/>
    <w:rsid w:val="006E0CC2"/>
    <w:rsid w:val="006E5E4F"/>
    <w:rsid w:val="00717B2F"/>
    <w:rsid w:val="00720DA9"/>
    <w:rsid w:val="007216E4"/>
    <w:rsid w:val="00727D21"/>
    <w:rsid w:val="00745945"/>
    <w:rsid w:val="00760887"/>
    <w:rsid w:val="0077116E"/>
    <w:rsid w:val="00794555"/>
    <w:rsid w:val="007A1BBB"/>
    <w:rsid w:val="007E1D5A"/>
    <w:rsid w:val="007F457B"/>
    <w:rsid w:val="008213C8"/>
    <w:rsid w:val="00832EF1"/>
    <w:rsid w:val="008375C1"/>
    <w:rsid w:val="00851CB5"/>
    <w:rsid w:val="008622F9"/>
    <w:rsid w:val="0088195B"/>
    <w:rsid w:val="008A5A30"/>
    <w:rsid w:val="008A6FED"/>
    <w:rsid w:val="008B5FBA"/>
    <w:rsid w:val="008C4D5F"/>
    <w:rsid w:val="008F7BCC"/>
    <w:rsid w:val="00945133"/>
    <w:rsid w:val="009740A5"/>
    <w:rsid w:val="009A3987"/>
    <w:rsid w:val="009C5114"/>
    <w:rsid w:val="009F6BCD"/>
    <w:rsid w:val="00A07F13"/>
    <w:rsid w:val="00A16ECA"/>
    <w:rsid w:val="00A2375F"/>
    <w:rsid w:val="00A67405"/>
    <w:rsid w:val="00A72719"/>
    <w:rsid w:val="00A86A5F"/>
    <w:rsid w:val="00AF63E4"/>
    <w:rsid w:val="00B009C9"/>
    <w:rsid w:val="00B01B02"/>
    <w:rsid w:val="00B14A89"/>
    <w:rsid w:val="00B322E7"/>
    <w:rsid w:val="00B32FF8"/>
    <w:rsid w:val="00BE2188"/>
    <w:rsid w:val="00BE2960"/>
    <w:rsid w:val="00C04FE7"/>
    <w:rsid w:val="00C10428"/>
    <w:rsid w:val="00C161A6"/>
    <w:rsid w:val="00C26361"/>
    <w:rsid w:val="00C53588"/>
    <w:rsid w:val="00C67A87"/>
    <w:rsid w:val="00CC6F68"/>
    <w:rsid w:val="00CF08A2"/>
    <w:rsid w:val="00CF7140"/>
    <w:rsid w:val="00D77432"/>
    <w:rsid w:val="00D77CC7"/>
    <w:rsid w:val="00D827C5"/>
    <w:rsid w:val="00D83D66"/>
    <w:rsid w:val="00D90432"/>
    <w:rsid w:val="00D9408E"/>
    <w:rsid w:val="00DA2974"/>
    <w:rsid w:val="00DA5D2F"/>
    <w:rsid w:val="00DA6E01"/>
    <w:rsid w:val="00DB3533"/>
    <w:rsid w:val="00DF1329"/>
    <w:rsid w:val="00E17581"/>
    <w:rsid w:val="00E2021B"/>
    <w:rsid w:val="00E31996"/>
    <w:rsid w:val="00E47A93"/>
    <w:rsid w:val="00E51A62"/>
    <w:rsid w:val="00EA1F08"/>
    <w:rsid w:val="00ED31BB"/>
    <w:rsid w:val="00EF5EE0"/>
    <w:rsid w:val="00F00ABB"/>
    <w:rsid w:val="00F01CDF"/>
    <w:rsid w:val="00F142AE"/>
    <w:rsid w:val="00F64F24"/>
    <w:rsid w:val="00F97DAC"/>
    <w:rsid w:val="00FA077F"/>
    <w:rsid w:val="00FA789D"/>
    <w:rsid w:val="00FB6D6E"/>
    <w:rsid w:val="00FC1AF4"/>
    <w:rsid w:val="00FD250E"/>
    <w:rsid w:val="00FF78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C57B"/>
  <w15:chartTrackingRefBased/>
  <w15:docId w15:val="{33B2EFB0-3373-4ABF-9D4A-36673240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F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06E"/>
    <w:pPr>
      <w:ind w:left="720"/>
      <w:contextualSpacing/>
    </w:pPr>
  </w:style>
  <w:style w:type="character" w:styleId="CommentReference">
    <w:name w:val="annotation reference"/>
    <w:basedOn w:val="DefaultParagraphFont"/>
    <w:uiPriority w:val="99"/>
    <w:semiHidden/>
    <w:unhideWhenUsed/>
    <w:rsid w:val="00F01CDF"/>
    <w:rPr>
      <w:sz w:val="16"/>
      <w:szCs w:val="16"/>
    </w:rPr>
  </w:style>
  <w:style w:type="paragraph" w:styleId="CommentText">
    <w:name w:val="annotation text"/>
    <w:basedOn w:val="Normal"/>
    <w:link w:val="CommentTextChar"/>
    <w:uiPriority w:val="99"/>
    <w:unhideWhenUsed/>
    <w:rsid w:val="00F01CDF"/>
    <w:pPr>
      <w:spacing w:line="240" w:lineRule="auto"/>
    </w:pPr>
    <w:rPr>
      <w:sz w:val="20"/>
      <w:szCs w:val="20"/>
    </w:rPr>
  </w:style>
  <w:style w:type="character" w:customStyle="1" w:styleId="CommentTextChar">
    <w:name w:val="Comment Text Char"/>
    <w:basedOn w:val="DefaultParagraphFont"/>
    <w:link w:val="CommentText"/>
    <w:uiPriority w:val="99"/>
    <w:rsid w:val="00F01CDF"/>
    <w:rPr>
      <w:sz w:val="20"/>
      <w:szCs w:val="20"/>
    </w:rPr>
  </w:style>
  <w:style w:type="paragraph" w:styleId="CommentSubject">
    <w:name w:val="annotation subject"/>
    <w:basedOn w:val="CommentText"/>
    <w:next w:val="CommentText"/>
    <w:link w:val="CommentSubjectChar"/>
    <w:uiPriority w:val="99"/>
    <w:semiHidden/>
    <w:unhideWhenUsed/>
    <w:rsid w:val="00F01CDF"/>
    <w:rPr>
      <w:b/>
      <w:bCs/>
    </w:rPr>
  </w:style>
  <w:style w:type="character" w:customStyle="1" w:styleId="CommentSubjectChar">
    <w:name w:val="Comment Subject Char"/>
    <w:basedOn w:val="CommentTextChar"/>
    <w:link w:val="CommentSubject"/>
    <w:uiPriority w:val="99"/>
    <w:semiHidden/>
    <w:rsid w:val="00F01CDF"/>
    <w:rPr>
      <w:b/>
      <w:bCs/>
      <w:sz w:val="20"/>
      <w:szCs w:val="20"/>
    </w:rPr>
  </w:style>
  <w:style w:type="character" w:styleId="Hyperlink">
    <w:name w:val="Hyperlink"/>
    <w:basedOn w:val="DefaultParagraphFont"/>
    <w:uiPriority w:val="99"/>
    <w:unhideWhenUsed/>
    <w:rsid w:val="00A86A5F"/>
    <w:rPr>
      <w:color w:val="0563C1" w:themeColor="hyperlink"/>
      <w:u w:val="single"/>
    </w:rPr>
  </w:style>
  <w:style w:type="character" w:styleId="UnresolvedMention">
    <w:name w:val="Unresolved Mention"/>
    <w:basedOn w:val="DefaultParagraphFont"/>
    <w:uiPriority w:val="99"/>
    <w:semiHidden/>
    <w:unhideWhenUsed/>
    <w:rsid w:val="00A86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32652">
      <w:bodyDiv w:val="1"/>
      <w:marLeft w:val="0"/>
      <w:marRight w:val="0"/>
      <w:marTop w:val="0"/>
      <w:marBottom w:val="0"/>
      <w:divBdr>
        <w:top w:val="none" w:sz="0" w:space="0" w:color="auto"/>
        <w:left w:val="none" w:sz="0" w:space="0" w:color="auto"/>
        <w:bottom w:val="none" w:sz="0" w:space="0" w:color="auto"/>
        <w:right w:val="none" w:sz="0" w:space="0" w:color="auto"/>
      </w:divBdr>
      <w:divsChild>
        <w:div w:id="1616251210">
          <w:marLeft w:val="0"/>
          <w:marRight w:val="720"/>
          <w:marTop w:val="0"/>
          <w:marBottom w:val="0"/>
          <w:divBdr>
            <w:top w:val="none" w:sz="0" w:space="0" w:color="auto"/>
            <w:left w:val="none" w:sz="0" w:space="0" w:color="auto"/>
            <w:bottom w:val="none" w:sz="0" w:space="0" w:color="auto"/>
            <w:right w:val="none" w:sz="0" w:space="0" w:color="auto"/>
          </w:divBdr>
        </w:div>
        <w:div w:id="1600213785">
          <w:marLeft w:val="0"/>
          <w:marRight w:val="0"/>
          <w:marTop w:val="0"/>
          <w:marBottom w:val="0"/>
          <w:divBdr>
            <w:top w:val="none" w:sz="0" w:space="0" w:color="auto"/>
            <w:left w:val="none" w:sz="0" w:space="0" w:color="auto"/>
            <w:bottom w:val="none" w:sz="0" w:space="0" w:color="auto"/>
            <w:right w:val="none" w:sz="0" w:space="0" w:color="auto"/>
          </w:divBdr>
        </w:div>
      </w:divsChild>
    </w:div>
    <w:div w:id="537086600">
      <w:bodyDiv w:val="1"/>
      <w:marLeft w:val="0"/>
      <w:marRight w:val="0"/>
      <w:marTop w:val="0"/>
      <w:marBottom w:val="0"/>
      <w:divBdr>
        <w:top w:val="none" w:sz="0" w:space="0" w:color="auto"/>
        <w:left w:val="none" w:sz="0" w:space="0" w:color="auto"/>
        <w:bottom w:val="none" w:sz="0" w:space="0" w:color="auto"/>
        <w:right w:val="none" w:sz="0" w:space="0" w:color="auto"/>
      </w:divBdr>
      <w:divsChild>
        <w:div w:id="198130349">
          <w:marLeft w:val="0"/>
          <w:marRight w:val="720"/>
          <w:marTop w:val="0"/>
          <w:marBottom w:val="0"/>
          <w:divBdr>
            <w:top w:val="none" w:sz="0" w:space="0" w:color="auto"/>
            <w:left w:val="none" w:sz="0" w:space="0" w:color="auto"/>
            <w:bottom w:val="none" w:sz="0" w:space="0" w:color="auto"/>
            <w:right w:val="none" w:sz="0" w:space="0" w:color="auto"/>
          </w:divBdr>
        </w:div>
        <w:div w:id="362442837">
          <w:marLeft w:val="0"/>
          <w:marRight w:val="0"/>
          <w:marTop w:val="0"/>
          <w:marBottom w:val="0"/>
          <w:divBdr>
            <w:top w:val="none" w:sz="0" w:space="0" w:color="auto"/>
            <w:left w:val="none" w:sz="0" w:space="0" w:color="auto"/>
            <w:bottom w:val="none" w:sz="0" w:space="0" w:color="auto"/>
            <w:right w:val="none" w:sz="0" w:space="0" w:color="auto"/>
          </w:divBdr>
        </w:div>
      </w:divsChild>
    </w:div>
    <w:div w:id="735854975">
      <w:bodyDiv w:val="1"/>
      <w:marLeft w:val="0"/>
      <w:marRight w:val="0"/>
      <w:marTop w:val="0"/>
      <w:marBottom w:val="0"/>
      <w:divBdr>
        <w:top w:val="none" w:sz="0" w:space="0" w:color="auto"/>
        <w:left w:val="none" w:sz="0" w:space="0" w:color="auto"/>
        <w:bottom w:val="none" w:sz="0" w:space="0" w:color="auto"/>
        <w:right w:val="none" w:sz="0" w:space="0" w:color="auto"/>
      </w:divBdr>
      <w:divsChild>
        <w:div w:id="819032019">
          <w:marLeft w:val="0"/>
          <w:marRight w:val="720"/>
          <w:marTop w:val="0"/>
          <w:marBottom w:val="0"/>
          <w:divBdr>
            <w:top w:val="none" w:sz="0" w:space="0" w:color="auto"/>
            <w:left w:val="none" w:sz="0" w:space="0" w:color="auto"/>
            <w:bottom w:val="none" w:sz="0" w:space="0" w:color="auto"/>
            <w:right w:val="none" w:sz="0" w:space="0" w:color="auto"/>
          </w:divBdr>
        </w:div>
        <w:div w:id="342706996">
          <w:marLeft w:val="0"/>
          <w:marRight w:val="0"/>
          <w:marTop w:val="0"/>
          <w:marBottom w:val="0"/>
          <w:divBdr>
            <w:top w:val="none" w:sz="0" w:space="0" w:color="auto"/>
            <w:left w:val="none" w:sz="0" w:space="0" w:color="auto"/>
            <w:bottom w:val="none" w:sz="0" w:space="0" w:color="auto"/>
            <w:right w:val="none" w:sz="0" w:space="0" w:color="auto"/>
          </w:divBdr>
        </w:div>
      </w:divsChild>
    </w:div>
    <w:div w:id="1479228366">
      <w:bodyDiv w:val="1"/>
      <w:marLeft w:val="0"/>
      <w:marRight w:val="0"/>
      <w:marTop w:val="0"/>
      <w:marBottom w:val="0"/>
      <w:divBdr>
        <w:top w:val="none" w:sz="0" w:space="0" w:color="auto"/>
        <w:left w:val="none" w:sz="0" w:space="0" w:color="auto"/>
        <w:bottom w:val="none" w:sz="0" w:space="0" w:color="auto"/>
        <w:right w:val="none" w:sz="0" w:space="0" w:color="auto"/>
      </w:divBdr>
      <w:divsChild>
        <w:div w:id="585579384">
          <w:marLeft w:val="0"/>
          <w:marRight w:val="720"/>
          <w:marTop w:val="0"/>
          <w:marBottom w:val="0"/>
          <w:divBdr>
            <w:top w:val="none" w:sz="0" w:space="0" w:color="auto"/>
            <w:left w:val="none" w:sz="0" w:space="0" w:color="auto"/>
            <w:bottom w:val="none" w:sz="0" w:space="0" w:color="auto"/>
            <w:right w:val="none" w:sz="0" w:space="0" w:color="auto"/>
          </w:divBdr>
        </w:div>
        <w:div w:id="229968896">
          <w:marLeft w:val="0"/>
          <w:marRight w:val="0"/>
          <w:marTop w:val="0"/>
          <w:marBottom w:val="0"/>
          <w:divBdr>
            <w:top w:val="none" w:sz="0" w:space="0" w:color="auto"/>
            <w:left w:val="none" w:sz="0" w:space="0" w:color="auto"/>
            <w:bottom w:val="none" w:sz="0" w:space="0" w:color="auto"/>
            <w:right w:val="none" w:sz="0" w:space="0" w:color="auto"/>
          </w:divBdr>
        </w:div>
      </w:divsChild>
    </w:div>
    <w:div w:id="21273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WLi07</b:Tag>
    <b:SourceType>JournalArticle</b:SourceType>
    <b:Guid>{98B273D2-99C4-4DC7-B41E-396DEB69498C}</b:Guid>
    <b:Title>Universal Principles of Design</b:Title>
    <b:Year>(Jun 2007): </b:Year>
    <b:Author>
      <b:Author>
        <b:NameList>
          <b:Person>
            <b:Last>W. Lidwell</b:Last>
            <b:First>K.</b:First>
            <b:Middle>Holden and J. Butler</b:Middle>
          </b:Person>
        </b:NameList>
      </b:Author>
    </b:Author>
    <b:JournalName>Educational Technology Research and Development; New York Vol. 55, Iss. 3</b:JournalName>
    <b:Pages>297-300.</b:Pages>
    <b:RefOrder>1</b:RefOrder>
  </b:Source>
</b:Sources>
</file>

<file path=customXml/itemProps1.xml><?xml version="1.0" encoding="utf-8"?>
<ds:datastoreItem xmlns:ds="http://schemas.openxmlformats.org/officeDocument/2006/customXml" ds:itemID="{E344CC46-899E-41CB-8860-4E7EC7C5D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6</cp:revision>
  <dcterms:created xsi:type="dcterms:W3CDTF">2024-06-12T09:23:00Z</dcterms:created>
  <dcterms:modified xsi:type="dcterms:W3CDTF">2024-06-12T09:29:00Z</dcterms:modified>
</cp:coreProperties>
</file>