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2F2F2" w:themeColor="background1" w:themeShade="F2"/>
  <w:body>
    <w:p w14:paraId="16BF93C0" w14:textId="6D92F4DB" w:rsidR="000251C1" w:rsidRPr="00E02BD7" w:rsidRDefault="006831CA" w:rsidP="00690C5A">
      <w:pPr>
        <w:jc w:val="center"/>
        <w:rPr>
          <w:rFonts w:ascii="Arial" w:hAnsi="Arial" w:cs="Arial"/>
          <w:sz w:val="36"/>
          <w:szCs w:val="36"/>
        </w:rPr>
      </w:pPr>
      <w:r w:rsidRPr="00E02BD7">
        <w:rPr>
          <w:rFonts w:ascii="Arial" w:hAnsi="Arial" w:cs="Arial"/>
          <w:b/>
          <w:bCs/>
          <w:sz w:val="36"/>
          <w:szCs w:val="36"/>
        </w:rPr>
        <w:t>Student Name:</w:t>
      </w:r>
      <w:r w:rsidRPr="00E02BD7">
        <w:rPr>
          <w:rFonts w:ascii="Arial" w:hAnsi="Arial" w:cs="Arial"/>
          <w:sz w:val="36"/>
          <w:szCs w:val="36"/>
        </w:rPr>
        <w:t xml:space="preserve"> Zobia Riaz</w:t>
      </w:r>
    </w:p>
    <w:p w14:paraId="6325CE5C" w14:textId="49F5F641" w:rsidR="006831CA" w:rsidRPr="00E02BD7" w:rsidRDefault="006831CA" w:rsidP="00690C5A">
      <w:pPr>
        <w:jc w:val="center"/>
        <w:rPr>
          <w:rFonts w:ascii="Arial" w:hAnsi="Arial" w:cs="Arial"/>
          <w:sz w:val="36"/>
          <w:szCs w:val="36"/>
        </w:rPr>
      </w:pPr>
      <w:r w:rsidRPr="00E02BD7">
        <w:rPr>
          <w:rFonts w:ascii="Arial" w:hAnsi="Arial" w:cs="Arial"/>
          <w:b/>
          <w:bCs/>
          <w:sz w:val="36"/>
          <w:szCs w:val="36"/>
        </w:rPr>
        <w:t>Student ID:</w:t>
      </w:r>
      <w:r w:rsidRPr="00E02BD7">
        <w:rPr>
          <w:rFonts w:ascii="Arial" w:hAnsi="Arial" w:cs="Arial"/>
          <w:sz w:val="36"/>
          <w:szCs w:val="36"/>
        </w:rPr>
        <w:t xml:space="preserve"> 2226851</w:t>
      </w:r>
    </w:p>
    <w:p w14:paraId="7FE39006" w14:textId="777633C0" w:rsidR="006831CA" w:rsidRPr="00E02BD7" w:rsidRDefault="006831CA" w:rsidP="00690C5A">
      <w:pPr>
        <w:jc w:val="center"/>
        <w:rPr>
          <w:rFonts w:ascii="Arial" w:hAnsi="Arial" w:cs="Arial"/>
          <w:sz w:val="36"/>
          <w:szCs w:val="36"/>
        </w:rPr>
      </w:pPr>
      <w:r w:rsidRPr="00E02BD7">
        <w:rPr>
          <w:rFonts w:ascii="Arial" w:hAnsi="Arial" w:cs="Arial"/>
          <w:b/>
          <w:bCs/>
          <w:sz w:val="36"/>
          <w:szCs w:val="36"/>
        </w:rPr>
        <w:t>Module Name:</w:t>
      </w:r>
      <w:r w:rsidRPr="00E02BD7">
        <w:rPr>
          <w:rFonts w:ascii="Arial" w:hAnsi="Arial" w:cs="Arial"/>
          <w:sz w:val="36"/>
          <w:szCs w:val="36"/>
        </w:rPr>
        <w:t xml:space="preserve"> </w:t>
      </w:r>
      <w:r w:rsidR="00025FCA" w:rsidRPr="00E02BD7">
        <w:rPr>
          <w:rFonts w:ascii="Arial" w:hAnsi="Arial" w:cs="Arial"/>
          <w:sz w:val="36"/>
          <w:szCs w:val="36"/>
        </w:rPr>
        <w:t>Community Care and Management of Longer-term Conditions</w:t>
      </w:r>
    </w:p>
    <w:p w14:paraId="0FA40344" w14:textId="7184F90A" w:rsidR="006660C0" w:rsidRPr="00E02BD7" w:rsidRDefault="004103C2" w:rsidP="006660C0">
      <w:pPr>
        <w:jc w:val="center"/>
        <w:rPr>
          <w:rFonts w:ascii="Arial" w:hAnsi="Arial" w:cs="Arial"/>
          <w:sz w:val="36"/>
          <w:szCs w:val="36"/>
        </w:rPr>
      </w:pPr>
      <w:r w:rsidRPr="00E02BD7">
        <w:rPr>
          <w:rFonts w:ascii="Arial" w:hAnsi="Arial" w:cs="Arial"/>
          <w:b/>
          <w:bCs/>
          <w:sz w:val="36"/>
          <w:szCs w:val="36"/>
        </w:rPr>
        <w:t>Assignment Title:</w:t>
      </w:r>
      <w:r w:rsidR="006660C0" w:rsidRPr="00E02BD7">
        <w:rPr>
          <w:rFonts w:ascii="Arial" w:hAnsi="Arial" w:cs="Arial"/>
          <w:sz w:val="36"/>
          <w:szCs w:val="36"/>
        </w:rPr>
        <w:t xml:space="preserve"> Component 1  </w:t>
      </w:r>
    </w:p>
    <w:p w14:paraId="61635BFD" w14:textId="221DEFCB" w:rsidR="004103C2" w:rsidRPr="00E02BD7" w:rsidRDefault="006660C0" w:rsidP="006660C0">
      <w:pPr>
        <w:jc w:val="center"/>
        <w:rPr>
          <w:rFonts w:ascii="Arial" w:hAnsi="Arial" w:cs="Arial"/>
          <w:sz w:val="36"/>
          <w:szCs w:val="36"/>
        </w:rPr>
      </w:pPr>
      <w:r w:rsidRPr="00E02BD7">
        <w:rPr>
          <w:rFonts w:ascii="Arial" w:hAnsi="Arial" w:cs="Arial"/>
          <w:sz w:val="36"/>
          <w:szCs w:val="36"/>
        </w:rPr>
        <w:t xml:space="preserve">Information Booklet of Long- term Condition Management  </w:t>
      </w:r>
    </w:p>
    <w:p w14:paraId="3F441BE8" w14:textId="5CBC874D" w:rsidR="00BB30AC" w:rsidRPr="00E02BD7" w:rsidRDefault="00BB30AC" w:rsidP="00690C5A">
      <w:pPr>
        <w:jc w:val="center"/>
        <w:rPr>
          <w:rFonts w:ascii="Arial" w:hAnsi="Arial" w:cs="Arial"/>
          <w:sz w:val="36"/>
          <w:szCs w:val="36"/>
        </w:rPr>
      </w:pPr>
      <w:r w:rsidRPr="00E02BD7">
        <w:rPr>
          <w:rFonts w:ascii="Arial" w:hAnsi="Arial" w:cs="Arial"/>
          <w:b/>
          <w:bCs/>
          <w:sz w:val="36"/>
          <w:szCs w:val="36"/>
        </w:rPr>
        <w:t>Module Code</w:t>
      </w:r>
      <w:r w:rsidRPr="00E02BD7">
        <w:rPr>
          <w:rFonts w:ascii="Arial" w:hAnsi="Arial" w:cs="Arial"/>
          <w:sz w:val="36"/>
          <w:szCs w:val="36"/>
        </w:rPr>
        <w:t>:</w:t>
      </w:r>
      <w:r w:rsidR="0010097E" w:rsidRPr="00E02BD7">
        <w:rPr>
          <w:rFonts w:ascii="Arial" w:hAnsi="Arial" w:cs="Arial"/>
          <w:sz w:val="36"/>
          <w:szCs w:val="36"/>
        </w:rPr>
        <w:t xml:space="preserve"> LCHS7003</w:t>
      </w:r>
    </w:p>
    <w:p w14:paraId="5A486A41" w14:textId="4984E670" w:rsidR="00BB30AC" w:rsidRPr="00E02BD7" w:rsidRDefault="00BB30AC" w:rsidP="00690C5A">
      <w:pPr>
        <w:jc w:val="center"/>
        <w:rPr>
          <w:rFonts w:ascii="Arial" w:hAnsi="Arial" w:cs="Arial"/>
          <w:sz w:val="36"/>
          <w:szCs w:val="36"/>
        </w:rPr>
      </w:pPr>
      <w:r w:rsidRPr="00E02BD7">
        <w:rPr>
          <w:rFonts w:ascii="Arial" w:hAnsi="Arial" w:cs="Arial"/>
          <w:b/>
          <w:bCs/>
          <w:sz w:val="36"/>
          <w:szCs w:val="36"/>
        </w:rPr>
        <w:t>Lecturer:</w:t>
      </w:r>
      <w:r w:rsidR="00EA23D4" w:rsidRPr="00E02BD7">
        <w:rPr>
          <w:rFonts w:ascii="Arial" w:hAnsi="Arial" w:cs="Arial"/>
          <w:sz w:val="36"/>
          <w:szCs w:val="36"/>
        </w:rPr>
        <w:t xml:space="preserve"> </w:t>
      </w:r>
      <w:r w:rsidR="00084B46" w:rsidRPr="00084B46">
        <w:rPr>
          <w:rFonts w:ascii="Arial" w:hAnsi="Arial" w:cs="Arial"/>
          <w:sz w:val="36"/>
          <w:szCs w:val="36"/>
        </w:rPr>
        <w:t>Dr Raheela Shaikh</w:t>
      </w:r>
    </w:p>
    <w:p w14:paraId="39583BD1" w14:textId="77777777" w:rsidR="00025E1A" w:rsidRPr="00E02BD7" w:rsidRDefault="00025E1A" w:rsidP="00690C5A">
      <w:pPr>
        <w:jc w:val="center"/>
        <w:rPr>
          <w:rFonts w:ascii="Arial" w:hAnsi="Arial" w:cs="Arial"/>
          <w:sz w:val="36"/>
          <w:szCs w:val="36"/>
        </w:rPr>
      </w:pPr>
    </w:p>
    <w:p w14:paraId="33F4EAD6" w14:textId="77777777" w:rsidR="00025E1A" w:rsidRPr="00E02BD7" w:rsidRDefault="00025E1A" w:rsidP="00690C5A">
      <w:pPr>
        <w:jc w:val="center"/>
        <w:rPr>
          <w:rFonts w:ascii="Arial" w:hAnsi="Arial" w:cs="Arial"/>
          <w:sz w:val="36"/>
          <w:szCs w:val="36"/>
        </w:rPr>
      </w:pPr>
    </w:p>
    <w:p w14:paraId="586F92C6" w14:textId="77777777" w:rsidR="00025E1A" w:rsidRPr="00E02BD7" w:rsidRDefault="00025E1A" w:rsidP="00690C5A">
      <w:pPr>
        <w:jc w:val="center"/>
        <w:rPr>
          <w:rFonts w:ascii="Arial" w:hAnsi="Arial" w:cs="Arial"/>
          <w:sz w:val="36"/>
          <w:szCs w:val="36"/>
        </w:rPr>
      </w:pPr>
    </w:p>
    <w:p w14:paraId="081F888C" w14:textId="77777777" w:rsidR="00187DF1" w:rsidRPr="00E02BD7" w:rsidRDefault="00187DF1" w:rsidP="00690C5A">
      <w:pPr>
        <w:jc w:val="center"/>
        <w:rPr>
          <w:rFonts w:ascii="Arial" w:hAnsi="Arial" w:cs="Arial"/>
          <w:sz w:val="36"/>
          <w:szCs w:val="36"/>
        </w:rPr>
      </w:pPr>
    </w:p>
    <w:p w14:paraId="05BB6A5F" w14:textId="77777777" w:rsidR="00025E1A" w:rsidRPr="00E02BD7" w:rsidRDefault="00025E1A" w:rsidP="00690C5A">
      <w:pPr>
        <w:jc w:val="center"/>
        <w:rPr>
          <w:rFonts w:ascii="Arial" w:hAnsi="Arial" w:cs="Arial"/>
          <w:sz w:val="36"/>
          <w:szCs w:val="36"/>
        </w:rPr>
      </w:pPr>
    </w:p>
    <w:p w14:paraId="676AA23E" w14:textId="77777777" w:rsidR="00025E1A" w:rsidRPr="00E02BD7" w:rsidRDefault="00025E1A" w:rsidP="00690C5A">
      <w:pPr>
        <w:jc w:val="center"/>
        <w:rPr>
          <w:rFonts w:ascii="Arial" w:hAnsi="Arial" w:cs="Arial"/>
          <w:sz w:val="36"/>
          <w:szCs w:val="36"/>
        </w:rPr>
      </w:pPr>
    </w:p>
    <w:p w14:paraId="09FB8E7C" w14:textId="77777777" w:rsidR="00025E1A" w:rsidRPr="00E02BD7" w:rsidRDefault="00025E1A" w:rsidP="00690C5A">
      <w:pPr>
        <w:jc w:val="center"/>
        <w:rPr>
          <w:rFonts w:ascii="Arial" w:hAnsi="Arial" w:cs="Arial"/>
          <w:sz w:val="36"/>
          <w:szCs w:val="36"/>
        </w:rPr>
      </w:pPr>
    </w:p>
    <w:p w14:paraId="19F11E95" w14:textId="77777777" w:rsidR="00025E1A" w:rsidRPr="00E02BD7" w:rsidRDefault="00025E1A" w:rsidP="00690C5A">
      <w:pPr>
        <w:jc w:val="center"/>
        <w:rPr>
          <w:rFonts w:ascii="Arial" w:hAnsi="Arial" w:cs="Arial"/>
          <w:sz w:val="36"/>
          <w:szCs w:val="36"/>
        </w:rPr>
      </w:pPr>
    </w:p>
    <w:p w14:paraId="6D1D77E3" w14:textId="77777777" w:rsidR="00025E1A" w:rsidRPr="00E02BD7" w:rsidRDefault="00025E1A" w:rsidP="00690C5A">
      <w:pPr>
        <w:jc w:val="center"/>
        <w:rPr>
          <w:rFonts w:ascii="Arial" w:hAnsi="Arial" w:cs="Arial"/>
          <w:sz w:val="36"/>
          <w:szCs w:val="36"/>
        </w:rPr>
      </w:pPr>
    </w:p>
    <w:p w14:paraId="2B437B48" w14:textId="77777777" w:rsidR="00025E1A" w:rsidRPr="00E02BD7" w:rsidRDefault="00025E1A" w:rsidP="00690C5A">
      <w:pPr>
        <w:jc w:val="center"/>
        <w:rPr>
          <w:rFonts w:ascii="Arial" w:hAnsi="Arial" w:cs="Arial"/>
          <w:sz w:val="36"/>
          <w:szCs w:val="36"/>
        </w:rPr>
      </w:pPr>
    </w:p>
    <w:p w14:paraId="4DD6FA82" w14:textId="77777777" w:rsidR="00187DF1" w:rsidRPr="00E02BD7" w:rsidRDefault="00187DF1" w:rsidP="00187DF1">
      <w:pPr>
        <w:rPr>
          <w:rFonts w:ascii="Arial" w:hAnsi="Arial" w:cs="Arial"/>
          <w:sz w:val="36"/>
          <w:szCs w:val="36"/>
        </w:rPr>
      </w:pPr>
    </w:p>
    <w:p w14:paraId="59592AE6" w14:textId="77777777" w:rsidR="00025E1A" w:rsidRPr="00E02BD7" w:rsidRDefault="00025E1A" w:rsidP="00690C5A">
      <w:pPr>
        <w:jc w:val="center"/>
        <w:rPr>
          <w:rFonts w:ascii="Arial" w:hAnsi="Arial" w:cs="Arial"/>
          <w:sz w:val="36"/>
          <w:szCs w:val="36"/>
        </w:rPr>
      </w:pPr>
    </w:p>
    <w:p w14:paraId="5647E66B" w14:textId="77777777" w:rsidR="000D2FA7" w:rsidRDefault="000D2FA7" w:rsidP="00187DF1">
      <w:pPr>
        <w:jc w:val="center"/>
        <w:rPr>
          <w:rFonts w:ascii="Arial" w:hAnsi="Arial" w:cs="Arial"/>
          <w:b/>
          <w:bCs/>
          <w:color w:val="0F486E" w:themeColor="text2" w:themeShade="BF"/>
          <w:sz w:val="24"/>
          <w:szCs w:val="24"/>
        </w:rPr>
      </w:pPr>
    </w:p>
    <w:p w14:paraId="6E2D40C4" w14:textId="09AB410B" w:rsidR="00BE08DF" w:rsidRDefault="00455799" w:rsidP="00187DF1">
      <w:pPr>
        <w:jc w:val="center"/>
        <w:rPr>
          <w:rFonts w:ascii="Arial" w:hAnsi="Arial" w:cs="Arial"/>
          <w:b/>
          <w:bCs/>
          <w:color w:val="0F486E" w:themeColor="text2" w:themeShade="BF"/>
          <w:sz w:val="24"/>
          <w:szCs w:val="24"/>
        </w:rPr>
      </w:pPr>
      <w:r w:rsidRPr="00455799">
        <w:rPr>
          <w:rFonts w:ascii="Arial" w:hAnsi="Arial" w:cs="Arial"/>
          <w:b/>
          <w:bCs/>
          <w:color w:val="0F486E" w:themeColor="text2" w:themeShade="BF"/>
          <w:sz w:val="24"/>
          <w:szCs w:val="24"/>
        </w:rPr>
        <w:drawing>
          <wp:inline distT="0" distB="0" distL="0" distR="0" wp14:anchorId="09EAE5FE" wp14:editId="3BD74DF6">
            <wp:extent cx="6475730" cy="8534400"/>
            <wp:effectExtent l="0" t="0" r="1270" b="0"/>
            <wp:docPr id="1283973405" name="Picture 1" descr="A blue and black text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973405" name="Picture 1" descr="A blue and black text on a blue background&#10;&#10;AI-generated content may be incorrect."/>
                    <pic:cNvPicPr/>
                  </pic:nvPicPr>
                  <pic:blipFill>
                    <a:blip r:embed="rId8"/>
                    <a:stretch>
                      <a:fillRect/>
                    </a:stretch>
                  </pic:blipFill>
                  <pic:spPr>
                    <a:xfrm>
                      <a:off x="0" y="0"/>
                      <a:ext cx="6497085" cy="8562544"/>
                    </a:xfrm>
                    <a:prstGeom prst="rect">
                      <a:avLst/>
                    </a:prstGeom>
                  </pic:spPr>
                </pic:pic>
              </a:graphicData>
            </a:graphic>
          </wp:inline>
        </w:drawing>
      </w:r>
    </w:p>
    <w:p w14:paraId="693A9A60" w14:textId="5A7959B9" w:rsidR="00BE08DF" w:rsidRDefault="00BE08DF" w:rsidP="00300D66">
      <w:pPr>
        <w:jc w:val="center"/>
        <w:rPr>
          <w:rFonts w:ascii="Arial" w:hAnsi="Arial" w:cs="Arial"/>
          <w:b/>
          <w:bCs/>
          <w:color w:val="0F486E" w:themeColor="text2" w:themeShade="BF"/>
          <w:sz w:val="24"/>
          <w:szCs w:val="24"/>
        </w:rPr>
      </w:pPr>
    </w:p>
    <w:p w14:paraId="5B2E764B" w14:textId="77777777" w:rsidR="00300D66" w:rsidRDefault="00300D66" w:rsidP="00E02BD7">
      <w:pPr>
        <w:rPr>
          <w:rFonts w:ascii="Arial" w:hAnsi="Arial" w:cs="Arial"/>
          <w:b/>
          <w:bCs/>
          <w:color w:val="0F486E" w:themeColor="text2" w:themeShade="BF"/>
          <w:sz w:val="24"/>
          <w:szCs w:val="24"/>
        </w:rPr>
      </w:pPr>
    </w:p>
    <w:p w14:paraId="71564CEB" w14:textId="77777777" w:rsidR="00ED722E" w:rsidRDefault="00ED722E" w:rsidP="002C11C6">
      <w:pPr>
        <w:rPr>
          <w:rFonts w:ascii="Arial" w:hAnsi="Arial" w:cs="Arial"/>
          <w:b/>
          <w:bCs/>
          <w:color w:val="1E92DF" w:themeColor="text2" w:themeTint="BF"/>
          <w:sz w:val="32"/>
          <w:szCs w:val="32"/>
          <w:u w:val="single"/>
        </w:rPr>
      </w:pPr>
    </w:p>
    <w:sdt>
      <w:sdtPr>
        <w:id w:val="1418285367"/>
        <w:docPartObj>
          <w:docPartGallery w:val="Table of Contents"/>
          <w:docPartUnique/>
        </w:docPartObj>
      </w:sdtPr>
      <w:sdtEndPr>
        <w:rPr>
          <w:rFonts w:asciiTheme="minorHAnsi" w:eastAsiaTheme="minorEastAsia" w:hAnsiTheme="minorHAnsi" w:cstheme="minorBidi"/>
          <w:b/>
          <w:bCs/>
          <w:color w:val="auto"/>
          <w:sz w:val="21"/>
          <w:szCs w:val="21"/>
        </w:rPr>
      </w:sdtEndPr>
      <w:sdtContent>
        <w:p w14:paraId="54D20986" w14:textId="2E3E620F" w:rsidR="00A52661" w:rsidRDefault="00A52661">
          <w:pPr>
            <w:pStyle w:val="TOCHeading"/>
          </w:pPr>
          <w:r>
            <w:t>Contents</w:t>
          </w:r>
        </w:p>
        <w:p w14:paraId="48814872" w14:textId="3BAD783D" w:rsidR="001F059E" w:rsidRDefault="00A52661">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23067581" w:history="1">
            <w:r w:rsidR="001F059E" w:rsidRPr="0091188E">
              <w:rPr>
                <w:rStyle w:val="Hyperlink"/>
                <w:rFonts w:ascii="Arial" w:hAnsi="Arial" w:cs="Arial"/>
                <w:b/>
                <w:bCs/>
                <w:noProof/>
                <w:color w:val="278CD5" w:themeColor="hyperlink" w:themeTint="99"/>
              </w:rPr>
              <w:t>Introduction</w:t>
            </w:r>
            <w:r w:rsidR="001F059E">
              <w:rPr>
                <w:noProof/>
                <w:webHidden/>
              </w:rPr>
              <w:tab/>
            </w:r>
            <w:r w:rsidR="001F059E">
              <w:rPr>
                <w:noProof/>
                <w:webHidden/>
              </w:rPr>
              <w:fldChar w:fldCharType="begin"/>
            </w:r>
            <w:r w:rsidR="001F059E">
              <w:rPr>
                <w:noProof/>
                <w:webHidden/>
              </w:rPr>
              <w:instrText xml:space="preserve"> PAGEREF _Toc223067581 \h </w:instrText>
            </w:r>
            <w:r w:rsidR="001F059E">
              <w:rPr>
                <w:noProof/>
                <w:webHidden/>
              </w:rPr>
            </w:r>
            <w:r w:rsidR="001F059E">
              <w:rPr>
                <w:noProof/>
                <w:webHidden/>
              </w:rPr>
              <w:fldChar w:fldCharType="separate"/>
            </w:r>
            <w:r w:rsidR="001F059E">
              <w:rPr>
                <w:noProof/>
                <w:webHidden/>
              </w:rPr>
              <w:t>4</w:t>
            </w:r>
            <w:r w:rsidR="001F059E">
              <w:rPr>
                <w:noProof/>
                <w:webHidden/>
              </w:rPr>
              <w:fldChar w:fldCharType="end"/>
            </w:r>
          </w:hyperlink>
        </w:p>
        <w:p w14:paraId="22C50CFD" w14:textId="27D76EB6" w:rsidR="001F059E" w:rsidRDefault="001F059E">
          <w:pPr>
            <w:pStyle w:val="TOC1"/>
            <w:tabs>
              <w:tab w:val="right" w:leader="dot" w:pos="9016"/>
            </w:tabs>
            <w:rPr>
              <w:noProof/>
              <w:kern w:val="2"/>
              <w:sz w:val="24"/>
              <w:szCs w:val="24"/>
              <w:lang w:eastAsia="en-GB"/>
              <w14:ligatures w14:val="standardContextual"/>
            </w:rPr>
          </w:pPr>
          <w:hyperlink w:anchor="_Toc223067582" w:history="1">
            <w:r w:rsidRPr="0091188E">
              <w:rPr>
                <w:rStyle w:val="Hyperlink"/>
                <w:rFonts w:ascii="Arial" w:hAnsi="Arial" w:cs="Arial"/>
                <w:b/>
                <w:bCs/>
                <w:noProof/>
                <w:color w:val="278CD5" w:themeColor="hyperlink" w:themeTint="99"/>
              </w:rPr>
              <w:t>Understanding Diabetes</w:t>
            </w:r>
            <w:r>
              <w:rPr>
                <w:noProof/>
                <w:webHidden/>
              </w:rPr>
              <w:tab/>
            </w:r>
            <w:r>
              <w:rPr>
                <w:noProof/>
                <w:webHidden/>
              </w:rPr>
              <w:fldChar w:fldCharType="begin"/>
            </w:r>
            <w:r>
              <w:rPr>
                <w:noProof/>
                <w:webHidden/>
              </w:rPr>
              <w:instrText xml:space="preserve"> PAGEREF _Toc223067582 \h </w:instrText>
            </w:r>
            <w:r>
              <w:rPr>
                <w:noProof/>
                <w:webHidden/>
              </w:rPr>
            </w:r>
            <w:r>
              <w:rPr>
                <w:noProof/>
                <w:webHidden/>
              </w:rPr>
              <w:fldChar w:fldCharType="separate"/>
            </w:r>
            <w:r>
              <w:rPr>
                <w:noProof/>
                <w:webHidden/>
              </w:rPr>
              <w:t>4</w:t>
            </w:r>
            <w:r>
              <w:rPr>
                <w:noProof/>
                <w:webHidden/>
              </w:rPr>
              <w:fldChar w:fldCharType="end"/>
            </w:r>
          </w:hyperlink>
        </w:p>
        <w:p w14:paraId="7C901C00" w14:textId="5266F8EF" w:rsidR="001F059E" w:rsidRDefault="001F059E">
          <w:pPr>
            <w:pStyle w:val="TOC1"/>
            <w:tabs>
              <w:tab w:val="right" w:leader="dot" w:pos="9016"/>
            </w:tabs>
            <w:rPr>
              <w:noProof/>
              <w:kern w:val="2"/>
              <w:sz w:val="24"/>
              <w:szCs w:val="24"/>
              <w:lang w:eastAsia="en-GB"/>
              <w14:ligatures w14:val="standardContextual"/>
            </w:rPr>
          </w:pPr>
          <w:hyperlink w:anchor="_Toc223067583" w:history="1">
            <w:r w:rsidRPr="0091188E">
              <w:rPr>
                <w:rStyle w:val="Hyperlink"/>
                <w:rFonts w:ascii="Arial" w:hAnsi="Arial" w:cs="Arial"/>
                <w:b/>
                <w:bCs/>
                <w:noProof/>
                <w:color w:val="278CD5" w:themeColor="hyperlink" w:themeTint="99"/>
              </w:rPr>
              <w:t>Symptoms of type 2 diabetes</w:t>
            </w:r>
            <w:r>
              <w:rPr>
                <w:noProof/>
                <w:webHidden/>
              </w:rPr>
              <w:tab/>
            </w:r>
            <w:r>
              <w:rPr>
                <w:noProof/>
                <w:webHidden/>
              </w:rPr>
              <w:fldChar w:fldCharType="begin"/>
            </w:r>
            <w:r>
              <w:rPr>
                <w:noProof/>
                <w:webHidden/>
              </w:rPr>
              <w:instrText xml:space="preserve"> PAGEREF _Toc223067583 \h </w:instrText>
            </w:r>
            <w:r>
              <w:rPr>
                <w:noProof/>
                <w:webHidden/>
              </w:rPr>
            </w:r>
            <w:r>
              <w:rPr>
                <w:noProof/>
                <w:webHidden/>
              </w:rPr>
              <w:fldChar w:fldCharType="separate"/>
            </w:r>
            <w:r>
              <w:rPr>
                <w:noProof/>
                <w:webHidden/>
              </w:rPr>
              <w:t>5</w:t>
            </w:r>
            <w:r>
              <w:rPr>
                <w:noProof/>
                <w:webHidden/>
              </w:rPr>
              <w:fldChar w:fldCharType="end"/>
            </w:r>
          </w:hyperlink>
        </w:p>
        <w:p w14:paraId="3F8F20E3" w14:textId="78D21975" w:rsidR="001F059E" w:rsidRDefault="001F059E">
          <w:pPr>
            <w:pStyle w:val="TOC1"/>
            <w:tabs>
              <w:tab w:val="right" w:leader="dot" w:pos="9016"/>
            </w:tabs>
            <w:rPr>
              <w:noProof/>
              <w:kern w:val="2"/>
              <w:sz w:val="24"/>
              <w:szCs w:val="24"/>
              <w:lang w:eastAsia="en-GB"/>
              <w14:ligatures w14:val="standardContextual"/>
            </w:rPr>
          </w:pPr>
          <w:hyperlink w:anchor="_Toc223067584" w:history="1">
            <w:r w:rsidRPr="0091188E">
              <w:rPr>
                <w:rStyle w:val="Hyperlink"/>
                <w:rFonts w:ascii="Arial" w:hAnsi="Arial" w:cs="Arial"/>
                <w:b/>
                <w:bCs/>
                <w:noProof/>
                <w:color w:val="278CD5" w:themeColor="hyperlink" w:themeTint="99"/>
              </w:rPr>
              <w:t>Pathophysiology</w:t>
            </w:r>
            <w:r>
              <w:rPr>
                <w:noProof/>
                <w:webHidden/>
              </w:rPr>
              <w:tab/>
            </w:r>
            <w:r>
              <w:rPr>
                <w:noProof/>
                <w:webHidden/>
              </w:rPr>
              <w:fldChar w:fldCharType="begin"/>
            </w:r>
            <w:r>
              <w:rPr>
                <w:noProof/>
                <w:webHidden/>
              </w:rPr>
              <w:instrText xml:space="preserve"> PAGEREF _Toc223067584 \h </w:instrText>
            </w:r>
            <w:r>
              <w:rPr>
                <w:noProof/>
                <w:webHidden/>
              </w:rPr>
            </w:r>
            <w:r>
              <w:rPr>
                <w:noProof/>
                <w:webHidden/>
              </w:rPr>
              <w:fldChar w:fldCharType="separate"/>
            </w:r>
            <w:r>
              <w:rPr>
                <w:noProof/>
                <w:webHidden/>
              </w:rPr>
              <w:t>6</w:t>
            </w:r>
            <w:r>
              <w:rPr>
                <w:noProof/>
                <w:webHidden/>
              </w:rPr>
              <w:fldChar w:fldCharType="end"/>
            </w:r>
          </w:hyperlink>
        </w:p>
        <w:p w14:paraId="70ED8C17" w14:textId="1AC65DF0" w:rsidR="001F059E" w:rsidRDefault="001F059E">
          <w:pPr>
            <w:pStyle w:val="TOC1"/>
            <w:tabs>
              <w:tab w:val="right" w:leader="dot" w:pos="9016"/>
            </w:tabs>
            <w:rPr>
              <w:noProof/>
              <w:kern w:val="2"/>
              <w:sz w:val="24"/>
              <w:szCs w:val="24"/>
              <w:lang w:eastAsia="en-GB"/>
              <w14:ligatures w14:val="standardContextual"/>
            </w:rPr>
          </w:pPr>
          <w:hyperlink w:anchor="_Toc223067585" w:history="1">
            <w:r w:rsidRPr="0091188E">
              <w:rPr>
                <w:rStyle w:val="Hyperlink"/>
                <w:rFonts w:ascii="Arial" w:hAnsi="Arial" w:cs="Arial"/>
                <w:b/>
                <w:bCs/>
                <w:noProof/>
                <w:color w:val="278CD5" w:themeColor="hyperlink" w:themeTint="99"/>
              </w:rPr>
              <w:t>Pharmacological Management</w:t>
            </w:r>
            <w:r>
              <w:rPr>
                <w:noProof/>
                <w:webHidden/>
              </w:rPr>
              <w:tab/>
            </w:r>
            <w:r>
              <w:rPr>
                <w:noProof/>
                <w:webHidden/>
              </w:rPr>
              <w:fldChar w:fldCharType="begin"/>
            </w:r>
            <w:r>
              <w:rPr>
                <w:noProof/>
                <w:webHidden/>
              </w:rPr>
              <w:instrText xml:space="preserve"> PAGEREF _Toc223067585 \h </w:instrText>
            </w:r>
            <w:r>
              <w:rPr>
                <w:noProof/>
                <w:webHidden/>
              </w:rPr>
            </w:r>
            <w:r>
              <w:rPr>
                <w:noProof/>
                <w:webHidden/>
              </w:rPr>
              <w:fldChar w:fldCharType="separate"/>
            </w:r>
            <w:r>
              <w:rPr>
                <w:noProof/>
                <w:webHidden/>
              </w:rPr>
              <w:t>7</w:t>
            </w:r>
            <w:r>
              <w:rPr>
                <w:noProof/>
                <w:webHidden/>
              </w:rPr>
              <w:fldChar w:fldCharType="end"/>
            </w:r>
          </w:hyperlink>
        </w:p>
        <w:p w14:paraId="64243036" w14:textId="13F04A79" w:rsidR="001F059E" w:rsidRDefault="001F059E">
          <w:pPr>
            <w:pStyle w:val="TOC1"/>
            <w:tabs>
              <w:tab w:val="right" w:leader="dot" w:pos="9016"/>
            </w:tabs>
            <w:rPr>
              <w:noProof/>
              <w:kern w:val="2"/>
              <w:sz w:val="24"/>
              <w:szCs w:val="24"/>
              <w:lang w:eastAsia="en-GB"/>
              <w14:ligatures w14:val="standardContextual"/>
            </w:rPr>
          </w:pPr>
          <w:hyperlink w:anchor="_Toc223067586" w:history="1">
            <w:r w:rsidRPr="0091188E">
              <w:rPr>
                <w:rStyle w:val="Hyperlink"/>
                <w:rFonts w:ascii="Arial" w:hAnsi="Arial" w:cs="Arial"/>
                <w:b/>
                <w:bCs/>
                <w:noProof/>
                <w:color w:val="278CD5" w:themeColor="hyperlink" w:themeTint="99"/>
              </w:rPr>
              <w:t>Medication to help with diabetes</w:t>
            </w:r>
            <w:r>
              <w:rPr>
                <w:noProof/>
                <w:webHidden/>
              </w:rPr>
              <w:tab/>
            </w:r>
            <w:r>
              <w:rPr>
                <w:noProof/>
                <w:webHidden/>
              </w:rPr>
              <w:fldChar w:fldCharType="begin"/>
            </w:r>
            <w:r>
              <w:rPr>
                <w:noProof/>
                <w:webHidden/>
              </w:rPr>
              <w:instrText xml:space="preserve"> PAGEREF _Toc223067586 \h </w:instrText>
            </w:r>
            <w:r>
              <w:rPr>
                <w:noProof/>
                <w:webHidden/>
              </w:rPr>
            </w:r>
            <w:r>
              <w:rPr>
                <w:noProof/>
                <w:webHidden/>
              </w:rPr>
              <w:fldChar w:fldCharType="separate"/>
            </w:r>
            <w:r>
              <w:rPr>
                <w:noProof/>
                <w:webHidden/>
              </w:rPr>
              <w:t>8</w:t>
            </w:r>
            <w:r>
              <w:rPr>
                <w:noProof/>
                <w:webHidden/>
              </w:rPr>
              <w:fldChar w:fldCharType="end"/>
            </w:r>
          </w:hyperlink>
        </w:p>
        <w:p w14:paraId="5B5A6A26" w14:textId="4C0D1C93" w:rsidR="001F059E" w:rsidRDefault="001F059E">
          <w:pPr>
            <w:pStyle w:val="TOC1"/>
            <w:tabs>
              <w:tab w:val="right" w:leader="dot" w:pos="9016"/>
            </w:tabs>
            <w:rPr>
              <w:noProof/>
              <w:kern w:val="2"/>
              <w:sz w:val="24"/>
              <w:szCs w:val="24"/>
              <w:lang w:eastAsia="en-GB"/>
              <w14:ligatures w14:val="standardContextual"/>
            </w:rPr>
          </w:pPr>
          <w:hyperlink w:anchor="_Toc223067587" w:history="1">
            <w:r w:rsidRPr="0091188E">
              <w:rPr>
                <w:rStyle w:val="Hyperlink"/>
                <w:rFonts w:ascii="Arial" w:hAnsi="Arial" w:cs="Arial"/>
                <w:b/>
                <w:bCs/>
                <w:noProof/>
                <w:color w:val="278CD5" w:themeColor="hyperlink" w:themeTint="99"/>
              </w:rPr>
              <w:t>Epidemiology of Type 2 Diabetes</w:t>
            </w:r>
            <w:r>
              <w:rPr>
                <w:noProof/>
                <w:webHidden/>
              </w:rPr>
              <w:tab/>
            </w:r>
            <w:r>
              <w:rPr>
                <w:noProof/>
                <w:webHidden/>
              </w:rPr>
              <w:fldChar w:fldCharType="begin"/>
            </w:r>
            <w:r>
              <w:rPr>
                <w:noProof/>
                <w:webHidden/>
              </w:rPr>
              <w:instrText xml:space="preserve"> PAGEREF _Toc223067587 \h </w:instrText>
            </w:r>
            <w:r>
              <w:rPr>
                <w:noProof/>
                <w:webHidden/>
              </w:rPr>
            </w:r>
            <w:r>
              <w:rPr>
                <w:noProof/>
                <w:webHidden/>
              </w:rPr>
              <w:fldChar w:fldCharType="separate"/>
            </w:r>
            <w:r>
              <w:rPr>
                <w:noProof/>
                <w:webHidden/>
              </w:rPr>
              <w:t>12</w:t>
            </w:r>
            <w:r>
              <w:rPr>
                <w:noProof/>
                <w:webHidden/>
              </w:rPr>
              <w:fldChar w:fldCharType="end"/>
            </w:r>
          </w:hyperlink>
        </w:p>
        <w:p w14:paraId="36A7082D" w14:textId="6DA8A37A" w:rsidR="001F059E" w:rsidRDefault="001F059E">
          <w:pPr>
            <w:pStyle w:val="TOC1"/>
            <w:tabs>
              <w:tab w:val="right" w:leader="dot" w:pos="9016"/>
            </w:tabs>
            <w:rPr>
              <w:noProof/>
              <w:kern w:val="2"/>
              <w:sz w:val="24"/>
              <w:szCs w:val="24"/>
              <w:lang w:eastAsia="en-GB"/>
              <w14:ligatures w14:val="standardContextual"/>
            </w:rPr>
          </w:pPr>
          <w:hyperlink w:anchor="_Toc223067588" w:history="1">
            <w:r w:rsidRPr="0091188E">
              <w:rPr>
                <w:rStyle w:val="Hyperlink"/>
                <w:rFonts w:ascii="Arial" w:hAnsi="Arial" w:cs="Arial"/>
                <w:b/>
                <w:bCs/>
                <w:noProof/>
                <w:color w:val="278CD5" w:themeColor="hyperlink" w:themeTint="99"/>
              </w:rPr>
              <w:t>Environmental Factors</w:t>
            </w:r>
            <w:r>
              <w:rPr>
                <w:noProof/>
                <w:webHidden/>
              </w:rPr>
              <w:tab/>
            </w:r>
            <w:r>
              <w:rPr>
                <w:noProof/>
                <w:webHidden/>
              </w:rPr>
              <w:fldChar w:fldCharType="begin"/>
            </w:r>
            <w:r>
              <w:rPr>
                <w:noProof/>
                <w:webHidden/>
              </w:rPr>
              <w:instrText xml:space="preserve"> PAGEREF _Toc223067588 \h </w:instrText>
            </w:r>
            <w:r>
              <w:rPr>
                <w:noProof/>
                <w:webHidden/>
              </w:rPr>
            </w:r>
            <w:r>
              <w:rPr>
                <w:noProof/>
                <w:webHidden/>
              </w:rPr>
              <w:fldChar w:fldCharType="separate"/>
            </w:r>
            <w:r>
              <w:rPr>
                <w:noProof/>
                <w:webHidden/>
              </w:rPr>
              <w:t>14</w:t>
            </w:r>
            <w:r>
              <w:rPr>
                <w:noProof/>
                <w:webHidden/>
              </w:rPr>
              <w:fldChar w:fldCharType="end"/>
            </w:r>
          </w:hyperlink>
        </w:p>
        <w:p w14:paraId="40F16E0E" w14:textId="4CBCD9BD" w:rsidR="001F059E" w:rsidRDefault="001F059E">
          <w:pPr>
            <w:pStyle w:val="TOC1"/>
            <w:tabs>
              <w:tab w:val="right" w:leader="dot" w:pos="9016"/>
            </w:tabs>
            <w:rPr>
              <w:noProof/>
              <w:kern w:val="2"/>
              <w:sz w:val="24"/>
              <w:szCs w:val="24"/>
              <w:lang w:eastAsia="en-GB"/>
              <w14:ligatures w14:val="standardContextual"/>
            </w:rPr>
          </w:pPr>
          <w:hyperlink w:anchor="_Toc223067589" w:history="1">
            <w:r w:rsidRPr="0091188E">
              <w:rPr>
                <w:rStyle w:val="Hyperlink"/>
                <w:rFonts w:ascii="Arial" w:hAnsi="Arial" w:cs="Arial"/>
                <w:b/>
                <w:bCs/>
                <w:noProof/>
                <w:color w:val="278CD5" w:themeColor="hyperlink" w:themeTint="99"/>
              </w:rPr>
              <w:t>Biological Factors</w:t>
            </w:r>
            <w:r>
              <w:rPr>
                <w:noProof/>
                <w:webHidden/>
              </w:rPr>
              <w:tab/>
            </w:r>
            <w:r>
              <w:rPr>
                <w:noProof/>
                <w:webHidden/>
              </w:rPr>
              <w:fldChar w:fldCharType="begin"/>
            </w:r>
            <w:r>
              <w:rPr>
                <w:noProof/>
                <w:webHidden/>
              </w:rPr>
              <w:instrText xml:space="preserve"> PAGEREF _Toc223067589 \h </w:instrText>
            </w:r>
            <w:r>
              <w:rPr>
                <w:noProof/>
                <w:webHidden/>
              </w:rPr>
            </w:r>
            <w:r>
              <w:rPr>
                <w:noProof/>
                <w:webHidden/>
              </w:rPr>
              <w:fldChar w:fldCharType="separate"/>
            </w:r>
            <w:r>
              <w:rPr>
                <w:noProof/>
                <w:webHidden/>
              </w:rPr>
              <w:t>14</w:t>
            </w:r>
            <w:r>
              <w:rPr>
                <w:noProof/>
                <w:webHidden/>
              </w:rPr>
              <w:fldChar w:fldCharType="end"/>
            </w:r>
          </w:hyperlink>
        </w:p>
        <w:p w14:paraId="0917E269" w14:textId="2B85413D" w:rsidR="001F059E" w:rsidRDefault="001F059E">
          <w:pPr>
            <w:pStyle w:val="TOC1"/>
            <w:tabs>
              <w:tab w:val="right" w:leader="dot" w:pos="9016"/>
            </w:tabs>
            <w:rPr>
              <w:noProof/>
              <w:kern w:val="2"/>
              <w:sz w:val="24"/>
              <w:szCs w:val="24"/>
              <w:lang w:eastAsia="en-GB"/>
              <w14:ligatures w14:val="standardContextual"/>
            </w:rPr>
          </w:pPr>
          <w:hyperlink w:anchor="_Toc223067590" w:history="1">
            <w:r w:rsidRPr="0091188E">
              <w:rPr>
                <w:rStyle w:val="Hyperlink"/>
                <w:rFonts w:ascii="Arial" w:hAnsi="Arial" w:cs="Arial"/>
                <w:noProof/>
                <w:color w:val="278CD5" w:themeColor="hyperlink" w:themeTint="99"/>
              </w:rPr>
              <w:t>Evidence-Based NHS Management</w:t>
            </w:r>
            <w:r>
              <w:rPr>
                <w:noProof/>
                <w:webHidden/>
              </w:rPr>
              <w:tab/>
            </w:r>
            <w:r>
              <w:rPr>
                <w:noProof/>
                <w:webHidden/>
              </w:rPr>
              <w:fldChar w:fldCharType="begin"/>
            </w:r>
            <w:r>
              <w:rPr>
                <w:noProof/>
                <w:webHidden/>
              </w:rPr>
              <w:instrText xml:space="preserve"> PAGEREF _Toc223067590 \h </w:instrText>
            </w:r>
            <w:r>
              <w:rPr>
                <w:noProof/>
                <w:webHidden/>
              </w:rPr>
            </w:r>
            <w:r>
              <w:rPr>
                <w:noProof/>
                <w:webHidden/>
              </w:rPr>
              <w:fldChar w:fldCharType="separate"/>
            </w:r>
            <w:r>
              <w:rPr>
                <w:noProof/>
                <w:webHidden/>
              </w:rPr>
              <w:t>15</w:t>
            </w:r>
            <w:r>
              <w:rPr>
                <w:noProof/>
                <w:webHidden/>
              </w:rPr>
              <w:fldChar w:fldCharType="end"/>
            </w:r>
          </w:hyperlink>
        </w:p>
        <w:p w14:paraId="74558905" w14:textId="401EEEE6" w:rsidR="001F059E" w:rsidRDefault="001F059E">
          <w:pPr>
            <w:pStyle w:val="TOC1"/>
            <w:tabs>
              <w:tab w:val="right" w:leader="dot" w:pos="9016"/>
            </w:tabs>
            <w:rPr>
              <w:noProof/>
              <w:kern w:val="2"/>
              <w:sz w:val="24"/>
              <w:szCs w:val="24"/>
              <w:lang w:eastAsia="en-GB"/>
              <w14:ligatures w14:val="standardContextual"/>
            </w:rPr>
          </w:pPr>
          <w:hyperlink w:anchor="_Toc223067591" w:history="1">
            <w:r w:rsidRPr="0091188E">
              <w:rPr>
                <w:rStyle w:val="Hyperlink"/>
                <w:rFonts w:ascii="Arial" w:hAnsi="Arial" w:cs="Arial"/>
                <w:b/>
                <w:bCs/>
                <w:noProof/>
                <w:color w:val="278CD5" w:themeColor="hyperlink" w:themeTint="99"/>
              </w:rPr>
              <w:t>Lifestyle modification</w:t>
            </w:r>
            <w:r>
              <w:rPr>
                <w:noProof/>
                <w:webHidden/>
              </w:rPr>
              <w:tab/>
            </w:r>
            <w:r>
              <w:rPr>
                <w:noProof/>
                <w:webHidden/>
              </w:rPr>
              <w:fldChar w:fldCharType="begin"/>
            </w:r>
            <w:r>
              <w:rPr>
                <w:noProof/>
                <w:webHidden/>
              </w:rPr>
              <w:instrText xml:space="preserve"> PAGEREF _Toc223067591 \h </w:instrText>
            </w:r>
            <w:r>
              <w:rPr>
                <w:noProof/>
                <w:webHidden/>
              </w:rPr>
            </w:r>
            <w:r>
              <w:rPr>
                <w:noProof/>
                <w:webHidden/>
              </w:rPr>
              <w:fldChar w:fldCharType="separate"/>
            </w:r>
            <w:r>
              <w:rPr>
                <w:noProof/>
                <w:webHidden/>
              </w:rPr>
              <w:t>16</w:t>
            </w:r>
            <w:r>
              <w:rPr>
                <w:noProof/>
                <w:webHidden/>
              </w:rPr>
              <w:fldChar w:fldCharType="end"/>
            </w:r>
          </w:hyperlink>
        </w:p>
        <w:p w14:paraId="10766B79" w14:textId="4031CC4C" w:rsidR="001F059E" w:rsidRDefault="001F059E">
          <w:pPr>
            <w:pStyle w:val="TOC1"/>
            <w:tabs>
              <w:tab w:val="right" w:leader="dot" w:pos="9016"/>
            </w:tabs>
            <w:rPr>
              <w:noProof/>
              <w:kern w:val="2"/>
              <w:sz w:val="24"/>
              <w:szCs w:val="24"/>
              <w:lang w:eastAsia="en-GB"/>
              <w14:ligatures w14:val="standardContextual"/>
            </w:rPr>
          </w:pPr>
          <w:hyperlink w:anchor="_Toc223067592" w:history="1">
            <w:r w:rsidRPr="0091188E">
              <w:rPr>
                <w:rStyle w:val="Hyperlink"/>
                <w:rFonts w:ascii="Arial" w:hAnsi="Arial" w:cs="Arial"/>
                <w:b/>
                <w:bCs/>
                <w:noProof/>
                <w:color w:val="278CD5" w:themeColor="hyperlink" w:themeTint="99"/>
              </w:rPr>
              <w:t>Models and Theoretical Frameworks</w:t>
            </w:r>
            <w:r>
              <w:rPr>
                <w:noProof/>
                <w:webHidden/>
              </w:rPr>
              <w:tab/>
            </w:r>
            <w:r>
              <w:rPr>
                <w:noProof/>
                <w:webHidden/>
              </w:rPr>
              <w:fldChar w:fldCharType="begin"/>
            </w:r>
            <w:r>
              <w:rPr>
                <w:noProof/>
                <w:webHidden/>
              </w:rPr>
              <w:instrText xml:space="preserve"> PAGEREF _Toc223067592 \h </w:instrText>
            </w:r>
            <w:r>
              <w:rPr>
                <w:noProof/>
                <w:webHidden/>
              </w:rPr>
            </w:r>
            <w:r>
              <w:rPr>
                <w:noProof/>
                <w:webHidden/>
              </w:rPr>
              <w:fldChar w:fldCharType="separate"/>
            </w:r>
            <w:r>
              <w:rPr>
                <w:noProof/>
                <w:webHidden/>
              </w:rPr>
              <w:t>17</w:t>
            </w:r>
            <w:r>
              <w:rPr>
                <w:noProof/>
                <w:webHidden/>
              </w:rPr>
              <w:fldChar w:fldCharType="end"/>
            </w:r>
          </w:hyperlink>
        </w:p>
        <w:p w14:paraId="2A05AEBD" w14:textId="69287409" w:rsidR="001F059E" w:rsidRDefault="001F059E">
          <w:pPr>
            <w:pStyle w:val="TOC1"/>
            <w:tabs>
              <w:tab w:val="right" w:leader="dot" w:pos="9016"/>
            </w:tabs>
            <w:rPr>
              <w:noProof/>
              <w:kern w:val="2"/>
              <w:sz w:val="24"/>
              <w:szCs w:val="24"/>
              <w:lang w:eastAsia="en-GB"/>
              <w14:ligatures w14:val="standardContextual"/>
            </w:rPr>
          </w:pPr>
          <w:hyperlink w:anchor="_Toc223067593" w:history="1">
            <w:r w:rsidRPr="0091188E">
              <w:rPr>
                <w:rStyle w:val="Hyperlink"/>
                <w:rFonts w:ascii="Arial" w:hAnsi="Arial" w:cs="Arial"/>
                <w:b/>
                <w:bCs/>
                <w:noProof/>
                <w:color w:val="278CD5" w:themeColor="hyperlink" w:themeTint="99"/>
              </w:rPr>
              <w:t>Political and Policy Context</w:t>
            </w:r>
            <w:r>
              <w:rPr>
                <w:noProof/>
                <w:webHidden/>
              </w:rPr>
              <w:tab/>
            </w:r>
            <w:r>
              <w:rPr>
                <w:noProof/>
                <w:webHidden/>
              </w:rPr>
              <w:fldChar w:fldCharType="begin"/>
            </w:r>
            <w:r>
              <w:rPr>
                <w:noProof/>
                <w:webHidden/>
              </w:rPr>
              <w:instrText xml:space="preserve"> PAGEREF _Toc223067593 \h </w:instrText>
            </w:r>
            <w:r>
              <w:rPr>
                <w:noProof/>
                <w:webHidden/>
              </w:rPr>
            </w:r>
            <w:r>
              <w:rPr>
                <w:noProof/>
                <w:webHidden/>
              </w:rPr>
              <w:fldChar w:fldCharType="separate"/>
            </w:r>
            <w:r>
              <w:rPr>
                <w:noProof/>
                <w:webHidden/>
              </w:rPr>
              <w:t>20</w:t>
            </w:r>
            <w:r>
              <w:rPr>
                <w:noProof/>
                <w:webHidden/>
              </w:rPr>
              <w:fldChar w:fldCharType="end"/>
            </w:r>
          </w:hyperlink>
        </w:p>
        <w:p w14:paraId="370D61D3" w14:textId="08A23746" w:rsidR="001F059E" w:rsidRDefault="001F059E">
          <w:pPr>
            <w:pStyle w:val="TOC1"/>
            <w:tabs>
              <w:tab w:val="right" w:leader="dot" w:pos="9016"/>
            </w:tabs>
            <w:rPr>
              <w:noProof/>
              <w:kern w:val="2"/>
              <w:sz w:val="24"/>
              <w:szCs w:val="24"/>
              <w:lang w:eastAsia="en-GB"/>
              <w14:ligatures w14:val="standardContextual"/>
            </w:rPr>
          </w:pPr>
          <w:hyperlink w:anchor="_Toc223067594" w:history="1">
            <w:r w:rsidRPr="0091188E">
              <w:rPr>
                <w:rStyle w:val="Hyperlink"/>
                <w:rFonts w:ascii="Arial" w:hAnsi="Arial" w:cs="Arial"/>
                <w:b/>
                <w:bCs/>
                <w:noProof/>
                <w:color w:val="278CD5" w:themeColor="hyperlink" w:themeTint="99"/>
              </w:rPr>
              <w:t>Equality Challenges</w:t>
            </w:r>
            <w:r>
              <w:rPr>
                <w:noProof/>
                <w:webHidden/>
              </w:rPr>
              <w:tab/>
            </w:r>
            <w:r>
              <w:rPr>
                <w:noProof/>
                <w:webHidden/>
              </w:rPr>
              <w:fldChar w:fldCharType="begin"/>
            </w:r>
            <w:r>
              <w:rPr>
                <w:noProof/>
                <w:webHidden/>
              </w:rPr>
              <w:instrText xml:space="preserve"> PAGEREF _Toc223067594 \h </w:instrText>
            </w:r>
            <w:r>
              <w:rPr>
                <w:noProof/>
                <w:webHidden/>
              </w:rPr>
            </w:r>
            <w:r>
              <w:rPr>
                <w:noProof/>
                <w:webHidden/>
              </w:rPr>
              <w:fldChar w:fldCharType="separate"/>
            </w:r>
            <w:r>
              <w:rPr>
                <w:noProof/>
                <w:webHidden/>
              </w:rPr>
              <w:t>21</w:t>
            </w:r>
            <w:r>
              <w:rPr>
                <w:noProof/>
                <w:webHidden/>
              </w:rPr>
              <w:fldChar w:fldCharType="end"/>
            </w:r>
          </w:hyperlink>
        </w:p>
        <w:p w14:paraId="176EBB57" w14:textId="7760AD31" w:rsidR="001F059E" w:rsidRDefault="001F059E">
          <w:pPr>
            <w:pStyle w:val="TOC1"/>
            <w:tabs>
              <w:tab w:val="right" w:leader="dot" w:pos="9016"/>
            </w:tabs>
            <w:rPr>
              <w:noProof/>
              <w:kern w:val="2"/>
              <w:sz w:val="24"/>
              <w:szCs w:val="24"/>
              <w:lang w:eastAsia="en-GB"/>
              <w14:ligatures w14:val="standardContextual"/>
            </w:rPr>
          </w:pPr>
          <w:hyperlink w:anchor="_Toc223067595" w:history="1">
            <w:r w:rsidRPr="0091188E">
              <w:rPr>
                <w:rStyle w:val="Hyperlink"/>
                <w:rFonts w:ascii="Arial" w:hAnsi="Arial" w:cs="Arial"/>
                <w:b/>
                <w:bCs/>
                <w:noProof/>
                <w:color w:val="278CD5" w:themeColor="hyperlink" w:themeTint="99"/>
              </w:rPr>
              <w:t xml:space="preserve">Recommendations for Improving - </w:t>
            </w:r>
            <w:r w:rsidRPr="0091188E">
              <w:rPr>
                <w:rStyle w:val="Hyperlink"/>
                <w:rFonts w:ascii="Arial" w:hAnsi="Arial" w:cs="Arial"/>
                <w:noProof/>
                <w:color w:val="278CD5" w:themeColor="hyperlink" w:themeTint="99"/>
              </w:rPr>
              <w:t>Type 2 Diabetes Care</w:t>
            </w:r>
            <w:r>
              <w:rPr>
                <w:noProof/>
                <w:webHidden/>
              </w:rPr>
              <w:tab/>
            </w:r>
            <w:r>
              <w:rPr>
                <w:noProof/>
                <w:webHidden/>
              </w:rPr>
              <w:fldChar w:fldCharType="begin"/>
            </w:r>
            <w:r>
              <w:rPr>
                <w:noProof/>
                <w:webHidden/>
              </w:rPr>
              <w:instrText xml:space="preserve"> PAGEREF _Toc223067595 \h </w:instrText>
            </w:r>
            <w:r>
              <w:rPr>
                <w:noProof/>
                <w:webHidden/>
              </w:rPr>
            </w:r>
            <w:r>
              <w:rPr>
                <w:noProof/>
                <w:webHidden/>
              </w:rPr>
              <w:fldChar w:fldCharType="separate"/>
            </w:r>
            <w:r>
              <w:rPr>
                <w:noProof/>
                <w:webHidden/>
              </w:rPr>
              <w:t>21</w:t>
            </w:r>
            <w:r>
              <w:rPr>
                <w:noProof/>
                <w:webHidden/>
              </w:rPr>
              <w:fldChar w:fldCharType="end"/>
            </w:r>
          </w:hyperlink>
        </w:p>
        <w:p w14:paraId="0E15AA5C" w14:textId="21812360" w:rsidR="001F059E" w:rsidRDefault="001F059E">
          <w:pPr>
            <w:pStyle w:val="TOC1"/>
            <w:tabs>
              <w:tab w:val="right" w:leader="dot" w:pos="9016"/>
            </w:tabs>
            <w:rPr>
              <w:noProof/>
              <w:kern w:val="2"/>
              <w:sz w:val="24"/>
              <w:szCs w:val="24"/>
              <w:lang w:eastAsia="en-GB"/>
              <w14:ligatures w14:val="standardContextual"/>
            </w:rPr>
          </w:pPr>
          <w:hyperlink w:anchor="_Toc223067596" w:history="1">
            <w:r w:rsidRPr="0091188E">
              <w:rPr>
                <w:rStyle w:val="Hyperlink"/>
                <w:rFonts w:ascii="Arial" w:hAnsi="Arial" w:cs="Arial"/>
                <w:b/>
                <w:bCs/>
                <w:noProof/>
                <w:color w:val="278CD5" w:themeColor="hyperlink" w:themeTint="99"/>
              </w:rPr>
              <w:t>Technological Innovation</w:t>
            </w:r>
            <w:r>
              <w:rPr>
                <w:noProof/>
                <w:webHidden/>
              </w:rPr>
              <w:tab/>
            </w:r>
            <w:r>
              <w:rPr>
                <w:noProof/>
                <w:webHidden/>
              </w:rPr>
              <w:fldChar w:fldCharType="begin"/>
            </w:r>
            <w:r>
              <w:rPr>
                <w:noProof/>
                <w:webHidden/>
              </w:rPr>
              <w:instrText xml:space="preserve"> PAGEREF _Toc223067596 \h </w:instrText>
            </w:r>
            <w:r>
              <w:rPr>
                <w:noProof/>
                <w:webHidden/>
              </w:rPr>
            </w:r>
            <w:r>
              <w:rPr>
                <w:noProof/>
                <w:webHidden/>
              </w:rPr>
              <w:fldChar w:fldCharType="separate"/>
            </w:r>
            <w:r>
              <w:rPr>
                <w:noProof/>
                <w:webHidden/>
              </w:rPr>
              <w:t>23</w:t>
            </w:r>
            <w:r>
              <w:rPr>
                <w:noProof/>
                <w:webHidden/>
              </w:rPr>
              <w:fldChar w:fldCharType="end"/>
            </w:r>
          </w:hyperlink>
        </w:p>
        <w:p w14:paraId="70355646" w14:textId="3D341310" w:rsidR="001F059E" w:rsidRDefault="001F059E">
          <w:pPr>
            <w:pStyle w:val="TOC1"/>
            <w:tabs>
              <w:tab w:val="right" w:leader="dot" w:pos="9016"/>
            </w:tabs>
            <w:rPr>
              <w:noProof/>
              <w:kern w:val="2"/>
              <w:sz w:val="24"/>
              <w:szCs w:val="24"/>
              <w:lang w:eastAsia="en-GB"/>
              <w14:ligatures w14:val="standardContextual"/>
            </w:rPr>
          </w:pPr>
          <w:hyperlink w:anchor="_Toc223067597" w:history="1">
            <w:r w:rsidRPr="0091188E">
              <w:rPr>
                <w:rStyle w:val="Hyperlink"/>
                <w:rFonts w:ascii="Arial" w:hAnsi="Arial" w:cs="Arial"/>
                <w:b/>
                <w:bCs/>
                <w:noProof/>
                <w:color w:val="278CD5" w:themeColor="hyperlink" w:themeTint="99"/>
              </w:rPr>
              <w:t>Treatment at End of Life</w:t>
            </w:r>
            <w:r>
              <w:rPr>
                <w:noProof/>
                <w:webHidden/>
              </w:rPr>
              <w:tab/>
            </w:r>
            <w:r>
              <w:rPr>
                <w:noProof/>
                <w:webHidden/>
              </w:rPr>
              <w:fldChar w:fldCharType="begin"/>
            </w:r>
            <w:r>
              <w:rPr>
                <w:noProof/>
                <w:webHidden/>
              </w:rPr>
              <w:instrText xml:space="preserve"> PAGEREF _Toc223067597 \h </w:instrText>
            </w:r>
            <w:r>
              <w:rPr>
                <w:noProof/>
                <w:webHidden/>
              </w:rPr>
            </w:r>
            <w:r>
              <w:rPr>
                <w:noProof/>
                <w:webHidden/>
              </w:rPr>
              <w:fldChar w:fldCharType="separate"/>
            </w:r>
            <w:r>
              <w:rPr>
                <w:noProof/>
                <w:webHidden/>
              </w:rPr>
              <w:t>26</w:t>
            </w:r>
            <w:r>
              <w:rPr>
                <w:noProof/>
                <w:webHidden/>
              </w:rPr>
              <w:fldChar w:fldCharType="end"/>
            </w:r>
          </w:hyperlink>
        </w:p>
        <w:p w14:paraId="493BA6E0" w14:textId="60AB9E10" w:rsidR="001F059E" w:rsidRDefault="001F059E">
          <w:pPr>
            <w:pStyle w:val="TOC1"/>
            <w:tabs>
              <w:tab w:val="right" w:leader="dot" w:pos="9016"/>
            </w:tabs>
            <w:rPr>
              <w:noProof/>
              <w:kern w:val="2"/>
              <w:sz w:val="24"/>
              <w:szCs w:val="24"/>
              <w:lang w:eastAsia="en-GB"/>
              <w14:ligatures w14:val="standardContextual"/>
            </w:rPr>
          </w:pPr>
          <w:hyperlink w:anchor="_Toc223067598" w:history="1">
            <w:r w:rsidRPr="0091188E">
              <w:rPr>
                <w:rStyle w:val="Hyperlink"/>
                <w:rFonts w:ascii="Arial" w:hAnsi="Arial" w:cs="Arial"/>
                <w:noProof/>
                <w:color w:val="278CD5" w:themeColor="hyperlink" w:themeTint="99"/>
              </w:rPr>
              <w:t>Family support</w:t>
            </w:r>
            <w:r>
              <w:rPr>
                <w:noProof/>
                <w:webHidden/>
              </w:rPr>
              <w:tab/>
            </w:r>
            <w:r>
              <w:rPr>
                <w:noProof/>
                <w:webHidden/>
              </w:rPr>
              <w:fldChar w:fldCharType="begin"/>
            </w:r>
            <w:r>
              <w:rPr>
                <w:noProof/>
                <w:webHidden/>
              </w:rPr>
              <w:instrText xml:space="preserve"> PAGEREF _Toc223067598 \h </w:instrText>
            </w:r>
            <w:r>
              <w:rPr>
                <w:noProof/>
                <w:webHidden/>
              </w:rPr>
            </w:r>
            <w:r>
              <w:rPr>
                <w:noProof/>
                <w:webHidden/>
              </w:rPr>
              <w:fldChar w:fldCharType="separate"/>
            </w:r>
            <w:r>
              <w:rPr>
                <w:noProof/>
                <w:webHidden/>
              </w:rPr>
              <w:t>27</w:t>
            </w:r>
            <w:r>
              <w:rPr>
                <w:noProof/>
                <w:webHidden/>
              </w:rPr>
              <w:fldChar w:fldCharType="end"/>
            </w:r>
          </w:hyperlink>
        </w:p>
        <w:p w14:paraId="107DCB80" w14:textId="301581D7" w:rsidR="001F059E" w:rsidRDefault="001F059E">
          <w:pPr>
            <w:pStyle w:val="TOC1"/>
            <w:tabs>
              <w:tab w:val="right" w:leader="dot" w:pos="9016"/>
            </w:tabs>
            <w:rPr>
              <w:noProof/>
              <w:kern w:val="2"/>
              <w:sz w:val="24"/>
              <w:szCs w:val="24"/>
              <w:lang w:eastAsia="en-GB"/>
              <w14:ligatures w14:val="standardContextual"/>
            </w:rPr>
          </w:pPr>
          <w:hyperlink w:anchor="_Toc223067599" w:history="1">
            <w:r w:rsidRPr="0091188E">
              <w:rPr>
                <w:rStyle w:val="Hyperlink"/>
                <w:rFonts w:ascii="Arial" w:hAnsi="Arial" w:cs="Arial"/>
                <w:b/>
                <w:bCs/>
                <w:noProof/>
                <w:color w:val="278CD5" w:themeColor="hyperlink" w:themeTint="99"/>
              </w:rPr>
              <w:t>Summary</w:t>
            </w:r>
            <w:r>
              <w:rPr>
                <w:noProof/>
                <w:webHidden/>
              </w:rPr>
              <w:tab/>
            </w:r>
            <w:r>
              <w:rPr>
                <w:noProof/>
                <w:webHidden/>
              </w:rPr>
              <w:fldChar w:fldCharType="begin"/>
            </w:r>
            <w:r>
              <w:rPr>
                <w:noProof/>
                <w:webHidden/>
              </w:rPr>
              <w:instrText xml:space="preserve"> PAGEREF _Toc223067599 \h </w:instrText>
            </w:r>
            <w:r>
              <w:rPr>
                <w:noProof/>
                <w:webHidden/>
              </w:rPr>
            </w:r>
            <w:r>
              <w:rPr>
                <w:noProof/>
                <w:webHidden/>
              </w:rPr>
              <w:fldChar w:fldCharType="separate"/>
            </w:r>
            <w:r>
              <w:rPr>
                <w:noProof/>
                <w:webHidden/>
              </w:rPr>
              <w:t>28</w:t>
            </w:r>
            <w:r>
              <w:rPr>
                <w:noProof/>
                <w:webHidden/>
              </w:rPr>
              <w:fldChar w:fldCharType="end"/>
            </w:r>
          </w:hyperlink>
        </w:p>
        <w:p w14:paraId="44F4A519" w14:textId="09D11BA0" w:rsidR="001F059E" w:rsidRDefault="001F059E">
          <w:pPr>
            <w:pStyle w:val="TOC1"/>
            <w:tabs>
              <w:tab w:val="right" w:leader="dot" w:pos="9016"/>
            </w:tabs>
            <w:rPr>
              <w:noProof/>
              <w:kern w:val="2"/>
              <w:sz w:val="24"/>
              <w:szCs w:val="24"/>
              <w:lang w:eastAsia="en-GB"/>
              <w14:ligatures w14:val="standardContextual"/>
            </w:rPr>
          </w:pPr>
          <w:hyperlink w:anchor="_Toc223067600" w:history="1">
            <w:r w:rsidRPr="0091188E">
              <w:rPr>
                <w:rStyle w:val="Hyperlink"/>
                <w:rFonts w:ascii="Arial" w:hAnsi="Arial" w:cs="Arial"/>
                <w:noProof/>
                <w:color w:val="278CD5" w:themeColor="hyperlink" w:themeTint="99"/>
              </w:rPr>
              <w:t>Reference list</w:t>
            </w:r>
            <w:r>
              <w:rPr>
                <w:noProof/>
                <w:webHidden/>
              </w:rPr>
              <w:tab/>
            </w:r>
            <w:r>
              <w:rPr>
                <w:noProof/>
                <w:webHidden/>
              </w:rPr>
              <w:fldChar w:fldCharType="begin"/>
            </w:r>
            <w:r>
              <w:rPr>
                <w:noProof/>
                <w:webHidden/>
              </w:rPr>
              <w:instrText xml:space="preserve"> PAGEREF _Toc223067600 \h </w:instrText>
            </w:r>
            <w:r>
              <w:rPr>
                <w:noProof/>
                <w:webHidden/>
              </w:rPr>
            </w:r>
            <w:r>
              <w:rPr>
                <w:noProof/>
                <w:webHidden/>
              </w:rPr>
              <w:fldChar w:fldCharType="separate"/>
            </w:r>
            <w:r>
              <w:rPr>
                <w:noProof/>
                <w:webHidden/>
              </w:rPr>
              <w:t>30</w:t>
            </w:r>
            <w:r>
              <w:rPr>
                <w:noProof/>
                <w:webHidden/>
              </w:rPr>
              <w:fldChar w:fldCharType="end"/>
            </w:r>
          </w:hyperlink>
        </w:p>
        <w:p w14:paraId="18C440EF" w14:textId="786E8160" w:rsidR="00A52661" w:rsidRDefault="00A52661">
          <w:r>
            <w:rPr>
              <w:b/>
              <w:bCs/>
            </w:rPr>
            <w:fldChar w:fldCharType="end"/>
          </w:r>
        </w:p>
      </w:sdtContent>
    </w:sdt>
    <w:p w14:paraId="6703D1BD" w14:textId="77777777" w:rsidR="007A455F" w:rsidRDefault="007A455F" w:rsidP="00AA076A">
      <w:pPr>
        <w:pStyle w:val="Heading1"/>
        <w:spacing w:line="360" w:lineRule="auto"/>
        <w:jc w:val="left"/>
        <w:rPr>
          <w:rFonts w:ascii="Arial" w:hAnsi="Arial" w:cs="Arial"/>
          <w:b/>
          <w:bCs/>
          <w:color w:val="167AF3" w:themeColor="accent1" w:themeTint="99"/>
          <w:sz w:val="32"/>
          <w:szCs w:val="32"/>
        </w:rPr>
      </w:pPr>
    </w:p>
    <w:p w14:paraId="20AE931F" w14:textId="77777777" w:rsidR="007A455F" w:rsidRDefault="007A455F" w:rsidP="007A455F"/>
    <w:p w14:paraId="3F96BF5F" w14:textId="77777777" w:rsidR="007A455F" w:rsidRDefault="007A455F" w:rsidP="007A455F"/>
    <w:p w14:paraId="316670F3" w14:textId="77777777" w:rsidR="007A455F" w:rsidRPr="007A455F" w:rsidRDefault="007A455F" w:rsidP="007A455F"/>
    <w:p w14:paraId="0BA4B365" w14:textId="08A1FAC1" w:rsidR="00BC1B65" w:rsidRPr="0056367E" w:rsidRDefault="00E02BD7" w:rsidP="00AA076A">
      <w:pPr>
        <w:pStyle w:val="Heading1"/>
        <w:spacing w:line="360" w:lineRule="auto"/>
        <w:jc w:val="left"/>
        <w:rPr>
          <w:rFonts w:ascii="Arial" w:hAnsi="Arial" w:cs="Arial"/>
          <w:b/>
          <w:bCs/>
          <w:color w:val="167AF3" w:themeColor="accent1" w:themeTint="99"/>
          <w:sz w:val="32"/>
          <w:szCs w:val="32"/>
        </w:rPr>
      </w:pPr>
      <w:bookmarkStart w:id="0" w:name="_Toc223067581"/>
      <w:r w:rsidRPr="0056367E">
        <w:rPr>
          <w:rFonts w:ascii="Arial" w:hAnsi="Arial" w:cs="Arial"/>
          <w:b/>
          <w:bCs/>
          <w:color w:val="167AF3" w:themeColor="accent1" w:themeTint="99"/>
          <w:sz w:val="32"/>
          <w:szCs w:val="32"/>
        </w:rPr>
        <w:lastRenderedPageBreak/>
        <w:t>Introduction</w:t>
      </w:r>
      <w:bookmarkEnd w:id="0"/>
    </w:p>
    <w:p w14:paraId="61DC3808" w14:textId="74472C71" w:rsidR="00485947" w:rsidRPr="00AA076A" w:rsidRDefault="004076C7"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This booklet is designed for adults for individuals of South Asian, Black African or Caribbean descent), those living with overweight or obesity (particularly central adiposity), individuals with high blood pressure and those with a family history of diabetes. These groups are at increased risk and form priority populations within UK public health strategies (NHS England, 2019; Public Health England, 2018). Understanding this condition helps you recognise risk factors early and seek appropriate care.</w:t>
      </w:r>
    </w:p>
    <w:p w14:paraId="573DB2FF" w14:textId="491D7D81" w:rsidR="00441983" w:rsidRPr="00AA076A" w:rsidRDefault="00904EFE" w:rsidP="00904EFE">
      <w:pPr>
        <w:spacing w:line="360" w:lineRule="auto"/>
        <w:jc w:val="center"/>
        <w:rPr>
          <w:rFonts w:ascii="Arial" w:hAnsi="Arial" w:cs="Arial"/>
          <w:color w:val="0F486E" w:themeColor="text2" w:themeShade="BF"/>
          <w:sz w:val="22"/>
          <w:szCs w:val="22"/>
        </w:rPr>
      </w:pPr>
      <w:r w:rsidRPr="00AA076A">
        <w:rPr>
          <w:rFonts w:ascii="Arial" w:hAnsi="Arial" w:cs="Arial"/>
          <w:noProof/>
          <w:color w:val="0F486E" w:themeColor="text2" w:themeShade="BF"/>
          <w:sz w:val="22"/>
          <w:szCs w:val="22"/>
        </w:rPr>
        <mc:AlternateContent>
          <mc:Choice Requires="wps">
            <w:drawing>
              <wp:anchor distT="0" distB="0" distL="114300" distR="114300" simplePos="0" relativeHeight="251685888" behindDoc="0" locked="0" layoutInCell="1" allowOverlap="1" wp14:anchorId="669A89D3" wp14:editId="173A86D4">
                <wp:simplePos x="0" y="0"/>
                <wp:positionH relativeFrom="margin">
                  <wp:posOffset>195947</wp:posOffset>
                </wp:positionH>
                <wp:positionV relativeFrom="paragraph">
                  <wp:posOffset>936190</wp:posOffset>
                </wp:positionV>
                <wp:extent cx="292677" cy="242454"/>
                <wp:effectExtent l="19050" t="0" r="31750" b="24765"/>
                <wp:wrapNone/>
                <wp:docPr id="2038660771" name="Heart 34"/>
                <wp:cNvGraphicFramePr/>
                <a:graphic xmlns:a="http://schemas.openxmlformats.org/drawingml/2006/main">
                  <a:graphicData uri="http://schemas.microsoft.com/office/word/2010/wordprocessingShape">
                    <wps:wsp>
                      <wps:cNvSpPr/>
                      <wps:spPr>
                        <a:xfrm>
                          <a:off x="0" y="0"/>
                          <a:ext cx="292677" cy="242454"/>
                        </a:xfrm>
                        <a:prstGeom prst="heart">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92E3A6" id="Heart 34" o:spid="_x0000_s1026" style="position:absolute;margin-left:15.45pt;margin-top:73.7pt;width:23.05pt;height:19.1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292677,2424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" path="m146339,60614v60974,-141432,298774,,,181840c-152436,60614,85364,-80818,146339,60614xe" fillcolor="#167af3 [1940]" strokecolor="#00060e [484]" strokeweight="1.25pt">
                <v:stroke endcap="round"/>
                <v:path arrowok="t" o:connecttype="custom" o:connectlocs="146339,60614;146339,242454;146339,60614" o:connectangles="0,0,0"/>
                <w10:wrap anchorx="margin"/>
              </v:shape>
            </w:pict>
          </mc:Fallback>
        </mc:AlternateContent>
      </w:r>
      <w:r w:rsidR="00BD0D7E" w:rsidRPr="00BD0D7E">
        <w:rPr>
          <w:rFonts w:ascii="Arial" w:hAnsi="Arial" w:cs="Arial"/>
          <w:color w:val="0F486E" w:themeColor="text2" w:themeShade="BF"/>
          <w:sz w:val="22"/>
          <w:szCs w:val="22"/>
        </w:rPr>
        <w:drawing>
          <wp:inline distT="0" distB="0" distL="0" distR="0" wp14:anchorId="6C71861B" wp14:editId="1BBD240D">
            <wp:extent cx="4519101" cy="1740504"/>
            <wp:effectExtent l="0" t="0" r="0" b="0"/>
            <wp:docPr id="27230726" name="Picture 1" descr="A person in a blue shi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30726" name="Picture 1" descr="A person in a blue shirt&#10;&#10;AI-generated content may be incorrect."/>
                    <pic:cNvPicPr/>
                  </pic:nvPicPr>
                  <pic:blipFill>
                    <a:blip r:embed="rId9"/>
                    <a:stretch>
                      <a:fillRect/>
                    </a:stretch>
                  </pic:blipFill>
                  <pic:spPr>
                    <a:xfrm>
                      <a:off x="0" y="0"/>
                      <a:ext cx="4556542" cy="1754924"/>
                    </a:xfrm>
                    <a:prstGeom prst="rect">
                      <a:avLst/>
                    </a:prstGeom>
                  </pic:spPr>
                </pic:pic>
              </a:graphicData>
            </a:graphic>
          </wp:inline>
        </w:drawing>
      </w:r>
    </w:p>
    <w:p w14:paraId="2A8A28C3" w14:textId="6E9038B4" w:rsidR="00761456" w:rsidRPr="00761456" w:rsidRDefault="00761456" w:rsidP="00761456">
      <w:pPr>
        <w:pStyle w:val="Heading1"/>
        <w:spacing w:line="360" w:lineRule="auto"/>
        <w:jc w:val="left"/>
        <w:rPr>
          <w:rFonts w:ascii="Arial" w:hAnsi="Arial" w:cs="Arial"/>
          <w:color w:val="0F486E" w:themeColor="text2" w:themeShade="BF"/>
          <w:sz w:val="22"/>
          <w:szCs w:val="22"/>
        </w:rPr>
      </w:pPr>
      <w:bookmarkStart w:id="1" w:name="_Toc223067582"/>
      <w:r w:rsidRPr="00761456">
        <w:rPr>
          <w:rFonts w:ascii="Arial" w:hAnsi="Arial" w:cs="Arial"/>
          <w:color w:val="0F486E" w:themeColor="text2" w:themeShade="BF"/>
          <w:sz w:val="22"/>
          <w:szCs w:val="22"/>
        </w:rPr>
        <w:t xml:space="preserve">Persistent </w:t>
      </w:r>
      <w:r w:rsidR="001A7D30" w:rsidRPr="00761456">
        <w:rPr>
          <w:rFonts w:ascii="Arial" w:hAnsi="Arial" w:cs="Arial"/>
          <w:color w:val="0F486E" w:themeColor="text2" w:themeShade="BF"/>
          <w:sz w:val="22"/>
          <w:szCs w:val="22"/>
        </w:rPr>
        <w:t>hyperglycaemia</w:t>
      </w:r>
      <w:r w:rsidRPr="00761456">
        <w:rPr>
          <w:rFonts w:ascii="Arial" w:hAnsi="Arial" w:cs="Arial"/>
          <w:color w:val="0F486E" w:themeColor="text2" w:themeShade="BF"/>
          <w:sz w:val="22"/>
          <w:szCs w:val="22"/>
        </w:rPr>
        <w:t xml:space="preserve"> brought on by insulin resistance and relative insulin shortage is a hallmark of type 2 diabetes mellitus (T2DM), a chronic, progressive metabolic disease (NICE, 2022; WHO, 2023).</w:t>
      </w:r>
    </w:p>
    <w:p w14:paraId="7C6A7F48" w14:textId="2AC217BD" w:rsidR="00761456" w:rsidRPr="001A7D30" w:rsidRDefault="00761456" w:rsidP="0056367E">
      <w:pPr>
        <w:pStyle w:val="Heading1"/>
        <w:spacing w:line="360" w:lineRule="auto"/>
        <w:jc w:val="left"/>
        <w:rPr>
          <w:rFonts w:ascii="Arial" w:hAnsi="Arial" w:cs="Arial"/>
          <w:color w:val="0F486E" w:themeColor="text2" w:themeShade="BF"/>
          <w:sz w:val="22"/>
          <w:szCs w:val="22"/>
        </w:rPr>
      </w:pPr>
      <w:r w:rsidRPr="00761456">
        <w:rPr>
          <w:rFonts w:ascii="Arial" w:hAnsi="Arial" w:cs="Arial"/>
          <w:color w:val="0F486E" w:themeColor="text2" w:themeShade="BF"/>
          <w:sz w:val="22"/>
          <w:szCs w:val="22"/>
        </w:rPr>
        <w:t>In the UK and around the world, it is one of the most serious chronic illnesses affecting adults. In contrast to type 1 diabetes, type 2 diabetes is closely linked to genetic predisposition as well as modifiable risk factors such as obesity, physical inactivity, poor diet, and hypertension (DeFronzo et al., 2015).</w:t>
      </w:r>
    </w:p>
    <w:p w14:paraId="0C19452E" w14:textId="26469262" w:rsidR="00312066" w:rsidRPr="0056367E" w:rsidRDefault="00312066" w:rsidP="0056367E">
      <w:pPr>
        <w:pStyle w:val="Heading1"/>
        <w:spacing w:line="360" w:lineRule="auto"/>
        <w:jc w:val="left"/>
        <w:rPr>
          <w:rFonts w:ascii="Arial" w:hAnsi="Arial" w:cs="Arial"/>
          <w:b/>
          <w:bCs/>
          <w:color w:val="167AF3" w:themeColor="accent1" w:themeTint="99"/>
          <w:sz w:val="32"/>
          <w:szCs w:val="32"/>
        </w:rPr>
      </w:pPr>
      <w:r w:rsidRPr="0056367E">
        <w:rPr>
          <w:rFonts w:ascii="Arial" w:hAnsi="Arial" w:cs="Arial"/>
          <w:b/>
          <w:bCs/>
          <w:color w:val="167AF3" w:themeColor="accent1" w:themeTint="99"/>
          <w:sz w:val="32"/>
          <w:szCs w:val="32"/>
        </w:rPr>
        <w:t>Understanding Diabetes</w:t>
      </w:r>
      <w:bookmarkEnd w:id="1"/>
    </w:p>
    <w:p w14:paraId="7D36E059" w14:textId="7A31EAEC" w:rsidR="00312066" w:rsidRPr="00AA076A" w:rsidRDefault="008F1BD0" w:rsidP="00AA076A">
      <w:pPr>
        <w:spacing w:line="360" w:lineRule="auto"/>
        <w:rPr>
          <w:rFonts w:ascii="Arial" w:hAnsi="Arial" w:cs="Arial"/>
          <w:color w:val="0F486E" w:themeColor="text2" w:themeShade="BF"/>
          <w:sz w:val="22"/>
          <w:szCs w:val="22"/>
        </w:rPr>
      </w:pPr>
      <w:r w:rsidRPr="008F1BD0">
        <w:rPr>
          <w:rFonts w:ascii="Arial" w:hAnsi="Arial" w:cs="Arial"/>
          <w:color w:val="0F486E" w:themeColor="text2" w:themeShade="BF"/>
          <w:sz w:val="22"/>
          <w:szCs w:val="22"/>
        </w:rPr>
        <w:t xml:space="preserve">When the body is unable to maintain normal glucose levels and insulin is no longer used efficiently, type 2 diabetes develops (NICE, 2022). </w:t>
      </w:r>
      <w:r w:rsidR="00312066" w:rsidRPr="00AA076A">
        <w:rPr>
          <w:rFonts w:ascii="Arial" w:hAnsi="Arial" w:cs="Arial"/>
          <w:color w:val="0F486E" w:themeColor="text2" w:themeShade="BF"/>
          <w:sz w:val="22"/>
          <w:szCs w:val="22"/>
        </w:rPr>
        <w:t>This leads to high blood sugar which, over time, damages the heart, eyes, kidneys and nerves. Awareness of symptoms and risk factors (such as obesity and high blood pressure) allows for earlier intervention and reduces the chance of complications (Public Health England, 2018) (NHS England, 2024).</w:t>
      </w:r>
    </w:p>
    <w:p w14:paraId="3A9618EB" w14:textId="77777777" w:rsidR="001B5D7A" w:rsidRPr="00AA076A" w:rsidRDefault="001B5D7A" w:rsidP="00AA076A">
      <w:pPr>
        <w:spacing w:line="360" w:lineRule="auto"/>
        <w:rPr>
          <w:rFonts w:ascii="Arial" w:hAnsi="Arial" w:cs="Arial"/>
          <w:color w:val="0F486E" w:themeColor="text2" w:themeShade="BF"/>
          <w:sz w:val="22"/>
          <w:szCs w:val="22"/>
        </w:rPr>
      </w:pPr>
    </w:p>
    <w:p w14:paraId="6AA9A81E" w14:textId="77777777" w:rsidR="00763F1B" w:rsidRPr="00AA076A" w:rsidRDefault="00312066"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Recent NHS audit data show that type 2 diabetes prevalence in England is around 7.8% of adults (GP recorded) and continues to rise, highlighting the ongoing healthcare challenge (GOV.UK, 2025)</w:t>
      </w:r>
    </w:p>
    <w:p w14:paraId="7AC28AFE" w14:textId="0975518A" w:rsidR="00BC7C11" w:rsidRPr="001F059E" w:rsidRDefault="00EE6307" w:rsidP="00BC7C11">
      <w:pPr>
        <w:pStyle w:val="Heading1"/>
        <w:jc w:val="left"/>
        <w:rPr>
          <w:rFonts w:ascii="Arial" w:hAnsi="Arial" w:cs="Arial"/>
          <w:b/>
          <w:bCs/>
          <w:color w:val="167AF3" w:themeColor="accent1" w:themeTint="99"/>
          <w:sz w:val="32"/>
          <w:szCs w:val="32"/>
        </w:rPr>
      </w:pPr>
      <w:bookmarkStart w:id="2" w:name="_Toc223067583"/>
      <w:r w:rsidRPr="001F059E">
        <w:rPr>
          <w:rFonts w:ascii="Arial" w:hAnsi="Arial" w:cs="Arial"/>
          <w:b/>
          <w:bCs/>
          <w:color w:val="167AF3" w:themeColor="accent1" w:themeTint="99"/>
          <w:sz w:val="32"/>
          <w:szCs w:val="32"/>
        </w:rPr>
        <w:lastRenderedPageBreak/>
        <w:t xml:space="preserve">Symptoms of </w:t>
      </w:r>
      <w:r w:rsidR="00BC7C11" w:rsidRPr="001F059E">
        <w:rPr>
          <w:rFonts w:ascii="Arial" w:hAnsi="Arial" w:cs="Arial"/>
          <w:b/>
          <w:bCs/>
          <w:color w:val="167AF3" w:themeColor="accent1" w:themeTint="99"/>
          <w:sz w:val="32"/>
          <w:szCs w:val="32"/>
        </w:rPr>
        <w:t xml:space="preserve">type 2 </w:t>
      </w:r>
      <w:r w:rsidRPr="001F059E">
        <w:rPr>
          <w:rFonts w:ascii="Arial" w:hAnsi="Arial" w:cs="Arial"/>
          <w:b/>
          <w:bCs/>
          <w:color w:val="167AF3" w:themeColor="accent1" w:themeTint="99"/>
          <w:sz w:val="32"/>
          <w:szCs w:val="32"/>
        </w:rPr>
        <w:t>diabetes</w:t>
      </w:r>
      <w:bookmarkEnd w:id="2"/>
      <w:r w:rsidRPr="001F059E">
        <w:rPr>
          <w:rFonts w:ascii="Arial" w:hAnsi="Arial" w:cs="Arial"/>
          <w:b/>
          <w:bCs/>
          <w:color w:val="167AF3" w:themeColor="accent1" w:themeTint="99"/>
          <w:sz w:val="32"/>
          <w:szCs w:val="32"/>
        </w:rPr>
        <w:t xml:space="preserve"> </w:t>
      </w:r>
    </w:p>
    <w:p w14:paraId="008E40C7" w14:textId="77777777" w:rsidR="000D49EB" w:rsidRPr="000D49EB" w:rsidRDefault="000D49EB" w:rsidP="000D49EB"/>
    <w:p w14:paraId="7DFA6BDB" w14:textId="204859BA" w:rsidR="000D49EB" w:rsidRDefault="000317F8" w:rsidP="00BC7C11">
      <w:pPr>
        <w:spacing w:line="360" w:lineRule="auto"/>
        <w:rPr>
          <w:rFonts w:ascii="Arial" w:hAnsi="Arial" w:cs="Arial"/>
          <w:color w:val="0F486E" w:themeColor="text2" w:themeShade="BF"/>
          <w:sz w:val="22"/>
          <w:szCs w:val="22"/>
        </w:rPr>
      </w:pPr>
      <w:r w:rsidRPr="000317F8">
        <w:rPr>
          <w:rFonts w:ascii="Arial" w:hAnsi="Arial" w:cs="Arial"/>
          <w:color w:val="0F486E" w:themeColor="text2" w:themeShade="BF"/>
          <w:sz w:val="22"/>
          <w:szCs w:val="22"/>
        </w:rPr>
        <w:t xml:space="preserve">Because its symptoms can be subtle or non-specific, type 2 diabetes frequently develops gradually and may go misdiagnosed for years (NICE, 2022). When symptoms do occur, they are mostly brought on by persistent </w:t>
      </w:r>
      <w:r w:rsidR="00A905AC" w:rsidRPr="000317F8">
        <w:rPr>
          <w:rFonts w:ascii="Arial" w:hAnsi="Arial" w:cs="Arial"/>
          <w:color w:val="0F486E" w:themeColor="text2" w:themeShade="BF"/>
          <w:sz w:val="22"/>
          <w:szCs w:val="22"/>
        </w:rPr>
        <w:t>hyperglycaemia</w:t>
      </w:r>
      <w:r w:rsidRPr="000317F8">
        <w:rPr>
          <w:rFonts w:ascii="Arial" w:hAnsi="Arial" w:cs="Arial"/>
          <w:color w:val="0F486E" w:themeColor="text2" w:themeShade="BF"/>
          <w:sz w:val="22"/>
          <w:szCs w:val="22"/>
        </w:rPr>
        <w:t xml:space="preserve"> that interferes with energy metabolism and fluid balance (World Health Organization, 2016). To avoid consequences such kidney damage, neuropathy, and cardiovascular disease, early detection is crucial (NICE, 2022).</w:t>
      </w:r>
    </w:p>
    <w:p w14:paraId="596A0BD7" w14:textId="77777777" w:rsidR="00A905AC" w:rsidRPr="00BC7C11" w:rsidRDefault="00A905AC" w:rsidP="00BC7C11">
      <w:pPr>
        <w:spacing w:line="360" w:lineRule="auto"/>
        <w:rPr>
          <w:rFonts w:ascii="Arial" w:hAnsi="Arial" w:cs="Arial"/>
          <w:color w:val="0F486E" w:themeColor="text2" w:themeShade="BF"/>
          <w:sz w:val="22"/>
          <w:szCs w:val="22"/>
        </w:rPr>
      </w:pPr>
    </w:p>
    <w:p w14:paraId="0B361247" w14:textId="637DFEB3" w:rsidR="00BC7C11" w:rsidRDefault="000D49EB" w:rsidP="00BC7C11">
      <w:pPr>
        <w:spacing w:line="360" w:lineRule="auto"/>
        <w:rPr>
          <w:rFonts w:ascii="Arial" w:hAnsi="Arial" w:cs="Arial"/>
          <w:color w:val="0F486E" w:themeColor="text2" w:themeShade="BF"/>
          <w:sz w:val="22"/>
          <w:szCs w:val="22"/>
        </w:rPr>
      </w:pPr>
      <w:r w:rsidRPr="00AA076A">
        <w:rPr>
          <w:rFonts w:ascii="Arial" w:hAnsi="Arial" w:cs="Arial"/>
          <w:noProof/>
          <w:color w:val="0F486E" w:themeColor="text2" w:themeShade="BF"/>
          <w:sz w:val="22"/>
          <w:szCs w:val="22"/>
        </w:rPr>
        <w:drawing>
          <wp:inline distT="0" distB="0" distL="0" distR="0" wp14:anchorId="73A10239" wp14:editId="4A85EED7">
            <wp:extent cx="3902927" cy="2475230"/>
            <wp:effectExtent l="0" t="0" r="2540" b="1270"/>
            <wp:docPr id="1454152435" name="Picture 29" descr="A poster of a diabetes sympto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152435" name="Picture 29" descr="A poster of a diabetes symptom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52499" cy="2506668"/>
                    </a:xfrm>
                    <a:prstGeom prst="rect">
                      <a:avLst/>
                    </a:prstGeom>
                    <a:noFill/>
                  </pic:spPr>
                </pic:pic>
              </a:graphicData>
            </a:graphic>
          </wp:inline>
        </w:drawing>
      </w:r>
    </w:p>
    <w:p w14:paraId="2044DF7B" w14:textId="77777777" w:rsidR="000D49EB" w:rsidRPr="00BC7C11" w:rsidRDefault="000D49EB" w:rsidP="00BC7C11">
      <w:pPr>
        <w:spacing w:line="360" w:lineRule="auto"/>
        <w:rPr>
          <w:rFonts w:ascii="Arial" w:hAnsi="Arial" w:cs="Arial"/>
          <w:color w:val="0F486E" w:themeColor="text2" w:themeShade="BF"/>
          <w:sz w:val="22"/>
          <w:szCs w:val="22"/>
        </w:rPr>
      </w:pPr>
    </w:p>
    <w:p w14:paraId="3467EBAF" w14:textId="77777777" w:rsidR="00BC7C11" w:rsidRPr="000D49EB" w:rsidRDefault="00BC7C11" w:rsidP="00BC7C11">
      <w:pPr>
        <w:spacing w:line="360" w:lineRule="auto"/>
        <w:rPr>
          <w:rFonts w:ascii="Arial" w:hAnsi="Arial" w:cs="Arial"/>
          <w:b/>
          <w:bCs/>
          <w:color w:val="167AF3" w:themeColor="accent1" w:themeTint="99"/>
          <w:sz w:val="22"/>
          <w:szCs w:val="22"/>
        </w:rPr>
      </w:pPr>
      <w:r w:rsidRPr="000D49EB">
        <w:rPr>
          <w:rFonts w:ascii="Arial" w:hAnsi="Arial" w:cs="Arial"/>
          <w:b/>
          <w:bCs/>
          <w:color w:val="167AF3" w:themeColor="accent1" w:themeTint="99"/>
          <w:sz w:val="22"/>
          <w:szCs w:val="22"/>
        </w:rPr>
        <w:t>Common Symptoms</w:t>
      </w:r>
    </w:p>
    <w:p w14:paraId="11C973C4" w14:textId="77777777" w:rsidR="00BC7C11" w:rsidRPr="00BC7C11" w:rsidRDefault="00BC7C11" w:rsidP="00BC7C11">
      <w:pPr>
        <w:spacing w:line="360" w:lineRule="auto"/>
        <w:rPr>
          <w:rFonts w:ascii="Arial" w:hAnsi="Arial" w:cs="Arial"/>
          <w:color w:val="0F486E" w:themeColor="text2" w:themeShade="BF"/>
          <w:sz w:val="22"/>
          <w:szCs w:val="22"/>
        </w:rPr>
      </w:pPr>
    </w:p>
    <w:p w14:paraId="786ADBD9" w14:textId="77777777" w:rsidR="00BC7C11" w:rsidRPr="00BC7C11" w:rsidRDefault="00BC7C11" w:rsidP="00BC7C11">
      <w:pPr>
        <w:spacing w:line="360" w:lineRule="auto"/>
        <w:rPr>
          <w:rFonts w:ascii="Arial" w:hAnsi="Arial" w:cs="Arial"/>
          <w:color w:val="0F486E" w:themeColor="text2" w:themeShade="BF"/>
          <w:sz w:val="22"/>
          <w:szCs w:val="22"/>
        </w:rPr>
      </w:pPr>
      <w:r w:rsidRPr="00BC7C11">
        <w:rPr>
          <w:rFonts w:ascii="Arial" w:hAnsi="Arial" w:cs="Arial"/>
          <w:color w:val="0F486E" w:themeColor="text2" w:themeShade="BF"/>
          <w:sz w:val="22"/>
          <w:szCs w:val="22"/>
        </w:rPr>
        <w:t>• Increased thirst (polydipsia) (NICE, 2022)</w:t>
      </w:r>
    </w:p>
    <w:p w14:paraId="36811622" w14:textId="77777777" w:rsidR="00BC7C11" w:rsidRPr="00BC7C11" w:rsidRDefault="00BC7C11" w:rsidP="00BC7C11">
      <w:pPr>
        <w:spacing w:line="360" w:lineRule="auto"/>
        <w:rPr>
          <w:rFonts w:ascii="Arial" w:hAnsi="Arial" w:cs="Arial"/>
          <w:color w:val="0F486E" w:themeColor="text2" w:themeShade="BF"/>
          <w:sz w:val="22"/>
          <w:szCs w:val="22"/>
        </w:rPr>
      </w:pPr>
      <w:r w:rsidRPr="00BC7C11">
        <w:rPr>
          <w:rFonts w:ascii="Arial" w:hAnsi="Arial" w:cs="Arial"/>
          <w:color w:val="0F486E" w:themeColor="text2" w:themeShade="BF"/>
          <w:sz w:val="22"/>
          <w:szCs w:val="22"/>
        </w:rPr>
        <w:t>• Frequent urination, particularly at night (polyuria) (NICE, 2022)</w:t>
      </w:r>
    </w:p>
    <w:p w14:paraId="113AEB66" w14:textId="77777777" w:rsidR="00BC7C11" w:rsidRPr="00BC7C11" w:rsidRDefault="00BC7C11" w:rsidP="00BC7C11">
      <w:pPr>
        <w:spacing w:line="360" w:lineRule="auto"/>
        <w:rPr>
          <w:rFonts w:ascii="Arial" w:hAnsi="Arial" w:cs="Arial"/>
          <w:color w:val="0F486E" w:themeColor="text2" w:themeShade="BF"/>
          <w:sz w:val="22"/>
          <w:szCs w:val="22"/>
        </w:rPr>
      </w:pPr>
      <w:r w:rsidRPr="00BC7C11">
        <w:rPr>
          <w:rFonts w:ascii="Arial" w:hAnsi="Arial" w:cs="Arial"/>
          <w:color w:val="0F486E" w:themeColor="text2" w:themeShade="BF"/>
          <w:sz w:val="22"/>
          <w:szCs w:val="22"/>
        </w:rPr>
        <w:t>• Persistent fatigue (Diabetes UK, 2023)</w:t>
      </w:r>
    </w:p>
    <w:p w14:paraId="1C6561C1" w14:textId="77777777" w:rsidR="00BC7C11" w:rsidRPr="00BC7C11" w:rsidRDefault="00BC7C11" w:rsidP="00BC7C11">
      <w:pPr>
        <w:spacing w:line="360" w:lineRule="auto"/>
        <w:rPr>
          <w:rFonts w:ascii="Arial" w:hAnsi="Arial" w:cs="Arial"/>
          <w:color w:val="0F486E" w:themeColor="text2" w:themeShade="BF"/>
          <w:sz w:val="22"/>
          <w:szCs w:val="22"/>
        </w:rPr>
      </w:pPr>
      <w:r w:rsidRPr="00BC7C11">
        <w:rPr>
          <w:rFonts w:ascii="Arial" w:hAnsi="Arial" w:cs="Arial"/>
          <w:color w:val="0F486E" w:themeColor="text2" w:themeShade="BF"/>
          <w:sz w:val="22"/>
          <w:szCs w:val="22"/>
        </w:rPr>
        <w:t>• Blurred vision (World Health Organization, 2016)</w:t>
      </w:r>
    </w:p>
    <w:p w14:paraId="7863D757" w14:textId="77777777" w:rsidR="00BC7C11" w:rsidRPr="00BC7C11" w:rsidRDefault="00BC7C11" w:rsidP="00BC7C11">
      <w:pPr>
        <w:spacing w:line="360" w:lineRule="auto"/>
        <w:rPr>
          <w:rFonts w:ascii="Arial" w:hAnsi="Arial" w:cs="Arial"/>
          <w:color w:val="0F486E" w:themeColor="text2" w:themeShade="BF"/>
          <w:sz w:val="22"/>
          <w:szCs w:val="22"/>
        </w:rPr>
      </w:pPr>
      <w:r w:rsidRPr="00BC7C11">
        <w:rPr>
          <w:rFonts w:ascii="Arial" w:hAnsi="Arial" w:cs="Arial"/>
          <w:color w:val="0F486E" w:themeColor="text2" w:themeShade="BF"/>
          <w:sz w:val="22"/>
          <w:szCs w:val="22"/>
        </w:rPr>
        <w:t>• Recurrent infections (e.g. thrush or urinary infections) (Diabetes UK, 2023)</w:t>
      </w:r>
    </w:p>
    <w:p w14:paraId="29492795" w14:textId="77777777" w:rsidR="00BC7C11" w:rsidRPr="00BC7C11" w:rsidRDefault="00BC7C11" w:rsidP="00BC7C11">
      <w:pPr>
        <w:spacing w:line="360" w:lineRule="auto"/>
        <w:rPr>
          <w:rFonts w:ascii="Arial" w:hAnsi="Arial" w:cs="Arial"/>
          <w:color w:val="0F486E" w:themeColor="text2" w:themeShade="BF"/>
          <w:sz w:val="22"/>
          <w:szCs w:val="22"/>
        </w:rPr>
      </w:pPr>
      <w:r w:rsidRPr="00BC7C11">
        <w:rPr>
          <w:rFonts w:ascii="Arial" w:hAnsi="Arial" w:cs="Arial"/>
          <w:color w:val="0F486E" w:themeColor="text2" w:themeShade="BF"/>
          <w:sz w:val="22"/>
          <w:szCs w:val="22"/>
        </w:rPr>
        <w:t>• Slow wound healing (NICE, 2022)</w:t>
      </w:r>
    </w:p>
    <w:p w14:paraId="34A71899" w14:textId="2442C57D" w:rsidR="00B63129" w:rsidRDefault="00BC7C11" w:rsidP="00BC7C11">
      <w:pPr>
        <w:spacing w:line="360" w:lineRule="auto"/>
        <w:rPr>
          <w:rFonts w:ascii="Arial" w:hAnsi="Arial" w:cs="Arial"/>
          <w:color w:val="0F486E" w:themeColor="text2" w:themeShade="BF"/>
          <w:sz w:val="22"/>
          <w:szCs w:val="22"/>
        </w:rPr>
      </w:pPr>
      <w:r w:rsidRPr="00BC7C11">
        <w:rPr>
          <w:rFonts w:ascii="Arial" w:hAnsi="Arial" w:cs="Arial"/>
          <w:color w:val="0F486E" w:themeColor="text2" w:themeShade="BF"/>
          <w:sz w:val="22"/>
          <w:szCs w:val="22"/>
        </w:rPr>
        <w:t xml:space="preserve">• </w:t>
      </w:r>
      <w:r w:rsidR="00F54EA7" w:rsidRPr="00F54EA7">
        <w:rPr>
          <w:rFonts w:ascii="Arial" w:hAnsi="Arial" w:cs="Arial"/>
          <w:color w:val="0F486E" w:themeColor="text2" w:themeShade="BF"/>
          <w:sz w:val="22"/>
          <w:szCs w:val="22"/>
        </w:rPr>
        <w:t>Hand and foot tingling or numbness (potential neuropathy) (NICE, 2022)</w:t>
      </w:r>
    </w:p>
    <w:p w14:paraId="5E76F31C" w14:textId="77777777" w:rsidR="00B63129" w:rsidRPr="00AA076A" w:rsidRDefault="00B63129" w:rsidP="00AA076A">
      <w:pPr>
        <w:spacing w:line="360" w:lineRule="auto"/>
        <w:rPr>
          <w:rFonts w:ascii="Arial" w:hAnsi="Arial" w:cs="Arial"/>
          <w:color w:val="0F486E" w:themeColor="text2" w:themeShade="BF"/>
          <w:sz w:val="22"/>
          <w:szCs w:val="22"/>
        </w:rPr>
      </w:pPr>
    </w:p>
    <w:p w14:paraId="5DCE2CCB" w14:textId="1A3E93DC" w:rsidR="00763F1B" w:rsidRPr="00AA076A" w:rsidRDefault="00763F1B" w:rsidP="00AA076A">
      <w:pPr>
        <w:spacing w:line="360" w:lineRule="auto"/>
        <w:rPr>
          <w:rFonts w:ascii="Arial" w:hAnsi="Arial" w:cs="Arial"/>
          <w:color w:val="0F486E" w:themeColor="text2" w:themeShade="BF"/>
          <w:sz w:val="22"/>
          <w:szCs w:val="22"/>
        </w:rPr>
      </w:pPr>
    </w:p>
    <w:p w14:paraId="599C4811" w14:textId="28114227" w:rsidR="00D943A9" w:rsidRPr="000D49EB" w:rsidRDefault="00BC7C11" w:rsidP="00AA076A">
      <w:pPr>
        <w:spacing w:line="360" w:lineRule="auto"/>
        <w:rPr>
          <w:rStyle w:val="Heading1Char"/>
          <w:rFonts w:ascii="Arial" w:eastAsiaTheme="minorEastAsia" w:hAnsi="Arial" w:cs="Arial"/>
          <w:color w:val="0A3049" w:themeColor="text2" w:themeShade="80"/>
          <w:sz w:val="22"/>
          <w:szCs w:val="22"/>
        </w:rPr>
      </w:pPr>
      <w:r w:rsidRPr="00AA076A">
        <w:rPr>
          <w:rFonts w:ascii="Arial" w:hAnsi="Arial" w:cs="Arial"/>
          <w:b/>
          <w:bCs/>
          <w:noProof/>
          <w:color w:val="00B0F0"/>
          <w:sz w:val="22"/>
          <w:szCs w:val="22"/>
          <w:u w:val="single"/>
        </w:rPr>
        <w:lastRenderedPageBreak/>
        <mc:AlternateContent>
          <mc:Choice Requires="wps">
            <w:drawing>
              <wp:anchor distT="0" distB="0" distL="114300" distR="114300" simplePos="0" relativeHeight="251661312" behindDoc="0" locked="0" layoutInCell="1" allowOverlap="1" wp14:anchorId="79D5612C" wp14:editId="5C628172">
                <wp:simplePos x="0" y="0"/>
                <wp:positionH relativeFrom="column">
                  <wp:posOffset>4380230</wp:posOffset>
                </wp:positionH>
                <wp:positionV relativeFrom="paragraph">
                  <wp:posOffset>-145473</wp:posOffset>
                </wp:positionV>
                <wp:extent cx="276625" cy="238205"/>
                <wp:effectExtent l="19050" t="0" r="28575" b="47625"/>
                <wp:wrapNone/>
                <wp:docPr id="1507203134" name="Arrow: Down 5"/>
                <wp:cNvGraphicFramePr/>
                <a:graphic xmlns:a="http://schemas.openxmlformats.org/drawingml/2006/main">
                  <a:graphicData uri="http://schemas.microsoft.com/office/word/2010/wordprocessingShape">
                    <wps:wsp>
                      <wps:cNvSpPr/>
                      <wps:spPr>
                        <a:xfrm>
                          <a:off x="0" y="0"/>
                          <a:ext cx="276625" cy="238205"/>
                        </a:xfrm>
                        <a:prstGeom prst="downArrow">
                          <a:avLst/>
                        </a:prstGeom>
                        <a:solidFill>
                          <a:schemeClr val="tx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2F57C7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344.9pt;margin-top:-11.45pt;width:21.8pt;height:18.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" adj="10800" fillcolor="#4aa8e6 [1951]" strokecolor="#00060e [484]" strokeweight="1.25pt">
                <v:stroke endcap="round"/>
              </v:shape>
            </w:pict>
          </mc:Fallback>
        </mc:AlternateContent>
      </w:r>
      <w:r w:rsidR="00694F4D" w:rsidRPr="00AA076A">
        <w:rPr>
          <w:rFonts w:ascii="Arial" w:hAnsi="Arial" w:cs="Arial"/>
          <w:noProof/>
          <w:color w:val="0F486E" w:themeColor="text2" w:themeShade="BF"/>
          <w:sz w:val="22"/>
          <w:szCs w:val="22"/>
        </w:rPr>
        <mc:AlternateContent>
          <mc:Choice Requires="wps">
            <w:drawing>
              <wp:anchor distT="0" distB="0" distL="114300" distR="114300" simplePos="0" relativeHeight="251660288" behindDoc="0" locked="0" layoutInCell="1" allowOverlap="1" wp14:anchorId="1D42873D" wp14:editId="05082EDB">
                <wp:simplePos x="0" y="0"/>
                <wp:positionH relativeFrom="margin">
                  <wp:posOffset>3263323</wp:posOffset>
                </wp:positionH>
                <wp:positionV relativeFrom="paragraph">
                  <wp:posOffset>-649836</wp:posOffset>
                </wp:positionV>
                <wp:extent cx="2527935" cy="527050"/>
                <wp:effectExtent l="0" t="0" r="24765" b="25400"/>
                <wp:wrapNone/>
                <wp:docPr id="7205613" name="Flowchart: Alternative Process 4"/>
                <wp:cNvGraphicFramePr/>
                <a:graphic xmlns:a="http://schemas.openxmlformats.org/drawingml/2006/main">
                  <a:graphicData uri="http://schemas.microsoft.com/office/word/2010/wordprocessingShape">
                    <wps:wsp>
                      <wps:cNvSpPr/>
                      <wps:spPr>
                        <a:xfrm>
                          <a:off x="0" y="0"/>
                          <a:ext cx="2527935" cy="527050"/>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E4469C2" w14:textId="4A5892FC" w:rsidR="00883D25" w:rsidRDefault="00883D25" w:rsidP="00883D25">
                            <w:pPr>
                              <w:jc w:val="center"/>
                            </w:pPr>
                            <w:r w:rsidRPr="00883D25">
                              <w:t>Definition, Pathophysiology and Aetiology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42873D"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ive Process 4" o:spid="_x0000_s1026" type="#_x0000_t176" style="position:absolute;margin-left:256.95pt;margin-top:-51.15pt;width:199.05pt;height:41.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" fillcolor="#052f61 [3204]" strokecolor="#00060e [484]" strokeweight="1.25pt">
                <v:stroke endcap="round"/>
                <v:textbox>
                  <w:txbxContent>
                    <w:p w14:paraId="1E4469C2" w14:textId="4A5892FC" w:rsidR="00883D25" w:rsidRDefault="00883D25" w:rsidP="00883D25">
                      <w:pPr>
                        <w:jc w:val="center"/>
                      </w:pPr>
                      <w:r w:rsidRPr="00883D25">
                        <w:t>Definition, Pathophysiology and Aetiology</w:t>
                      </w:r>
                    </w:p>
                  </w:txbxContent>
                </v:textbox>
                <w10:wrap anchorx="margin"/>
              </v:shape>
            </w:pict>
          </mc:Fallback>
        </mc:AlternateContent>
      </w:r>
      <w:r w:rsidR="00D449CB" w:rsidRPr="0056367E">
        <w:rPr>
          <w:rStyle w:val="Heading1Char"/>
          <w:rFonts w:ascii="Arial" w:hAnsi="Arial" w:cs="Arial"/>
          <w:b/>
          <w:bCs/>
          <w:color w:val="167AF3" w:themeColor="accent1" w:themeTint="99"/>
          <w:sz w:val="32"/>
          <w:szCs w:val="32"/>
        </w:rPr>
        <mc:AlternateContent>
          <mc:Choice Requires="wps">
            <w:drawing>
              <wp:anchor distT="0" distB="0" distL="114300" distR="114300" simplePos="0" relativeHeight="251659264" behindDoc="0" locked="0" layoutInCell="1" allowOverlap="1" wp14:anchorId="02CC7367" wp14:editId="542ED22A">
                <wp:simplePos x="0" y="0"/>
                <wp:positionH relativeFrom="column">
                  <wp:posOffset>3204293</wp:posOffset>
                </wp:positionH>
                <wp:positionV relativeFrom="paragraph">
                  <wp:posOffset>4997</wp:posOffset>
                </wp:positionV>
                <wp:extent cx="2712085" cy="1820848"/>
                <wp:effectExtent l="0" t="0" r="12065" b="27305"/>
                <wp:wrapNone/>
                <wp:docPr id="1537443897" name="Flowchart: Alternative Process 3"/>
                <wp:cNvGraphicFramePr/>
                <a:graphic xmlns:a="http://schemas.openxmlformats.org/drawingml/2006/main">
                  <a:graphicData uri="http://schemas.microsoft.com/office/word/2010/wordprocessingShape">
                    <wps:wsp>
                      <wps:cNvSpPr/>
                      <wps:spPr>
                        <a:xfrm>
                          <a:off x="0" y="0"/>
                          <a:ext cx="2712085" cy="1820848"/>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D1FA125" w14:textId="50D064CC" w:rsidR="00883D25" w:rsidRDefault="00883D25" w:rsidP="00883D25">
                            <w:pPr>
                              <w:jc w:val="center"/>
                            </w:pPr>
                            <w:r>
                              <w:t>Definition</w:t>
                            </w:r>
                          </w:p>
                          <w:p w14:paraId="045871C5" w14:textId="42401849" w:rsidR="00883D25" w:rsidRDefault="00883D25" w:rsidP="00883D25">
                            <w:pPr>
                              <w:jc w:val="center"/>
                            </w:pPr>
                            <w:r>
                              <w:t>Type 2 diabetes is defined as a chronic metabolic condition in which blood glucose levels remain elevated due to insulin resistance and impaired pancreatic beta-cell function (NICE, 2022a).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CC7367" id="Flowchart: Alternative Process 3" o:spid="_x0000_s1027" type="#_x0000_t176" style="position:absolute;margin-left:252.3pt;margin-top:.4pt;width:213.55pt;height:143.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" fillcolor="#052f61 [3204]" strokecolor="#00060e [484]" strokeweight="1.25pt">
                <v:stroke endcap="round"/>
                <v:textbox>
                  <w:txbxContent>
                    <w:p w14:paraId="5D1FA125" w14:textId="50D064CC" w:rsidR="00883D25" w:rsidRDefault="00883D25" w:rsidP="00883D25">
                      <w:pPr>
                        <w:jc w:val="center"/>
                      </w:pPr>
                      <w:r>
                        <w:t>Definition</w:t>
                      </w:r>
                    </w:p>
                    <w:p w14:paraId="045871C5" w14:textId="42401849" w:rsidR="00883D25" w:rsidRDefault="00883D25" w:rsidP="00883D25">
                      <w:pPr>
                        <w:jc w:val="center"/>
                      </w:pPr>
                      <w:r>
                        <w:t>Type 2 diabetes is defined as a chronic metabolic condition in which blood glucose levels remain elevated due to insulin resistance and impaired pancreatic beta-cell function (NICE, 2022a).</w:t>
                      </w:r>
                    </w:p>
                  </w:txbxContent>
                </v:textbox>
              </v:shape>
            </w:pict>
          </mc:Fallback>
        </mc:AlternateContent>
      </w:r>
      <w:bookmarkStart w:id="3" w:name="_Toc223067584"/>
      <w:r w:rsidR="00D943A9" w:rsidRPr="0056367E">
        <w:rPr>
          <w:rStyle w:val="Heading1Char"/>
          <w:rFonts w:ascii="Arial" w:hAnsi="Arial" w:cs="Arial"/>
          <w:b/>
          <w:bCs/>
          <w:color w:val="167AF3" w:themeColor="accent1" w:themeTint="99"/>
          <w:sz w:val="32"/>
          <w:szCs w:val="32"/>
        </w:rPr>
        <w:t>Pathophysiology</w:t>
      </w:r>
      <w:bookmarkEnd w:id="3"/>
    </w:p>
    <w:p w14:paraId="3A4FD4D9" w14:textId="3CB2EDC0" w:rsidR="00422AB7" w:rsidRDefault="00422AB7" w:rsidP="00AA076A">
      <w:pPr>
        <w:spacing w:line="360" w:lineRule="auto"/>
        <w:rPr>
          <w:rFonts w:ascii="Arial" w:hAnsi="Arial" w:cs="Arial"/>
          <w:color w:val="0F486E" w:themeColor="text2" w:themeShade="BF"/>
          <w:sz w:val="22"/>
          <w:szCs w:val="22"/>
        </w:rPr>
      </w:pPr>
      <w:r w:rsidRPr="00422AB7">
        <w:rPr>
          <w:rFonts w:ascii="Arial" w:hAnsi="Arial" w:cs="Arial"/>
          <w:color w:val="0F486E" w:themeColor="text2" w:themeShade="BF"/>
          <w:sz w:val="22"/>
          <w:szCs w:val="22"/>
        </w:rPr>
        <w:t xml:space="preserve">The </w:t>
      </w:r>
      <w:r w:rsidR="00A01F82" w:rsidRPr="00422AB7">
        <w:rPr>
          <w:rFonts w:ascii="Arial" w:hAnsi="Arial" w:cs="Arial"/>
          <w:color w:val="0F486E" w:themeColor="text2" w:themeShade="BF"/>
          <w:sz w:val="22"/>
          <w:szCs w:val="22"/>
        </w:rPr>
        <w:t>ethology</w:t>
      </w:r>
      <w:r w:rsidRPr="00422AB7">
        <w:rPr>
          <w:rFonts w:ascii="Arial" w:hAnsi="Arial" w:cs="Arial"/>
          <w:color w:val="0F486E" w:themeColor="text2" w:themeShade="BF"/>
          <w:sz w:val="22"/>
          <w:szCs w:val="22"/>
        </w:rPr>
        <w:t xml:space="preserve"> of type 2 diabetes is complex. </w:t>
      </w:r>
    </w:p>
    <w:p w14:paraId="1BCFA643" w14:textId="77777777" w:rsidR="00422AB7" w:rsidRDefault="00422AB7" w:rsidP="00AA076A">
      <w:pPr>
        <w:spacing w:line="360" w:lineRule="auto"/>
        <w:rPr>
          <w:rFonts w:ascii="Arial" w:hAnsi="Arial" w:cs="Arial"/>
          <w:color w:val="0F486E" w:themeColor="text2" w:themeShade="BF"/>
          <w:sz w:val="22"/>
          <w:szCs w:val="22"/>
        </w:rPr>
      </w:pPr>
      <w:r w:rsidRPr="00422AB7">
        <w:rPr>
          <w:rFonts w:ascii="Arial" w:hAnsi="Arial" w:cs="Arial"/>
          <w:color w:val="0F486E" w:themeColor="text2" w:themeShade="BF"/>
          <w:sz w:val="22"/>
          <w:szCs w:val="22"/>
        </w:rPr>
        <w:t xml:space="preserve">According to DeFronzo et al. (2015), </w:t>
      </w:r>
    </w:p>
    <w:p w14:paraId="50AF5B9D" w14:textId="77777777" w:rsidR="00422AB7" w:rsidRDefault="00422AB7" w:rsidP="00AA076A">
      <w:pPr>
        <w:spacing w:line="360" w:lineRule="auto"/>
        <w:rPr>
          <w:rFonts w:ascii="Arial" w:hAnsi="Arial" w:cs="Arial"/>
          <w:color w:val="0F486E" w:themeColor="text2" w:themeShade="BF"/>
          <w:sz w:val="22"/>
          <w:szCs w:val="22"/>
        </w:rPr>
      </w:pPr>
      <w:r w:rsidRPr="00422AB7">
        <w:rPr>
          <w:rFonts w:ascii="Arial" w:hAnsi="Arial" w:cs="Arial"/>
          <w:color w:val="0F486E" w:themeColor="text2" w:themeShade="BF"/>
          <w:sz w:val="22"/>
          <w:szCs w:val="22"/>
        </w:rPr>
        <w:t>insulin resistance in the liver and skeletal muscle</w:t>
      </w:r>
    </w:p>
    <w:p w14:paraId="1396A9A2" w14:textId="77777777" w:rsidR="00422AB7" w:rsidRDefault="00422AB7" w:rsidP="00AA076A">
      <w:pPr>
        <w:spacing w:line="360" w:lineRule="auto"/>
        <w:rPr>
          <w:rFonts w:ascii="Arial" w:hAnsi="Arial" w:cs="Arial"/>
          <w:color w:val="0F486E" w:themeColor="text2" w:themeShade="BF"/>
          <w:sz w:val="22"/>
          <w:szCs w:val="22"/>
        </w:rPr>
      </w:pPr>
      <w:r w:rsidRPr="00422AB7">
        <w:rPr>
          <w:rFonts w:ascii="Arial" w:hAnsi="Arial" w:cs="Arial"/>
          <w:color w:val="0F486E" w:themeColor="text2" w:themeShade="BF"/>
          <w:sz w:val="22"/>
          <w:szCs w:val="22"/>
        </w:rPr>
        <w:t xml:space="preserve"> increases hepatic glucose production while </w:t>
      </w:r>
    </w:p>
    <w:p w14:paraId="3C6FBECE" w14:textId="77777777" w:rsidR="00422AB7" w:rsidRDefault="00422AB7" w:rsidP="00AA076A">
      <w:pPr>
        <w:spacing w:line="360" w:lineRule="auto"/>
        <w:rPr>
          <w:rFonts w:ascii="Arial" w:hAnsi="Arial" w:cs="Arial"/>
          <w:color w:val="0F486E" w:themeColor="text2" w:themeShade="BF"/>
          <w:sz w:val="22"/>
          <w:szCs w:val="22"/>
        </w:rPr>
      </w:pPr>
      <w:r w:rsidRPr="00422AB7">
        <w:rPr>
          <w:rFonts w:ascii="Arial" w:hAnsi="Arial" w:cs="Arial"/>
          <w:color w:val="0F486E" w:themeColor="text2" w:themeShade="BF"/>
          <w:sz w:val="22"/>
          <w:szCs w:val="22"/>
        </w:rPr>
        <w:t xml:space="preserve">decreasing glucose absorption. Pancreatic beta </w:t>
      </w:r>
    </w:p>
    <w:p w14:paraId="78E42B72" w14:textId="538E0E15" w:rsidR="00187DF1" w:rsidRPr="00AA076A" w:rsidRDefault="00422AB7" w:rsidP="00AA076A">
      <w:pPr>
        <w:spacing w:line="360" w:lineRule="auto"/>
        <w:rPr>
          <w:rFonts w:ascii="Arial" w:hAnsi="Arial" w:cs="Arial"/>
          <w:color w:val="0F486E" w:themeColor="text2" w:themeShade="BF"/>
          <w:sz w:val="22"/>
          <w:szCs w:val="22"/>
        </w:rPr>
      </w:pPr>
      <w:r w:rsidRPr="00422AB7">
        <w:rPr>
          <w:rFonts w:ascii="Arial" w:hAnsi="Arial" w:cs="Arial"/>
          <w:color w:val="0F486E" w:themeColor="text2" w:themeShade="BF"/>
          <w:sz w:val="22"/>
          <w:szCs w:val="22"/>
        </w:rPr>
        <w:t xml:space="preserve">cells first make up for this by producing hyperinsulinemia, but as beta-cell loss progresses, persistent </w:t>
      </w:r>
      <w:r w:rsidRPr="00422AB7">
        <w:rPr>
          <w:rFonts w:ascii="Arial" w:hAnsi="Arial" w:cs="Arial"/>
          <w:color w:val="0F486E" w:themeColor="text2" w:themeShade="BF"/>
          <w:sz w:val="22"/>
          <w:szCs w:val="22"/>
        </w:rPr>
        <w:t>hyperglycaemia</w:t>
      </w:r>
      <w:r w:rsidRPr="00422AB7">
        <w:rPr>
          <w:rFonts w:ascii="Arial" w:hAnsi="Arial" w:cs="Arial"/>
          <w:color w:val="0F486E" w:themeColor="text2" w:themeShade="BF"/>
          <w:sz w:val="22"/>
          <w:szCs w:val="22"/>
        </w:rPr>
        <w:t xml:space="preserve"> occurs.</w:t>
      </w:r>
      <w:r w:rsidR="00A01F82">
        <w:rPr>
          <w:rFonts w:ascii="Arial" w:hAnsi="Arial" w:cs="Arial"/>
          <w:color w:val="0F486E" w:themeColor="text2" w:themeShade="BF"/>
          <w:sz w:val="22"/>
          <w:szCs w:val="22"/>
        </w:rPr>
        <w:t xml:space="preserve"> </w:t>
      </w:r>
      <w:r w:rsidR="00D943A9" w:rsidRPr="00AA076A">
        <w:rPr>
          <w:rFonts w:ascii="Arial" w:hAnsi="Arial" w:cs="Arial"/>
          <w:color w:val="0F486E" w:themeColor="text2" w:themeShade="BF"/>
          <w:sz w:val="22"/>
          <w:szCs w:val="22"/>
        </w:rPr>
        <w:t>Visceral adiposity plays a central role, contributing to chronic low-grade inflammation, altered adipokine secretion and metabolic dysregulation (</w:t>
      </w:r>
      <w:proofErr w:type="spellStart"/>
      <w:r w:rsidR="00D943A9" w:rsidRPr="00AA076A">
        <w:rPr>
          <w:rFonts w:ascii="Arial" w:hAnsi="Arial" w:cs="Arial"/>
          <w:color w:val="0F486E" w:themeColor="text2" w:themeShade="BF"/>
          <w:sz w:val="22"/>
          <w:szCs w:val="22"/>
        </w:rPr>
        <w:t>Shoelson</w:t>
      </w:r>
      <w:proofErr w:type="spellEnd"/>
      <w:r w:rsidR="00D943A9" w:rsidRPr="00AA076A">
        <w:rPr>
          <w:rFonts w:ascii="Arial" w:hAnsi="Arial" w:cs="Arial"/>
          <w:color w:val="0F486E" w:themeColor="text2" w:themeShade="BF"/>
          <w:sz w:val="22"/>
          <w:szCs w:val="22"/>
        </w:rPr>
        <w:t xml:space="preserve">, Lee and Goldfine, 2006). This explains why large waist circumference </w:t>
      </w:r>
      <w:r w:rsidR="000D2FA7" w:rsidRPr="00AA076A">
        <w:rPr>
          <w:rFonts w:ascii="Arial" w:hAnsi="Arial" w:cs="Arial"/>
          <w:color w:val="0F486E" w:themeColor="text2" w:themeShade="BF"/>
          <w:sz w:val="22"/>
          <w:szCs w:val="22"/>
        </w:rPr>
        <w:t>a stronger predictor of risk is</w:t>
      </w:r>
      <w:r w:rsidR="00D943A9" w:rsidRPr="00AA076A">
        <w:rPr>
          <w:rFonts w:ascii="Arial" w:hAnsi="Arial" w:cs="Arial"/>
          <w:color w:val="0F486E" w:themeColor="text2" w:themeShade="BF"/>
          <w:sz w:val="22"/>
          <w:szCs w:val="22"/>
        </w:rPr>
        <w:t xml:space="preserve"> than BMI alone (Després, 2012)</w:t>
      </w:r>
    </w:p>
    <w:p w14:paraId="2606A954" w14:textId="35204573" w:rsidR="00EC7832" w:rsidRPr="00AA076A" w:rsidRDefault="00CE0A53" w:rsidP="00AA076A">
      <w:pPr>
        <w:spacing w:line="360" w:lineRule="auto"/>
        <w:rPr>
          <w:rFonts w:ascii="Arial" w:hAnsi="Arial" w:cs="Arial"/>
          <w:b/>
          <w:bCs/>
          <w:color w:val="167AF3" w:themeColor="accent1" w:themeTint="99"/>
          <w:sz w:val="22"/>
          <w:szCs w:val="22"/>
          <w:u w:val="single"/>
        </w:rPr>
      </w:pPr>
      <w:r w:rsidRPr="00AA076A">
        <w:rPr>
          <w:rFonts w:ascii="Arial" w:hAnsi="Arial" w:cs="Arial"/>
          <w:b/>
          <w:bCs/>
          <w:noProof/>
          <w:color w:val="76DBF4" w:themeColor="background2"/>
          <w:sz w:val="22"/>
          <w:szCs w:val="22"/>
        </w:rPr>
        <mc:AlternateContent>
          <mc:Choice Requires="wps">
            <w:drawing>
              <wp:anchor distT="0" distB="0" distL="114300" distR="114300" simplePos="0" relativeHeight="251665408" behindDoc="0" locked="0" layoutInCell="1" allowOverlap="1" wp14:anchorId="345FAB80" wp14:editId="6C8C1A34">
                <wp:simplePos x="0" y="0"/>
                <wp:positionH relativeFrom="margin">
                  <wp:align>right</wp:align>
                </wp:positionH>
                <wp:positionV relativeFrom="paragraph">
                  <wp:posOffset>230242</wp:posOffset>
                </wp:positionV>
                <wp:extent cx="2312894" cy="315045"/>
                <wp:effectExtent l="0" t="0" r="11430" b="27940"/>
                <wp:wrapNone/>
                <wp:docPr id="1923466031" name="Text Box 9"/>
                <wp:cNvGraphicFramePr/>
                <a:graphic xmlns:a="http://schemas.openxmlformats.org/drawingml/2006/main">
                  <a:graphicData uri="http://schemas.microsoft.com/office/word/2010/wordprocessingShape">
                    <wps:wsp>
                      <wps:cNvSpPr txBox="1"/>
                      <wps:spPr>
                        <a:xfrm>
                          <a:off x="0" y="0"/>
                          <a:ext cx="2312894" cy="315045"/>
                        </a:xfrm>
                        <a:prstGeom prst="rect">
                          <a:avLst/>
                        </a:prstGeom>
                        <a:solidFill>
                          <a:schemeClr val="tx2">
                            <a:lumMod val="60000"/>
                            <a:lumOff val="40000"/>
                          </a:schemeClr>
                        </a:solidFill>
                        <a:ln w="6350">
                          <a:solidFill>
                            <a:prstClr val="black"/>
                          </a:solidFill>
                        </a:ln>
                      </wps:spPr>
                      <wps:txbx>
                        <w:txbxContent>
                          <w:p w14:paraId="60C7FDD1" w14:textId="1050E8DA" w:rsidR="00EC7832" w:rsidRPr="00786B12" w:rsidRDefault="00921FDD" w:rsidP="00474BF6">
                            <w:pPr>
                              <w:shd w:val="clear" w:color="auto" w:fill="21C4ED" w:themeFill="background2" w:themeFillShade="BF"/>
                              <w:jc w:val="center"/>
                              <w:rPr>
                                <w:b/>
                                <w:bCs/>
                                <w:color w:val="0F486E" w:themeColor="text2" w:themeShade="BF"/>
                              </w:rPr>
                            </w:pPr>
                            <w:r w:rsidRPr="00786B12">
                              <w:rPr>
                                <w:b/>
                                <w:bCs/>
                                <w:color w:val="0F486E" w:themeColor="text2" w:themeShade="BF"/>
                              </w:rPr>
                              <w:t>Modifiable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45FAB80" id="_x0000_t202" coordsize="21600,21600" o:spt="202" path="m,l,21600r21600,l21600,xe">
                <v:stroke joinstyle="miter"/>
                <v:path gradientshapeok="t" o:connecttype="rect"/>
              </v:shapetype>
              <v:shape id="Text Box 9" o:spid="_x0000_s1028" type="#_x0000_t202" style="position:absolute;margin-left:130.9pt;margin-top:18.15pt;width:182.1pt;height:24.8pt;z-index:2516654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" fillcolor="#4aa8e6 [1951]" strokeweight=".5pt">
                <v:textbox>
                  <w:txbxContent>
                    <w:p w14:paraId="60C7FDD1" w14:textId="1050E8DA" w:rsidR="00EC7832" w:rsidRPr="00786B12" w:rsidRDefault="00921FDD" w:rsidP="00474BF6">
                      <w:pPr>
                        <w:shd w:val="clear" w:color="auto" w:fill="21C4ED" w:themeFill="background2" w:themeFillShade="BF"/>
                        <w:jc w:val="center"/>
                        <w:rPr>
                          <w:b/>
                          <w:bCs/>
                          <w:color w:val="0F486E" w:themeColor="text2" w:themeShade="BF"/>
                        </w:rPr>
                      </w:pPr>
                      <w:r w:rsidRPr="00786B12">
                        <w:rPr>
                          <w:b/>
                          <w:bCs/>
                          <w:color w:val="0F486E" w:themeColor="text2" w:themeShade="BF"/>
                        </w:rPr>
                        <w:t>Modifiable</w:t>
                      </w:r>
                    </w:p>
                  </w:txbxContent>
                </v:textbox>
                <w10:wrap anchorx="margin"/>
              </v:shape>
            </w:pict>
          </mc:Fallback>
        </mc:AlternateContent>
      </w:r>
      <w:r w:rsidR="006325F6" w:rsidRPr="00AA076A">
        <w:rPr>
          <w:rFonts w:ascii="Arial" w:hAnsi="Arial" w:cs="Arial"/>
          <w:b/>
          <w:bCs/>
          <w:noProof/>
          <w:color w:val="76DBF4" w:themeColor="background2"/>
          <w:sz w:val="22"/>
          <w:szCs w:val="22"/>
        </w:rPr>
        <mc:AlternateContent>
          <mc:Choice Requires="wps">
            <w:drawing>
              <wp:anchor distT="0" distB="0" distL="114300" distR="114300" simplePos="0" relativeHeight="251664384" behindDoc="0" locked="0" layoutInCell="1" allowOverlap="1" wp14:anchorId="3538EF8B" wp14:editId="336999F1">
                <wp:simplePos x="0" y="0"/>
                <wp:positionH relativeFrom="column">
                  <wp:posOffset>-166370</wp:posOffset>
                </wp:positionH>
                <wp:positionV relativeFrom="paragraph">
                  <wp:posOffset>273679</wp:posOffset>
                </wp:positionV>
                <wp:extent cx="2535731" cy="284309"/>
                <wp:effectExtent l="0" t="0" r="17145" b="20955"/>
                <wp:wrapNone/>
                <wp:docPr id="1843255740" name="Text Box 8"/>
                <wp:cNvGraphicFramePr/>
                <a:graphic xmlns:a="http://schemas.openxmlformats.org/drawingml/2006/main">
                  <a:graphicData uri="http://schemas.microsoft.com/office/word/2010/wordprocessingShape">
                    <wps:wsp>
                      <wps:cNvSpPr txBox="1"/>
                      <wps:spPr>
                        <a:xfrm>
                          <a:off x="0" y="0"/>
                          <a:ext cx="2535731" cy="284309"/>
                        </a:xfrm>
                        <a:prstGeom prst="rect">
                          <a:avLst/>
                        </a:prstGeom>
                        <a:solidFill>
                          <a:schemeClr val="bg2">
                            <a:lumMod val="75000"/>
                          </a:schemeClr>
                        </a:solidFill>
                        <a:ln w="6350">
                          <a:solidFill>
                            <a:prstClr val="black"/>
                          </a:solidFill>
                        </a:ln>
                      </wps:spPr>
                      <wps:txbx>
                        <w:txbxContent>
                          <w:p w14:paraId="1E1CFB8B" w14:textId="72748D4D" w:rsidR="00EC7832" w:rsidRPr="00786B12" w:rsidRDefault="00DB04B2" w:rsidP="00474BF6">
                            <w:pPr>
                              <w:shd w:val="clear" w:color="auto" w:fill="21C4ED" w:themeFill="background2" w:themeFillShade="BF"/>
                              <w:jc w:val="center"/>
                              <w:rPr>
                                <w:b/>
                                <w:bCs/>
                                <w:color w:val="4AA8E6" w:themeColor="text2" w:themeTint="99"/>
                              </w:rPr>
                            </w:pPr>
                            <w:r w:rsidRPr="00786B12">
                              <w:rPr>
                                <w:b/>
                                <w:bCs/>
                                <w:color w:val="0F486E" w:themeColor="text2" w:themeShade="BF"/>
                              </w:rPr>
                              <w:t>Non-modifiable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538EF8B" id="Text Box 8" o:spid="_x0000_s1029" type="#_x0000_t202" style="position:absolute;margin-left:-13.1pt;margin-top:21.55pt;width:199.65pt;height:22.4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" fillcolor="#21c4ed [2414]" strokeweight=".5pt">
                <v:textbox>
                  <w:txbxContent>
                    <w:p w14:paraId="1E1CFB8B" w14:textId="72748D4D" w:rsidR="00EC7832" w:rsidRPr="00786B12" w:rsidRDefault="00DB04B2" w:rsidP="00474BF6">
                      <w:pPr>
                        <w:shd w:val="clear" w:color="auto" w:fill="21C4ED" w:themeFill="background2" w:themeFillShade="BF"/>
                        <w:jc w:val="center"/>
                        <w:rPr>
                          <w:b/>
                          <w:bCs/>
                          <w:color w:val="4AA8E6" w:themeColor="text2" w:themeTint="99"/>
                        </w:rPr>
                      </w:pPr>
                      <w:r w:rsidRPr="00786B12">
                        <w:rPr>
                          <w:b/>
                          <w:bCs/>
                          <w:color w:val="0F486E" w:themeColor="text2" w:themeShade="BF"/>
                        </w:rPr>
                        <w:t>Non-modifiable</w:t>
                      </w:r>
                    </w:p>
                  </w:txbxContent>
                </v:textbox>
              </v:shape>
            </w:pict>
          </mc:Fallback>
        </mc:AlternateContent>
      </w:r>
      <w:r w:rsidR="00EC7832" w:rsidRPr="00AA076A">
        <w:rPr>
          <w:rFonts w:ascii="Arial" w:hAnsi="Arial" w:cs="Arial"/>
          <w:b/>
          <w:bCs/>
          <w:color w:val="167AF3" w:themeColor="accent1" w:themeTint="99"/>
          <w:sz w:val="22"/>
          <w:szCs w:val="22"/>
          <w:u w:val="single"/>
        </w:rPr>
        <w:t>Risk Factors</w:t>
      </w:r>
    </w:p>
    <w:p w14:paraId="2FE1622E" w14:textId="0BC1B76C" w:rsidR="00187DF1" w:rsidRPr="00AA076A" w:rsidRDefault="00CE0A53" w:rsidP="00AA076A">
      <w:pPr>
        <w:spacing w:line="360" w:lineRule="auto"/>
        <w:rPr>
          <w:rFonts w:ascii="Arial" w:hAnsi="Arial" w:cs="Arial"/>
          <w:b/>
          <w:bCs/>
          <w:color w:val="1E92DF" w:themeColor="text2" w:themeTint="BF"/>
          <w:sz w:val="22"/>
          <w:szCs w:val="22"/>
        </w:rPr>
      </w:pPr>
      <w:r w:rsidRPr="00AA076A">
        <w:rPr>
          <w:rFonts w:ascii="Arial" w:hAnsi="Arial" w:cs="Arial"/>
          <w:b/>
          <w:bCs/>
          <w:noProof/>
          <w:color w:val="76DBF4" w:themeColor="background2"/>
          <w:sz w:val="22"/>
          <w:szCs w:val="22"/>
        </w:rPr>
        <mc:AlternateContent>
          <mc:Choice Requires="wps">
            <w:drawing>
              <wp:anchor distT="0" distB="0" distL="114300" distR="114300" simplePos="0" relativeHeight="251663360" behindDoc="0" locked="0" layoutInCell="1" allowOverlap="1" wp14:anchorId="5599E0AE" wp14:editId="4E1E9B81">
                <wp:simplePos x="0" y="0"/>
                <wp:positionH relativeFrom="column">
                  <wp:posOffset>3107627</wp:posOffset>
                </wp:positionH>
                <wp:positionV relativeFrom="paragraph">
                  <wp:posOffset>123552</wp:posOffset>
                </wp:positionV>
                <wp:extent cx="3053301" cy="3513455"/>
                <wp:effectExtent l="0" t="0" r="13970" b="10795"/>
                <wp:wrapNone/>
                <wp:docPr id="192486115" name="Flowchart: Alternative Process 7"/>
                <wp:cNvGraphicFramePr/>
                <a:graphic xmlns:a="http://schemas.openxmlformats.org/drawingml/2006/main">
                  <a:graphicData uri="http://schemas.microsoft.com/office/word/2010/wordprocessingShape">
                    <wps:wsp>
                      <wps:cNvSpPr/>
                      <wps:spPr>
                        <a:xfrm>
                          <a:off x="0" y="0"/>
                          <a:ext cx="3053301" cy="3513455"/>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0D594B2" w14:textId="275EAC36" w:rsidR="00921FDD" w:rsidRPr="00786B12" w:rsidRDefault="00921FDD" w:rsidP="00CE0A53">
                            <w:pPr>
                              <w:pStyle w:val="ListParagraph"/>
                              <w:numPr>
                                <w:ilvl w:val="0"/>
                                <w:numId w:val="3"/>
                              </w:numPr>
                              <w:shd w:val="clear" w:color="auto" w:fill="C2E1F6" w:themeFill="text2" w:themeFillTint="33"/>
                              <w:spacing w:line="360" w:lineRule="auto"/>
                              <w:jc w:val="center"/>
                              <w:rPr>
                                <w:rFonts w:ascii="Arial" w:hAnsi="Arial" w:cs="Arial"/>
                              </w:rPr>
                            </w:pPr>
                            <w:r w:rsidRPr="00786B12">
                              <w:rPr>
                                <w:rFonts w:ascii="Arial" w:hAnsi="Arial" w:cs="Arial"/>
                              </w:rPr>
                              <w:t>Overweight and obesity (Diabetes UK, 2023)</w:t>
                            </w:r>
                          </w:p>
                          <w:p w14:paraId="2CB651B3" w14:textId="77777777" w:rsidR="00921FDD" w:rsidRPr="00786B12" w:rsidRDefault="00921FDD" w:rsidP="00786B12">
                            <w:pPr>
                              <w:spacing w:line="360" w:lineRule="auto"/>
                              <w:jc w:val="center"/>
                              <w:rPr>
                                <w:rFonts w:ascii="Arial" w:hAnsi="Arial" w:cs="Arial"/>
                              </w:rPr>
                            </w:pPr>
                          </w:p>
                          <w:p w14:paraId="6968FC1E" w14:textId="77777777" w:rsidR="00921FDD" w:rsidRPr="00786B12" w:rsidRDefault="00921FDD" w:rsidP="00CE0A53">
                            <w:pPr>
                              <w:pStyle w:val="ListParagraph"/>
                              <w:numPr>
                                <w:ilvl w:val="0"/>
                                <w:numId w:val="3"/>
                              </w:numPr>
                              <w:shd w:val="clear" w:color="auto" w:fill="C2E1F6" w:themeFill="text2" w:themeFillTint="33"/>
                              <w:spacing w:line="360" w:lineRule="auto"/>
                              <w:jc w:val="center"/>
                              <w:rPr>
                                <w:rFonts w:ascii="Arial" w:hAnsi="Arial" w:cs="Arial"/>
                              </w:rPr>
                            </w:pPr>
                            <w:r w:rsidRPr="00786B12">
                              <w:rPr>
                                <w:rFonts w:ascii="Arial" w:hAnsi="Arial" w:cs="Arial"/>
                              </w:rPr>
                              <w:t>Physical inactivity (Jeon et al., 2007)</w:t>
                            </w:r>
                          </w:p>
                          <w:p w14:paraId="7B9CFEA9" w14:textId="77777777" w:rsidR="00921FDD" w:rsidRPr="00786B12" w:rsidRDefault="00921FDD" w:rsidP="00786B12">
                            <w:pPr>
                              <w:spacing w:line="360" w:lineRule="auto"/>
                              <w:jc w:val="center"/>
                              <w:rPr>
                                <w:rFonts w:ascii="Arial" w:hAnsi="Arial" w:cs="Arial"/>
                              </w:rPr>
                            </w:pPr>
                          </w:p>
                          <w:p w14:paraId="50E28B96" w14:textId="44FB6C4D" w:rsidR="00921FDD" w:rsidRPr="007F4DED" w:rsidRDefault="00921FDD" w:rsidP="00CE0A53">
                            <w:pPr>
                              <w:pStyle w:val="ListParagraph"/>
                              <w:numPr>
                                <w:ilvl w:val="0"/>
                                <w:numId w:val="3"/>
                              </w:numPr>
                              <w:shd w:val="clear" w:color="auto" w:fill="C2E1F6" w:themeFill="text2" w:themeFillTint="33"/>
                              <w:spacing w:line="360" w:lineRule="auto"/>
                              <w:jc w:val="center"/>
                              <w:rPr>
                                <w:rFonts w:ascii="Arial" w:hAnsi="Arial" w:cs="Arial"/>
                              </w:rPr>
                            </w:pPr>
                            <w:r w:rsidRPr="00786B12">
                              <w:rPr>
                                <w:rFonts w:ascii="Arial" w:hAnsi="Arial" w:cs="Arial"/>
                              </w:rPr>
                              <w:t xml:space="preserve">Unhealthy diet </w:t>
                            </w:r>
                            <w:r w:rsidRPr="007F4DED">
                              <w:rPr>
                                <w:rFonts w:ascii="Arial" w:hAnsi="Arial" w:cs="Arial"/>
                              </w:rPr>
                              <w:t>(</w:t>
                            </w:r>
                            <w:proofErr w:type="spellStart"/>
                            <w:r w:rsidRPr="007F4DED">
                              <w:rPr>
                                <w:rFonts w:ascii="Arial" w:hAnsi="Arial" w:cs="Arial"/>
                              </w:rPr>
                              <w:t>Mozaffarian</w:t>
                            </w:r>
                            <w:proofErr w:type="spellEnd"/>
                            <w:r w:rsidRPr="007F4DED">
                              <w:rPr>
                                <w:rFonts w:ascii="Arial" w:hAnsi="Arial" w:cs="Arial"/>
                              </w:rPr>
                              <w:t xml:space="preserve"> et al., 2011)</w:t>
                            </w:r>
                          </w:p>
                          <w:p w14:paraId="1E11CC71" w14:textId="77777777" w:rsidR="00921FDD" w:rsidRPr="00786B12" w:rsidRDefault="00921FDD" w:rsidP="00786B12">
                            <w:pPr>
                              <w:spacing w:line="360" w:lineRule="auto"/>
                              <w:jc w:val="center"/>
                              <w:rPr>
                                <w:rFonts w:ascii="Arial" w:hAnsi="Arial" w:cs="Arial"/>
                              </w:rPr>
                            </w:pPr>
                          </w:p>
                          <w:p w14:paraId="2BDCC173" w14:textId="77777777" w:rsidR="00921FDD" w:rsidRPr="00786B12" w:rsidRDefault="00921FDD" w:rsidP="00786B12">
                            <w:pPr>
                              <w:pStyle w:val="ListParagraph"/>
                              <w:numPr>
                                <w:ilvl w:val="0"/>
                                <w:numId w:val="3"/>
                              </w:numPr>
                              <w:spacing w:line="360" w:lineRule="auto"/>
                              <w:jc w:val="center"/>
                              <w:rPr>
                                <w:rFonts w:ascii="Arial" w:hAnsi="Arial" w:cs="Arial"/>
                              </w:rPr>
                            </w:pPr>
                            <w:r w:rsidRPr="00CE0A53">
                              <w:rPr>
                                <w:rFonts w:ascii="Arial" w:hAnsi="Arial" w:cs="Arial"/>
                                <w:shd w:val="clear" w:color="auto" w:fill="C2E1F6" w:themeFill="text2" w:themeFillTint="33"/>
                              </w:rPr>
                              <w:t>Hypertension (Turnbull et al., 2009</w:t>
                            </w:r>
                            <w:r w:rsidRPr="00786B12">
                              <w:rPr>
                                <w:rFonts w:ascii="Arial" w:hAnsi="Arial" w:cs="Arial"/>
                              </w:rPr>
                              <w:t>)</w:t>
                            </w:r>
                          </w:p>
                          <w:p w14:paraId="4EF62DAC" w14:textId="77777777" w:rsidR="00921FDD" w:rsidRDefault="00921FDD" w:rsidP="00921FDD">
                            <w:pPr>
                              <w:jc w:val="center"/>
                            </w:pPr>
                          </w:p>
                          <w:p w14:paraId="09A1FD30" w14:textId="5542F19B" w:rsidR="00921FDD" w:rsidRDefault="00921FDD" w:rsidP="00786B12">
                            <w:pPr>
                              <w:pStyle w:val="ListParagraph"/>
                              <w:numPr>
                                <w:ilvl w:val="0"/>
                                <w:numId w:val="3"/>
                              </w:numPr>
                              <w:jc w:val="center"/>
                            </w:pPr>
                            <w:r>
                              <w:t>Smoking (Willi et al., 2007)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99E0AE" id="Flowchart: Alternative Process 7" o:spid="_x0000_s1030" type="#_x0000_t176" style="position:absolute;margin-left:244.7pt;margin-top:9.75pt;width:240.4pt;height:276.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" fillcolor="#052f61 [3204]" strokecolor="#00060e [484]" strokeweight="1.25pt">
                <v:stroke endcap="round"/>
                <v:textbox>
                  <w:txbxContent>
                    <w:p w14:paraId="50D594B2" w14:textId="275EAC36" w:rsidR="00921FDD" w:rsidRPr="00786B12" w:rsidRDefault="00921FDD" w:rsidP="00CE0A53">
                      <w:pPr>
                        <w:pStyle w:val="ListParagraph"/>
                        <w:numPr>
                          <w:ilvl w:val="0"/>
                          <w:numId w:val="3"/>
                        </w:numPr>
                        <w:shd w:val="clear" w:color="auto" w:fill="C2E1F6" w:themeFill="text2" w:themeFillTint="33"/>
                        <w:spacing w:line="360" w:lineRule="auto"/>
                        <w:jc w:val="center"/>
                        <w:rPr>
                          <w:rFonts w:ascii="Arial" w:hAnsi="Arial" w:cs="Arial"/>
                        </w:rPr>
                      </w:pPr>
                      <w:r w:rsidRPr="00786B12">
                        <w:rPr>
                          <w:rFonts w:ascii="Arial" w:hAnsi="Arial" w:cs="Arial"/>
                        </w:rPr>
                        <w:t>Overweight and obesity (Diabetes UK, 2023)</w:t>
                      </w:r>
                    </w:p>
                    <w:p w14:paraId="2CB651B3" w14:textId="77777777" w:rsidR="00921FDD" w:rsidRPr="00786B12" w:rsidRDefault="00921FDD" w:rsidP="00786B12">
                      <w:pPr>
                        <w:spacing w:line="360" w:lineRule="auto"/>
                        <w:jc w:val="center"/>
                        <w:rPr>
                          <w:rFonts w:ascii="Arial" w:hAnsi="Arial" w:cs="Arial"/>
                        </w:rPr>
                      </w:pPr>
                    </w:p>
                    <w:p w14:paraId="6968FC1E" w14:textId="77777777" w:rsidR="00921FDD" w:rsidRPr="00786B12" w:rsidRDefault="00921FDD" w:rsidP="00CE0A53">
                      <w:pPr>
                        <w:pStyle w:val="ListParagraph"/>
                        <w:numPr>
                          <w:ilvl w:val="0"/>
                          <w:numId w:val="3"/>
                        </w:numPr>
                        <w:shd w:val="clear" w:color="auto" w:fill="C2E1F6" w:themeFill="text2" w:themeFillTint="33"/>
                        <w:spacing w:line="360" w:lineRule="auto"/>
                        <w:jc w:val="center"/>
                        <w:rPr>
                          <w:rFonts w:ascii="Arial" w:hAnsi="Arial" w:cs="Arial"/>
                        </w:rPr>
                      </w:pPr>
                      <w:r w:rsidRPr="00786B12">
                        <w:rPr>
                          <w:rFonts w:ascii="Arial" w:hAnsi="Arial" w:cs="Arial"/>
                        </w:rPr>
                        <w:t>Physical inactivity (Jeon et al., 2007)</w:t>
                      </w:r>
                    </w:p>
                    <w:p w14:paraId="7B9CFEA9" w14:textId="77777777" w:rsidR="00921FDD" w:rsidRPr="00786B12" w:rsidRDefault="00921FDD" w:rsidP="00786B12">
                      <w:pPr>
                        <w:spacing w:line="360" w:lineRule="auto"/>
                        <w:jc w:val="center"/>
                        <w:rPr>
                          <w:rFonts w:ascii="Arial" w:hAnsi="Arial" w:cs="Arial"/>
                        </w:rPr>
                      </w:pPr>
                    </w:p>
                    <w:p w14:paraId="50E28B96" w14:textId="44FB6C4D" w:rsidR="00921FDD" w:rsidRPr="007F4DED" w:rsidRDefault="00921FDD" w:rsidP="00CE0A53">
                      <w:pPr>
                        <w:pStyle w:val="ListParagraph"/>
                        <w:numPr>
                          <w:ilvl w:val="0"/>
                          <w:numId w:val="3"/>
                        </w:numPr>
                        <w:shd w:val="clear" w:color="auto" w:fill="C2E1F6" w:themeFill="text2" w:themeFillTint="33"/>
                        <w:spacing w:line="360" w:lineRule="auto"/>
                        <w:jc w:val="center"/>
                        <w:rPr>
                          <w:rFonts w:ascii="Arial" w:hAnsi="Arial" w:cs="Arial"/>
                        </w:rPr>
                      </w:pPr>
                      <w:r w:rsidRPr="00786B12">
                        <w:rPr>
                          <w:rFonts w:ascii="Arial" w:hAnsi="Arial" w:cs="Arial"/>
                        </w:rPr>
                        <w:t xml:space="preserve">Unhealthy diet </w:t>
                      </w:r>
                      <w:r w:rsidRPr="007F4DED">
                        <w:rPr>
                          <w:rFonts w:ascii="Arial" w:hAnsi="Arial" w:cs="Arial"/>
                        </w:rPr>
                        <w:t>(</w:t>
                      </w:r>
                      <w:proofErr w:type="spellStart"/>
                      <w:r w:rsidRPr="007F4DED">
                        <w:rPr>
                          <w:rFonts w:ascii="Arial" w:hAnsi="Arial" w:cs="Arial"/>
                        </w:rPr>
                        <w:t>Mozaffarian</w:t>
                      </w:r>
                      <w:proofErr w:type="spellEnd"/>
                      <w:r w:rsidRPr="007F4DED">
                        <w:rPr>
                          <w:rFonts w:ascii="Arial" w:hAnsi="Arial" w:cs="Arial"/>
                        </w:rPr>
                        <w:t xml:space="preserve"> et al., 2011)</w:t>
                      </w:r>
                    </w:p>
                    <w:p w14:paraId="1E11CC71" w14:textId="77777777" w:rsidR="00921FDD" w:rsidRPr="00786B12" w:rsidRDefault="00921FDD" w:rsidP="00786B12">
                      <w:pPr>
                        <w:spacing w:line="360" w:lineRule="auto"/>
                        <w:jc w:val="center"/>
                        <w:rPr>
                          <w:rFonts w:ascii="Arial" w:hAnsi="Arial" w:cs="Arial"/>
                        </w:rPr>
                      </w:pPr>
                    </w:p>
                    <w:p w14:paraId="2BDCC173" w14:textId="77777777" w:rsidR="00921FDD" w:rsidRPr="00786B12" w:rsidRDefault="00921FDD" w:rsidP="00786B12">
                      <w:pPr>
                        <w:pStyle w:val="ListParagraph"/>
                        <w:numPr>
                          <w:ilvl w:val="0"/>
                          <w:numId w:val="3"/>
                        </w:numPr>
                        <w:spacing w:line="360" w:lineRule="auto"/>
                        <w:jc w:val="center"/>
                        <w:rPr>
                          <w:rFonts w:ascii="Arial" w:hAnsi="Arial" w:cs="Arial"/>
                        </w:rPr>
                      </w:pPr>
                      <w:r w:rsidRPr="00CE0A53">
                        <w:rPr>
                          <w:rFonts w:ascii="Arial" w:hAnsi="Arial" w:cs="Arial"/>
                          <w:shd w:val="clear" w:color="auto" w:fill="C2E1F6" w:themeFill="text2" w:themeFillTint="33"/>
                        </w:rPr>
                        <w:t>Hypertension (Turnbull et al., 2009</w:t>
                      </w:r>
                      <w:r w:rsidRPr="00786B12">
                        <w:rPr>
                          <w:rFonts w:ascii="Arial" w:hAnsi="Arial" w:cs="Arial"/>
                        </w:rPr>
                        <w:t>)</w:t>
                      </w:r>
                    </w:p>
                    <w:p w14:paraId="4EF62DAC" w14:textId="77777777" w:rsidR="00921FDD" w:rsidRDefault="00921FDD" w:rsidP="00921FDD">
                      <w:pPr>
                        <w:jc w:val="center"/>
                      </w:pPr>
                    </w:p>
                    <w:p w14:paraId="09A1FD30" w14:textId="5542F19B" w:rsidR="00921FDD" w:rsidRDefault="00921FDD" w:rsidP="00786B12">
                      <w:pPr>
                        <w:pStyle w:val="ListParagraph"/>
                        <w:numPr>
                          <w:ilvl w:val="0"/>
                          <w:numId w:val="3"/>
                        </w:numPr>
                        <w:jc w:val="center"/>
                      </w:pPr>
                      <w:r>
                        <w:t>Smoking (Willi et al., 2007)</w:t>
                      </w:r>
                    </w:p>
                  </w:txbxContent>
                </v:textbox>
              </v:shape>
            </w:pict>
          </mc:Fallback>
        </mc:AlternateContent>
      </w:r>
      <w:r w:rsidRPr="00AA076A">
        <w:rPr>
          <w:rFonts w:ascii="Arial" w:hAnsi="Arial" w:cs="Arial"/>
          <w:b/>
          <w:bCs/>
          <w:noProof/>
          <w:color w:val="76DBF4" w:themeColor="background2"/>
          <w:sz w:val="22"/>
          <w:szCs w:val="22"/>
        </w:rPr>
        <mc:AlternateContent>
          <mc:Choice Requires="wps">
            <w:drawing>
              <wp:anchor distT="0" distB="0" distL="114300" distR="114300" simplePos="0" relativeHeight="251662336" behindDoc="0" locked="0" layoutInCell="1" allowOverlap="1" wp14:anchorId="549AD9F2" wp14:editId="14D91515">
                <wp:simplePos x="0" y="0"/>
                <wp:positionH relativeFrom="column">
                  <wp:posOffset>-330778</wp:posOffset>
                </wp:positionH>
                <wp:positionV relativeFrom="paragraph">
                  <wp:posOffset>168768</wp:posOffset>
                </wp:positionV>
                <wp:extent cx="2949934" cy="3513924"/>
                <wp:effectExtent l="0" t="0" r="22225" b="10795"/>
                <wp:wrapNone/>
                <wp:docPr id="956676992" name="Rectangle: Rounded Corners 6"/>
                <wp:cNvGraphicFramePr/>
                <a:graphic xmlns:a="http://schemas.openxmlformats.org/drawingml/2006/main">
                  <a:graphicData uri="http://schemas.microsoft.com/office/word/2010/wordprocessingShape">
                    <wps:wsp>
                      <wps:cNvSpPr/>
                      <wps:spPr>
                        <a:xfrm>
                          <a:off x="0" y="0"/>
                          <a:ext cx="2949934" cy="3513924"/>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77E1F74" w14:textId="77777777" w:rsidR="00DB04B2" w:rsidRPr="00786B12" w:rsidRDefault="00DB04B2" w:rsidP="00CE0A53">
                            <w:pPr>
                              <w:pStyle w:val="ListParagraph"/>
                              <w:numPr>
                                <w:ilvl w:val="0"/>
                                <w:numId w:val="2"/>
                              </w:numPr>
                              <w:shd w:val="clear" w:color="auto" w:fill="C2E1F6" w:themeFill="text2" w:themeFillTint="33"/>
                              <w:spacing w:line="360" w:lineRule="auto"/>
                              <w:jc w:val="center"/>
                              <w:rPr>
                                <w:rFonts w:ascii="Arial" w:hAnsi="Arial" w:cs="Arial"/>
                              </w:rPr>
                            </w:pPr>
                            <w:r w:rsidRPr="00786B12">
                              <w:rPr>
                                <w:rFonts w:ascii="Arial" w:hAnsi="Arial" w:cs="Arial"/>
                              </w:rPr>
                              <w:t>Age &gt;40 (or &gt;25 in high-risk ethnic groups) (NHS, 2023)</w:t>
                            </w:r>
                          </w:p>
                          <w:p w14:paraId="3C89A1AC" w14:textId="77777777" w:rsidR="00DB04B2" w:rsidRPr="00786B12" w:rsidRDefault="00DB04B2" w:rsidP="00786B12">
                            <w:pPr>
                              <w:spacing w:line="360" w:lineRule="auto"/>
                              <w:jc w:val="center"/>
                              <w:rPr>
                                <w:rFonts w:ascii="Arial" w:hAnsi="Arial" w:cs="Arial"/>
                              </w:rPr>
                            </w:pPr>
                          </w:p>
                          <w:p w14:paraId="070C1922" w14:textId="77777777" w:rsidR="00DB04B2" w:rsidRPr="00786B12" w:rsidRDefault="00DB04B2" w:rsidP="00CE0A53">
                            <w:pPr>
                              <w:pStyle w:val="ListParagraph"/>
                              <w:numPr>
                                <w:ilvl w:val="0"/>
                                <w:numId w:val="2"/>
                              </w:numPr>
                              <w:shd w:val="clear" w:color="auto" w:fill="C2E1F6" w:themeFill="text2" w:themeFillTint="33"/>
                              <w:spacing w:line="360" w:lineRule="auto"/>
                              <w:jc w:val="center"/>
                              <w:rPr>
                                <w:rFonts w:ascii="Arial" w:hAnsi="Arial" w:cs="Arial"/>
                              </w:rPr>
                            </w:pPr>
                            <w:r w:rsidRPr="00786B12">
                              <w:rPr>
                                <w:rFonts w:ascii="Arial" w:hAnsi="Arial" w:cs="Arial"/>
                              </w:rPr>
                              <w:t>Family history (Meigs et al., 2000)</w:t>
                            </w:r>
                          </w:p>
                          <w:p w14:paraId="762CD210" w14:textId="77777777" w:rsidR="00DB04B2" w:rsidRPr="00786B12" w:rsidRDefault="00DB04B2" w:rsidP="00786B12">
                            <w:pPr>
                              <w:spacing w:line="360" w:lineRule="auto"/>
                              <w:jc w:val="center"/>
                              <w:rPr>
                                <w:rFonts w:ascii="Arial" w:hAnsi="Arial" w:cs="Arial"/>
                              </w:rPr>
                            </w:pPr>
                          </w:p>
                          <w:p w14:paraId="3083B02A" w14:textId="77777777" w:rsidR="00DB04B2" w:rsidRPr="00786B12" w:rsidRDefault="00DB04B2" w:rsidP="00CE0A53">
                            <w:pPr>
                              <w:pStyle w:val="ListParagraph"/>
                              <w:numPr>
                                <w:ilvl w:val="0"/>
                                <w:numId w:val="2"/>
                              </w:numPr>
                              <w:shd w:val="clear" w:color="auto" w:fill="C2E1F6" w:themeFill="text2" w:themeFillTint="33"/>
                              <w:spacing w:line="360" w:lineRule="auto"/>
                              <w:jc w:val="center"/>
                              <w:rPr>
                                <w:rFonts w:ascii="Arial" w:hAnsi="Arial" w:cs="Arial"/>
                              </w:rPr>
                            </w:pPr>
                            <w:r w:rsidRPr="00786B12">
                              <w:rPr>
                                <w:rFonts w:ascii="Arial" w:hAnsi="Arial" w:cs="Arial"/>
                              </w:rPr>
                              <w:t>Ethnicity (Saboo and Bhansali, 2013)</w:t>
                            </w:r>
                          </w:p>
                          <w:p w14:paraId="470A1AF1" w14:textId="77777777" w:rsidR="00DB04B2" w:rsidRPr="00786B12" w:rsidRDefault="00DB04B2" w:rsidP="00786B12">
                            <w:pPr>
                              <w:spacing w:line="360" w:lineRule="auto"/>
                              <w:jc w:val="center"/>
                              <w:rPr>
                                <w:rFonts w:ascii="Arial" w:hAnsi="Arial" w:cs="Arial"/>
                              </w:rPr>
                            </w:pPr>
                          </w:p>
                          <w:p w14:paraId="0BA23763" w14:textId="69B867AA" w:rsidR="00DB04B2" w:rsidRPr="00786B12" w:rsidRDefault="00DB04B2" w:rsidP="00CE0A53">
                            <w:pPr>
                              <w:pStyle w:val="ListParagraph"/>
                              <w:numPr>
                                <w:ilvl w:val="0"/>
                                <w:numId w:val="2"/>
                              </w:numPr>
                              <w:shd w:val="clear" w:color="auto" w:fill="C2E1F6" w:themeFill="text2" w:themeFillTint="33"/>
                              <w:spacing w:line="360" w:lineRule="auto"/>
                              <w:jc w:val="center"/>
                              <w:rPr>
                                <w:rFonts w:ascii="Arial" w:hAnsi="Arial" w:cs="Arial"/>
                              </w:rPr>
                            </w:pPr>
                            <w:r w:rsidRPr="00786B12">
                              <w:rPr>
                                <w:rFonts w:ascii="Arial" w:hAnsi="Arial" w:cs="Arial"/>
                              </w:rPr>
                              <w:t>History of gestational diabetes (Bellamy et al., 2009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9AD9F2" id="Rectangle: Rounded Corners 6" o:spid="_x0000_s1031" style="position:absolute;margin-left:-26.05pt;margin-top:13.3pt;width:232.3pt;height:276.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" fillcolor="#052f61 [3204]" strokecolor="#00060e [484]" strokeweight="1.25pt">
                <v:stroke endcap="round"/>
                <v:textbox>
                  <w:txbxContent>
                    <w:p w14:paraId="777E1F74" w14:textId="77777777" w:rsidR="00DB04B2" w:rsidRPr="00786B12" w:rsidRDefault="00DB04B2" w:rsidP="00CE0A53">
                      <w:pPr>
                        <w:pStyle w:val="ListParagraph"/>
                        <w:numPr>
                          <w:ilvl w:val="0"/>
                          <w:numId w:val="2"/>
                        </w:numPr>
                        <w:shd w:val="clear" w:color="auto" w:fill="C2E1F6" w:themeFill="text2" w:themeFillTint="33"/>
                        <w:spacing w:line="360" w:lineRule="auto"/>
                        <w:jc w:val="center"/>
                        <w:rPr>
                          <w:rFonts w:ascii="Arial" w:hAnsi="Arial" w:cs="Arial"/>
                        </w:rPr>
                      </w:pPr>
                      <w:r w:rsidRPr="00786B12">
                        <w:rPr>
                          <w:rFonts w:ascii="Arial" w:hAnsi="Arial" w:cs="Arial"/>
                        </w:rPr>
                        <w:t>Age &gt;40 (or &gt;25 in high-risk ethnic groups) (NHS, 2023)</w:t>
                      </w:r>
                    </w:p>
                    <w:p w14:paraId="3C89A1AC" w14:textId="77777777" w:rsidR="00DB04B2" w:rsidRPr="00786B12" w:rsidRDefault="00DB04B2" w:rsidP="00786B12">
                      <w:pPr>
                        <w:spacing w:line="360" w:lineRule="auto"/>
                        <w:jc w:val="center"/>
                        <w:rPr>
                          <w:rFonts w:ascii="Arial" w:hAnsi="Arial" w:cs="Arial"/>
                        </w:rPr>
                      </w:pPr>
                    </w:p>
                    <w:p w14:paraId="070C1922" w14:textId="77777777" w:rsidR="00DB04B2" w:rsidRPr="00786B12" w:rsidRDefault="00DB04B2" w:rsidP="00CE0A53">
                      <w:pPr>
                        <w:pStyle w:val="ListParagraph"/>
                        <w:numPr>
                          <w:ilvl w:val="0"/>
                          <w:numId w:val="2"/>
                        </w:numPr>
                        <w:shd w:val="clear" w:color="auto" w:fill="C2E1F6" w:themeFill="text2" w:themeFillTint="33"/>
                        <w:spacing w:line="360" w:lineRule="auto"/>
                        <w:jc w:val="center"/>
                        <w:rPr>
                          <w:rFonts w:ascii="Arial" w:hAnsi="Arial" w:cs="Arial"/>
                        </w:rPr>
                      </w:pPr>
                      <w:r w:rsidRPr="00786B12">
                        <w:rPr>
                          <w:rFonts w:ascii="Arial" w:hAnsi="Arial" w:cs="Arial"/>
                        </w:rPr>
                        <w:t>Family history (Meigs et al., 2000)</w:t>
                      </w:r>
                    </w:p>
                    <w:p w14:paraId="762CD210" w14:textId="77777777" w:rsidR="00DB04B2" w:rsidRPr="00786B12" w:rsidRDefault="00DB04B2" w:rsidP="00786B12">
                      <w:pPr>
                        <w:spacing w:line="360" w:lineRule="auto"/>
                        <w:jc w:val="center"/>
                        <w:rPr>
                          <w:rFonts w:ascii="Arial" w:hAnsi="Arial" w:cs="Arial"/>
                        </w:rPr>
                      </w:pPr>
                    </w:p>
                    <w:p w14:paraId="3083B02A" w14:textId="77777777" w:rsidR="00DB04B2" w:rsidRPr="00786B12" w:rsidRDefault="00DB04B2" w:rsidP="00CE0A53">
                      <w:pPr>
                        <w:pStyle w:val="ListParagraph"/>
                        <w:numPr>
                          <w:ilvl w:val="0"/>
                          <w:numId w:val="2"/>
                        </w:numPr>
                        <w:shd w:val="clear" w:color="auto" w:fill="C2E1F6" w:themeFill="text2" w:themeFillTint="33"/>
                        <w:spacing w:line="360" w:lineRule="auto"/>
                        <w:jc w:val="center"/>
                        <w:rPr>
                          <w:rFonts w:ascii="Arial" w:hAnsi="Arial" w:cs="Arial"/>
                        </w:rPr>
                      </w:pPr>
                      <w:r w:rsidRPr="00786B12">
                        <w:rPr>
                          <w:rFonts w:ascii="Arial" w:hAnsi="Arial" w:cs="Arial"/>
                        </w:rPr>
                        <w:t>Ethnicity (Saboo and Bhansali, 2013)</w:t>
                      </w:r>
                    </w:p>
                    <w:p w14:paraId="470A1AF1" w14:textId="77777777" w:rsidR="00DB04B2" w:rsidRPr="00786B12" w:rsidRDefault="00DB04B2" w:rsidP="00786B12">
                      <w:pPr>
                        <w:spacing w:line="360" w:lineRule="auto"/>
                        <w:jc w:val="center"/>
                        <w:rPr>
                          <w:rFonts w:ascii="Arial" w:hAnsi="Arial" w:cs="Arial"/>
                        </w:rPr>
                      </w:pPr>
                    </w:p>
                    <w:p w14:paraId="0BA23763" w14:textId="69B867AA" w:rsidR="00DB04B2" w:rsidRPr="00786B12" w:rsidRDefault="00DB04B2" w:rsidP="00CE0A53">
                      <w:pPr>
                        <w:pStyle w:val="ListParagraph"/>
                        <w:numPr>
                          <w:ilvl w:val="0"/>
                          <w:numId w:val="2"/>
                        </w:numPr>
                        <w:shd w:val="clear" w:color="auto" w:fill="C2E1F6" w:themeFill="text2" w:themeFillTint="33"/>
                        <w:spacing w:line="360" w:lineRule="auto"/>
                        <w:jc w:val="center"/>
                        <w:rPr>
                          <w:rFonts w:ascii="Arial" w:hAnsi="Arial" w:cs="Arial"/>
                        </w:rPr>
                      </w:pPr>
                      <w:r w:rsidRPr="00786B12">
                        <w:rPr>
                          <w:rFonts w:ascii="Arial" w:hAnsi="Arial" w:cs="Arial"/>
                        </w:rPr>
                        <w:t>History of gestational diabetes (Bellamy et al., 2009</w:t>
                      </w:r>
                    </w:p>
                  </w:txbxContent>
                </v:textbox>
              </v:roundrect>
            </w:pict>
          </mc:Fallback>
        </mc:AlternateContent>
      </w:r>
    </w:p>
    <w:p w14:paraId="7B47C597" w14:textId="5055EF14" w:rsidR="00187DF1" w:rsidRPr="00AA076A" w:rsidRDefault="00187DF1" w:rsidP="00AA076A">
      <w:pPr>
        <w:spacing w:line="360" w:lineRule="auto"/>
        <w:rPr>
          <w:rFonts w:ascii="Arial" w:hAnsi="Arial" w:cs="Arial"/>
          <w:b/>
          <w:bCs/>
          <w:color w:val="1E92DF" w:themeColor="text2" w:themeTint="BF"/>
          <w:sz w:val="22"/>
          <w:szCs w:val="22"/>
        </w:rPr>
      </w:pPr>
    </w:p>
    <w:p w14:paraId="109C7D03" w14:textId="32E14ACA" w:rsidR="00786B12" w:rsidRPr="00AA076A" w:rsidRDefault="00786B12" w:rsidP="00AA076A">
      <w:pPr>
        <w:spacing w:line="360" w:lineRule="auto"/>
        <w:rPr>
          <w:rFonts w:ascii="Arial" w:hAnsi="Arial" w:cs="Arial"/>
          <w:b/>
          <w:bCs/>
          <w:color w:val="1E92DF" w:themeColor="text2" w:themeTint="BF"/>
          <w:sz w:val="22"/>
          <w:szCs w:val="22"/>
        </w:rPr>
      </w:pPr>
    </w:p>
    <w:p w14:paraId="375B8EDE" w14:textId="5700BE8D" w:rsidR="00786B12" w:rsidRPr="00AA076A" w:rsidRDefault="00786B12" w:rsidP="00AA076A">
      <w:pPr>
        <w:spacing w:line="360" w:lineRule="auto"/>
        <w:rPr>
          <w:rFonts w:ascii="Arial" w:hAnsi="Arial" w:cs="Arial"/>
          <w:b/>
          <w:bCs/>
          <w:color w:val="1E92DF" w:themeColor="text2" w:themeTint="BF"/>
          <w:sz w:val="22"/>
          <w:szCs w:val="22"/>
        </w:rPr>
      </w:pPr>
    </w:p>
    <w:p w14:paraId="535AB919" w14:textId="69D98550" w:rsidR="00786B12" w:rsidRPr="00AA076A" w:rsidRDefault="00786B12" w:rsidP="00AA076A">
      <w:pPr>
        <w:spacing w:line="360" w:lineRule="auto"/>
        <w:rPr>
          <w:rFonts w:ascii="Arial" w:hAnsi="Arial" w:cs="Arial"/>
          <w:b/>
          <w:bCs/>
          <w:color w:val="1E92DF" w:themeColor="text2" w:themeTint="BF"/>
          <w:sz w:val="22"/>
          <w:szCs w:val="22"/>
        </w:rPr>
      </w:pPr>
    </w:p>
    <w:p w14:paraId="5E51FD78" w14:textId="77777777" w:rsidR="00786B12" w:rsidRPr="00AA076A" w:rsidRDefault="00786B12" w:rsidP="00AA076A">
      <w:pPr>
        <w:spacing w:line="360" w:lineRule="auto"/>
        <w:rPr>
          <w:rFonts w:ascii="Arial" w:hAnsi="Arial" w:cs="Arial"/>
          <w:b/>
          <w:bCs/>
          <w:color w:val="1E92DF" w:themeColor="text2" w:themeTint="BF"/>
          <w:sz w:val="22"/>
          <w:szCs w:val="22"/>
        </w:rPr>
      </w:pPr>
    </w:p>
    <w:p w14:paraId="63F4A487" w14:textId="6CBF4FD9" w:rsidR="00786B12" w:rsidRPr="00AA076A" w:rsidRDefault="00786B12" w:rsidP="00AA076A">
      <w:pPr>
        <w:spacing w:line="360" w:lineRule="auto"/>
        <w:rPr>
          <w:rFonts w:ascii="Arial" w:hAnsi="Arial" w:cs="Arial"/>
          <w:b/>
          <w:bCs/>
          <w:color w:val="1E92DF" w:themeColor="text2" w:themeTint="BF"/>
          <w:sz w:val="22"/>
          <w:szCs w:val="22"/>
        </w:rPr>
      </w:pPr>
    </w:p>
    <w:p w14:paraId="5439AD6D" w14:textId="28682AA4" w:rsidR="00786B12" w:rsidRPr="00AA076A" w:rsidRDefault="00786B12" w:rsidP="00AA076A">
      <w:pPr>
        <w:spacing w:line="360" w:lineRule="auto"/>
        <w:rPr>
          <w:rFonts w:ascii="Arial" w:hAnsi="Arial" w:cs="Arial"/>
          <w:b/>
          <w:bCs/>
          <w:color w:val="1E92DF" w:themeColor="text2" w:themeTint="BF"/>
          <w:sz w:val="22"/>
          <w:szCs w:val="22"/>
        </w:rPr>
      </w:pPr>
    </w:p>
    <w:p w14:paraId="14F8283D" w14:textId="77777777" w:rsidR="00786B12" w:rsidRPr="00AA076A" w:rsidRDefault="00786B12" w:rsidP="00AA076A">
      <w:pPr>
        <w:spacing w:line="360" w:lineRule="auto"/>
        <w:rPr>
          <w:rFonts w:ascii="Arial" w:hAnsi="Arial" w:cs="Arial"/>
          <w:b/>
          <w:bCs/>
          <w:color w:val="1E92DF" w:themeColor="text2" w:themeTint="BF"/>
          <w:sz w:val="22"/>
          <w:szCs w:val="22"/>
        </w:rPr>
      </w:pPr>
    </w:p>
    <w:p w14:paraId="755040C4" w14:textId="77777777" w:rsidR="00485947" w:rsidRPr="00AA076A" w:rsidRDefault="00485947" w:rsidP="00AA076A">
      <w:pPr>
        <w:spacing w:line="360" w:lineRule="auto"/>
        <w:rPr>
          <w:rFonts w:ascii="Arial" w:hAnsi="Arial" w:cs="Arial"/>
          <w:b/>
          <w:bCs/>
          <w:color w:val="1E92DF" w:themeColor="text2" w:themeTint="BF"/>
          <w:sz w:val="22"/>
          <w:szCs w:val="22"/>
        </w:rPr>
      </w:pPr>
    </w:p>
    <w:p w14:paraId="5D73EEDB" w14:textId="77777777" w:rsidR="004774F4" w:rsidRDefault="004774F4" w:rsidP="00AA076A">
      <w:pPr>
        <w:spacing w:line="360" w:lineRule="auto"/>
        <w:rPr>
          <w:rFonts w:ascii="Arial" w:hAnsi="Arial" w:cs="Arial"/>
          <w:b/>
          <w:bCs/>
          <w:color w:val="1E92DF" w:themeColor="text2" w:themeTint="BF"/>
          <w:sz w:val="22"/>
          <w:szCs w:val="22"/>
        </w:rPr>
      </w:pPr>
    </w:p>
    <w:p w14:paraId="38C7A7C1" w14:textId="77777777" w:rsidR="00A01F82" w:rsidRDefault="00A01F82" w:rsidP="00955ABF">
      <w:pPr>
        <w:spacing w:line="360" w:lineRule="auto"/>
        <w:rPr>
          <w:rFonts w:ascii="Arial" w:hAnsi="Arial" w:cs="Arial"/>
          <w:b/>
          <w:bCs/>
          <w:color w:val="0F486E" w:themeColor="text2" w:themeShade="BF"/>
          <w:sz w:val="22"/>
          <w:szCs w:val="22"/>
        </w:rPr>
      </w:pPr>
    </w:p>
    <w:p w14:paraId="32FEF243" w14:textId="77777777" w:rsidR="00A01F82" w:rsidRDefault="007F4DED" w:rsidP="00A01F82">
      <w:pPr>
        <w:spacing w:line="360" w:lineRule="auto"/>
        <w:rPr>
          <w:rFonts w:ascii="Arial" w:hAnsi="Arial" w:cs="Arial"/>
          <w:b/>
          <w:bCs/>
          <w:color w:val="0F486E" w:themeColor="text2" w:themeShade="BF"/>
          <w:sz w:val="22"/>
          <w:szCs w:val="22"/>
        </w:rPr>
      </w:pPr>
      <w:r w:rsidRPr="00AA076A">
        <w:rPr>
          <w:rFonts w:ascii="Arial" w:hAnsi="Arial" w:cs="Arial"/>
          <w:b/>
          <w:bCs/>
          <w:color w:val="0F486E" w:themeColor="text2" w:themeShade="BF"/>
          <w:sz w:val="22"/>
          <w:szCs w:val="22"/>
        </w:rPr>
        <w:t>T2DM must therefore be understood not simply as an individual lifestyle condition, but as one shaped by social determinants including deprivation, food environments and housing (Marmot, 2020)</w:t>
      </w:r>
      <w:bookmarkStart w:id="4" w:name="_Toc223067585"/>
    </w:p>
    <w:p w14:paraId="1A9A154A" w14:textId="41CEBB94" w:rsidR="00472EF4" w:rsidRPr="00A01F82" w:rsidRDefault="00472EF4" w:rsidP="00A01F82">
      <w:pPr>
        <w:spacing w:line="360" w:lineRule="auto"/>
        <w:rPr>
          <w:rFonts w:ascii="Arial" w:hAnsi="Arial" w:cs="Arial"/>
          <w:b/>
          <w:bCs/>
          <w:color w:val="0F486E" w:themeColor="text2" w:themeShade="BF"/>
          <w:sz w:val="22"/>
          <w:szCs w:val="22"/>
        </w:rPr>
      </w:pPr>
      <w:r w:rsidRPr="001F059E">
        <w:rPr>
          <w:rFonts w:ascii="Arial" w:hAnsi="Arial" w:cs="Arial"/>
          <w:b/>
          <w:bCs/>
          <w:color w:val="167AF3" w:themeColor="accent1" w:themeTint="99"/>
          <w:sz w:val="32"/>
          <w:szCs w:val="32"/>
        </w:rPr>
        <w:lastRenderedPageBreak/>
        <w:t>Pharmacological Management</w:t>
      </w:r>
      <w:bookmarkEnd w:id="4"/>
    </w:p>
    <w:p w14:paraId="3BA636E6" w14:textId="77777777" w:rsidR="001F059E" w:rsidRPr="001F059E" w:rsidRDefault="001F059E" w:rsidP="001F059E"/>
    <w:p w14:paraId="18B82ABC" w14:textId="7D7F008F" w:rsidR="00472EF4" w:rsidRDefault="00472EF4" w:rsidP="00472EF4">
      <w:pPr>
        <w:spacing w:line="360" w:lineRule="auto"/>
        <w:rPr>
          <w:rFonts w:ascii="Arial" w:hAnsi="Arial" w:cs="Arial"/>
          <w:b/>
          <w:bCs/>
          <w:color w:val="0F486E" w:themeColor="text2" w:themeShade="BF"/>
          <w:sz w:val="22"/>
          <w:szCs w:val="22"/>
        </w:rPr>
      </w:pPr>
      <w:r>
        <w:rPr>
          <w:rFonts w:ascii="Arial" w:hAnsi="Arial" w:cs="Arial"/>
          <w:b/>
          <w:bCs/>
          <w:noProof/>
          <w:color w:val="0F486E" w:themeColor="text2" w:themeShade="BF"/>
          <w:sz w:val="22"/>
          <w:szCs w:val="22"/>
        </w:rPr>
        <w:drawing>
          <wp:inline distT="0" distB="0" distL="0" distR="0" wp14:anchorId="0C45798B" wp14:editId="60548C41">
            <wp:extent cx="1889760" cy="304800"/>
            <wp:effectExtent l="0" t="0" r="0" b="0"/>
            <wp:docPr id="1613360349"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89760" cy="304800"/>
                    </a:xfrm>
                    <a:prstGeom prst="rect">
                      <a:avLst/>
                    </a:prstGeom>
                    <a:noFill/>
                  </pic:spPr>
                </pic:pic>
              </a:graphicData>
            </a:graphic>
          </wp:inline>
        </w:drawing>
      </w:r>
    </w:p>
    <w:p w14:paraId="0C7C6A6A" w14:textId="31CB1BD5" w:rsidR="00B71D4A" w:rsidRDefault="00472EF4" w:rsidP="003F198A">
      <w:pPr>
        <w:spacing w:line="360" w:lineRule="auto"/>
        <w:rPr>
          <w:rFonts w:ascii="Arial" w:hAnsi="Arial" w:cs="Arial"/>
          <w:b/>
          <w:bCs/>
          <w:color w:val="0F486E" w:themeColor="text2" w:themeShade="BF"/>
          <w:sz w:val="22"/>
          <w:szCs w:val="22"/>
        </w:rPr>
      </w:pPr>
      <w:r>
        <w:rPr>
          <w:rFonts w:ascii="Arial" w:hAnsi="Arial" w:cs="Arial"/>
          <w:b/>
          <w:bCs/>
          <w:noProof/>
          <w:color w:val="0F486E" w:themeColor="text2" w:themeShade="BF"/>
          <w:sz w:val="22"/>
          <w:szCs w:val="22"/>
        </w:rPr>
        <w:drawing>
          <wp:inline distT="0" distB="0" distL="0" distR="0" wp14:anchorId="769DC07F" wp14:editId="44624499">
            <wp:extent cx="1732829" cy="2223267"/>
            <wp:effectExtent l="0" t="0" r="1270" b="5715"/>
            <wp:docPr id="1123947936" name="Picture 56" descr="A screenshot of a blu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947936" name="Picture 56" descr="A screenshot of a blue screen&#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42385" cy="2235528"/>
                    </a:xfrm>
                    <a:prstGeom prst="rect">
                      <a:avLst/>
                    </a:prstGeom>
                    <a:noFill/>
                  </pic:spPr>
                </pic:pic>
              </a:graphicData>
            </a:graphic>
          </wp:inline>
        </w:drawing>
      </w:r>
      <w:r>
        <w:rPr>
          <w:rFonts w:ascii="Arial" w:hAnsi="Arial" w:cs="Arial"/>
          <w:b/>
          <w:bCs/>
          <w:noProof/>
          <w:color w:val="0F486E" w:themeColor="text2" w:themeShade="BF"/>
          <w:sz w:val="22"/>
          <w:szCs w:val="22"/>
        </w:rPr>
        <w:drawing>
          <wp:inline distT="0" distB="0" distL="0" distR="0" wp14:anchorId="2598AF0D" wp14:editId="28A090AC">
            <wp:extent cx="3349586" cy="2232837"/>
            <wp:effectExtent l="0" t="0" r="3810" b="0"/>
            <wp:docPr id="643285306"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89155" cy="2259214"/>
                    </a:xfrm>
                    <a:prstGeom prst="rect">
                      <a:avLst/>
                    </a:prstGeom>
                    <a:noFill/>
                  </pic:spPr>
                </pic:pic>
              </a:graphicData>
            </a:graphic>
          </wp:inline>
        </w:drawing>
      </w:r>
      <w:r>
        <w:rPr>
          <w:rFonts w:ascii="Arial" w:hAnsi="Arial" w:cs="Arial"/>
          <w:b/>
          <w:bCs/>
          <w:color w:val="0F486E" w:themeColor="text2" w:themeShade="BF"/>
          <w:sz w:val="22"/>
          <w:szCs w:val="22"/>
        </w:rPr>
        <w:t xml:space="preserve">               </w:t>
      </w:r>
      <w:r>
        <w:rPr>
          <w:rFonts w:ascii="Arial" w:hAnsi="Arial" w:cs="Arial"/>
          <w:b/>
          <w:bCs/>
          <w:noProof/>
          <w:color w:val="0F486E" w:themeColor="text2" w:themeShade="BF"/>
          <w:sz w:val="22"/>
          <w:szCs w:val="22"/>
        </w:rPr>
        <w:drawing>
          <wp:inline distT="0" distB="0" distL="0" distR="0" wp14:anchorId="3C190FD6" wp14:editId="28814E66">
            <wp:extent cx="1420495" cy="152400"/>
            <wp:effectExtent l="0" t="0" r="8255" b="0"/>
            <wp:docPr id="1115786673"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20495" cy="152400"/>
                    </a:xfrm>
                    <a:prstGeom prst="rect">
                      <a:avLst/>
                    </a:prstGeom>
                    <a:noFill/>
                  </pic:spPr>
                </pic:pic>
              </a:graphicData>
            </a:graphic>
          </wp:inline>
        </w:drawing>
      </w:r>
    </w:p>
    <w:p w14:paraId="75B984D7" w14:textId="77777777" w:rsidR="001F059E" w:rsidRDefault="001F059E" w:rsidP="00AA076A">
      <w:pPr>
        <w:spacing w:line="360" w:lineRule="auto"/>
        <w:rPr>
          <w:rFonts w:ascii="Arial" w:hAnsi="Arial" w:cs="Arial"/>
          <w:b/>
          <w:bCs/>
          <w:color w:val="0F486E" w:themeColor="text2" w:themeShade="BF"/>
          <w:sz w:val="22"/>
          <w:szCs w:val="22"/>
        </w:rPr>
      </w:pPr>
    </w:p>
    <w:p w14:paraId="11E5BAA5" w14:textId="53D2C8A4" w:rsidR="001F059E" w:rsidRPr="001F059E" w:rsidRDefault="00955ABF" w:rsidP="00955ABF">
      <w:pPr>
        <w:spacing w:line="360" w:lineRule="auto"/>
        <w:rPr>
          <w:rFonts w:ascii="Arial" w:hAnsi="Arial" w:cs="Arial"/>
          <w:b/>
          <w:bCs/>
          <w:color w:val="167AF3" w:themeColor="accent1" w:themeTint="99"/>
          <w:sz w:val="22"/>
          <w:szCs w:val="22"/>
        </w:rPr>
      </w:pPr>
      <w:r w:rsidRPr="001F059E">
        <w:rPr>
          <w:rFonts w:ascii="Arial" w:hAnsi="Arial" w:cs="Arial"/>
          <w:b/>
          <w:bCs/>
          <w:color w:val="167AF3" w:themeColor="accent1" w:themeTint="99"/>
          <w:sz w:val="22"/>
          <w:szCs w:val="22"/>
        </w:rPr>
        <w:t>Pharmacological Management and Monitoring</w:t>
      </w:r>
    </w:p>
    <w:p w14:paraId="19AFCC6B" w14:textId="77777777" w:rsidR="004C3E8E" w:rsidRDefault="004C3E8E" w:rsidP="00EE2B96">
      <w:pPr>
        <w:spacing w:line="360" w:lineRule="auto"/>
        <w:rPr>
          <w:rFonts w:ascii="Arial" w:hAnsi="Arial" w:cs="Arial"/>
          <w:color w:val="0F486E" w:themeColor="text2" w:themeShade="BF"/>
          <w:sz w:val="22"/>
          <w:szCs w:val="22"/>
        </w:rPr>
      </w:pPr>
      <w:r w:rsidRPr="004C3E8E">
        <w:rPr>
          <w:rFonts w:ascii="Arial" w:hAnsi="Arial" w:cs="Arial"/>
          <w:color w:val="0F486E" w:themeColor="text2" w:themeShade="BF"/>
          <w:sz w:val="22"/>
          <w:szCs w:val="22"/>
        </w:rPr>
        <w:t>In patients with cardiovascular or renal risk, SGLT-2 inhibitors or GLP-1 receptor agonists should be added to metformin as first-line therapy, according to NICE NG28 (2022). When glycaemic objectives are not met, insulin therapy should be started.</w:t>
      </w:r>
      <w:r>
        <w:rPr>
          <w:rFonts w:ascii="Arial" w:hAnsi="Arial" w:cs="Arial"/>
          <w:color w:val="0F486E" w:themeColor="text2" w:themeShade="BF"/>
          <w:sz w:val="22"/>
          <w:szCs w:val="22"/>
        </w:rPr>
        <w:t xml:space="preserve"> </w:t>
      </w:r>
    </w:p>
    <w:p w14:paraId="2739CCC5" w14:textId="587849B0" w:rsidR="00955ABF" w:rsidRPr="003F198A" w:rsidRDefault="00955ABF" w:rsidP="00EE2B96">
      <w:pPr>
        <w:spacing w:line="360" w:lineRule="auto"/>
        <w:rPr>
          <w:rFonts w:ascii="Arial" w:hAnsi="Arial" w:cs="Arial"/>
          <w:color w:val="0F486E" w:themeColor="text2" w:themeShade="BF"/>
          <w:sz w:val="22"/>
          <w:szCs w:val="22"/>
        </w:rPr>
      </w:pPr>
      <w:r w:rsidRPr="003F198A">
        <w:rPr>
          <w:rFonts w:ascii="Arial" w:hAnsi="Arial" w:cs="Arial"/>
          <w:color w:val="0F486E" w:themeColor="text2" w:themeShade="BF"/>
          <w:sz w:val="22"/>
          <w:szCs w:val="22"/>
        </w:rPr>
        <w:t>Regular monitoring is essential to ensure safety, optimise efficacy and prevent complications. This includes:</w:t>
      </w:r>
    </w:p>
    <w:p w14:paraId="067EA39C" w14:textId="5ECF8A44" w:rsidR="00EE2B96" w:rsidRPr="003F198A" w:rsidRDefault="00955ABF" w:rsidP="00BA7A21">
      <w:pPr>
        <w:pStyle w:val="ListParagraph"/>
        <w:numPr>
          <w:ilvl w:val="0"/>
          <w:numId w:val="24"/>
        </w:numPr>
        <w:spacing w:line="360" w:lineRule="auto"/>
        <w:rPr>
          <w:rFonts w:ascii="Arial" w:hAnsi="Arial" w:cs="Arial"/>
          <w:color w:val="0F486E" w:themeColor="text2" w:themeShade="BF"/>
          <w:sz w:val="22"/>
          <w:szCs w:val="22"/>
        </w:rPr>
      </w:pPr>
      <w:r w:rsidRPr="003F198A">
        <w:rPr>
          <w:rFonts w:ascii="Arial" w:hAnsi="Arial" w:cs="Arial"/>
          <w:color w:val="0F486E" w:themeColor="text2" w:themeShade="BF"/>
          <w:sz w:val="22"/>
          <w:szCs w:val="22"/>
        </w:rPr>
        <w:t>Glycaemic control: HbA1c every 3–6 months to assess treatment effectiveness (NICE, 2022).</w:t>
      </w:r>
    </w:p>
    <w:p w14:paraId="078E9B1C" w14:textId="54B2C97B" w:rsidR="00EE2B96" w:rsidRPr="003F198A" w:rsidRDefault="00955ABF" w:rsidP="00BA7A21">
      <w:pPr>
        <w:pStyle w:val="ListParagraph"/>
        <w:numPr>
          <w:ilvl w:val="0"/>
          <w:numId w:val="24"/>
        </w:numPr>
        <w:spacing w:line="360" w:lineRule="auto"/>
        <w:rPr>
          <w:rFonts w:ascii="Arial" w:hAnsi="Arial" w:cs="Arial"/>
          <w:color w:val="0F486E" w:themeColor="text2" w:themeShade="BF"/>
          <w:sz w:val="22"/>
          <w:szCs w:val="22"/>
        </w:rPr>
      </w:pPr>
      <w:r w:rsidRPr="003F198A">
        <w:rPr>
          <w:rFonts w:ascii="Arial" w:hAnsi="Arial" w:cs="Arial"/>
          <w:color w:val="0F486E" w:themeColor="text2" w:themeShade="BF"/>
          <w:sz w:val="22"/>
          <w:szCs w:val="22"/>
        </w:rPr>
        <w:t>Renal function: eGFR and serum creatinine before initiation of SGLT-2 inhibitors or metformin and periodically thereafter (NICE, 2022).</w:t>
      </w:r>
    </w:p>
    <w:p w14:paraId="308010AC" w14:textId="75285E66" w:rsidR="00EE2B96" w:rsidRPr="003F198A" w:rsidRDefault="00955ABF" w:rsidP="00BA7A21">
      <w:pPr>
        <w:pStyle w:val="ListParagraph"/>
        <w:numPr>
          <w:ilvl w:val="0"/>
          <w:numId w:val="24"/>
        </w:numPr>
        <w:spacing w:line="360" w:lineRule="auto"/>
        <w:rPr>
          <w:rFonts w:ascii="Arial" w:hAnsi="Arial" w:cs="Arial"/>
          <w:color w:val="0F486E" w:themeColor="text2" w:themeShade="BF"/>
          <w:sz w:val="22"/>
          <w:szCs w:val="22"/>
        </w:rPr>
      </w:pPr>
      <w:r w:rsidRPr="003F198A">
        <w:rPr>
          <w:rFonts w:ascii="Arial" w:hAnsi="Arial" w:cs="Arial"/>
          <w:color w:val="0F486E" w:themeColor="text2" w:themeShade="BF"/>
          <w:sz w:val="22"/>
          <w:szCs w:val="22"/>
        </w:rPr>
        <w:t>Cardiovascular parameters: Blood pressure, lipid profile and weight to guide therapy and cardiovascular risk reduction (NICE, 2022; American Diabetes Association, 2023).</w:t>
      </w:r>
    </w:p>
    <w:p w14:paraId="7324842D" w14:textId="77777777" w:rsidR="00BA7A21" w:rsidRPr="003F198A" w:rsidRDefault="00955ABF" w:rsidP="000155C8">
      <w:pPr>
        <w:pStyle w:val="ListParagraph"/>
        <w:numPr>
          <w:ilvl w:val="0"/>
          <w:numId w:val="24"/>
        </w:numPr>
        <w:spacing w:line="360" w:lineRule="auto"/>
        <w:rPr>
          <w:rFonts w:ascii="Arial" w:hAnsi="Arial" w:cs="Arial"/>
          <w:color w:val="0F486E" w:themeColor="text2" w:themeShade="BF"/>
          <w:sz w:val="22"/>
          <w:szCs w:val="22"/>
        </w:rPr>
      </w:pPr>
      <w:r w:rsidRPr="003F198A">
        <w:rPr>
          <w:rFonts w:ascii="Arial" w:hAnsi="Arial" w:cs="Arial"/>
          <w:color w:val="0F486E" w:themeColor="text2" w:themeShade="BF"/>
          <w:sz w:val="22"/>
          <w:szCs w:val="22"/>
        </w:rPr>
        <w:t>Hypoglycaemia risk: Especially in patients on insulin or sulfonylureas, with patient education on recognition and management (NICE, 2022).</w:t>
      </w:r>
    </w:p>
    <w:p w14:paraId="227F73FC" w14:textId="593F797D" w:rsidR="00472EF4" w:rsidRPr="003F198A" w:rsidRDefault="00955ABF" w:rsidP="000155C8">
      <w:pPr>
        <w:pStyle w:val="ListParagraph"/>
        <w:numPr>
          <w:ilvl w:val="0"/>
          <w:numId w:val="24"/>
        </w:numPr>
        <w:spacing w:line="360" w:lineRule="auto"/>
        <w:rPr>
          <w:rFonts w:ascii="Arial" w:hAnsi="Arial" w:cs="Arial"/>
          <w:color w:val="0F486E" w:themeColor="text2" w:themeShade="BF"/>
          <w:sz w:val="22"/>
          <w:szCs w:val="22"/>
        </w:rPr>
      </w:pPr>
      <w:r w:rsidRPr="003F198A">
        <w:rPr>
          <w:rFonts w:ascii="Arial" w:hAnsi="Arial" w:cs="Arial"/>
          <w:color w:val="0F486E" w:themeColor="text2" w:themeShade="BF"/>
          <w:sz w:val="22"/>
          <w:szCs w:val="22"/>
        </w:rPr>
        <w:t>Monitoring allows timely adjustments in medication, supports personalised care and reduces the likelihood of adverse events (NICE, 2022; ADA, 2023).</w:t>
      </w:r>
    </w:p>
    <w:p w14:paraId="7F9D775F" w14:textId="77777777" w:rsidR="001F059E" w:rsidRPr="00BA7A21" w:rsidRDefault="001F059E" w:rsidP="001F059E">
      <w:pPr>
        <w:pStyle w:val="ListParagraph"/>
        <w:spacing w:line="360" w:lineRule="auto"/>
        <w:rPr>
          <w:rFonts w:ascii="Arial" w:hAnsi="Arial" w:cs="Arial"/>
          <w:b/>
          <w:bCs/>
          <w:color w:val="0F486E" w:themeColor="text2" w:themeShade="BF"/>
          <w:sz w:val="22"/>
          <w:szCs w:val="22"/>
        </w:rPr>
      </w:pPr>
    </w:p>
    <w:p w14:paraId="0AA6B48B" w14:textId="3B75F2E1" w:rsidR="008A6E24" w:rsidRPr="001F059E" w:rsidRDefault="008A6E24" w:rsidP="007D7F71">
      <w:pPr>
        <w:pStyle w:val="Heading1"/>
        <w:jc w:val="left"/>
        <w:rPr>
          <w:rFonts w:ascii="Arial" w:hAnsi="Arial" w:cs="Arial"/>
          <w:b/>
          <w:bCs/>
          <w:color w:val="167AF3" w:themeColor="accent1" w:themeTint="99"/>
          <w:sz w:val="32"/>
          <w:szCs w:val="32"/>
        </w:rPr>
      </w:pPr>
      <w:bookmarkStart w:id="5" w:name="_Toc223067586"/>
      <w:r w:rsidRPr="001F059E">
        <w:rPr>
          <w:rFonts w:ascii="Arial" w:hAnsi="Arial" w:cs="Arial"/>
          <w:b/>
          <w:bCs/>
          <w:color w:val="167AF3" w:themeColor="accent1" w:themeTint="99"/>
          <w:sz w:val="32"/>
          <w:szCs w:val="32"/>
        </w:rPr>
        <w:lastRenderedPageBreak/>
        <w:t xml:space="preserve">Medication to help with </w:t>
      </w:r>
      <w:r w:rsidR="007D7F71" w:rsidRPr="001F059E">
        <w:rPr>
          <w:rFonts w:ascii="Arial" w:hAnsi="Arial" w:cs="Arial"/>
          <w:b/>
          <w:bCs/>
          <w:color w:val="167AF3" w:themeColor="accent1" w:themeTint="99"/>
          <w:sz w:val="32"/>
          <w:szCs w:val="32"/>
        </w:rPr>
        <w:t>diabetes</w:t>
      </w:r>
      <w:bookmarkEnd w:id="5"/>
    </w:p>
    <w:p w14:paraId="7E1A4AC5" w14:textId="77777777" w:rsidR="00803F09" w:rsidRPr="00803F09" w:rsidRDefault="00803F09" w:rsidP="00803F09"/>
    <w:p w14:paraId="39DC7291" w14:textId="7CF12FED" w:rsidR="00803F09" w:rsidRPr="00240D2F" w:rsidRDefault="00803F09" w:rsidP="00803F09">
      <w:pPr>
        <w:spacing w:line="360" w:lineRule="auto"/>
        <w:rPr>
          <w:rFonts w:ascii="Arial" w:hAnsi="Arial" w:cs="Arial"/>
          <w:color w:val="167AF3" w:themeColor="accent1" w:themeTint="99"/>
          <w:sz w:val="22"/>
          <w:szCs w:val="22"/>
        </w:rPr>
      </w:pPr>
      <w:r w:rsidRPr="00240D2F">
        <w:rPr>
          <w:rFonts w:ascii="Arial" w:hAnsi="Arial" w:cs="Arial"/>
          <w:color w:val="167AF3" w:themeColor="accent1" w:themeTint="99"/>
          <w:sz w:val="22"/>
          <w:szCs w:val="22"/>
        </w:rPr>
        <w:t>Medication Management Across the Stages of Type 2 Diabetes</w:t>
      </w:r>
    </w:p>
    <w:p w14:paraId="3C647569" w14:textId="4FE84959" w:rsidR="00FD09CC" w:rsidRDefault="00FD374C" w:rsidP="00803F09">
      <w:pPr>
        <w:spacing w:line="360" w:lineRule="auto"/>
        <w:rPr>
          <w:rFonts w:ascii="Arial" w:hAnsi="Arial" w:cs="Arial"/>
          <w:color w:val="0F486E" w:themeColor="text2" w:themeShade="BF"/>
          <w:sz w:val="22"/>
          <w:szCs w:val="22"/>
        </w:rPr>
      </w:pPr>
      <w:r w:rsidRPr="00FD374C">
        <w:rPr>
          <w:rFonts w:ascii="Arial" w:hAnsi="Arial" w:cs="Arial"/>
          <w:color w:val="0F486E" w:themeColor="text2" w:themeShade="BF"/>
          <w:sz w:val="22"/>
          <w:szCs w:val="22"/>
        </w:rPr>
        <w:t xml:space="preserve">Depending on glycaemic control, comorbidities, and the risk of complications, pharmacological treatment for type 2 diabetes is tailored and progressive (NICE, 2022). To lower </w:t>
      </w:r>
      <w:r w:rsidRPr="00FD374C">
        <w:rPr>
          <w:rFonts w:ascii="Arial" w:hAnsi="Arial" w:cs="Arial"/>
          <w:color w:val="0F486E" w:themeColor="text2" w:themeShade="BF"/>
          <w:sz w:val="22"/>
          <w:szCs w:val="22"/>
        </w:rPr>
        <w:t>hyperglycaemia</w:t>
      </w:r>
      <w:r w:rsidRPr="00FD374C">
        <w:rPr>
          <w:rFonts w:ascii="Arial" w:hAnsi="Arial" w:cs="Arial"/>
          <w:color w:val="0F486E" w:themeColor="text2" w:themeShade="BF"/>
          <w:sz w:val="22"/>
          <w:szCs w:val="22"/>
        </w:rPr>
        <w:t xml:space="preserve"> and cardiovascular risk, medication is utilized in conjunction with lifestyle changes.</w:t>
      </w:r>
    </w:p>
    <w:p w14:paraId="01F41BFA" w14:textId="77777777" w:rsidR="00FD374C" w:rsidRPr="00803F09" w:rsidRDefault="00FD374C" w:rsidP="00803F09">
      <w:pPr>
        <w:spacing w:line="360" w:lineRule="auto"/>
        <w:rPr>
          <w:rFonts w:ascii="Arial" w:hAnsi="Arial" w:cs="Arial"/>
          <w:color w:val="0F486E" w:themeColor="text2" w:themeShade="BF"/>
          <w:sz w:val="22"/>
          <w:szCs w:val="22"/>
        </w:rPr>
      </w:pPr>
    </w:p>
    <w:p w14:paraId="68CE7FF0" w14:textId="3D38A7CA" w:rsidR="00803F09" w:rsidRPr="00031349" w:rsidRDefault="00803F09" w:rsidP="00031349">
      <w:pPr>
        <w:pStyle w:val="ListParagraph"/>
        <w:numPr>
          <w:ilvl w:val="0"/>
          <w:numId w:val="25"/>
        </w:numPr>
        <w:spacing w:line="360" w:lineRule="auto"/>
        <w:jc w:val="both"/>
        <w:rPr>
          <w:rFonts w:ascii="Arial" w:hAnsi="Arial" w:cs="Arial"/>
          <w:color w:val="167AF3" w:themeColor="accent1" w:themeTint="99"/>
          <w:sz w:val="22"/>
          <w:szCs w:val="22"/>
        </w:rPr>
      </w:pPr>
      <w:r w:rsidRPr="00031349">
        <w:rPr>
          <w:rFonts w:ascii="Arial" w:hAnsi="Arial" w:cs="Arial"/>
          <w:color w:val="167AF3" w:themeColor="accent1" w:themeTint="99"/>
          <w:sz w:val="22"/>
          <w:szCs w:val="22"/>
        </w:rPr>
        <w:t>First-Line Therapy</w:t>
      </w:r>
    </w:p>
    <w:p w14:paraId="260F8A48" w14:textId="60FA9F76" w:rsidR="00031349" w:rsidRPr="00031349" w:rsidRDefault="00031349" w:rsidP="00031349">
      <w:pPr>
        <w:spacing w:line="360" w:lineRule="auto"/>
        <w:rPr>
          <w:rFonts w:ascii="Arial" w:hAnsi="Arial" w:cs="Arial"/>
          <w:color w:val="0F486E" w:themeColor="text2" w:themeShade="BF"/>
          <w:sz w:val="22"/>
          <w:szCs w:val="22"/>
        </w:rPr>
      </w:pPr>
      <w:r w:rsidRPr="00031349">
        <w:rPr>
          <w:rFonts w:ascii="Arial" w:hAnsi="Arial" w:cs="Arial"/>
          <w:color w:val="0F486E" w:themeColor="text2" w:themeShade="BF"/>
          <w:sz w:val="22"/>
          <w:szCs w:val="22"/>
        </w:rPr>
        <w:t xml:space="preserve">Metformin is recommended as the first pharmacological treatment unless it is contraindicated (NICE, 2022). It works by lowering the amount of glucose the liver produces and raising insulin sensitivity. Metformin is associated with weight neutrality or slight weight loss and has a minimal risk of </w:t>
      </w:r>
      <w:r w:rsidRPr="00031349">
        <w:rPr>
          <w:rFonts w:ascii="Arial" w:hAnsi="Arial" w:cs="Arial"/>
          <w:color w:val="0F486E" w:themeColor="text2" w:themeShade="BF"/>
          <w:sz w:val="22"/>
          <w:szCs w:val="22"/>
        </w:rPr>
        <w:t>hypoglycaemia</w:t>
      </w:r>
      <w:r w:rsidRPr="00031349">
        <w:rPr>
          <w:rFonts w:ascii="Arial" w:hAnsi="Arial" w:cs="Arial"/>
          <w:color w:val="0F486E" w:themeColor="text2" w:themeShade="BF"/>
          <w:sz w:val="22"/>
          <w:szCs w:val="22"/>
        </w:rPr>
        <w:t xml:space="preserve"> (UK Prospective Diabetes Study (UKPDS) Group, 1998).</w:t>
      </w:r>
    </w:p>
    <w:p w14:paraId="07AB6B3F" w14:textId="3605BB6A" w:rsidR="00891B24" w:rsidRDefault="00101389" w:rsidP="00803F09">
      <w:pPr>
        <w:spacing w:line="360" w:lineRule="auto"/>
        <w:rPr>
          <w:noProof/>
        </w:rPr>
      </w:pPr>
      <w:r>
        <w:rPr>
          <w:rFonts w:ascii="Arial" w:hAnsi="Arial" w:cs="Arial"/>
          <w:noProof/>
          <w:color w:val="0F486E" w:themeColor="text2" w:themeShade="BF"/>
          <w:sz w:val="22"/>
          <w:szCs w:val="22"/>
        </w:rPr>
        <w:drawing>
          <wp:inline distT="0" distB="0" distL="0" distR="0" wp14:anchorId="3AC74228" wp14:editId="7ACA9AA9">
            <wp:extent cx="4621427" cy="2756535"/>
            <wp:effectExtent l="0" t="0" r="8255" b="5715"/>
            <wp:docPr id="3515691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40879"/>
                    <a:stretch>
                      <a:fillRect/>
                    </a:stretch>
                  </pic:blipFill>
                  <pic:spPr bwMode="auto">
                    <a:xfrm>
                      <a:off x="0" y="0"/>
                      <a:ext cx="4646752" cy="2771641"/>
                    </a:xfrm>
                    <a:prstGeom prst="rect">
                      <a:avLst/>
                    </a:prstGeom>
                    <a:noFill/>
                    <a:ln>
                      <a:noFill/>
                    </a:ln>
                    <a:extLst>
                      <a:ext uri="{53640926-AAD7-44D8-BBD7-CCE9431645EC}">
                        <a14:shadowObscured xmlns:a14="http://schemas.microsoft.com/office/drawing/2010/main"/>
                      </a:ext>
                    </a:extLst>
                  </pic:spPr>
                </pic:pic>
              </a:graphicData>
            </a:graphic>
          </wp:inline>
        </w:drawing>
      </w:r>
      <w:r w:rsidR="00240D2F" w:rsidRPr="00240D2F">
        <w:rPr>
          <w:noProof/>
        </w:rPr>
        <w:t xml:space="preserve"> </w:t>
      </w:r>
    </w:p>
    <w:p w14:paraId="33B439AF" w14:textId="13D12B62" w:rsidR="00240D2F" w:rsidRDefault="00240D2F" w:rsidP="00803F09">
      <w:pPr>
        <w:spacing w:line="360" w:lineRule="auto"/>
        <w:rPr>
          <w:rFonts w:ascii="Arial" w:hAnsi="Arial" w:cs="Arial"/>
          <w:color w:val="0F486E" w:themeColor="text2" w:themeShade="BF"/>
          <w:sz w:val="22"/>
          <w:szCs w:val="22"/>
        </w:rPr>
      </w:pPr>
      <w:r>
        <w:rPr>
          <w:rFonts w:ascii="Arial" w:hAnsi="Arial" w:cs="Arial"/>
          <w:noProof/>
          <w:color w:val="0F486E" w:themeColor="text2" w:themeShade="BF"/>
          <w:sz w:val="22"/>
          <w:szCs w:val="22"/>
        </w:rPr>
        <w:drawing>
          <wp:inline distT="0" distB="0" distL="0" distR="0" wp14:anchorId="086A9673" wp14:editId="4D7F70EE">
            <wp:extent cx="3727450" cy="231775"/>
            <wp:effectExtent l="0" t="0" r="6350" b="0"/>
            <wp:docPr id="129373623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31636" cy="232035"/>
                    </a:xfrm>
                    <a:prstGeom prst="rect">
                      <a:avLst/>
                    </a:prstGeom>
                    <a:noFill/>
                  </pic:spPr>
                </pic:pic>
              </a:graphicData>
            </a:graphic>
          </wp:inline>
        </w:drawing>
      </w:r>
    </w:p>
    <w:p w14:paraId="1F72A896" w14:textId="77777777" w:rsidR="00240D2F" w:rsidRDefault="00240D2F" w:rsidP="00803F09">
      <w:pPr>
        <w:spacing w:line="360" w:lineRule="auto"/>
        <w:rPr>
          <w:rFonts w:ascii="Arial" w:hAnsi="Arial" w:cs="Arial"/>
          <w:color w:val="0F486E" w:themeColor="text2" w:themeShade="BF"/>
          <w:sz w:val="22"/>
          <w:szCs w:val="22"/>
        </w:rPr>
      </w:pPr>
    </w:p>
    <w:p w14:paraId="013D5DF4" w14:textId="77777777" w:rsidR="00903ADF" w:rsidRDefault="00903ADF" w:rsidP="00803F09">
      <w:pPr>
        <w:spacing w:line="360" w:lineRule="auto"/>
        <w:rPr>
          <w:rFonts w:ascii="Arial" w:hAnsi="Arial" w:cs="Arial"/>
          <w:color w:val="0F486E" w:themeColor="text2" w:themeShade="BF"/>
          <w:sz w:val="22"/>
          <w:szCs w:val="22"/>
        </w:rPr>
      </w:pPr>
    </w:p>
    <w:p w14:paraId="73F85042" w14:textId="77777777" w:rsidR="00CE0A53" w:rsidRDefault="00CE0A53" w:rsidP="00803F09">
      <w:pPr>
        <w:spacing w:line="360" w:lineRule="auto"/>
        <w:rPr>
          <w:rFonts w:ascii="Arial" w:hAnsi="Arial" w:cs="Arial"/>
          <w:color w:val="0F486E" w:themeColor="text2" w:themeShade="BF"/>
          <w:sz w:val="22"/>
          <w:szCs w:val="22"/>
        </w:rPr>
      </w:pPr>
    </w:p>
    <w:p w14:paraId="66BC97A1" w14:textId="77777777" w:rsidR="00CE0A53" w:rsidRDefault="00CE0A53" w:rsidP="00803F09">
      <w:pPr>
        <w:spacing w:line="360" w:lineRule="auto"/>
        <w:rPr>
          <w:rFonts w:ascii="Arial" w:hAnsi="Arial" w:cs="Arial"/>
          <w:color w:val="0F486E" w:themeColor="text2" w:themeShade="BF"/>
          <w:sz w:val="22"/>
          <w:szCs w:val="22"/>
        </w:rPr>
      </w:pPr>
    </w:p>
    <w:p w14:paraId="6F79737F" w14:textId="77777777" w:rsidR="00B40A5E" w:rsidRDefault="00B40A5E" w:rsidP="00803F09">
      <w:pPr>
        <w:spacing w:line="360" w:lineRule="auto"/>
        <w:rPr>
          <w:rFonts w:ascii="Arial" w:hAnsi="Arial" w:cs="Arial"/>
          <w:color w:val="0F486E" w:themeColor="text2" w:themeShade="BF"/>
          <w:sz w:val="22"/>
          <w:szCs w:val="22"/>
        </w:rPr>
      </w:pPr>
    </w:p>
    <w:p w14:paraId="2CFBF7C7" w14:textId="2BF046FD" w:rsidR="00803F09" w:rsidRPr="00803F09" w:rsidRDefault="00803F09" w:rsidP="00803F09">
      <w:pPr>
        <w:spacing w:line="360" w:lineRule="auto"/>
        <w:rPr>
          <w:rFonts w:ascii="Arial" w:hAnsi="Arial" w:cs="Arial"/>
          <w:color w:val="167AF3" w:themeColor="accent1" w:themeTint="99"/>
          <w:sz w:val="22"/>
          <w:szCs w:val="22"/>
        </w:rPr>
      </w:pPr>
      <w:r w:rsidRPr="00803F09">
        <w:rPr>
          <w:rFonts w:ascii="Arial" w:hAnsi="Arial" w:cs="Arial"/>
          <w:color w:val="167AF3" w:themeColor="accent1" w:themeTint="99"/>
          <w:sz w:val="22"/>
          <w:szCs w:val="22"/>
        </w:rPr>
        <w:t>2. Dual and Triple Oral Therapy</w:t>
      </w:r>
    </w:p>
    <w:p w14:paraId="6A4E0E71" w14:textId="570CB954" w:rsidR="00803F09" w:rsidRPr="00803F09" w:rsidRDefault="00803F09" w:rsidP="00803F09">
      <w:pPr>
        <w:spacing w:line="360" w:lineRule="auto"/>
        <w:rPr>
          <w:rFonts w:ascii="Arial" w:hAnsi="Arial" w:cs="Arial"/>
          <w:color w:val="0F486E" w:themeColor="text2" w:themeShade="BF"/>
          <w:sz w:val="22"/>
          <w:szCs w:val="22"/>
        </w:rPr>
      </w:pPr>
      <w:r w:rsidRPr="00803F09">
        <w:rPr>
          <w:rFonts w:ascii="Arial" w:hAnsi="Arial" w:cs="Arial"/>
          <w:color w:val="0F486E" w:themeColor="text2" w:themeShade="BF"/>
          <w:sz w:val="22"/>
          <w:szCs w:val="22"/>
        </w:rPr>
        <w:t>If glycaemic targets are not achieved with metformin alone, additional oral agents may be introduced based on individual need and cardiovascular risk profile (NICE, 2022). Options include:</w:t>
      </w:r>
    </w:p>
    <w:p w14:paraId="6C2811FF" w14:textId="6908E150" w:rsidR="00891B24" w:rsidRDefault="00803F09" w:rsidP="00803F09">
      <w:pPr>
        <w:spacing w:line="360" w:lineRule="auto"/>
        <w:rPr>
          <w:rFonts w:ascii="Arial" w:hAnsi="Arial" w:cs="Arial"/>
          <w:color w:val="0F486E" w:themeColor="text2" w:themeShade="BF"/>
          <w:sz w:val="22"/>
          <w:szCs w:val="22"/>
        </w:rPr>
      </w:pPr>
      <w:r w:rsidRPr="00803F09">
        <w:rPr>
          <w:rFonts w:ascii="Arial" w:hAnsi="Arial" w:cs="Arial"/>
          <w:color w:val="0F486E" w:themeColor="text2" w:themeShade="BF"/>
          <w:sz w:val="22"/>
          <w:szCs w:val="22"/>
        </w:rPr>
        <w:t xml:space="preserve">• </w:t>
      </w:r>
      <w:r w:rsidRPr="0072576E">
        <w:rPr>
          <w:rFonts w:ascii="Arial" w:hAnsi="Arial" w:cs="Arial"/>
          <w:color w:val="167AF3" w:themeColor="accent1" w:themeTint="99"/>
          <w:sz w:val="22"/>
          <w:szCs w:val="22"/>
        </w:rPr>
        <w:t xml:space="preserve">SGLT2 inhibitors </w:t>
      </w:r>
      <w:r w:rsidRPr="00803F09">
        <w:rPr>
          <w:rFonts w:ascii="Arial" w:hAnsi="Arial" w:cs="Arial"/>
          <w:color w:val="0F486E" w:themeColor="text2" w:themeShade="BF"/>
          <w:sz w:val="22"/>
          <w:szCs w:val="22"/>
        </w:rPr>
        <w:t>(e.g., empagliflozin) – reduce renal glucose reabsorption and provide cardiovascular and renal protection (Zinman, 2015).</w:t>
      </w:r>
    </w:p>
    <w:p w14:paraId="41A6F43C" w14:textId="5D132629" w:rsidR="00891B24" w:rsidRPr="00803F09" w:rsidRDefault="00FE643F" w:rsidP="00803F09">
      <w:pPr>
        <w:spacing w:line="360" w:lineRule="auto"/>
        <w:rPr>
          <w:rFonts w:ascii="Arial" w:hAnsi="Arial" w:cs="Arial"/>
          <w:color w:val="0F486E" w:themeColor="text2" w:themeShade="BF"/>
          <w:sz w:val="22"/>
          <w:szCs w:val="22"/>
        </w:rPr>
      </w:pPr>
      <w:r>
        <w:rPr>
          <w:rFonts w:ascii="Arial" w:hAnsi="Arial" w:cs="Arial"/>
          <w:noProof/>
          <w:color w:val="0F486E" w:themeColor="text2" w:themeShade="BF"/>
          <w:sz w:val="22"/>
          <w:szCs w:val="22"/>
        </w:rPr>
        <w:drawing>
          <wp:inline distT="0" distB="0" distL="0" distR="0" wp14:anchorId="37A51264" wp14:editId="6E13CDF3">
            <wp:extent cx="1450070" cy="1461655"/>
            <wp:effectExtent l="0" t="0" r="0" b="5715"/>
            <wp:docPr id="1228174959"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462654" cy="1474340"/>
                    </a:xfrm>
                    <a:prstGeom prst="rect">
                      <a:avLst/>
                    </a:prstGeom>
                    <a:noFill/>
                  </pic:spPr>
                </pic:pic>
              </a:graphicData>
            </a:graphic>
          </wp:inline>
        </w:drawing>
      </w:r>
    </w:p>
    <w:p w14:paraId="6E3DB53C" w14:textId="14C83808" w:rsidR="00803F09" w:rsidRDefault="00803F09" w:rsidP="00803F09">
      <w:pPr>
        <w:spacing w:line="360" w:lineRule="auto"/>
        <w:rPr>
          <w:rFonts w:ascii="Arial" w:hAnsi="Arial" w:cs="Arial"/>
          <w:color w:val="0F486E" w:themeColor="text2" w:themeShade="BF"/>
          <w:sz w:val="22"/>
          <w:szCs w:val="22"/>
        </w:rPr>
      </w:pPr>
      <w:r w:rsidRPr="00803F09">
        <w:rPr>
          <w:rFonts w:ascii="Arial" w:hAnsi="Arial" w:cs="Arial"/>
          <w:color w:val="0F486E" w:themeColor="text2" w:themeShade="BF"/>
          <w:sz w:val="22"/>
          <w:szCs w:val="22"/>
        </w:rPr>
        <w:t xml:space="preserve">• </w:t>
      </w:r>
      <w:r w:rsidRPr="0072576E">
        <w:rPr>
          <w:rFonts w:ascii="Arial" w:hAnsi="Arial" w:cs="Arial"/>
          <w:color w:val="167AF3" w:themeColor="accent1" w:themeTint="99"/>
          <w:sz w:val="22"/>
          <w:szCs w:val="22"/>
        </w:rPr>
        <w:t xml:space="preserve">GLP-1 receptor agonists </w:t>
      </w:r>
      <w:r w:rsidRPr="00803F09">
        <w:rPr>
          <w:rFonts w:ascii="Arial" w:hAnsi="Arial" w:cs="Arial"/>
          <w:color w:val="0F486E" w:themeColor="text2" w:themeShade="BF"/>
          <w:sz w:val="22"/>
          <w:szCs w:val="22"/>
        </w:rPr>
        <w:t xml:space="preserve">– </w:t>
      </w:r>
      <w:r w:rsidR="0015335E" w:rsidRPr="0015335E">
        <w:rPr>
          <w:rFonts w:ascii="Arial" w:hAnsi="Arial" w:cs="Arial"/>
          <w:color w:val="0F486E" w:themeColor="text2" w:themeShade="BF"/>
          <w:sz w:val="22"/>
          <w:szCs w:val="22"/>
        </w:rPr>
        <w:t>inhibit glucagon, increase insulin secretion, and encourage weight loss (Marso et al., 2016).</w:t>
      </w:r>
    </w:p>
    <w:p w14:paraId="22C9B2C5" w14:textId="5C9C5522" w:rsidR="00891B24" w:rsidRPr="00803F09" w:rsidRDefault="00891B24" w:rsidP="00803F09">
      <w:pPr>
        <w:spacing w:line="360" w:lineRule="auto"/>
        <w:rPr>
          <w:rFonts w:ascii="Arial" w:hAnsi="Arial" w:cs="Arial"/>
          <w:color w:val="0F486E" w:themeColor="text2" w:themeShade="BF"/>
          <w:sz w:val="22"/>
          <w:szCs w:val="22"/>
        </w:rPr>
      </w:pPr>
      <w:r>
        <w:rPr>
          <w:rFonts w:ascii="Arial" w:hAnsi="Arial" w:cs="Arial"/>
          <w:noProof/>
          <w:color w:val="0F486E" w:themeColor="text2" w:themeShade="BF"/>
          <w:sz w:val="22"/>
          <w:szCs w:val="22"/>
        </w:rPr>
        <w:drawing>
          <wp:inline distT="0" distB="0" distL="0" distR="0" wp14:anchorId="3C410D5C" wp14:editId="62E81724">
            <wp:extent cx="2036698" cy="1506892"/>
            <wp:effectExtent l="0" t="0" r="1905" b="0"/>
            <wp:docPr id="106054188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050500" cy="1517103"/>
                    </a:xfrm>
                    <a:prstGeom prst="rect">
                      <a:avLst/>
                    </a:prstGeom>
                    <a:noFill/>
                  </pic:spPr>
                </pic:pic>
              </a:graphicData>
            </a:graphic>
          </wp:inline>
        </w:drawing>
      </w:r>
    </w:p>
    <w:p w14:paraId="505EA79F" w14:textId="77777777" w:rsidR="00803F09" w:rsidRDefault="00803F09" w:rsidP="00803F09">
      <w:pPr>
        <w:spacing w:line="360" w:lineRule="auto"/>
        <w:rPr>
          <w:rFonts w:ascii="Arial" w:hAnsi="Arial" w:cs="Arial"/>
          <w:color w:val="0F486E" w:themeColor="text2" w:themeShade="BF"/>
          <w:sz w:val="22"/>
          <w:szCs w:val="22"/>
        </w:rPr>
      </w:pPr>
      <w:r w:rsidRPr="00803F09">
        <w:rPr>
          <w:rFonts w:ascii="Arial" w:hAnsi="Arial" w:cs="Arial"/>
          <w:color w:val="0F486E" w:themeColor="text2" w:themeShade="BF"/>
          <w:sz w:val="22"/>
          <w:szCs w:val="22"/>
        </w:rPr>
        <w:t xml:space="preserve">• </w:t>
      </w:r>
      <w:r w:rsidRPr="0072576E">
        <w:rPr>
          <w:rFonts w:ascii="Arial" w:hAnsi="Arial" w:cs="Arial"/>
          <w:color w:val="167AF3" w:themeColor="accent1" w:themeTint="99"/>
          <w:sz w:val="22"/>
          <w:szCs w:val="22"/>
        </w:rPr>
        <w:t xml:space="preserve">DPP-4 inhibitors </w:t>
      </w:r>
      <w:r w:rsidRPr="00803F09">
        <w:rPr>
          <w:rFonts w:ascii="Arial" w:hAnsi="Arial" w:cs="Arial"/>
          <w:color w:val="0F486E" w:themeColor="text2" w:themeShade="BF"/>
          <w:sz w:val="22"/>
          <w:szCs w:val="22"/>
        </w:rPr>
        <w:t>– improve postprandial glucose control with low hypoglycaemia risk (NICE, 2022).</w:t>
      </w:r>
    </w:p>
    <w:p w14:paraId="26C4A319" w14:textId="4DF95592" w:rsidR="00240D2F" w:rsidRDefault="00FD09CC" w:rsidP="00803F09">
      <w:pPr>
        <w:spacing w:line="360" w:lineRule="auto"/>
        <w:rPr>
          <w:rFonts w:ascii="Arial" w:hAnsi="Arial" w:cs="Arial"/>
          <w:color w:val="0F486E" w:themeColor="text2" w:themeShade="BF"/>
          <w:sz w:val="22"/>
          <w:szCs w:val="22"/>
        </w:rPr>
      </w:pPr>
      <w:r>
        <w:rPr>
          <w:rFonts w:ascii="Arial" w:hAnsi="Arial" w:cs="Arial"/>
          <w:noProof/>
          <w:color w:val="0F486E" w:themeColor="text2" w:themeShade="BF"/>
          <w:sz w:val="22"/>
          <w:szCs w:val="22"/>
        </w:rPr>
        <w:drawing>
          <wp:inline distT="0" distB="0" distL="0" distR="0" wp14:anchorId="547F4DCD" wp14:editId="37BAF343">
            <wp:extent cx="2853690" cy="1634836"/>
            <wp:effectExtent l="0" t="0" r="3810" b="3810"/>
            <wp:docPr id="915771067"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19">
                      <a:extLst>
                        <a:ext uri="{28A0092B-C50C-407E-A947-70E740481C1C}">
                          <a14:useLocalDpi xmlns:a14="http://schemas.microsoft.com/office/drawing/2010/main" val="0"/>
                        </a:ext>
                      </a:extLst>
                    </a:blip>
                    <a:srcRect t="3395" r="4615"/>
                    <a:stretch>
                      <a:fillRect/>
                    </a:stretch>
                  </pic:blipFill>
                  <pic:spPr bwMode="auto">
                    <a:xfrm>
                      <a:off x="0" y="0"/>
                      <a:ext cx="2865835" cy="1641793"/>
                    </a:xfrm>
                    <a:prstGeom prst="rect">
                      <a:avLst/>
                    </a:prstGeom>
                    <a:noFill/>
                    <a:ln>
                      <a:noFill/>
                    </a:ln>
                    <a:extLst>
                      <a:ext uri="{53640926-AAD7-44D8-BBD7-CCE9431645EC}">
                        <a14:shadowObscured xmlns:a14="http://schemas.microsoft.com/office/drawing/2010/main"/>
                      </a:ext>
                    </a:extLst>
                  </pic:spPr>
                </pic:pic>
              </a:graphicData>
            </a:graphic>
          </wp:inline>
        </w:drawing>
      </w:r>
    </w:p>
    <w:p w14:paraId="02C8A235" w14:textId="77777777" w:rsidR="000B0310" w:rsidRDefault="000B0310" w:rsidP="00803F09">
      <w:pPr>
        <w:spacing w:line="360" w:lineRule="auto"/>
        <w:rPr>
          <w:rFonts w:ascii="Arial" w:hAnsi="Arial" w:cs="Arial"/>
          <w:color w:val="0F486E" w:themeColor="text2" w:themeShade="BF"/>
          <w:sz w:val="22"/>
          <w:szCs w:val="22"/>
        </w:rPr>
      </w:pPr>
    </w:p>
    <w:p w14:paraId="7E6D55DB" w14:textId="44F4EA2D" w:rsidR="00803F09" w:rsidRPr="00803F09" w:rsidRDefault="00803F09" w:rsidP="00803F09">
      <w:pPr>
        <w:spacing w:line="360" w:lineRule="auto"/>
        <w:rPr>
          <w:rFonts w:ascii="Arial" w:hAnsi="Arial" w:cs="Arial"/>
          <w:color w:val="0F486E" w:themeColor="text2" w:themeShade="BF"/>
          <w:sz w:val="22"/>
          <w:szCs w:val="22"/>
        </w:rPr>
      </w:pPr>
      <w:r w:rsidRPr="00803F09">
        <w:rPr>
          <w:rFonts w:ascii="Arial" w:hAnsi="Arial" w:cs="Arial"/>
          <w:color w:val="0F486E" w:themeColor="text2" w:themeShade="BF"/>
          <w:sz w:val="22"/>
          <w:szCs w:val="22"/>
        </w:rPr>
        <w:lastRenderedPageBreak/>
        <w:t xml:space="preserve">• </w:t>
      </w:r>
      <w:r w:rsidRPr="0072576E">
        <w:rPr>
          <w:rFonts w:ascii="Arial" w:hAnsi="Arial" w:cs="Arial"/>
          <w:color w:val="167AF3" w:themeColor="accent1" w:themeTint="99"/>
          <w:sz w:val="22"/>
          <w:szCs w:val="22"/>
        </w:rPr>
        <w:t>Sulfonylureas</w:t>
      </w:r>
      <w:r w:rsidRPr="00803F09">
        <w:rPr>
          <w:rFonts w:ascii="Arial" w:hAnsi="Arial" w:cs="Arial"/>
          <w:color w:val="0F486E" w:themeColor="text2" w:themeShade="BF"/>
          <w:sz w:val="22"/>
          <w:szCs w:val="22"/>
        </w:rPr>
        <w:t xml:space="preserve"> – stimulate insulin secretion but carry a higher risk of hypoglycaemia and weight gain (NICE, 2022).</w:t>
      </w:r>
    </w:p>
    <w:p w14:paraId="27F78C1A" w14:textId="0EE77CE5" w:rsidR="0072576E" w:rsidRPr="0072576E" w:rsidRDefault="00803F09" w:rsidP="00803F09">
      <w:pPr>
        <w:spacing w:line="360" w:lineRule="auto"/>
        <w:rPr>
          <w:rFonts w:ascii="Arial" w:hAnsi="Arial" w:cs="Arial"/>
          <w:color w:val="0F486E" w:themeColor="text2" w:themeShade="BF"/>
          <w:sz w:val="22"/>
          <w:szCs w:val="22"/>
        </w:rPr>
      </w:pPr>
      <w:r w:rsidRPr="00803F09">
        <w:rPr>
          <w:rFonts w:ascii="Arial" w:hAnsi="Arial" w:cs="Arial"/>
          <w:color w:val="0F486E" w:themeColor="text2" w:themeShade="BF"/>
          <w:sz w:val="22"/>
          <w:szCs w:val="22"/>
        </w:rPr>
        <w:t>Choice of therapy should consider weight, cardiovascular disease, chronic kidney disease and patient preference (NICE, 2022).</w:t>
      </w:r>
    </w:p>
    <w:p w14:paraId="70A62BD9" w14:textId="63CCE5FA" w:rsidR="00803F09" w:rsidRPr="00803F09" w:rsidRDefault="00803F09" w:rsidP="00803F09">
      <w:pPr>
        <w:spacing w:line="360" w:lineRule="auto"/>
        <w:rPr>
          <w:rFonts w:ascii="Arial" w:hAnsi="Arial" w:cs="Arial"/>
          <w:color w:val="167AF3" w:themeColor="accent1" w:themeTint="99"/>
          <w:sz w:val="22"/>
          <w:szCs w:val="22"/>
        </w:rPr>
      </w:pPr>
      <w:r w:rsidRPr="00803F09">
        <w:rPr>
          <w:rFonts w:ascii="Arial" w:hAnsi="Arial" w:cs="Arial"/>
          <w:color w:val="167AF3" w:themeColor="accent1" w:themeTint="99"/>
          <w:sz w:val="22"/>
          <w:szCs w:val="22"/>
        </w:rPr>
        <w:t>3. Injectable Therapies</w:t>
      </w:r>
    </w:p>
    <w:p w14:paraId="724436BD" w14:textId="3AD39DA8" w:rsidR="00803F09" w:rsidRPr="00803F09" w:rsidRDefault="00803F09" w:rsidP="00803F09">
      <w:pPr>
        <w:spacing w:line="360" w:lineRule="auto"/>
        <w:rPr>
          <w:rFonts w:ascii="Arial" w:hAnsi="Arial" w:cs="Arial"/>
          <w:color w:val="0F486E" w:themeColor="text2" w:themeShade="BF"/>
          <w:sz w:val="22"/>
          <w:szCs w:val="22"/>
        </w:rPr>
      </w:pPr>
      <w:r w:rsidRPr="00803F09">
        <w:rPr>
          <w:rFonts w:ascii="Arial" w:hAnsi="Arial" w:cs="Arial"/>
          <w:color w:val="0F486E" w:themeColor="text2" w:themeShade="BF"/>
          <w:sz w:val="22"/>
          <w:szCs w:val="22"/>
        </w:rPr>
        <w:t>If oral therapy is insufficient, injectable treatments may be introduced.</w:t>
      </w:r>
    </w:p>
    <w:p w14:paraId="74BB6ECA" w14:textId="0B24F2AF" w:rsidR="00803F09" w:rsidRDefault="00803F09" w:rsidP="00803F09">
      <w:pPr>
        <w:spacing w:line="360" w:lineRule="auto"/>
        <w:rPr>
          <w:rFonts w:ascii="Arial" w:hAnsi="Arial" w:cs="Arial"/>
          <w:color w:val="0F486E" w:themeColor="text2" w:themeShade="BF"/>
          <w:sz w:val="22"/>
          <w:szCs w:val="22"/>
        </w:rPr>
      </w:pPr>
      <w:r w:rsidRPr="0072576E">
        <w:rPr>
          <w:rFonts w:ascii="Arial" w:hAnsi="Arial" w:cs="Arial"/>
          <w:color w:val="167AF3" w:themeColor="accent1" w:themeTint="99"/>
          <w:sz w:val="22"/>
          <w:szCs w:val="22"/>
        </w:rPr>
        <w:t xml:space="preserve">GLP-1 receptor </w:t>
      </w:r>
      <w:r w:rsidRPr="00803F09">
        <w:rPr>
          <w:rFonts w:ascii="Arial" w:hAnsi="Arial" w:cs="Arial"/>
          <w:color w:val="0F486E" w:themeColor="text2" w:themeShade="BF"/>
          <w:sz w:val="22"/>
          <w:szCs w:val="22"/>
        </w:rPr>
        <w:t>agonists are often recommended before insulin in individuals with obesity or cardiovascular disease due to their weight reduction and cardioprotective benefits (NICE, 2022; Marso et al., 2016).</w:t>
      </w:r>
    </w:p>
    <w:p w14:paraId="0F8F098C" w14:textId="0921FFF3" w:rsidR="0072576E" w:rsidRPr="00803F09" w:rsidRDefault="0072576E" w:rsidP="00803F09">
      <w:pPr>
        <w:spacing w:line="360" w:lineRule="auto"/>
        <w:rPr>
          <w:rFonts w:ascii="Arial" w:hAnsi="Arial" w:cs="Arial"/>
          <w:color w:val="0F486E" w:themeColor="text2" w:themeShade="BF"/>
          <w:sz w:val="22"/>
          <w:szCs w:val="22"/>
        </w:rPr>
      </w:pPr>
      <w:r>
        <w:rPr>
          <w:rFonts w:ascii="Arial" w:hAnsi="Arial" w:cs="Arial"/>
          <w:noProof/>
          <w:color w:val="0F486E" w:themeColor="text2" w:themeShade="BF"/>
          <w:sz w:val="22"/>
          <w:szCs w:val="22"/>
        </w:rPr>
        <w:drawing>
          <wp:inline distT="0" distB="0" distL="0" distR="0" wp14:anchorId="7D878E23" wp14:editId="0E104B87">
            <wp:extent cx="3317107" cy="1108364"/>
            <wp:effectExtent l="0" t="0" r="0" b="0"/>
            <wp:docPr id="94210903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20">
                      <a:extLst>
                        <a:ext uri="{28A0092B-C50C-407E-A947-70E740481C1C}">
                          <a14:useLocalDpi xmlns:a14="http://schemas.microsoft.com/office/drawing/2010/main" val="0"/>
                        </a:ext>
                      </a:extLst>
                    </a:blip>
                    <a:srcRect l="25354" t="17864" b="8310"/>
                    <a:stretch>
                      <a:fillRect/>
                    </a:stretch>
                  </pic:blipFill>
                  <pic:spPr bwMode="auto">
                    <a:xfrm>
                      <a:off x="0" y="0"/>
                      <a:ext cx="3364477" cy="1124192"/>
                    </a:xfrm>
                    <a:prstGeom prst="rect">
                      <a:avLst/>
                    </a:prstGeom>
                    <a:noFill/>
                    <a:ln>
                      <a:noFill/>
                    </a:ln>
                    <a:extLst>
                      <a:ext uri="{53640926-AAD7-44D8-BBD7-CCE9431645EC}">
                        <a14:shadowObscured xmlns:a14="http://schemas.microsoft.com/office/drawing/2010/main"/>
                      </a:ext>
                    </a:extLst>
                  </pic:spPr>
                </pic:pic>
              </a:graphicData>
            </a:graphic>
          </wp:inline>
        </w:drawing>
      </w:r>
    </w:p>
    <w:p w14:paraId="003952A7" w14:textId="09C2887A" w:rsidR="00803F09" w:rsidRPr="009E157E" w:rsidRDefault="00803F09" w:rsidP="00803F09">
      <w:pPr>
        <w:spacing w:line="360" w:lineRule="auto"/>
        <w:rPr>
          <w:rFonts w:ascii="Arial" w:hAnsi="Arial" w:cs="Arial"/>
          <w:color w:val="0F486E" w:themeColor="text2" w:themeShade="BF"/>
          <w:sz w:val="22"/>
          <w:szCs w:val="22"/>
        </w:rPr>
      </w:pPr>
      <w:r w:rsidRPr="00803F09">
        <w:rPr>
          <w:rFonts w:ascii="Arial" w:hAnsi="Arial" w:cs="Arial"/>
          <w:color w:val="0F486E" w:themeColor="text2" w:themeShade="BF"/>
          <w:sz w:val="22"/>
          <w:szCs w:val="22"/>
        </w:rPr>
        <w:t>Insulin therapy is initiated when glycaemic control remains inadequate. Basal insulin is typically started first and may be intensified if required (NICE, 2022). Insulin effectively lowers blood glucose but requires education to prevent hypoglycaemia and weight gain (Frid et al., 2016).</w:t>
      </w:r>
    </w:p>
    <w:p w14:paraId="3ED166E6" w14:textId="68700A99" w:rsidR="00803F09" w:rsidRPr="00803F09" w:rsidRDefault="00803F09" w:rsidP="00803F09">
      <w:pPr>
        <w:spacing w:line="360" w:lineRule="auto"/>
        <w:rPr>
          <w:rFonts w:ascii="Arial" w:hAnsi="Arial" w:cs="Arial"/>
          <w:sz w:val="22"/>
          <w:szCs w:val="22"/>
        </w:rPr>
      </w:pPr>
      <w:r w:rsidRPr="00803F09">
        <w:rPr>
          <w:rFonts w:ascii="Arial" w:hAnsi="Arial" w:cs="Arial"/>
          <w:color w:val="167AF3" w:themeColor="accent1" w:themeTint="99"/>
          <w:sz w:val="22"/>
          <w:szCs w:val="22"/>
        </w:rPr>
        <w:t>4. Cardiovascular and Renal Risk Management</w:t>
      </w:r>
    </w:p>
    <w:p w14:paraId="05545F84" w14:textId="3E30C55F" w:rsidR="00803F09" w:rsidRPr="00803F09" w:rsidRDefault="00803F09" w:rsidP="00803F09">
      <w:pPr>
        <w:spacing w:line="360" w:lineRule="auto"/>
        <w:rPr>
          <w:rFonts w:ascii="Arial" w:hAnsi="Arial" w:cs="Arial"/>
          <w:color w:val="0F486E" w:themeColor="text2" w:themeShade="BF"/>
          <w:sz w:val="22"/>
          <w:szCs w:val="22"/>
        </w:rPr>
      </w:pPr>
      <w:r w:rsidRPr="00803F09">
        <w:rPr>
          <w:rFonts w:ascii="Arial" w:hAnsi="Arial" w:cs="Arial"/>
          <w:color w:val="0F486E" w:themeColor="text2" w:themeShade="BF"/>
          <w:sz w:val="22"/>
          <w:szCs w:val="22"/>
        </w:rPr>
        <w:t>Management of type 2 diabetes also includes medications to reduce cardiovascular risk. These may include:</w:t>
      </w:r>
    </w:p>
    <w:p w14:paraId="10E0F512" w14:textId="77777777" w:rsidR="00803F09" w:rsidRPr="00803F09" w:rsidRDefault="00803F09" w:rsidP="00803F09">
      <w:pPr>
        <w:spacing w:line="360" w:lineRule="auto"/>
        <w:rPr>
          <w:rFonts w:ascii="Arial" w:hAnsi="Arial" w:cs="Arial"/>
          <w:color w:val="0F486E" w:themeColor="text2" w:themeShade="BF"/>
          <w:sz w:val="22"/>
          <w:szCs w:val="22"/>
        </w:rPr>
      </w:pPr>
      <w:r w:rsidRPr="00803F09">
        <w:rPr>
          <w:rFonts w:ascii="Arial" w:hAnsi="Arial" w:cs="Arial"/>
          <w:color w:val="0F486E" w:themeColor="text2" w:themeShade="BF"/>
          <w:sz w:val="22"/>
          <w:szCs w:val="22"/>
        </w:rPr>
        <w:t>• Antihypertensives (e.g., ACE inhibitors) for blood pressure control (NICE, 2022).</w:t>
      </w:r>
    </w:p>
    <w:p w14:paraId="21265ACB" w14:textId="77777777" w:rsidR="00803F09" w:rsidRPr="00803F09" w:rsidRDefault="00803F09" w:rsidP="00803F09">
      <w:pPr>
        <w:spacing w:line="360" w:lineRule="auto"/>
        <w:rPr>
          <w:rFonts w:ascii="Arial" w:hAnsi="Arial" w:cs="Arial"/>
          <w:color w:val="0F486E" w:themeColor="text2" w:themeShade="BF"/>
          <w:sz w:val="22"/>
          <w:szCs w:val="22"/>
        </w:rPr>
      </w:pPr>
      <w:r w:rsidRPr="00803F09">
        <w:rPr>
          <w:rFonts w:ascii="Arial" w:hAnsi="Arial" w:cs="Arial"/>
          <w:color w:val="0F486E" w:themeColor="text2" w:themeShade="BF"/>
          <w:sz w:val="22"/>
          <w:szCs w:val="22"/>
        </w:rPr>
        <w:t>• Statins to reduce cholesterol and cardiovascular risk (NICE, 2022).</w:t>
      </w:r>
    </w:p>
    <w:p w14:paraId="62678595" w14:textId="2C5BD07C" w:rsidR="00803F09" w:rsidRDefault="00803F09" w:rsidP="00803F09">
      <w:pPr>
        <w:spacing w:line="360" w:lineRule="auto"/>
        <w:rPr>
          <w:rFonts w:ascii="Arial" w:hAnsi="Arial" w:cs="Arial"/>
          <w:color w:val="0F486E" w:themeColor="text2" w:themeShade="BF"/>
          <w:sz w:val="22"/>
          <w:szCs w:val="22"/>
        </w:rPr>
      </w:pPr>
      <w:r w:rsidRPr="00803F09">
        <w:rPr>
          <w:rFonts w:ascii="Arial" w:hAnsi="Arial" w:cs="Arial"/>
          <w:color w:val="0F486E" w:themeColor="text2" w:themeShade="BF"/>
          <w:sz w:val="22"/>
          <w:szCs w:val="22"/>
        </w:rPr>
        <w:t>• Antiplatelet therapy where clinically indicated (NICE, 2022).</w:t>
      </w:r>
    </w:p>
    <w:p w14:paraId="606F4A02" w14:textId="1CBE49E8" w:rsidR="000C09DA" w:rsidRDefault="000C09DA" w:rsidP="00803F09">
      <w:pPr>
        <w:spacing w:line="360" w:lineRule="auto"/>
        <w:rPr>
          <w:rFonts w:ascii="Arial" w:hAnsi="Arial" w:cs="Arial"/>
          <w:color w:val="0F486E" w:themeColor="text2" w:themeShade="BF"/>
          <w:sz w:val="22"/>
          <w:szCs w:val="22"/>
        </w:rPr>
      </w:pPr>
      <w:r w:rsidRPr="000C09DA">
        <w:rPr>
          <w:rFonts w:ascii="Arial" w:hAnsi="Arial" w:cs="Arial"/>
          <w:color w:val="0F486E" w:themeColor="text2" w:themeShade="BF"/>
          <w:sz w:val="22"/>
          <w:szCs w:val="22"/>
        </w:rPr>
        <w:t>Risk reduction is crucial because cardiovascular disease is still the top cause of death for people with type 2 diabetes (WHO, 2016).</w:t>
      </w:r>
    </w:p>
    <w:p w14:paraId="36F1DDAF" w14:textId="77777777" w:rsidR="009E157E" w:rsidRDefault="007A328C" w:rsidP="009E157E">
      <w:pPr>
        <w:spacing w:line="360" w:lineRule="auto"/>
        <w:rPr>
          <w:rFonts w:ascii="Arial" w:hAnsi="Arial" w:cs="Arial"/>
          <w:b/>
          <w:bCs/>
          <w:color w:val="167AF3" w:themeColor="accent1" w:themeTint="99"/>
          <w:sz w:val="32"/>
          <w:szCs w:val="32"/>
        </w:rPr>
      </w:pPr>
      <w:r>
        <w:rPr>
          <w:rFonts w:ascii="Arial" w:hAnsi="Arial" w:cs="Arial"/>
          <w:noProof/>
          <w:color w:val="0F486E" w:themeColor="text2" w:themeShade="BF"/>
          <w:sz w:val="22"/>
          <w:szCs w:val="22"/>
        </w:rPr>
        <w:drawing>
          <wp:inline distT="0" distB="0" distL="0" distR="0" wp14:anchorId="071C88F9" wp14:editId="447C7786">
            <wp:extent cx="3619815" cy="1004570"/>
            <wp:effectExtent l="0" t="0" r="0" b="5080"/>
            <wp:docPr id="78947475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916673" cy="1086954"/>
                    </a:xfrm>
                    <a:prstGeom prst="rect">
                      <a:avLst/>
                    </a:prstGeom>
                    <a:noFill/>
                  </pic:spPr>
                </pic:pic>
              </a:graphicData>
            </a:graphic>
          </wp:inline>
        </w:drawing>
      </w:r>
    </w:p>
    <w:p w14:paraId="245C18A3" w14:textId="4B2DCBD7" w:rsidR="00485947" w:rsidRDefault="0087085C" w:rsidP="009E157E">
      <w:pPr>
        <w:spacing w:line="360" w:lineRule="auto"/>
        <w:rPr>
          <w:rFonts w:ascii="Arial" w:hAnsi="Arial" w:cs="Arial"/>
          <w:b/>
          <w:bCs/>
          <w:color w:val="167AF3" w:themeColor="accent1" w:themeTint="99"/>
          <w:sz w:val="32"/>
          <w:szCs w:val="32"/>
        </w:rPr>
      </w:pPr>
      <w:r w:rsidRPr="008A6E24">
        <w:rPr>
          <w:rFonts w:ascii="Arial" w:hAnsi="Arial" w:cs="Arial"/>
          <w:b/>
          <w:bCs/>
          <w:color w:val="167AF3" w:themeColor="accent1" w:themeTint="99"/>
          <w:sz w:val="32"/>
          <w:szCs w:val="32"/>
        </w:rPr>
        <w:lastRenderedPageBreak/>
        <w:t xml:space="preserve">Burden and </w:t>
      </w:r>
      <w:r w:rsidR="000D49EB" w:rsidRPr="008A6E24">
        <w:rPr>
          <w:rFonts w:ascii="Arial" w:hAnsi="Arial" w:cs="Arial"/>
          <w:b/>
          <w:bCs/>
          <w:color w:val="167AF3" w:themeColor="accent1" w:themeTint="99"/>
          <w:sz w:val="32"/>
          <w:szCs w:val="32"/>
        </w:rPr>
        <w:t>Prevalence</w:t>
      </w:r>
    </w:p>
    <w:p w14:paraId="444AED33" w14:textId="77777777" w:rsidR="00F748E2" w:rsidRPr="009E157E" w:rsidRDefault="00F748E2" w:rsidP="009E157E">
      <w:pPr>
        <w:spacing w:line="360" w:lineRule="auto"/>
        <w:rPr>
          <w:rFonts w:ascii="Arial" w:hAnsi="Arial" w:cs="Arial"/>
          <w:color w:val="0F486E" w:themeColor="text2" w:themeShade="BF"/>
          <w:sz w:val="22"/>
          <w:szCs w:val="22"/>
        </w:rPr>
      </w:pPr>
    </w:p>
    <w:p w14:paraId="619CB2D4" w14:textId="7778FA1C" w:rsidR="0087085C" w:rsidRPr="00AA076A" w:rsidRDefault="0087085C" w:rsidP="00AA076A">
      <w:pPr>
        <w:spacing w:line="360" w:lineRule="auto"/>
        <w:rPr>
          <w:rFonts w:ascii="Arial" w:hAnsi="Arial" w:cs="Arial"/>
          <w:b/>
          <w:bCs/>
          <w:color w:val="167AF3" w:themeColor="accent1" w:themeTint="99"/>
          <w:sz w:val="22"/>
          <w:szCs w:val="22"/>
          <w:u w:val="single"/>
        </w:rPr>
      </w:pPr>
      <w:r w:rsidRPr="00AA076A">
        <w:rPr>
          <w:rFonts w:ascii="Arial" w:hAnsi="Arial" w:cs="Arial"/>
          <w:b/>
          <w:bCs/>
          <w:color w:val="167AF3" w:themeColor="accent1" w:themeTint="99"/>
          <w:sz w:val="22"/>
          <w:szCs w:val="22"/>
          <w:u w:val="single"/>
        </w:rPr>
        <w:t>Global Burden</w:t>
      </w:r>
    </w:p>
    <w:p w14:paraId="13015D93" w14:textId="7025D4C5" w:rsidR="00814842" w:rsidRDefault="00814842" w:rsidP="00AA076A">
      <w:pPr>
        <w:spacing w:line="360" w:lineRule="auto"/>
        <w:rPr>
          <w:rFonts w:ascii="Arial" w:hAnsi="Arial" w:cs="Arial"/>
          <w:color w:val="0F486E" w:themeColor="text2" w:themeShade="BF"/>
          <w:sz w:val="22"/>
          <w:szCs w:val="22"/>
        </w:rPr>
      </w:pPr>
      <w:r w:rsidRPr="00814842">
        <w:rPr>
          <w:rFonts w:ascii="Arial" w:hAnsi="Arial" w:cs="Arial"/>
          <w:color w:val="0F486E" w:themeColor="text2" w:themeShade="BF"/>
          <w:sz w:val="22"/>
          <w:szCs w:val="22"/>
        </w:rPr>
        <w:t>According to the International Diabetes Federation, 537 million adults worldwide have diabetes, and by 2045, that number is expected to rise to 783 million (IDF, 2023). About 90% of cases are caused by type 2 diabetes</w:t>
      </w:r>
      <w:r>
        <w:rPr>
          <w:rFonts w:ascii="Arial" w:hAnsi="Arial" w:cs="Arial"/>
          <w:color w:val="0F486E" w:themeColor="text2" w:themeShade="BF"/>
          <w:sz w:val="22"/>
          <w:szCs w:val="22"/>
        </w:rPr>
        <w:t>.</w:t>
      </w:r>
    </w:p>
    <w:p w14:paraId="0CDAFA34" w14:textId="20AFCABC" w:rsidR="0087085C" w:rsidRDefault="0087085C"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Diabetes contributes to 6.7 million deaths annually (IDF, 2023), largely due to cardiovascular complications.</w:t>
      </w:r>
    </w:p>
    <w:p w14:paraId="0C7B8084" w14:textId="77777777" w:rsidR="00C230E6" w:rsidRPr="0092303A" w:rsidRDefault="00C230E6" w:rsidP="00AA076A">
      <w:pPr>
        <w:spacing w:line="360" w:lineRule="auto"/>
        <w:rPr>
          <w:rFonts w:ascii="Arial" w:hAnsi="Arial" w:cs="Arial"/>
          <w:color w:val="0F486E" w:themeColor="text2" w:themeShade="BF"/>
          <w:sz w:val="22"/>
          <w:szCs w:val="22"/>
        </w:rPr>
      </w:pPr>
    </w:p>
    <w:p w14:paraId="45EBEA5F" w14:textId="0346F6E1" w:rsidR="0087085C" w:rsidRPr="00AA076A" w:rsidRDefault="0087085C" w:rsidP="00AA076A">
      <w:pPr>
        <w:spacing w:line="360" w:lineRule="auto"/>
        <w:rPr>
          <w:rFonts w:ascii="Arial" w:hAnsi="Arial" w:cs="Arial"/>
          <w:b/>
          <w:bCs/>
          <w:color w:val="167AF3" w:themeColor="accent1" w:themeTint="99"/>
          <w:sz w:val="22"/>
          <w:szCs w:val="22"/>
          <w:u w:val="single"/>
        </w:rPr>
      </w:pPr>
      <w:r w:rsidRPr="00AA076A">
        <w:rPr>
          <w:rFonts w:ascii="Arial" w:hAnsi="Arial" w:cs="Arial"/>
          <w:b/>
          <w:bCs/>
          <w:color w:val="167AF3" w:themeColor="accent1" w:themeTint="99"/>
          <w:sz w:val="22"/>
          <w:szCs w:val="22"/>
          <w:u w:val="single"/>
        </w:rPr>
        <w:t>UK Burden</w:t>
      </w:r>
    </w:p>
    <w:p w14:paraId="7B51790D" w14:textId="1EBAF689" w:rsidR="007F4DED" w:rsidRDefault="002651C6" w:rsidP="00AA076A">
      <w:pPr>
        <w:spacing w:line="360" w:lineRule="auto"/>
        <w:rPr>
          <w:rFonts w:ascii="Arial" w:hAnsi="Arial" w:cs="Arial"/>
          <w:color w:val="0F486E" w:themeColor="text2" w:themeShade="BF"/>
          <w:sz w:val="22"/>
          <w:szCs w:val="22"/>
        </w:rPr>
      </w:pPr>
      <w:r w:rsidRPr="002651C6">
        <w:rPr>
          <w:rFonts w:ascii="Arial" w:hAnsi="Arial" w:cs="Arial"/>
          <w:color w:val="0F486E" w:themeColor="text2" w:themeShade="BF"/>
          <w:sz w:val="22"/>
          <w:szCs w:val="22"/>
        </w:rPr>
        <w:t xml:space="preserve">Over 5 million people in the UK have diabetes, of which 4.3 million have a diagnosis and 850,000 do not (Diabetes UK, 2023). </w:t>
      </w:r>
      <w:r w:rsidR="0087085C" w:rsidRPr="00AA076A">
        <w:rPr>
          <w:rFonts w:ascii="Arial" w:hAnsi="Arial" w:cs="Arial"/>
          <w:color w:val="0F486E" w:themeColor="text2" w:themeShade="BF"/>
          <w:sz w:val="22"/>
          <w:szCs w:val="22"/>
        </w:rPr>
        <w:t>Prevalence is highest in deprived communities and ethnic minority populations (Public Health England, 2018).</w:t>
      </w:r>
      <w:r w:rsidR="00450D1C" w:rsidRPr="00AA076A">
        <w:rPr>
          <w:rFonts w:ascii="Arial" w:hAnsi="Arial" w:cs="Arial"/>
          <w:color w:val="0F486E" w:themeColor="text2" w:themeShade="BF"/>
          <w:sz w:val="22"/>
          <w:szCs w:val="22"/>
        </w:rPr>
        <w:t xml:space="preserve"> </w:t>
      </w:r>
      <w:r w:rsidR="0087085C" w:rsidRPr="00AA076A">
        <w:rPr>
          <w:rFonts w:ascii="Arial" w:hAnsi="Arial" w:cs="Arial"/>
          <w:color w:val="0F486E" w:themeColor="text2" w:themeShade="BF"/>
          <w:sz w:val="22"/>
          <w:szCs w:val="22"/>
        </w:rPr>
        <w:t>The NHS spends approximately £10 billion annually on diabetes, with most costs related to avoidable complications (Hex et al., 2012).</w:t>
      </w:r>
    </w:p>
    <w:p w14:paraId="3FFF37F5" w14:textId="77777777" w:rsidR="00F748E2" w:rsidRPr="00AA076A" w:rsidRDefault="00F748E2" w:rsidP="00AA076A">
      <w:pPr>
        <w:spacing w:line="360" w:lineRule="auto"/>
        <w:rPr>
          <w:rFonts w:ascii="Arial" w:hAnsi="Arial" w:cs="Arial"/>
          <w:color w:val="0F486E" w:themeColor="text2" w:themeShade="BF"/>
          <w:sz w:val="22"/>
          <w:szCs w:val="22"/>
        </w:rPr>
      </w:pPr>
    </w:p>
    <w:p w14:paraId="7E990F97" w14:textId="579225ED" w:rsidR="00F748E2" w:rsidRDefault="00C52F69" w:rsidP="00F748E2">
      <w:pPr>
        <w:spacing w:line="360" w:lineRule="auto"/>
        <w:jc w:val="center"/>
        <w:rPr>
          <w:rFonts w:ascii="Arial" w:hAnsi="Arial" w:cs="Arial"/>
          <w:color w:val="0F486E" w:themeColor="text2" w:themeShade="BF"/>
          <w:sz w:val="18"/>
          <w:szCs w:val="18"/>
        </w:rPr>
      </w:pPr>
      <w:r w:rsidRPr="00AA076A">
        <w:rPr>
          <w:rFonts w:ascii="Arial" w:hAnsi="Arial" w:cs="Arial"/>
          <w:b/>
          <w:bCs/>
          <w:noProof/>
          <w:color w:val="167AF3" w:themeColor="accent1" w:themeTint="99"/>
          <w:sz w:val="22"/>
          <w:szCs w:val="22"/>
          <w:u w:val="single"/>
        </w:rPr>
        <w:drawing>
          <wp:inline distT="0" distB="0" distL="0" distR="0" wp14:anchorId="1B6E4619" wp14:editId="181ACE3B">
            <wp:extent cx="4670242" cy="2410460"/>
            <wp:effectExtent l="0" t="0" r="0" b="8890"/>
            <wp:docPr id="624872778" name="Picture 33" descr="A graph of diabe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872778" name="Picture 33" descr="A graph of diabetes&#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68891" cy="2461376"/>
                    </a:xfrm>
                    <a:prstGeom prst="rect">
                      <a:avLst/>
                    </a:prstGeom>
                    <a:noFill/>
                  </pic:spPr>
                </pic:pic>
              </a:graphicData>
            </a:graphic>
          </wp:inline>
        </w:drawing>
      </w:r>
      <w:r w:rsidR="00450D1C" w:rsidRPr="00AA076A">
        <w:rPr>
          <w:rFonts w:ascii="Arial" w:hAnsi="Arial" w:cs="Arial"/>
          <w:color w:val="0F486E" w:themeColor="text2" w:themeShade="BF"/>
          <w:sz w:val="22"/>
          <w:szCs w:val="22"/>
        </w:rPr>
        <w:t>(</w:t>
      </w:r>
      <w:r w:rsidR="00450D1C" w:rsidRPr="0092303A">
        <w:rPr>
          <w:rFonts w:ascii="Arial" w:hAnsi="Arial" w:cs="Arial"/>
          <w:color w:val="0F486E" w:themeColor="text2" w:themeShade="BF"/>
          <w:sz w:val="18"/>
          <w:szCs w:val="18"/>
        </w:rPr>
        <w:t>Diabetes UK, 2023)</w:t>
      </w:r>
    </w:p>
    <w:p w14:paraId="5035B8B3" w14:textId="77777777" w:rsidR="008F5C61" w:rsidRDefault="008F5C61" w:rsidP="00F748E2">
      <w:pPr>
        <w:spacing w:line="360" w:lineRule="auto"/>
        <w:jc w:val="center"/>
        <w:rPr>
          <w:rFonts w:ascii="Arial" w:hAnsi="Arial" w:cs="Arial"/>
          <w:color w:val="0F486E" w:themeColor="text2" w:themeShade="BF"/>
          <w:sz w:val="18"/>
          <w:szCs w:val="18"/>
        </w:rPr>
      </w:pPr>
    </w:p>
    <w:p w14:paraId="6DC88607" w14:textId="77777777" w:rsidR="00F748E2" w:rsidRPr="00F748E2" w:rsidRDefault="00F748E2" w:rsidP="00F748E2">
      <w:pPr>
        <w:spacing w:line="360" w:lineRule="auto"/>
        <w:jc w:val="center"/>
        <w:rPr>
          <w:rFonts w:ascii="Arial" w:hAnsi="Arial" w:cs="Arial"/>
          <w:color w:val="0F486E" w:themeColor="text2" w:themeShade="BF"/>
          <w:sz w:val="18"/>
          <w:szCs w:val="18"/>
        </w:rPr>
      </w:pPr>
    </w:p>
    <w:p w14:paraId="5ADAB4FE" w14:textId="42DC77CC" w:rsidR="00B02C52" w:rsidRPr="001F059E" w:rsidRDefault="00B02C52" w:rsidP="00F95E1B">
      <w:pPr>
        <w:pStyle w:val="Heading1"/>
        <w:spacing w:line="360" w:lineRule="auto"/>
        <w:jc w:val="left"/>
        <w:rPr>
          <w:rFonts w:ascii="Arial" w:hAnsi="Arial" w:cs="Arial"/>
          <w:b/>
          <w:bCs/>
          <w:color w:val="167AF3" w:themeColor="accent1" w:themeTint="99"/>
          <w:sz w:val="32"/>
          <w:szCs w:val="32"/>
        </w:rPr>
      </w:pPr>
      <w:bookmarkStart w:id="6" w:name="_Toc223067587"/>
      <w:r w:rsidRPr="001F059E">
        <w:rPr>
          <w:rFonts w:ascii="Arial" w:hAnsi="Arial" w:cs="Arial"/>
          <w:b/>
          <w:bCs/>
          <w:color w:val="167AF3" w:themeColor="accent1" w:themeTint="99"/>
          <w:sz w:val="32"/>
          <w:szCs w:val="32"/>
        </w:rPr>
        <w:lastRenderedPageBreak/>
        <w:t>Epidemiology</w:t>
      </w:r>
      <w:bookmarkEnd w:id="6"/>
    </w:p>
    <w:p w14:paraId="71040352" w14:textId="77777777" w:rsidR="00DA34B5" w:rsidRPr="00DA34B5" w:rsidRDefault="00DA34B5" w:rsidP="00F95E1B">
      <w:pPr>
        <w:spacing w:line="360" w:lineRule="auto"/>
        <w:rPr>
          <w:rFonts w:ascii="Arial" w:hAnsi="Arial" w:cs="Arial"/>
          <w:color w:val="0F486E" w:themeColor="text2" w:themeShade="BF"/>
          <w:sz w:val="22"/>
          <w:szCs w:val="22"/>
        </w:rPr>
      </w:pPr>
      <w:r w:rsidRPr="00DA34B5">
        <w:rPr>
          <w:rFonts w:ascii="Arial" w:hAnsi="Arial" w:cs="Arial"/>
          <w:color w:val="0F486E" w:themeColor="text2" w:themeShade="BF"/>
          <w:sz w:val="22"/>
          <w:szCs w:val="22"/>
        </w:rPr>
        <w:t>One of the most common non-communicable diseases in the world is type 2 diabetes. Over 400 million persons worldwide are estimated by the World Health Organization to have diabetes, with type 2 diabetes accounting for the majority of cases (WHO, 2016). Over 5 million individuals in the UK have diabetes, with an estimated 850,000 cases going undiagnosed (Diabetes UK, 2023).</w:t>
      </w:r>
    </w:p>
    <w:p w14:paraId="55411488" w14:textId="5F3E3855" w:rsidR="006B7DF7" w:rsidRPr="00AD4C74" w:rsidRDefault="00AD4C74" w:rsidP="00F95E1B">
      <w:pPr>
        <w:spacing w:line="360" w:lineRule="auto"/>
        <w:rPr>
          <w:rFonts w:ascii="Arial" w:hAnsi="Arial" w:cs="Arial"/>
          <w:color w:val="167AF3" w:themeColor="accent1" w:themeTint="99"/>
          <w:sz w:val="22"/>
          <w:szCs w:val="22"/>
        </w:rPr>
      </w:pPr>
      <w:r w:rsidRPr="00AD4C74">
        <w:rPr>
          <w:rFonts w:ascii="Arial" w:hAnsi="Arial" w:cs="Arial"/>
          <w:color w:val="167AF3" w:themeColor="accent1" w:themeTint="99"/>
          <w:sz w:val="22"/>
          <w:szCs w:val="22"/>
        </w:rPr>
        <w:t>Graph showing Prevalence</w:t>
      </w:r>
      <w:r w:rsidRPr="00AD4C74">
        <w:rPr>
          <w:rFonts w:ascii="Arial" w:hAnsi="Arial" w:cs="Arial"/>
          <w:color w:val="167AF3" w:themeColor="accent1" w:themeTint="99"/>
          <w:sz w:val="22"/>
          <w:szCs w:val="22"/>
        </w:rPr>
        <w:t xml:space="preserve"> of diabetes</w:t>
      </w:r>
    </w:p>
    <w:p w14:paraId="29D8543A" w14:textId="2D8B3771" w:rsidR="00165B16" w:rsidRDefault="00165B16" w:rsidP="00F95E1B">
      <w:pPr>
        <w:spacing w:line="360" w:lineRule="auto"/>
        <w:rPr>
          <w:rFonts w:ascii="Arial" w:hAnsi="Arial" w:cs="Arial"/>
          <w:color w:val="0F486E" w:themeColor="text2" w:themeShade="BF"/>
          <w:sz w:val="22"/>
          <w:szCs w:val="22"/>
        </w:rPr>
      </w:pPr>
      <w:r>
        <w:rPr>
          <w:rFonts w:ascii="Arial" w:hAnsi="Arial" w:cs="Arial"/>
          <w:noProof/>
          <w:color w:val="0F486E" w:themeColor="text2" w:themeShade="BF"/>
          <w:sz w:val="22"/>
          <w:szCs w:val="22"/>
        </w:rPr>
        <w:drawing>
          <wp:inline distT="0" distB="0" distL="0" distR="0" wp14:anchorId="50041C9E" wp14:editId="20D6D169">
            <wp:extent cx="4949851" cy="2353292"/>
            <wp:effectExtent l="0" t="0" r="3175" b="9525"/>
            <wp:docPr id="260825273"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39634" cy="2395977"/>
                    </a:xfrm>
                    <a:prstGeom prst="rect">
                      <a:avLst/>
                    </a:prstGeom>
                    <a:noFill/>
                  </pic:spPr>
                </pic:pic>
              </a:graphicData>
            </a:graphic>
          </wp:inline>
        </w:drawing>
      </w:r>
    </w:p>
    <w:p w14:paraId="6A68BEB9" w14:textId="29697AED" w:rsidR="00A57B4D" w:rsidRDefault="00A57B4D" w:rsidP="00F95E1B">
      <w:pPr>
        <w:spacing w:line="360" w:lineRule="auto"/>
        <w:rPr>
          <w:rFonts w:ascii="Arial" w:hAnsi="Arial" w:cs="Arial"/>
          <w:color w:val="0F486E" w:themeColor="text2" w:themeShade="BF"/>
          <w:sz w:val="22"/>
          <w:szCs w:val="22"/>
        </w:rPr>
      </w:pPr>
      <w:r w:rsidRPr="00A57B4D">
        <w:rPr>
          <w:rFonts w:ascii="Arial" w:hAnsi="Arial" w:cs="Arial"/>
          <w:color w:val="0F486E" w:themeColor="text2" w:themeShade="BF"/>
          <w:sz w:val="22"/>
          <w:szCs w:val="22"/>
        </w:rPr>
        <w:t>According to Public Health England (2018), the prevalence rises with age and is considerably greater in persons over 40 or older among South Asian and Black African/Caribbean groups. Higher incidence, earlier start, and worse outcomes are all closely linked to socioeconomic deprivation (Marmot et al., 2020).</w:t>
      </w:r>
    </w:p>
    <w:p w14:paraId="29F793F5" w14:textId="448CD8DF" w:rsidR="00165B16" w:rsidRPr="006B7DF7" w:rsidRDefault="006B7DF7" w:rsidP="00F95E1B">
      <w:pPr>
        <w:spacing w:line="360" w:lineRule="auto"/>
        <w:rPr>
          <w:rFonts w:ascii="Arial" w:hAnsi="Arial" w:cs="Arial"/>
          <w:color w:val="167AF3" w:themeColor="accent1" w:themeTint="99"/>
          <w:sz w:val="22"/>
          <w:szCs w:val="22"/>
        </w:rPr>
      </w:pPr>
      <w:r w:rsidRPr="006B7DF7">
        <w:rPr>
          <w:rFonts w:ascii="Arial" w:hAnsi="Arial" w:cs="Arial"/>
          <w:color w:val="167AF3" w:themeColor="accent1" w:themeTint="99"/>
          <w:sz w:val="22"/>
          <w:szCs w:val="22"/>
        </w:rPr>
        <w:t>graph showing the age distribution of type 2 diabetes prevalence</w:t>
      </w:r>
    </w:p>
    <w:p w14:paraId="395BE182" w14:textId="77777777" w:rsidR="009E157E" w:rsidRDefault="00E12985" w:rsidP="00E12985">
      <w:pPr>
        <w:spacing w:line="360" w:lineRule="auto"/>
        <w:rPr>
          <w:rFonts w:ascii="Arial" w:hAnsi="Arial" w:cs="Arial"/>
          <w:color w:val="167AF3" w:themeColor="accent1" w:themeTint="99"/>
          <w:sz w:val="32"/>
          <w:szCs w:val="32"/>
        </w:rPr>
      </w:pPr>
      <w:r>
        <w:rPr>
          <w:rFonts w:ascii="Arial" w:hAnsi="Arial" w:cs="Arial"/>
          <w:noProof/>
          <w:color w:val="0F486E" w:themeColor="text2" w:themeShade="BF"/>
          <w:sz w:val="22"/>
          <w:szCs w:val="22"/>
        </w:rPr>
        <w:drawing>
          <wp:inline distT="0" distB="0" distL="0" distR="0" wp14:anchorId="578874D6" wp14:editId="3B3834AD">
            <wp:extent cx="5131220" cy="2538694"/>
            <wp:effectExtent l="0" t="0" r="0" b="0"/>
            <wp:docPr id="1202452014"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82536" cy="2564083"/>
                    </a:xfrm>
                    <a:prstGeom prst="rect">
                      <a:avLst/>
                    </a:prstGeom>
                    <a:noFill/>
                  </pic:spPr>
                </pic:pic>
              </a:graphicData>
            </a:graphic>
          </wp:inline>
        </w:drawing>
      </w:r>
    </w:p>
    <w:p w14:paraId="55ED3547" w14:textId="08AD4544" w:rsidR="00B02C52" w:rsidRPr="001F059E" w:rsidRDefault="00B02C52" w:rsidP="00E12985">
      <w:pPr>
        <w:spacing w:line="360" w:lineRule="auto"/>
        <w:rPr>
          <w:rFonts w:ascii="Arial" w:hAnsi="Arial" w:cs="Arial"/>
          <w:b/>
          <w:bCs/>
          <w:color w:val="167AF3" w:themeColor="accent1" w:themeTint="99"/>
          <w:sz w:val="32"/>
          <w:szCs w:val="32"/>
        </w:rPr>
      </w:pPr>
      <w:r w:rsidRPr="001F059E">
        <w:rPr>
          <w:rFonts w:ascii="Arial" w:hAnsi="Arial" w:cs="Arial"/>
          <w:b/>
          <w:bCs/>
          <w:color w:val="167AF3" w:themeColor="accent1" w:themeTint="99"/>
          <w:sz w:val="32"/>
          <w:szCs w:val="32"/>
        </w:rPr>
        <w:lastRenderedPageBreak/>
        <w:t xml:space="preserve">Social Determinants </w:t>
      </w:r>
      <w:r w:rsidR="00156FCC">
        <w:rPr>
          <w:rFonts w:ascii="Arial" w:hAnsi="Arial" w:cs="Arial"/>
          <w:b/>
          <w:bCs/>
          <w:color w:val="167AF3" w:themeColor="accent1" w:themeTint="99"/>
          <w:sz w:val="32"/>
          <w:szCs w:val="32"/>
        </w:rPr>
        <w:t>O</w:t>
      </w:r>
      <w:r w:rsidRPr="001F059E">
        <w:rPr>
          <w:rFonts w:ascii="Arial" w:hAnsi="Arial" w:cs="Arial"/>
          <w:b/>
          <w:bCs/>
          <w:color w:val="167AF3" w:themeColor="accent1" w:themeTint="99"/>
          <w:sz w:val="32"/>
          <w:szCs w:val="32"/>
        </w:rPr>
        <w:t>f Health</w:t>
      </w:r>
    </w:p>
    <w:p w14:paraId="5F3C0C98" w14:textId="7137D60C" w:rsidR="00F23B0F" w:rsidRPr="00F23B0F" w:rsidRDefault="00F23B0F" w:rsidP="00F23B0F">
      <w:pPr>
        <w:spacing w:line="360" w:lineRule="auto"/>
        <w:rPr>
          <w:rFonts w:ascii="Arial" w:hAnsi="Arial" w:cs="Arial"/>
          <w:color w:val="0F486E" w:themeColor="text2" w:themeShade="BF"/>
          <w:sz w:val="22"/>
          <w:szCs w:val="22"/>
        </w:rPr>
      </w:pPr>
      <w:r w:rsidRPr="00F23B0F">
        <w:rPr>
          <w:rFonts w:ascii="Arial" w:hAnsi="Arial" w:cs="Arial"/>
          <w:color w:val="0F486E" w:themeColor="text2" w:themeShade="BF"/>
          <w:sz w:val="22"/>
          <w:szCs w:val="22"/>
        </w:rPr>
        <w:t>According to Marmot et al. (2020), there is a strong correlation between type 2 diabetes and broader social variables such as housing circumstances, work, education, and income. People who live in underprivileged regions are more likely to be obese, have less access to nutritious food options, and have fewer opportunity to engage in physical activity (Public Health England, 2018).</w:t>
      </w:r>
    </w:p>
    <w:p w14:paraId="7230CC83" w14:textId="7FE0697E" w:rsidR="00E12985" w:rsidRPr="00485258" w:rsidRDefault="00835491" w:rsidP="00F95E1B">
      <w:pPr>
        <w:spacing w:line="360" w:lineRule="auto"/>
        <w:rPr>
          <w:rFonts w:ascii="Arial" w:hAnsi="Arial" w:cs="Arial"/>
          <w:color w:val="0F486E" w:themeColor="text2" w:themeShade="BF"/>
          <w:sz w:val="18"/>
          <w:szCs w:val="18"/>
        </w:rPr>
      </w:pPr>
      <w:r>
        <w:rPr>
          <w:rFonts w:ascii="Arial" w:hAnsi="Arial" w:cs="Arial"/>
          <w:noProof/>
          <w:color w:val="0F486E" w:themeColor="text2" w:themeShade="BF"/>
          <w:sz w:val="22"/>
          <w:szCs w:val="22"/>
        </w:rPr>
        <w:drawing>
          <wp:inline distT="0" distB="0" distL="0" distR="0" wp14:anchorId="28BE9747" wp14:editId="7C5210B4">
            <wp:extent cx="4474896" cy="2386965"/>
            <wp:effectExtent l="0" t="0" r="1905" b="0"/>
            <wp:docPr id="1854096957"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27134" cy="2414829"/>
                    </a:xfrm>
                    <a:prstGeom prst="rect">
                      <a:avLst/>
                    </a:prstGeom>
                    <a:noFill/>
                  </pic:spPr>
                </pic:pic>
              </a:graphicData>
            </a:graphic>
          </wp:inline>
        </w:drawing>
      </w:r>
      <w:r w:rsidR="00FA4624" w:rsidRPr="00FA4624">
        <w:t xml:space="preserve"> </w:t>
      </w:r>
      <w:r w:rsidR="00FA4624" w:rsidRPr="00FA4624">
        <w:rPr>
          <w:rFonts w:ascii="Arial" w:hAnsi="Arial" w:cs="Arial"/>
          <w:color w:val="0F486E" w:themeColor="text2" w:themeShade="BF"/>
          <w:sz w:val="22"/>
          <w:szCs w:val="22"/>
        </w:rPr>
        <w:t>(</w:t>
      </w:r>
      <w:proofErr w:type="spellStart"/>
      <w:r w:rsidR="00FA4624" w:rsidRPr="00485258">
        <w:rPr>
          <w:rFonts w:ascii="Arial" w:hAnsi="Arial" w:cs="Arial"/>
          <w:color w:val="0F486E" w:themeColor="text2" w:themeShade="BF"/>
          <w:sz w:val="18"/>
          <w:szCs w:val="18"/>
        </w:rPr>
        <w:t>windowsadmins</w:t>
      </w:r>
      <w:proofErr w:type="spellEnd"/>
      <w:r w:rsidR="00FA4624" w:rsidRPr="00485258">
        <w:rPr>
          <w:rFonts w:ascii="Arial" w:hAnsi="Arial" w:cs="Arial"/>
          <w:color w:val="0F486E" w:themeColor="text2" w:themeShade="BF"/>
          <w:sz w:val="18"/>
          <w:szCs w:val="18"/>
        </w:rPr>
        <w:t>, 2020)</w:t>
      </w:r>
    </w:p>
    <w:p w14:paraId="45477884" w14:textId="315B5FCB" w:rsidR="00B02C52" w:rsidRPr="00DA73C9" w:rsidRDefault="00DA73C9" w:rsidP="00F95E1B">
      <w:pPr>
        <w:spacing w:line="360" w:lineRule="auto"/>
        <w:rPr>
          <w:rFonts w:ascii="Arial" w:hAnsi="Arial" w:cs="Arial"/>
          <w:color w:val="0F486E" w:themeColor="text2" w:themeShade="BF"/>
          <w:sz w:val="22"/>
          <w:szCs w:val="22"/>
        </w:rPr>
      </w:pPr>
      <w:r w:rsidRPr="00DA73C9">
        <w:rPr>
          <w:rFonts w:ascii="Arial" w:hAnsi="Arial" w:cs="Arial"/>
          <w:color w:val="0F486E" w:themeColor="text2" w:themeShade="BF"/>
          <w:sz w:val="22"/>
          <w:szCs w:val="22"/>
        </w:rPr>
        <w:t>Due to a combination of socioeconomic hardship, traditional dietary practices, and obstacles to obtaining healthcare services, ethnic minority populations in the UK are disproportionately affected (NHS England, 2019). Therefore, addressing inequality is essential to lowering the prevalence and complications of diabetes (Marmot et al., 2020).</w:t>
      </w:r>
    </w:p>
    <w:p w14:paraId="3A985AC7" w14:textId="27D8EFC8" w:rsidR="00B02C52" w:rsidRPr="00F95E1B" w:rsidRDefault="009D3014" w:rsidP="00F95E1B">
      <w:pPr>
        <w:spacing w:line="360" w:lineRule="auto"/>
        <w:rPr>
          <w:rFonts w:ascii="Arial" w:hAnsi="Arial" w:cs="Arial"/>
          <w:sz w:val="22"/>
          <w:szCs w:val="22"/>
        </w:rPr>
      </w:pPr>
      <w:r>
        <w:rPr>
          <w:rFonts w:ascii="Arial" w:hAnsi="Arial" w:cs="Arial"/>
          <w:noProof/>
          <w:sz w:val="22"/>
          <w:szCs w:val="22"/>
        </w:rPr>
        <w:drawing>
          <wp:inline distT="0" distB="0" distL="0" distR="0" wp14:anchorId="5B63FA38" wp14:editId="3FA928A1">
            <wp:extent cx="4669398" cy="2750757"/>
            <wp:effectExtent l="0" t="0" r="0" b="0"/>
            <wp:docPr id="38005790"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711406" cy="2775504"/>
                    </a:xfrm>
                    <a:prstGeom prst="rect">
                      <a:avLst/>
                    </a:prstGeom>
                    <a:noFill/>
                  </pic:spPr>
                </pic:pic>
              </a:graphicData>
            </a:graphic>
          </wp:inline>
        </w:drawing>
      </w:r>
    </w:p>
    <w:p w14:paraId="5B5DBD29" w14:textId="2E4F4293" w:rsidR="00A03AB6" w:rsidRPr="00BA7A21" w:rsidRDefault="00B02C52" w:rsidP="00BA7A21">
      <w:pPr>
        <w:spacing w:line="360" w:lineRule="auto"/>
        <w:rPr>
          <w:rFonts w:ascii="Arial" w:hAnsi="Arial" w:cs="Arial"/>
          <w:color w:val="0F486E" w:themeColor="text2" w:themeShade="BF"/>
          <w:sz w:val="22"/>
          <w:szCs w:val="22"/>
        </w:rPr>
      </w:pPr>
      <w:bookmarkStart w:id="7" w:name="_Toc223067588"/>
      <w:r w:rsidRPr="001F059E">
        <w:rPr>
          <w:rStyle w:val="Heading1Char"/>
          <w:rFonts w:ascii="Arial" w:hAnsi="Arial" w:cs="Arial"/>
          <w:b/>
          <w:bCs/>
          <w:color w:val="167AF3" w:themeColor="accent1" w:themeTint="99"/>
          <w:sz w:val="32"/>
          <w:szCs w:val="32"/>
        </w:rPr>
        <w:lastRenderedPageBreak/>
        <w:t>Environmental Factors</w:t>
      </w:r>
      <w:bookmarkEnd w:id="7"/>
      <w:r w:rsidR="009E157E" w:rsidRPr="00BA7A21">
        <w:rPr>
          <w:color w:val="167AF3" w:themeColor="accent1" w:themeTint="99"/>
          <w:sz w:val="32"/>
          <w:szCs w:val="32"/>
        </w:rPr>
        <w:t xml:space="preserve"> </w:t>
      </w:r>
      <w:r w:rsidR="009E157E">
        <w:rPr>
          <w:color w:val="167AF3" w:themeColor="accent1" w:themeTint="99"/>
          <w:sz w:val="32"/>
          <w:szCs w:val="32"/>
        </w:rPr>
        <w:t xml:space="preserve">- </w:t>
      </w:r>
      <w:r w:rsidRPr="00BA7A21">
        <w:rPr>
          <w:rFonts w:ascii="Arial" w:hAnsi="Arial" w:cs="Arial"/>
          <w:color w:val="0F486E" w:themeColor="text2" w:themeShade="BF"/>
          <w:sz w:val="22"/>
          <w:szCs w:val="22"/>
        </w:rPr>
        <w:t>The rapid global rise in type 2 diabetes has been strongly linked to environmental and lifestyle changes, including sedentary behaviour, urbanisation and increased availability of ultra-processed foods (WHO, 2016). Built environments that limit access to green spaces and safe walking routes contribute to physical inactivity and obesity (Public Health England, 2018).</w:t>
      </w:r>
    </w:p>
    <w:p w14:paraId="692807BA" w14:textId="325C0C10" w:rsidR="00A03AB6" w:rsidRPr="00F95E1B" w:rsidRDefault="00A03AB6" w:rsidP="00BA7A21">
      <w:pPr>
        <w:rPr>
          <w:color w:val="0F486E" w:themeColor="text2" w:themeShade="BF"/>
        </w:rPr>
      </w:pPr>
      <w:r>
        <w:rPr>
          <w:noProof/>
          <w:color w:val="0F486E" w:themeColor="text2" w:themeShade="BF"/>
        </w:rPr>
        <w:drawing>
          <wp:inline distT="0" distB="0" distL="0" distR="0" wp14:anchorId="2CFBFDAF" wp14:editId="21BD06CB">
            <wp:extent cx="5939821" cy="1697990"/>
            <wp:effectExtent l="0" t="0" r="3810" b="0"/>
            <wp:docPr id="1781820846"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97210" cy="1714396"/>
                    </a:xfrm>
                    <a:prstGeom prst="rect">
                      <a:avLst/>
                    </a:prstGeom>
                    <a:noFill/>
                  </pic:spPr>
                </pic:pic>
              </a:graphicData>
            </a:graphic>
          </wp:inline>
        </w:drawing>
      </w:r>
    </w:p>
    <w:p w14:paraId="3B0D8C88" w14:textId="47538A4A" w:rsidR="00B02C52" w:rsidRDefault="00B02C52" w:rsidP="00BA7A21">
      <w:pPr>
        <w:rPr>
          <w:color w:val="0F486E" w:themeColor="text2" w:themeShade="BF"/>
        </w:rPr>
      </w:pPr>
      <w:r w:rsidRPr="00F95E1B">
        <w:rPr>
          <w:color w:val="0F486E" w:themeColor="text2" w:themeShade="BF"/>
        </w:rPr>
        <w:t>Food environments characterised by high availability of calorie-dense, nutrient-poor products further increase metabolic risk (WHO, 2016). Public health strategies targeting environmental risk factors are essential for prevention.</w:t>
      </w:r>
    </w:p>
    <w:p w14:paraId="2B0A05D8" w14:textId="77777777" w:rsidR="001F059E" w:rsidRPr="009E157E" w:rsidRDefault="001F059E" w:rsidP="00BA7A21">
      <w:pPr>
        <w:rPr>
          <w:color w:val="0F486E" w:themeColor="text2" w:themeShade="BF"/>
        </w:rPr>
      </w:pPr>
    </w:p>
    <w:p w14:paraId="1D6D7CEC" w14:textId="5C985A8D" w:rsidR="00B02C52" w:rsidRPr="00C14DAE" w:rsidRDefault="00B02C52" w:rsidP="00C14DAE">
      <w:pPr>
        <w:spacing w:line="360" w:lineRule="auto"/>
        <w:rPr>
          <w:rFonts w:ascii="Arial" w:hAnsi="Arial" w:cs="Arial"/>
          <w:color w:val="0F486E" w:themeColor="text2" w:themeShade="BF"/>
          <w:sz w:val="22"/>
          <w:szCs w:val="22"/>
        </w:rPr>
      </w:pPr>
      <w:bookmarkStart w:id="8" w:name="_Toc223067589"/>
      <w:r w:rsidRPr="001F059E">
        <w:rPr>
          <w:rStyle w:val="Heading1Char"/>
          <w:rFonts w:ascii="Arial" w:hAnsi="Arial" w:cs="Arial"/>
          <w:b/>
          <w:bCs/>
          <w:color w:val="167AF3" w:themeColor="accent1" w:themeTint="99"/>
          <w:sz w:val="32"/>
          <w:szCs w:val="32"/>
        </w:rPr>
        <w:t>Biological Factors</w:t>
      </w:r>
      <w:bookmarkEnd w:id="8"/>
      <w:r w:rsidR="009E157E" w:rsidRPr="00AD2D26">
        <w:rPr>
          <w:color w:val="167AF3" w:themeColor="accent1" w:themeTint="99"/>
          <w:sz w:val="32"/>
          <w:szCs w:val="32"/>
        </w:rPr>
        <w:t xml:space="preserve"> </w:t>
      </w:r>
      <w:r w:rsidR="009E157E" w:rsidRPr="00C14DAE">
        <w:rPr>
          <w:rFonts w:ascii="Arial" w:hAnsi="Arial" w:cs="Arial"/>
          <w:sz w:val="22"/>
          <w:szCs w:val="22"/>
        </w:rPr>
        <w:t xml:space="preserve">- </w:t>
      </w:r>
      <w:r w:rsidR="00C14DAE" w:rsidRPr="00C14DAE">
        <w:rPr>
          <w:rFonts w:ascii="Arial" w:hAnsi="Arial" w:cs="Arial"/>
          <w:color w:val="0F486E" w:themeColor="text2" w:themeShade="BF"/>
          <w:sz w:val="22"/>
          <w:szCs w:val="22"/>
        </w:rPr>
        <w:t>Insulin resistance and increasing beta-cell dysfunction in the pancreas are the biological causes of type 2 diabetes (NICE, 2022). Particularly in those with a family history of diabetes, genetic predisposition is important (WHO, 2016).</w:t>
      </w:r>
    </w:p>
    <w:p w14:paraId="0BB9ED27" w14:textId="7E4A5BD2" w:rsidR="009E157E" w:rsidRPr="001F059E" w:rsidRDefault="009E157E" w:rsidP="001F059E">
      <w:pPr>
        <w:spacing w:line="360" w:lineRule="auto"/>
        <w:rPr>
          <w:rFonts w:ascii="Arial" w:hAnsi="Arial" w:cs="Arial"/>
          <w:color w:val="0F486E" w:themeColor="text2" w:themeShade="BF"/>
          <w:sz w:val="22"/>
          <w:szCs w:val="22"/>
        </w:rPr>
      </w:pPr>
      <w:r w:rsidRPr="001F059E">
        <w:rPr>
          <w:rFonts w:ascii="Arial" w:hAnsi="Arial" w:cs="Arial"/>
          <w:noProof/>
          <w:color w:val="0F486E" w:themeColor="text2" w:themeShade="BF"/>
          <w:sz w:val="22"/>
          <w:szCs w:val="22"/>
        </w:rPr>
        <w:drawing>
          <wp:inline distT="0" distB="0" distL="0" distR="0" wp14:anchorId="3B116F32" wp14:editId="4F8C77A4">
            <wp:extent cx="4885038" cy="2168525"/>
            <wp:effectExtent l="0" t="0" r="0" b="3175"/>
            <wp:docPr id="1437171280"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944585" cy="2194958"/>
                    </a:xfrm>
                    <a:prstGeom prst="rect">
                      <a:avLst/>
                    </a:prstGeom>
                    <a:noFill/>
                  </pic:spPr>
                </pic:pic>
              </a:graphicData>
            </a:graphic>
          </wp:inline>
        </w:drawing>
      </w:r>
    </w:p>
    <w:p w14:paraId="2B565F6B" w14:textId="77777777" w:rsidR="009E157E" w:rsidRPr="001F059E" w:rsidRDefault="00B02C52" w:rsidP="001F059E">
      <w:pPr>
        <w:spacing w:line="360" w:lineRule="auto"/>
        <w:rPr>
          <w:rFonts w:ascii="Arial" w:hAnsi="Arial" w:cs="Arial"/>
          <w:color w:val="0F486E" w:themeColor="text2" w:themeShade="BF"/>
          <w:sz w:val="22"/>
          <w:szCs w:val="22"/>
        </w:rPr>
      </w:pPr>
      <w:r w:rsidRPr="001F059E">
        <w:rPr>
          <w:rFonts w:ascii="Arial" w:hAnsi="Arial" w:cs="Arial"/>
          <w:color w:val="0F486E" w:themeColor="text2" w:themeShade="BF"/>
          <w:sz w:val="22"/>
          <w:szCs w:val="22"/>
        </w:rPr>
        <w:t>Obesity, especially central (abdominal) adiposity, increases insulin resistance and inflammatory processes that impair glucose metabolism (NICE, 2022). Advancing age, hypertension and dyslipidaemia further compound metabolic risk (Public Health England, 2018).</w:t>
      </w:r>
    </w:p>
    <w:p w14:paraId="47190DC9" w14:textId="3C4BC027" w:rsidR="0087085C" w:rsidRPr="009E157E" w:rsidRDefault="00BA2774" w:rsidP="009E157E">
      <w:pPr>
        <w:spacing w:line="360" w:lineRule="auto"/>
        <w:rPr>
          <w:rFonts w:ascii="Arial" w:hAnsi="Arial" w:cs="Arial"/>
          <w:color w:val="0F486E" w:themeColor="text2" w:themeShade="BF"/>
          <w:sz w:val="22"/>
          <w:szCs w:val="22"/>
        </w:rPr>
      </w:pPr>
      <w:r w:rsidRPr="0092303A">
        <w:rPr>
          <w:rFonts w:ascii="Arial" w:hAnsi="Arial" w:cs="Arial"/>
          <w:b/>
          <w:bCs/>
          <w:color w:val="167AF3" w:themeColor="accent1" w:themeTint="99"/>
          <w:sz w:val="32"/>
          <w:szCs w:val="32"/>
        </w:rPr>
        <w:lastRenderedPageBreak/>
        <w:t>Impact of Type 2 Diabetes</w:t>
      </w:r>
    </w:p>
    <w:p w14:paraId="3362F70B" w14:textId="5F18ACBA" w:rsidR="00377E0E" w:rsidRPr="0092303A" w:rsidRDefault="001C4691" w:rsidP="0092303A">
      <w:pPr>
        <w:rPr>
          <w:rFonts w:ascii="Arial" w:hAnsi="Arial" w:cs="Arial"/>
          <w:b/>
          <w:bCs/>
          <w:color w:val="167AF3" w:themeColor="accent1" w:themeTint="99"/>
          <w:sz w:val="22"/>
          <w:szCs w:val="22"/>
        </w:rPr>
      </w:pPr>
      <w:r w:rsidRPr="0092303A">
        <w:rPr>
          <w:rFonts w:ascii="Arial" w:hAnsi="Arial" w:cs="Arial"/>
          <w:b/>
          <w:bCs/>
          <w:color w:val="167AF3" w:themeColor="accent1" w:themeTint="99"/>
          <w:sz w:val="22"/>
          <w:szCs w:val="22"/>
        </w:rPr>
        <w:t>Physical Impact</w:t>
      </w:r>
      <w:r w:rsidR="00377E0E" w:rsidRPr="0092303A">
        <w:rPr>
          <w:rFonts w:ascii="Arial" w:hAnsi="Arial" w:cs="Arial"/>
          <w:b/>
          <w:bCs/>
          <w:color w:val="167AF3" w:themeColor="accent1" w:themeTint="99"/>
          <w:sz w:val="22"/>
          <w:szCs w:val="22"/>
        </w:rPr>
        <w:t xml:space="preserve"> </w:t>
      </w:r>
    </w:p>
    <w:p w14:paraId="78463269" w14:textId="310E5B07" w:rsidR="001C4691" w:rsidRPr="00AA076A" w:rsidRDefault="00377E0E" w:rsidP="00AA076A">
      <w:pPr>
        <w:spacing w:line="360" w:lineRule="auto"/>
        <w:rPr>
          <w:rFonts w:ascii="Arial" w:hAnsi="Arial" w:cs="Arial"/>
          <w:color w:val="167AF3" w:themeColor="accent1" w:themeTint="99"/>
          <w:sz w:val="22"/>
          <w:szCs w:val="22"/>
        </w:rPr>
      </w:pPr>
      <w:r w:rsidRPr="00AA076A">
        <w:rPr>
          <w:rFonts w:ascii="Arial" w:hAnsi="Arial" w:cs="Arial"/>
          <w:color w:val="167AF3" w:themeColor="accent1" w:themeTint="99"/>
          <w:sz w:val="22"/>
          <w:szCs w:val="22"/>
        </w:rPr>
        <w:t>T2DM significantly increases risk of:</w:t>
      </w:r>
    </w:p>
    <w:p w14:paraId="0961C4BF" w14:textId="0EC6DD8F" w:rsidR="00377E0E" w:rsidRPr="00AA076A" w:rsidRDefault="009E157E" w:rsidP="00AA076A">
      <w:pPr>
        <w:spacing w:line="360" w:lineRule="auto"/>
        <w:rPr>
          <w:rFonts w:ascii="Arial" w:hAnsi="Arial" w:cs="Arial"/>
          <w:b/>
          <w:bCs/>
          <w:color w:val="167AF3" w:themeColor="accent1" w:themeTint="99"/>
          <w:sz w:val="22"/>
          <w:szCs w:val="22"/>
          <w:u w:val="single"/>
        </w:rPr>
      </w:pPr>
      <w:r w:rsidRPr="00AA076A">
        <w:rPr>
          <w:rFonts w:ascii="Arial" w:hAnsi="Arial" w:cs="Arial"/>
          <w:noProof/>
          <w:color w:val="146194" w:themeColor="text2"/>
          <w:sz w:val="22"/>
          <w:szCs w:val="22"/>
        </w:rPr>
        <mc:AlternateContent>
          <mc:Choice Requires="wps">
            <w:drawing>
              <wp:anchor distT="0" distB="0" distL="114300" distR="114300" simplePos="0" relativeHeight="251667456" behindDoc="0" locked="0" layoutInCell="1" allowOverlap="1" wp14:anchorId="355960B6" wp14:editId="0B671571">
                <wp:simplePos x="0" y="0"/>
                <wp:positionH relativeFrom="margin">
                  <wp:posOffset>2965896</wp:posOffset>
                </wp:positionH>
                <wp:positionV relativeFrom="paragraph">
                  <wp:posOffset>89939</wp:posOffset>
                </wp:positionV>
                <wp:extent cx="2689225" cy="3357880"/>
                <wp:effectExtent l="0" t="0" r="15875" b="13970"/>
                <wp:wrapNone/>
                <wp:docPr id="978875980" name="Rectangle: Diagonal Corners Rounded 11"/>
                <wp:cNvGraphicFramePr/>
                <a:graphic xmlns:a="http://schemas.openxmlformats.org/drawingml/2006/main">
                  <a:graphicData uri="http://schemas.microsoft.com/office/word/2010/wordprocessingShape">
                    <wps:wsp>
                      <wps:cNvSpPr/>
                      <wps:spPr>
                        <a:xfrm>
                          <a:off x="0" y="0"/>
                          <a:ext cx="2689225" cy="3357880"/>
                        </a:xfrm>
                        <a:prstGeom prst="round2DiagRect">
                          <a:avLst/>
                        </a:prstGeom>
                        <a:solidFill>
                          <a:schemeClr val="accent3">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1C295C4" w14:textId="77777777" w:rsidR="00573D41" w:rsidRDefault="00573D41" w:rsidP="00573D41">
                            <w:pPr>
                              <w:jc w:val="center"/>
                              <w:rPr>
                                <w:b/>
                                <w:bCs/>
                                <w:color w:val="167AF3" w:themeColor="accent1" w:themeTint="99"/>
                                <w:u w:val="single"/>
                              </w:rPr>
                            </w:pPr>
                          </w:p>
                          <w:p w14:paraId="060B5AF7" w14:textId="595234DB" w:rsidR="00573D41" w:rsidRPr="00573D41" w:rsidRDefault="00573D41" w:rsidP="00573D41">
                            <w:pPr>
                              <w:jc w:val="center"/>
                              <w:rPr>
                                <w:b/>
                                <w:bCs/>
                                <w:color w:val="167AF3" w:themeColor="accent1" w:themeTint="99"/>
                                <w:u w:val="single"/>
                              </w:rPr>
                            </w:pPr>
                            <w:r w:rsidRPr="00573D41">
                              <w:rPr>
                                <w:b/>
                                <w:bCs/>
                                <w:color w:val="167AF3" w:themeColor="accent1" w:themeTint="99"/>
                                <w:u w:val="single"/>
                              </w:rPr>
                              <w:t>Macrovascular complications</w:t>
                            </w:r>
                          </w:p>
                          <w:p w14:paraId="7CAD65AE" w14:textId="77777777" w:rsidR="00573D41" w:rsidRPr="002E5454" w:rsidRDefault="00573D41" w:rsidP="00A616C4">
                            <w:pPr>
                              <w:rPr>
                                <w:color w:val="0F705C" w:themeColor="accent3" w:themeShade="BF"/>
                              </w:rPr>
                            </w:pPr>
                          </w:p>
                          <w:p w14:paraId="2322CE02" w14:textId="77777777" w:rsidR="00573D41" w:rsidRPr="002E5454" w:rsidRDefault="00573D41" w:rsidP="00A616C4">
                            <w:pPr>
                              <w:pStyle w:val="ListParagraph"/>
                              <w:numPr>
                                <w:ilvl w:val="0"/>
                                <w:numId w:val="5"/>
                              </w:numPr>
                              <w:rPr>
                                <w:color w:val="0F705C" w:themeColor="accent3" w:themeShade="BF"/>
                              </w:rPr>
                            </w:pPr>
                            <w:r w:rsidRPr="002E5454">
                              <w:rPr>
                                <w:color w:val="0F705C" w:themeColor="accent3" w:themeShade="BF"/>
                              </w:rPr>
                              <w:t>Cardiovascular disease (Emerging Risk Factors Collaboration, 2010)</w:t>
                            </w:r>
                          </w:p>
                          <w:p w14:paraId="0945D7B4" w14:textId="77777777" w:rsidR="00573D41" w:rsidRPr="002E5454" w:rsidRDefault="00573D41" w:rsidP="00A616C4">
                            <w:pPr>
                              <w:rPr>
                                <w:color w:val="0F705C" w:themeColor="accent3" w:themeShade="BF"/>
                              </w:rPr>
                            </w:pPr>
                          </w:p>
                          <w:p w14:paraId="5770D7FA" w14:textId="77777777" w:rsidR="00573D41" w:rsidRPr="002E5454" w:rsidRDefault="00573D41" w:rsidP="00A616C4">
                            <w:pPr>
                              <w:pStyle w:val="ListParagraph"/>
                              <w:numPr>
                                <w:ilvl w:val="0"/>
                                <w:numId w:val="5"/>
                              </w:numPr>
                              <w:rPr>
                                <w:color w:val="0F705C" w:themeColor="accent3" w:themeShade="BF"/>
                              </w:rPr>
                            </w:pPr>
                            <w:r w:rsidRPr="002E5454">
                              <w:rPr>
                                <w:color w:val="0F705C" w:themeColor="accent3" w:themeShade="BF"/>
                              </w:rPr>
                              <w:t>Stroke</w:t>
                            </w:r>
                          </w:p>
                          <w:p w14:paraId="1F1A6584" w14:textId="77777777" w:rsidR="00573D41" w:rsidRPr="002E5454" w:rsidRDefault="00573D41" w:rsidP="00A616C4">
                            <w:pPr>
                              <w:rPr>
                                <w:color w:val="0F705C" w:themeColor="accent3" w:themeShade="BF"/>
                              </w:rPr>
                            </w:pPr>
                          </w:p>
                          <w:p w14:paraId="52B54EAC" w14:textId="77777777" w:rsidR="00573D41" w:rsidRPr="002E5454" w:rsidRDefault="00573D41" w:rsidP="00A616C4">
                            <w:pPr>
                              <w:pStyle w:val="ListParagraph"/>
                              <w:numPr>
                                <w:ilvl w:val="0"/>
                                <w:numId w:val="5"/>
                              </w:numPr>
                              <w:rPr>
                                <w:color w:val="0F705C" w:themeColor="accent3" w:themeShade="BF"/>
                              </w:rPr>
                            </w:pPr>
                            <w:r w:rsidRPr="002E5454">
                              <w:rPr>
                                <w:color w:val="0F705C" w:themeColor="accent3" w:themeShade="BF"/>
                              </w:rPr>
                              <w:t>Peripheral arterial disease (Selvin and Erlinger, 2004)</w:t>
                            </w:r>
                          </w:p>
                          <w:p w14:paraId="1097EE89" w14:textId="77777777" w:rsidR="00573D41" w:rsidRDefault="00573D41" w:rsidP="00573D4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55960B6" id="Rectangle: Diagonal Corners Rounded 11" o:spid="_x0000_s1032" style="position:absolute;margin-left:233.55pt;margin-top:7.1pt;width:211.75pt;height:264.4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coordsize="2689225,33578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" adj="-11796480,,5400" path="m448213,l2689225,r,l2689225,2909667v,247541,-200672,448213,-448213,448213l,3357880r,l,448213c,200672,200672,,448213,xe" fillcolor="#4be7c7 [1942]" strokecolor="#00060e [484]" strokeweight="1.25pt">
                <v:stroke joinstyle="miter" endcap="round"/>
                <v:formulas/>
                <v:path arrowok="t" o:connecttype="custom" o:connectlocs="448213,0;2689225,0;2689225,0;2689225,2909667;2241012,3357880;0,3357880;0,3357880;0,448213;448213,0" o:connectangles="0,0,0,0,0,0,0,0,0" textboxrect="0,0,2689225,3357880"/>
                <v:textbox>
                  <w:txbxContent>
                    <w:p w14:paraId="41C295C4" w14:textId="77777777" w:rsidR="00573D41" w:rsidRDefault="00573D41" w:rsidP="00573D41">
                      <w:pPr>
                        <w:jc w:val="center"/>
                        <w:rPr>
                          <w:b/>
                          <w:bCs/>
                          <w:color w:val="167AF3" w:themeColor="accent1" w:themeTint="99"/>
                          <w:u w:val="single"/>
                        </w:rPr>
                      </w:pPr>
                    </w:p>
                    <w:p w14:paraId="060B5AF7" w14:textId="595234DB" w:rsidR="00573D41" w:rsidRPr="00573D41" w:rsidRDefault="00573D41" w:rsidP="00573D41">
                      <w:pPr>
                        <w:jc w:val="center"/>
                        <w:rPr>
                          <w:b/>
                          <w:bCs/>
                          <w:color w:val="167AF3" w:themeColor="accent1" w:themeTint="99"/>
                          <w:u w:val="single"/>
                        </w:rPr>
                      </w:pPr>
                      <w:r w:rsidRPr="00573D41">
                        <w:rPr>
                          <w:b/>
                          <w:bCs/>
                          <w:color w:val="167AF3" w:themeColor="accent1" w:themeTint="99"/>
                          <w:u w:val="single"/>
                        </w:rPr>
                        <w:t>Macrovascular complications</w:t>
                      </w:r>
                    </w:p>
                    <w:p w14:paraId="7CAD65AE" w14:textId="77777777" w:rsidR="00573D41" w:rsidRPr="002E5454" w:rsidRDefault="00573D41" w:rsidP="00A616C4">
                      <w:pPr>
                        <w:rPr>
                          <w:color w:val="0F705C" w:themeColor="accent3" w:themeShade="BF"/>
                        </w:rPr>
                      </w:pPr>
                    </w:p>
                    <w:p w14:paraId="2322CE02" w14:textId="77777777" w:rsidR="00573D41" w:rsidRPr="002E5454" w:rsidRDefault="00573D41" w:rsidP="00A616C4">
                      <w:pPr>
                        <w:pStyle w:val="ListParagraph"/>
                        <w:numPr>
                          <w:ilvl w:val="0"/>
                          <w:numId w:val="5"/>
                        </w:numPr>
                        <w:rPr>
                          <w:color w:val="0F705C" w:themeColor="accent3" w:themeShade="BF"/>
                        </w:rPr>
                      </w:pPr>
                      <w:r w:rsidRPr="002E5454">
                        <w:rPr>
                          <w:color w:val="0F705C" w:themeColor="accent3" w:themeShade="BF"/>
                        </w:rPr>
                        <w:t>Cardiovascular disease (Emerging Risk Factors Collaboration, 2010)</w:t>
                      </w:r>
                    </w:p>
                    <w:p w14:paraId="0945D7B4" w14:textId="77777777" w:rsidR="00573D41" w:rsidRPr="002E5454" w:rsidRDefault="00573D41" w:rsidP="00A616C4">
                      <w:pPr>
                        <w:rPr>
                          <w:color w:val="0F705C" w:themeColor="accent3" w:themeShade="BF"/>
                        </w:rPr>
                      </w:pPr>
                    </w:p>
                    <w:p w14:paraId="5770D7FA" w14:textId="77777777" w:rsidR="00573D41" w:rsidRPr="002E5454" w:rsidRDefault="00573D41" w:rsidP="00A616C4">
                      <w:pPr>
                        <w:pStyle w:val="ListParagraph"/>
                        <w:numPr>
                          <w:ilvl w:val="0"/>
                          <w:numId w:val="5"/>
                        </w:numPr>
                        <w:rPr>
                          <w:color w:val="0F705C" w:themeColor="accent3" w:themeShade="BF"/>
                        </w:rPr>
                      </w:pPr>
                      <w:r w:rsidRPr="002E5454">
                        <w:rPr>
                          <w:color w:val="0F705C" w:themeColor="accent3" w:themeShade="BF"/>
                        </w:rPr>
                        <w:t>Stroke</w:t>
                      </w:r>
                    </w:p>
                    <w:p w14:paraId="1F1A6584" w14:textId="77777777" w:rsidR="00573D41" w:rsidRPr="002E5454" w:rsidRDefault="00573D41" w:rsidP="00A616C4">
                      <w:pPr>
                        <w:rPr>
                          <w:color w:val="0F705C" w:themeColor="accent3" w:themeShade="BF"/>
                        </w:rPr>
                      </w:pPr>
                    </w:p>
                    <w:p w14:paraId="52B54EAC" w14:textId="77777777" w:rsidR="00573D41" w:rsidRPr="002E5454" w:rsidRDefault="00573D41" w:rsidP="00A616C4">
                      <w:pPr>
                        <w:pStyle w:val="ListParagraph"/>
                        <w:numPr>
                          <w:ilvl w:val="0"/>
                          <w:numId w:val="5"/>
                        </w:numPr>
                        <w:rPr>
                          <w:color w:val="0F705C" w:themeColor="accent3" w:themeShade="BF"/>
                        </w:rPr>
                      </w:pPr>
                      <w:r w:rsidRPr="002E5454">
                        <w:rPr>
                          <w:color w:val="0F705C" w:themeColor="accent3" w:themeShade="BF"/>
                        </w:rPr>
                        <w:t>Peripheral arterial disease (Selvin and Erlinger, 2004)</w:t>
                      </w:r>
                    </w:p>
                    <w:p w14:paraId="1097EE89" w14:textId="77777777" w:rsidR="00573D41" w:rsidRDefault="00573D41" w:rsidP="00573D41">
                      <w:pPr>
                        <w:jc w:val="center"/>
                      </w:pPr>
                    </w:p>
                  </w:txbxContent>
                </v:textbox>
                <w10:wrap anchorx="margin"/>
              </v:shape>
            </w:pict>
          </mc:Fallback>
        </mc:AlternateContent>
      </w:r>
      <w:r w:rsidR="00A616C4" w:rsidRPr="00AA076A">
        <w:rPr>
          <w:rFonts w:ascii="Arial" w:hAnsi="Arial" w:cs="Arial"/>
          <w:noProof/>
          <w:color w:val="146194" w:themeColor="text2"/>
          <w:sz w:val="22"/>
          <w:szCs w:val="22"/>
        </w:rPr>
        <mc:AlternateContent>
          <mc:Choice Requires="wps">
            <w:drawing>
              <wp:anchor distT="0" distB="0" distL="114300" distR="114300" simplePos="0" relativeHeight="251666432" behindDoc="0" locked="0" layoutInCell="1" allowOverlap="1" wp14:anchorId="49D74973" wp14:editId="659BD69F">
                <wp:simplePos x="0" y="0"/>
                <wp:positionH relativeFrom="column">
                  <wp:posOffset>-414938</wp:posOffset>
                </wp:positionH>
                <wp:positionV relativeFrom="paragraph">
                  <wp:posOffset>116082</wp:posOffset>
                </wp:positionV>
                <wp:extent cx="2719705" cy="3427079"/>
                <wp:effectExtent l="0" t="0" r="23495" b="21590"/>
                <wp:wrapNone/>
                <wp:docPr id="845366840" name="Rectangle: Diagonal Corners Rounded 10"/>
                <wp:cNvGraphicFramePr/>
                <a:graphic xmlns:a="http://schemas.openxmlformats.org/drawingml/2006/main">
                  <a:graphicData uri="http://schemas.microsoft.com/office/word/2010/wordprocessingShape">
                    <wps:wsp>
                      <wps:cNvSpPr/>
                      <wps:spPr>
                        <a:xfrm>
                          <a:off x="0" y="0"/>
                          <a:ext cx="2719705" cy="3427079"/>
                        </a:xfrm>
                        <a:prstGeom prst="round2DiagRect">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6CEF4F2" w14:textId="5B2D709E" w:rsidR="00377E0E" w:rsidRPr="00377E0E" w:rsidRDefault="00377E0E" w:rsidP="00573D41">
                            <w:pPr>
                              <w:rPr>
                                <w:b/>
                                <w:bCs/>
                                <w:color w:val="167AF3" w:themeColor="accent1" w:themeTint="99"/>
                                <w:u w:val="single"/>
                              </w:rPr>
                            </w:pPr>
                            <w:r w:rsidRPr="00377E0E">
                              <w:rPr>
                                <w:b/>
                                <w:bCs/>
                                <w:color w:val="167AF3" w:themeColor="accent1" w:themeTint="99"/>
                                <w:u w:val="single"/>
                              </w:rPr>
                              <w:t>Microvascular complications</w:t>
                            </w:r>
                          </w:p>
                          <w:p w14:paraId="7C97E651" w14:textId="77777777" w:rsidR="00377E0E" w:rsidRDefault="00377E0E" w:rsidP="00377E0E">
                            <w:pPr>
                              <w:jc w:val="center"/>
                            </w:pPr>
                          </w:p>
                          <w:p w14:paraId="6A6B9BBF" w14:textId="77777777" w:rsidR="00377E0E" w:rsidRPr="002E5454" w:rsidRDefault="00377E0E" w:rsidP="00377E0E">
                            <w:pPr>
                              <w:pStyle w:val="ListParagraph"/>
                              <w:numPr>
                                <w:ilvl w:val="0"/>
                                <w:numId w:val="4"/>
                              </w:numPr>
                              <w:rPr>
                                <w:color w:val="520740" w:themeColor="accent2" w:themeShade="80"/>
                              </w:rPr>
                            </w:pPr>
                            <w:r w:rsidRPr="002E5454">
                              <w:rPr>
                                <w:color w:val="520740" w:themeColor="accent2" w:themeShade="80"/>
                              </w:rPr>
                              <w:t>Retinopathy (Yau et al., 2012)</w:t>
                            </w:r>
                          </w:p>
                          <w:p w14:paraId="3D42E500" w14:textId="77777777" w:rsidR="00377E0E" w:rsidRPr="002E5454" w:rsidRDefault="00377E0E" w:rsidP="00377E0E">
                            <w:pPr>
                              <w:rPr>
                                <w:color w:val="520740" w:themeColor="accent2" w:themeShade="80"/>
                              </w:rPr>
                            </w:pPr>
                          </w:p>
                          <w:p w14:paraId="4A57F915" w14:textId="77777777" w:rsidR="00377E0E" w:rsidRPr="002E5454" w:rsidRDefault="00377E0E" w:rsidP="00377E0E">
                            <w:pPr>
                              <w:pStyle w:val="ListParagraph"/>
                              <w:numPr>
                                <w:ilvl w:val="0"/>
                                <w:numId w:val="4"/>
                              </w:numPr>
                              <w:rPr>
                                <w:color w:val="520740" w:themeColor="accent2" w:themeShade="80"/>
                              </w:rPr>
                            </w:pPr>
                            <w:r w:rsidRPr="002E5454">
                              <w:rPr>
                                <w:color w:val="520740" w:themeColor="accent2" w:themeShade="80"/>
                              </w:rPr>
                              <w:t>Nephropathy (</w:t>
                            </w:r>
                            <w:proofErr w:type="spellStart"/>
                            <w:r w:rsidRPr="002E5454">
                              <w:rPr>
                                <w:color w:val="520740" w:themeColor="accent2" w:themeShade="80"/>
                              </w:rPr>
                              <w:t>Alicic</w:t>
                            </w:r>
                            <w:proofErr w:type="spellEnd"/>
                            <w:r w:rsidRPr="002E5454">
                              <w:rPr>
                                <w:color w:val="520740" w:themeColor="accent2" w:themeShade="80"/>
                              </w:rPr>
                              <w:t xml:space="preserve"> et al., 2017)</w:t>
                            </w:r>
                          </w:p>
                          <w:p w14:paraId="2BFB6A6E" w14:textId="77777777" w:rsidR="00377E0E" w:rsidRPr="002E5454" w:rsidRDefault="00377E0E" w:rsidP="00377E0E">
                            <w:pPr>
                              <w:rPr>
                                <w:color w:val="520740" w:themeColor="accent2" w:themeShade="80"/>
                              </w:rPr>
                            </w:pPr>
                          </w:p>
                          <w:p w14:paraId="4BA59D48" w14:textId="672EC298" w:rsidR="00377E0E" w:rsidRPr="002E5454" w:rsidRDefault="00377E0E" w:rsidP="00377E0E">
                            <w:pPr>
                              <w:pStyle w:val="ListParagraph"/>
                              <w:numPr>
                                <w:ilvl w:val="0"/>
                                <w:numId w:val="4"/>
                              </w:numPr>
                              <w:rPr>
                                <w:color w:val="520740" w:themeColor="accent2" w:themeShade="80"/>
                              </w:rPr>
                            </w:pPr>
                            <w:r w:rsidRPr="002E5454">
                              <w:rPr>
                                <w:color w:val="520740" w:themeColor="accent2" w:themeShade="80"/>
                              </w:rPr>
                              <w:t>Neuropathy and foot ulcers (Boulton et al., 2005)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D74973" id="Rectangle: Diagonal Corners Rounded 10" o:spid="_x0000_s1033" style="position:absolute;margin-left:-32.65pt;margin-top:9.15pt;width:214.15pt;height:269.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719705,342707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" adj="-11796480,,5400" path="m453293,l2719705,r,l2719705,2973786v,250347,-202946,453293,-453293,453293l,3427079r,l,453293c,202946,202946,,453293,xe" fillcolor="#f484da [1301]" strokecolor="#00060e [484]" strokeweight="1.25pt">
                <v:stroke joinstyle="miter" endcap="round"/>
                <v:formulas/>
                <v:path arrowok="t" o:connecttype="custom" o:connectlocs="453293,0;2719705,0;2719705,0;2719705,2973786;2266412,3427079;0,3427079;0,3427079;0,453293;453293,0" o:connectangles="0,0,0,0,0,0,0,0,0" textboxrect="0,0,2719705,3427079"/>
                <v:textbox>
                  <w:txbxContent>
                    <w:p w14:paraId="76CEF4F2" w14:textId="5B2D709E" w:rsidR="00377E0E" w:rsidRPr="00377E0E" w:rsidRDefault="00377E0E" w:rsidP="00573D41">
                      <w:pPr>
                        <w:rPr>
                          <w:b/>
                          <w:bCs/>
                          <w:color w:val="167AF3" w:themeColor="accent1" w:themeTint="99"/>
                          <w:u w:val="single"/>
                        </w:rPr>
                      </w:pPr>
                      <w:r w:rsidRPr="00377E0E">
                        <w:rPr>
                          <w:b/>
                          <w:bCs/>
                          <w:color w:val="167AF3" w:themeColor="accent1" w:themeTint="99"/>
                          <w:u w:val="single"/>
                        </w:rPr>
                        <w:t>Microvascular complications</w:t>
                      </w:r>
                    </w:p>
                    <w:p w14:paraId="7C97E651" w14:textId="77777777" w:rsidR="00377E0E" w:rsidRDefault="00377E0E" w:rsidP="00377E0E">
                      <w:pPr>
                        <w:jc w:val="center"/>
                      </w:pPr>
                    </w:p>
                    <w:p w14:paraId="6A6B9BBF" w14:textId="77777777" w:rsidR="00377E0E" w:rsidRPr="002E5454" w:rsidRDefault="00377E0E" w:rsidP="00377E0E">
                      <w:pPr>
                        <w:pStyle w:val="ListParagraph"/>
                        <w:numPr>
                          <w:ilvl w:val="0"/>
                          <w:numId w:val="4"/>
                        </w:numPr>
                        <w:rPr>
                          <w:color w:val="520740" w:themeColor="accent2" w:themeShade="80"/>
                        </w:rPr>
                      </w:pPr>
                      <w:r w:rsidRPr="002E5454">
                        <w:rPr>
                          <w:color w:val="520740" w:themeColor="accent2" w:themeShade="80"/>
                        </w:rPr>
                        <w:t>Retinopathy (Yau et al., 2012)</w:t>
                      </w:r>
                    </w:p>
                    <w:p w14:paraId="3D42E500" w14:textId="77777777" w:rsidR="00377E0E" w:rsidRPr="002E5454" w:rsidRDefault="00377E0E" w:rsidP="00377E0E">
                      <w:pPr>
                        <w:rPr>
                          <w:color w:val="520740" w:themeColor="accent2" w:themeShade="80"/>
                        </w:rPr>
                      </w:pPr>
                    </w:p>
                    <w:p w14:paraId="4A57F915" w14:textId="77777777" w:rsidR="00377E0E" w:rsidRPr="002E5454" w:rsidRDefault="00377E0E" w:rsidP="00377E0E">
                      <w:pPr>
                        <w:pStyle w:val="ListParagraph"/>
                        <w:numPr>
                          <w:ilvl w:val="0"/>
                          <w:numId w:val="4"/>
                        </w:numPr>
                        <w:rPr>
                          <w:color w:val="520740" w:themeColor="accent2" w:themeShade="80"/>
                        </w:rPr>
                      </w:pPr>
                      <w:r w:rsidRPr="002E5454">
                        <w:rPr>
                          <w:color w:val="520740" w:themeColor="accent2" w:themeShade="80"/>
                        </w:rPr>
                        <w:t>Nephropathy (</w:t>
                      </w:r>
                      <w:proofErr w:type="spellStart"/>
                      <w:r w:rsidRPr="002E5454">
                        <w:rPr>
                          <w:color w:val="520740" w:themeColor="accent2" w:themeShade="80"/>
                        </w:rPr>
                        <w:t>Alicic</w:t>
                      </w:r>
                      <w:proofErr w:type="spellEnd"/>
                      <w:r w:rsidRPr="002E5454">
                        <w:rPr>
                          <w:color w:val="520740" w:themeColor="accent2" w:themeShade="80"/>
                        </w:rPr>
                        <w:t xml:space="preserve"> et al., 2017)</w:t>
                      </w:r>
                    </w:p>
                    <w:p w14:paraId="2BFB6A6E" w14:textId="77777777" w:rsidR="00377E0E" w:rsidRPr="002E5454" w:rsidRDefault="00377E0E" w:rsidP="00377E0E">
                      <w:pPr>
                        <w:rPr>
                          <w:color w:val="520740" w:themeColor="accent2" w:themeShade="80"/>
                        </w:rPr>
                      </w:pPr>
                    </w:p>
                    <w:p w14:paraId="4BA59D48" w14:textId="672EC298" w:rsidR="00377E0E" w:rsidRPr="002E5454" w:rsidRDefault="00377E0E" w:rsidP="00377E0E">
                      <w:pPr>
                        <w:pStyle w:val="ListParagraph"/>
                        <w:numPr>
                          <w:ilvl w:val="0"/>
                          <w:numId w:val="4"/>
                        </w:numPr>
                        <w:rPr>
                          <w:color w:val="520740" w:themeColor="accent2" w:themeShade="80"/>
                        </w:rPr>
                      </w:pPr>
                      <w:r w:rsidRPr="002E5454">
                        <w:rPr>
                          <w:color w:val="520740" w:themeColor="accent2" w:themeShade="80"/>
                        </w:rPr>
                        <w:t>Neuropathy and foot ulcers (Boulton et al., 2005)</w:t>
                      </w:r>
                    </w:p>
                  </w:txbxContent>
                </v:textbox>
              </v:shape>
            </w:pict>
          </mc:Fallback>
        </mc:AlternateContent>
      </w:r>
    </w:p>
    <w:p w14:paraId="3808EF1D" w14:textId="747A90B5" w:rsidR="001C4691" w:rsidRPr="00AA076A" w:rsidRDefault="001C4691" w:rsidP="00AA076A">
      <w:pPr>
        <w:spacing w:line="360" w:lineRule="auto"/>
        <w:rPr>
          <w:rFonts w:ascii="Arial" w:hAnsi="Arial" w:cs="Arial"/>
          <w:color w:val="0F486E" w:themeColor="text2" w:themeShade="BF"/>
          <w:sz w:val="22"/>
          <w:szCs w:val="22"/>
        </w:rPr>
      </w:pPr>
    </w:p>
    <w:p w14:paraId="193FEE10" w14:textId="1844C4E9" w:rsidR="001C4691" w:rsidRPr="00AA076A" w:rsidRDefault="001C4691" w:rsidP="00AA076A">
      <w:pPr>
        <w:spacing w:line="360" w:lineRule="auto"/>
        <w:rPr>
          <w:rFonts w:ascii="Arial" w:hAnsi="Arial" w:cs="Arial"/>
          <w:b/>
          <w:bCs/>
          <w:color w:val="167AF3" w:themeColor="accent1" w:themeTint="99"/>
          <w:sz w:val="22"/>
          <w:szCs w:val="22"/>
          <w:u w:val="single"/>
        </w:rPr>
      </w:pPr>
    </w:p>
    <w:p w14:paraId="2613DFA2" w14:textId="4456E2AE" w:rsidR="00377E0E" w:rsidRPr="00AA076A" w:rsidRDefault="00377E0E" w:rsidP="00AA076A">
      <w:pPr>
        <w:spacing w:line="360" w:lineRule="auto"/>
        <w:rPr>
          <w:rFonts w:ascii="Arial" w:hAnsi="Arial" w:cs="Arial"/>
          <w:b/>
          <w:bCs/>
          <w:color w:val="167AF3" w:themeColor="accent1" w:themeTint="99"/>
          <w:sz w:val="22"/>
          <w:szCs w:val="22"/>
          <w:u w:val="single"/>
        </w:rPr>
      </w:pPr>
    </w:p>
    <w:p w14:paraId="6C3EF5DA" w14:textId="77777777" w:rsidR="00377E0E" w:rsidRPr="00AA076A" w:rsidRDefault="00377E0E" w:rsidP="00AA076A">
      <w:pPr>
        <w:spacing w:line="360" w:lineRule="auto"/>
        <w:rPr>
          <w:rFonts w:ascii="Arial" w:hAnsi="Arial" w:cs="Arial"/>
          <w:b/>
          <w:bCs/>
          <w:color w:val="167AF3" w:themeColor="accent1" w:themeTint="99"/>
          <w:sz w:val="22"/>
          <w:szCs w:val="22"/>
          <w:u w:val="single"/>
        </w:rPr>
      </w:pPr>
    </w:p>
    <w:p w14:paraId="00C72BE2" w14:textId="77777777" w:rsidR="00377E0E" w:rsidRPr="00AA076A" w:rsidRDefault="00377E0E" w:rsidP="00AA076A">
      <w:pPr>
        <w:spacing w:line="360" w:lineRule="auto"/>
        <w:rPr>
          <w:rFonts w:ascii="Arial" w:hAnsi="Arial" w:cs="Arial"/>
          <w:b/>
          <w:bCs/>
          <w:color w:val="167AF3" w:themeColor="accent1" w:themeTint="99"/>
          <w:sz w:val="22"/>
          <w:szCs w:val="22"/>
          <w:u w:val="single"/>
        </w:rPr>
      </w:pPr>
    </w:p>
    <w:p w14:paraId="217F8642" w14:textId="77777777" w:rsidR="00377E0E" w:rsidRPr="00AA076A" w:rsidRDefault="00377E0E" w:rsidP="00AA076A">
      <w:pPr>
        <w:spacing w:line="360" w:lineRule="auto"/>
        <w:rPr>
          <w:rFonts w:ascii="Arial" w:hAnsi="Arial" w:cs="Arial"/>
          <w:b/>
          <w:bCs/>
          <w:color w:val="167AF3" w:themeColor="accent1" w:themeTint="99"/>
          <w:sz w:val="22"/>
          <w:szCs w:val="22"/>
          <w:u w:val="single"/>
        </w:rPr>
      </w:pPr>
    </w:p>
    <w:p w14:paraId="3D9C98D8" w14:textId="77777777" w:rsidR="00377E0E" w:rsidRPr="00AA076A" w:rsidRDefault="00377E0E" w:rsidP="00AA076A">
      <w:pPr>
        <w:spacing w:line="360" w:lineRule="auto"/>
        <w:rPr>
          <w:rFonts w:ascii="Arial" w:hAnsi="Arial" w:cs="Arial"/>
          <w:b/>
          <w:bCs/>
          <w:color w:val="167AF3" w:themeColor="accent1" w:themeTint="99"/>
          <w:sz w:val="22"/>
          <w:szCs w:val="22"/>
          <w:u w:val="single"/>
        </w:rPr>
      </w:pPr>
    </w:p>
    <w:p w14:paraId="11EDBBCF" w14:textId="77777777" w:rsidR="00377E0E" w:rsidRPr="00AA076A" w:rsidRDefault="00377E0E" w:rsidP="00AA076A">
      <w:pPr>
        <w:spacing w:line="360" w:lineRule="auto"/>
        <w:rPr>
          <w:rFonts w:ascii="Arial" w:hAnsi="Arial" w:cs="Arial"/>
          <w:b/>
          <w:bCs/>
          <w:color w:val="167AF3" w:themeColor="accent1" w:themeTint="99"/>
          <w:sz w:val="22"/>
          <w:szCs w:val="22"/>
          <w:u w:val="single"/>
        </w:rPr>
      </w:pPr>
    </w:p>
    <w:p w14:paraId="38B07249" w14:textId="77777777" w:rsidR="00377E0E" w:rsidRPr="00AA076A" w:rsidRDefault="00377E0E" w:rsidP="00AA076A">
      <w:pPr>
        <w:spacing w:line="360" w:lineRule="auto"/>
        <w:rPr>
          <w:rFonts w:ascii="Arial" w:hAnsi="Arial" w:cs="Arial"/>
          <w:b/>
          <w:bCs/>
          <w:color w:val="167AF3" w:themeColor="accent1" w:themeTint="99"/>
          <w:sz w:val="22"/>
          <w:szCs w:val="22"/>
          <w:u w:val="single"/>
        </w:rPr>
      </w:pPr>
    </w:p>
    <w:p w14:paraId="5037B60A" w14:textId="77777777" w:rsidR="00377E0E" w:rsidRPr="00AA076A" w:rsidRDefault="00377E0E" w:rsidP="00AA076A">
      <w:pPr>
        <w:spacing w:line="360" w:lineRule="auto"/>
        <w:rPr>
          <w:rFonts w:ascii="Arial" w:hAnsi="Arial" w:cs="Arial"/>
          <w:b/>
          <w:bCs/>
          <w:color w:val="167AF3" w:themeColor="accent1" w:themeTint="99"/>
          <w:sz w:val="22"/>
          <w:szCs w:val="22"/>
          <w:u w:val="single"/>
        </w:rPr>
      </w:pPr>
    </w:p>
    <w:p w14:paraId="7A590F96" w14:textId="0464D39F" w:rsidR="00377E0E" w:rsidRPr="000D49EB" w:rsidRDefault="00A616C4" w:rsidP="0092303A">
      <w:pPr>
        <w:spacing w:line="360" w:lineRule="auto"/>
        <w:jc w:val="center"/>
        <w:rPr>
          <w:rFonts w:ascii="Arial" w:hAnsi="Arial" w:cs="Arial"/>
          <w:b/>
          <w:bCs/>
          <w:color w:val="EE0000"/>
          <w:sz w:val="22"/>
          <w:szCs w:val="22"/>
        </w:rPr>
      </w:pPr>
      <w:r w:rsidRPr="000D49EB">
        <w:rPr>
          <w:rFonts w:ascii="Arial" w:hAnsi="Arial" w:cs="Arial"/>
          <w:b/>
          <w:bCs/>
          <w:color w:val="EE0000"/>
          <w:sz w:val="22"/>
          <w:szCs w:val="22"/>
        </w:rPr>
        <w:t>Complications are associated with reduced life expectancy and diminished quality of life.</w:t>
      </w:r>
    </w:p>
    <w:p w14:paraId="0072D23A" w14:textId="1F548A54" w:rsidR="00397340" w:rsidRPr="00AA076A" w:rsidRDefault="00786429" w:rsidP="00AA076A">
      <w:pPr>
        <w:spacing w:line="360" w:lineRule="auto"/>
        <w:rPr>
          <w:rFonts w:ascii="Arial" w:hAnsi="Arial" w:cs="Arial"/>
          <w:b/>
          <w:bCs/>
          <w:color w:val="167AF3" w:themeColor="accent1" w:themeTint="99"/>
          <w:sz w:val="22"/>
          <w:szCs w:val="22"/>
          <w:u w:val="single"/>
        </w:rPr>
      </w:pPr>
      <w:r w:rsidRPr="00AA076A">
        <w:rPr>
          <w:rFonts w:ascii="Arial" w:hAnsi="Arial" w:cs="Arial"/>
          <w:b/>
          <w:bCs/>
          <w:noProof/>
          <w:color w:val="052F61" w:themeColor="accent1"/>
          <w:sz w:val="22"/>
          <w:szCs w:val="22"/>
          <w:u w:val="single"/>
        </w:rPr>
        <mc:AlternateContent>
          <mc:Choice Requires="wps">
            <w:drawing>
              <wp:anchor distT="0" distB="0" distL="114300" distR="114300" simplePos="0" relativeHeight="251669504" behindDoc="0" locked="0" layoutInCell="1" allowOverlap="1" wp14:anchorId="50B4B079" wp14:editId="74C29259">
                <wp:simplePos x="0" y="0"/>
                <wp:positionH relativeFrom="column">
                  <wp:posOffset>3357275</wp:posOffset>
                </wp:positionH>
                <wp:positionV relativeFrom="paragraph">
                  <wp:posOffset>34615</wp:posOffset>
                </wp:positionV>
                <wp:extent cx="2581275" cy="3119718"/>
                <wp:effectExtent l="0" t="0" r="28575" b="24130"/>
                <wp:wrapNone/>
                <wp:docPr id="591284969" name="Rectangle: Diagonal Corners Rounded 13"/>
                <wp:cNvGraphicFramePr/>
                <a:graphic xmlns:a="http://schemas.openxmlformats.org/drawingml/2006/main">
                  <a:graphicData uri="http://schemas.microsoft.com/office/word/2010/wordprocessingShape">
                    <wps:wsp>
                      <wps:cNvSpPr/>
                      <wps:spPr>
                        <a:xfrm>
                          <a:off x="0" y="0"/>
                          <a:ext cx="2581275" cy="3119718"/>
                        </a:xfrm>
                        <a:prstGeom prst="round2DiagRect">
                          <a:avLst/>
                        </a:prstGeom>
                        <a:solidFill>
                          <a:schemeClr val="bg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0445C51" w14:textId="77777777" w:rsidR="004822D8" w:rsidRPr="004822D8" w:rsidRDefault="004822D8" w:rsidP="004822D8">
                            <w:pPr>
                              <w:jc w:val="center"/>
                              <w:rPr>
                                <w:b/>
                                <w:bCs/>
                                <w:color w:val="167AF3" w:themeColor="accent1" w:themeTint="99"/>
                              </w:rPr>
                            </w:pPr>
                            <w:r w:rsidRPr="004822D8">
                              <w:rPr>
                                <w:b/>
                                <w:bCs/>
                                <w:color w:val="167AF3" w:themeColor="accent1" w:themeTint="99"/>
                              </w:rPr>
                              <w:t>Social and Family Impact</w:t>
                            </w:r>
                          </w:p>
                          <w:p w14:paraId="3996898F" w14:textId="77777777" w:rsidR="004822D8" w:rsidRPr="000D49EB" w:rsidRDefault="004822D8" w:rsidP="004822D8">
                            <w:pPr>
                              <w:jc w:val="center"/>
                              <w:rPr>
                                <w:color w:val="ACE9F8" w:themeColor="background2" w:themeTint="99"/>
                              </w:rPr>
                            </w:pPr>
                          </w:p>
                          <w:p w14:paraId="6FFB2989" w14:textId="5F280FA2" w:rsidR="004822D8" w:rsidRPr="000D49EB" w:rsidRDefault="004822D8" w:rsidP="004822D8">
                            <w:pPr>
                              <w:jc w:val="center"/>
                              <w:rPr>
                                <w:color w:val="167AF3" w:themeColor="accent1" w:themeTint="99"/>
                              </w:rPr>
                            </w:pPr>
                            <w:r w:rsidRPr="000D49EB">
                              <w:rPr>
                                <w:color w:val="167AF3" w:themeColor="accent1" w:themeTint="99"/>
                              </w:rPr>
                              <w:t>Chronic disease affects employment, income stability and family dynamics (Marmot, 2020). Carers may experience psychological and financial strain (Schulz and Sherwood, 2008). However, supportive family involvement improves self-management outcomes (Mayberry and Osborn, 2012).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0B4B079" id="Rectangle: Diagonal Corners Rounded 13" o:spid="_x0000_s1034" style="position:absolute;margin-left:264.35pt;margin-top:2.75pt;width:203.25pt;height:245.6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581275,311971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" adj="-11796480,,5400" path="m430221,l2581275,r,l2581275,2689497v,237604,-192617,430221,-430221,430221l,3119718r,l,430221c,192617,192617,,430221,xe" fillcolor="#c8f0fa [1310]" strokecolor="#00060e [484]" strokeweight="1.25pt">
                <v:stroke joinstyle="miter" endcap="round"/>
                <v:formulas/>
                <v:path arrowok="t" o:connecttype="custom" o:connectlocs="430221,0;2581275,0;2581275,0;2581275,2689497;2151054,3119718;0,3119718;0,3119718;0,430221;430221,0" o:connectangles="0,0,0,0,0,0,0,0,0" textboxrect="0,0,2581275,3119718"/>
                <v:textbox>
                  <w:txbxContent>
                    <w:p w14:paraId="60445C51" w14:textId="77777777" w:rsidR="004822D8" w:rsidRPr="004822D8" w:rsidRDefault="004822D8" w:rsidP="004822D8">
                      <w:pPr>
                        <w:jc w:val="center"/>
                        <w:rPr>
                          <w:b/>
                          <w:bCs/>
                          <w:color w:val="167AF3" w:themeColor="accent1" w:themeTint="99"/>
                        </w:rPr>
                      </w:pPr>
                      <w:r w:rsidRPr="004822D8">
                        <w:rPr>
                          <w:b/>
                          <w:bCs/>
                          <w:color w:val="167AF3" w:themeColor="accent1" w:themeTint="99"/>
                        </w:rPr>
                        <w:t>Social and Family Impact</w:t>
                      </w:r>
                    </w:p>
                    <w:p w14:paraId="3996898F" w14:textId="77777777" w:rsidR="004822D8" w:rsidRPr="000D49EB" w:rsidRDefault="004822D8" w:rsidP="004822D8">
                      <w:pPr>
                        <w:jc w:val="center"/>
                        <w:rPr>
                          <w:color w:val="ACE9F8" w:themeColor="background2" w:themeTint="99"/>
                        </w:rPr>
                      </w:pPr>
                    </w:p>
                    <w:p w14:paraId="6FFB2989" w14:textId="5F280FA2" w:rsidR="004822D8" w:rsidRPr="000D49EB" w:rsidRDefault="004822D8" w:rsidP="004822D8">
                      <w:pPr>
                        <w:jc w:val="center"/>
                        <w:rPr>
                          <w:color w:val="167AF3" w:themeColor="accent1" w:themeTint="99"/>
                        </w:rPr>
                      </w:pPr>
                      <w:r w:rsidRPr="000D49EB">
                        <w:rPr>
                          <w:color w:val="167AF3" w:themeColor="accent1" w:themeTint="99"/>
                        </w:rPr>
                        <w:t>Chronic disease affects employment, income stability and family dynamics (Marmot, 2020). Carers may experience psychological and financial strain (Schulz and Sherwood, 2008). However, supportive family involvement improves self-management outcomes (Mayberry and Osborn, 2012).</w:t>
                      </w:r>
                    </w:p>
                  </w:txbxContent>
                </v:textbox>
              </v:shape>
            </w:pict>
          </mc:Fallback>
        </mc:AlternateContent>
      </w:r>
      <w:r w:rsidR="00BC1B65" w:rsidRPr="00AA076A">
        <w:rPr>
          <w:rFonts w:ascii="Arial" w:hAnsi="Arial" w:cs="Arial"/>
          <w:b/>
          <w:bCs/>
          <w:noProof/>
          <w:color w:val="052F61" w:themeColor="accent1"/>
          <w:sz w:val="22"/>
          <w:szCs w:val="22"/>
          <w:u w:val="single"/>
        </w:rPr>
        <mc:AlternateContent>
          <mc:Choice Requires="wps">
            <w:drawing>
              <wp:anchor distT="0" distB="0" distL="114300" distR="114300" simplePos="0" relativeHeight="251668480" behindDoc="0" locked="0" layoutInCell="1" allowOverlap="1" wp14:anchorId="0064B336" wp14:editId="3C7D230C">
                <wp:simplePos x="0" y="0"/>
                <wp:positionH relativeFrom="column">
                  <wp:posOffset>-315285</wp:posOffset>
                </wp:positionH>
                <wp:positionV relativeFrom="paragraph">
                  <wp:posOffset>56737</wp:posOffset>
                </wp:positionV>
                <wp:extent cx="2765592" cy="3128211"/>
                <wp:effectExtent l="0" t="0" r="15875" b="15240"/>
                <wp:wrapNone/>
                <wp:docPr id="394800355" name="Rectangle: Diagonal Corners Rounded 12"/>
                <wp:cNvGraphicFramePr/>
                <a:graphic xmlns:a="http://schemas.openxmlformats.org/drawingml/2006/main">
                  <a:graphicData uri="http://schemas.microsoft.com/office/word/2010/wordprocessingShape">
                    <wps:wsp>
                      <wps:cNvSpPr/>
                      <wps:spPr>
                        <a:xfrm>
                          <a:off x="0" y="0"/>
                          <a:ext cx="2765592" cy="3128211"/>
                        </a:xfrm>
                        <a:prstGeom prst="round2Diag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C92685C" w14:textId="77777777" w:rsidR="00397340" w:rsidRPr="002E5454" w:rsidRDefault="00397340" w:rsidP="00397340">
                            <w:pPr>
                              <w:jc w:val="center"/>
                              <w:rPr>
                                <w:b/>
                                <w:bCs/>
                                <w:color w:val="F5CAAE" w:themeColor="accent5" w:themeTint="66"/>
                              </w:rPr>
                            </w:pPr>
                            <w:r w:rsidRPr="00397340">
                              <w:rPr>
                                <w:b/>
                                <w:bCs/>
                                <w:color w:val="167AF3" w:themeColor="accent1" w:themeTint="99"/>
                              </w:rPr>
                              <w:t>Psychological Impact</w:t>
                            </w:r>
                          </w:p>
                          <w:p w14:paraId="17BA9047" w14:textId="77777777" w:rsidR="00397340" w:rsidRDefault="00397340" w:rsidP="00397340">
                            <w:pPr>
                              <w:jc w:val="center"/>
                            </w:pPr>
                          </w:p>
                          <w:p w14:paraId="590CAE5B" w14:textId="6B3DBB33" w:rsidR="00397340" w:rsidRPr="002E5454" w:rsidRDefault="00397340" w:rsidP="00397340">
                            <w:pPr>
                              <w:jc w:val="center"/>
                              <w:rPr>
                                <w:color w:val="C05916" w:themeColor="accent5" w:themeShade="BF"/>
                              </w:rPr>
                            </w:pPr>
                            <w:r w:rsidRPr="002E5454">
                              <w:rPr>
                                <w:color w:val="C05916" w:themeColor="accent5" w:themeShade="BF"/>
                              </w:rPr>
                              <w:t>Depression is approximately twice as prevalent in people with T2DM (Roy and Lloyd, 2012). Diabetes distress negatively impacts glycaemic control and self-management behaviours (Fisher et al., 2012)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64B336" id="Rectangle: Diagonal Corners Rounded 12" o:spid="_x0000_s1035" style="position:absolute;margin-left:-24.85pt;margin-top:4.45pt;width:217.75pt;height:246.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765592,312821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" adj="-11796480,,5400" path="m460941,l2765592,r,l2765592,2667270v,254571,-206370,460941,-460941,460941l,3128211r,l,460941c,206370,206370,,460941,xe" fillcolor="#f5caae [1304]" strokecolor="#00060e [484]" strokeweight="1.25pt">
                <v:stroke joinstyle="miter" endcap="round"/>
                <v:formulas/>
                <v:path arrowok="t" o:connecttype="custom" o:connectlocs="460941,0;2765592,0;2765592,0;2765592,2667270;2304651,3128211;0,3128211;0,3128211;0,460941;460941,0" o:connectangles="0,0,0,0,0,0,0,0,0" textboxrect="0,0,2765592,3128211"/>
                <v:textbox>
                  <w:txbxContent>
                    <w:p w14:paraId="7C92685C" w14:textId="77777777" w:rsidR="00397340" w:rsidRPr="002E5454" w:rsidRDefault="00397340" w:rsidP="00397340">
                      <w:pPr>
                        <w:jc w:val="center"/>
                        <w:rPr>
                          <w:b/>
                          <w:bCs/>
                          <w:color w:val="F5CAAE" w:themeColor="accent5" w:themeTint="66"/>
                        </w:rPr>
                      </w:pPr>
                      <w:r w:rsidRPr="00397340">
                        <w:rPr>
                          <w:b/>
                          <w:bCs/>
                          <w:color w:val="167AF3" w:themeColor="accent1" w:themeTint="99"/>
                        </w:rPr>
                        <w:t>Psychological Impact</w:t>
                      </w:r>
                    </w:p>
                    <w:p w14:paraId="17BA9047" w14:textId="77777777" w:rsidR="00397340" w:rsidRDefault="00397340" w:rsidP="00397340">
                      <w:pPr>
                        <w:jc w:val="center"/>
                      </w:pPr>
                    </w:p>
                    <w:p w14:paraId="590CAE5B" w14:textId="6B3DBB33" w:rsidR="00397340" w:rsidRPr="002E5454" w:rsidRDefault="00397340" w:rsidP="00397340">
                      <w:pPr>
                        <w:jc w:val="center"/>
                        <w:rPr>
                          <w:color w:val="C05916" w:themeColor="accent5" w:themeShade="BF"/>
                        </w:rPr>
                      </w:pPr>
                      <w:r w:rsidRPr="002E5454">
                        <w:rPr>
                          <w:color w:val="C05916" w:themeColor="accent5" w:themeShade="BF"/>
                        </w:rPr>
                        <w:t>Depression is approximately twice as prevalent in people with T2DM (Roy and Lloyd, 2012). Diabetes distress negatively impacts glycaemic control and self-management behaviours (Fisher et al., 2012)</w:t>
                      </w:r>
                    </w:p>
                  </w:txbxContent>
                </v:textbox>
              </v:shape>
            </w:pict>
          </mc:Fallback>
        </mc:AlternateContent>
      </w:r>
    </w:p>
    <w:p w14:paraId="6DA7CEBE" w14:textId="77777777" w:rsidR="00397340" w:rsidRPr="00AA076A" w:rsidRDefault="00397340" w:rsidP="00AA076A">
      <w:pPr>
        <w:spacing w:line="360" w:lineRule="auto"/>
        <w:rPr>
          <w:rFonts w:ascii="Arial" w:hAnsi="Arial" w:cs="Arial"/>
          <w:b/>
          <w:bCs/>
          <w:color w:val="167AF3" w:themeColor="accent1" w:themeTint="99"/>
          <w:sz w:val="22"/>
          <w:szCs w:val="22"/>
          <w:u w:val="single"/>
        </w:rPr>
      </w:pPr>
    </w:p>
    <w:p w14:paraId="4E18BFA5" w14:textId="5103F180" w:rsidR="00397340" w:rsidRPr="00AA076A" w:rsidRDefault="00397340" w:rsidP="00AA076A">
      <w:pPr>
        <w:spacing w:line="360" w:lineRule="auto"/>
        <w:rPr>
          <w:rFonts w:ascii="Arial" w:hAnsi="Arial" w:cs="Arial"/>
          <w:b/>
          <w:bCs/>
          <w:color w:val="167AF3" w:themeColor="accent1" w:themeTint="99"/>
          <w:sz w:val="22"/>
          <w:szCs w:val="22"/>
          <w:u w:val="single"/>
        </w:rPr>
      </w:pPr>
    </w:p>
    <w:p w14:paraId="3D5749B4" w14:textId="77777777" w:rsidR="00377E0E" w:rsidRPr="00AA076A" w:rsidRDefault="00377E0E" w:rsidP="00AA076A">
      <w:pPr>
        <w:spacing w:line="360" w:lineRule="auto"/>
        <w:rPr>
          <w:rFonts w:ascii="Arial" w:hAnsi="Arial" w:cs="Arial"/>
          <w:b/>
          <w:bCs/>
          <w:color w:val="167AF3" w:themeColor="accent1" w:themeTint="99"/>
          <w:sz w:val="22"/>
          <w:szCs w:val="22"/>
          <w:u w:val="single"/>
        </w:rPr>
      </w:pPr>
    </w:p>
    <w:p w14:paraId="720D8F75" w14:textId="77777777" w:rsidR="00377E0E" w:rsidRPr="00AA076A" w:rsidRDefault="00377E0E" w:rsidP="00AA076A">
      <w:pPr>
        <w:spacing w:line="360" w:lineRule="auto"/>
        <w:rPr>
          <w:rFonts w:ascii="Arial" w:hAnsi="Arial" w:cs="Arial"/>
          <w:b/>
          <w:bCs/>
          <w:color w:val="167AF3" w:themeColor="accent1" w:themeTint="99"/>
          <w:sz w:val="22"/>
          <w:szCs w:val="22"/>
          <w:u w:val="single"/>
        </w:rPr>
      </w:pPr>
    </w:p>
    <w:p w14:paraId="462D0950" w14:textId="77777777" w:rsidR="00DA2EF7" w:rsidRPr="00AA076A" w:rsidRDefault="00DA2EF7" w:rsidP="00AA076A">
      <w:pPr>
        <w:spacing w:line="360" w:lineRule="auto"/>
        <w:rPr>
          <w:rFonts w:ascii="Arial" w:hAnsi="Arial" w:cs="Arial"/>
          <w:b/>
          <w:bCs/>
          <w:color w:val="167AF3" w:themeColor="accent1" w:themeTint="99"/>
          <w:sz w:val="22"/>
          <w:szCs w:val="22"/>
          <w:u w:val="single"/>
        </w:rPr>
      </w:pPr>
    </w:p>
    <w:p w14:paraId="3015EDEF" w14:textId="77777777" w:rsidR="00DA2EF7" w:rsidRPr="00AA076A" w:rsidRDefault="00DA2EF7" w:rsidP="00AA076A">
      <w:pPr>
        <w:spacing w:line="360" w:lineRule="auto"/>
        <w:rPr>
          <w:rFonts w:ascii="Arial" w:hAnsi="Arial" w:cs="Arial"/>
          <w:b/>
          <w:bCs/>
          <w:color w:val="167AF3" w:themeColor="accent1" w:themeTint="99"/>
          <w:sz w:val="22"/>
          <w:szCs w:val="22"/>
          <w:u w:val="single"/>
        </w:rPr>
      </w:pPr>
    </w:p>
    <w:p w14:paraId="0AAA6E9C" w14:textId="66F40025" w:rsidR="00DA2EF7" w:rsidRPr="00AA076A" w:rsidRDefault="00DA2EF7" w:rsidP="00AA076A">
      <w:pPr>
        <w:pStyle w:val="Heading1"/>
        <w:spacing w:line="360" w:lineRule="auto"/>
        <w:jc w:val="left"/>
        <w:rPr>
          <w:rFonts w:ascii="Arial" w:hAnsi="Arial" w:cs="Arial"/>
          <w:color w:val="167AF3" w:themeColor="accent1" w:themeTint="99"/>
          <w:sz w:val="22"/>
          <w:szCs w:val="22"/>
        </w:rPr>
      </w:pPr>
      <w:bookmarkStart w:id="9" w:name="_Toc223067590"/>
      <w:r w:rsidRPr="00AA076A">
        <w:rPr>
          <w:rFonts w:ascii="Arial" w:hAnsi="Arial" w:cs="Arial"/>
          <w:color w:val="167AF3" w:themeColor="accent1" w:themeTint="99"/>
          <w:sz w:val="22"/>
          <w:szCs w:val="22"/>
        </w:rPr>
        <w:t>Evidence-Based NHS Management</w:t>
      </w:r>
      <w:bookmarkEnd w:id="9"/>
    </w:p>
    <w:p w14:paraId="47621AC8" w14:textId="70C15556" w:rsidR="00DA2EF7" w:rsidRPr="00AA076A" w:rsidRDefault="00DA2EF7" w:rsidP="00AA076A">
      <w:pPr>
        <w:spacing w:line="360" w:lineRule="auto"/>
        <w:rPr>
          <w:rFonts w:ascii="Arial" w:hAnsi="Arial" w:cs="Arial"/>
          <w:b/>
          <w:bCs/>
          <w:color w:val="167AF3" w:themeColor="accent1" w:themeTint="99"/>
          <w:sz w:val="22"/>
          <w:szCs w:val="22"/>
          <w:u w:val="single"/>
        </w:rPr>
      </w:pPr>
      <w:r w:rsidRPr="00AA076A">
        <w:rPr>
          <w:rFonts w:ascii="Arial" w:hAnsi="Arial" w:cs="Arial"/>
          <w:b/>
          <w:bCs/>
          <w:color w:val="167AF3" w:themeColor="accent1" w:themeTint="99"/>
          <w:sz w:val="22"/>
          <w:szCs w:val="22"/>
          <w:u w:val="single"/>
        </w:rPr>
        <w:t>Lifestyle Intervention</w:t>
      </w:r>
    </w:p>
    <w:p w14:paraId="09750308" w14:textId="77777777" w:rsidR="000D49EB" w:rsidRDefault="000D49EB" w:rsidP="00AA076A">
      <w:pPr>
        <w:spacing w:line="360" w:lineRule="auto"/>
        <w:rPr>
          <w:rFonts w:ascii="Arial" w:hAnsi="Arial" w:cs="Arial"/>
          <w:color w:val="0F486E" w:themeColor="text2" w:themeShade="BF"/>
          <w:sz w:val="22"/>
          <w:szCs w:val="22"/>
        </w:rPr>
      </w:pPr>
    </w:p>
    <w:p w14:paraId="0C8AA877" w14:textId="5D75A79B" w:rsidR="000D49EB" w:rsidRPr="001F059E" w:rsidRDefault="007B53A1" w:rsidP="007B53A1">
      <w:pPr>
        <w:pStyle w:val="Heading1"/>
        <w:jc w:val="left"/>
        <w:rPr>
          <w:rFonts w:ascii="Arial" w:hAnsi="Arial" w:cs="Arial"/>
          <w:b/>
          <w:bCs/>
          <w:color w:val="167AF3" w:themeColor="accent1" w:themeTint="99"/>
          <w:sz w:val="32"/>
          <w:szCs w:val="32"/>
        </w:rPr>
      </w:pPr>
      <w:bookmarkStart w:id="10" w:name="_Toc223067591"/>
      <w:r w:rsidRPr="001F059E">
        <w:rPr>
          <w:rFonts w:ascii="Arial" w:hAnsi="Arial" w:cs="Arial"/>
          <w:b/>
          <w:bCs/>
          <w:color w:val="167AF3" w:themeColor="accent1" w:themeTint="99"/>
          <w:sz w:val="32"/>
          <w:szCs w:val="32"/>
        </w:rPr>
        <w:lastRenderedPageBreak/>
        <w:t>Lifestyle modification</w:t>
      </w:r>
      <w:bookmarkEnd w:id="10"/>
    </w:p>
    <w:p w14:paraId="6C5AD896" w14:textId="3362DFA2" w:rsidR="007B53A1" w:rsidRDefault="00A009F3" w:rsidP="00A009F3">
      <w:pPr>
        <w:tabs>
          <w:tab w:val="left" w:pos="1746"/>
        </w:tabs>
        <w:rPr>
          <w:color w:val="167AF3" w:themeColor="accent1" w:themeTint="99"/>
        </w:rPr>
      </w:pPr>
      <w:r w:rsidRPr="00A009F3">
        <w:rPr>
          <w:color w:val="167AF3" w:themeColor="accent1" w:themeTint="99"/>
        </w:rPr>
        <w:t>Integrated multidisciplinary care is essential.</w:t>
      </w:r>
    </w:p>
    <w:p w14:paraId="504974A7" w14:textId="66C94AA3" w:rsidR="002E2333" w:rsidRPr="002E2333" w:rsidRDefault="002E2333" w:rsidP="002E2333">
      <w:pPr>
        <w:tabs>
          <w:tab w:val="left" w:pos="1746"/>
        </w:tabs>
        <w:spacing w:line="360" w:lineRule="auto"/>
        <w:rPr>
          <w:rFonts w:ascii="Arial" w:hAnsi="Arial" w:cs="Arial"/>
          <w:color w:val="0F486E" w:themeColor="text2" w:themeShade="BF"/>
          <w:sz w:val="22"/>
          <w:szCs w:val="22"/>
        </w:rPr>
      </w:pPr>
      <w:r w:rsidRPr="002E2333">
        <w:rPr>
          <w:rFonts w:ascii="Arial" w:hAnsi="Arial" w:cs="Arial"/>
          <w:color w:val="0F486E" w:themeColor="text2" w:themeShade="BF"/>
          <w:sz w:val="22"/>
          <w:szCs w:val="22"/>
        </w:rPr>
        <w:t>Modifying one's lifestyle is essential for managing and preventing type 2 diabetes (NICE, 2022). It has been demonstrated that sustained weight loss of 5–15% improves insulin sensitivity, dramatically lowers HbA1c levels, and, in certain cases of early-stage diabetes, induces remission (Lean et al., 2018). Because regular exercise increases insulin sensitivity and lowers cardiovascular risk, national and international guidelines recommend at least 150 minutes of moderate-intensity physical activity per week (Colberg et al., 2016).</w:t>
      </w:r>
    </w:p>
    <w:p w14:paraId="1A7B296D" w14:textId="505D9CA5" w:rsidR="000D49EB" w:rsidRPr="00AA076A" w:rsidRDefault="00881ABC" w:rsidP="00AA076A">
      <w:pPr>
        <w:spacing w:line="360" w:lineRule="auto"/>
        <w:rPr>
          <w:rFonts w:ascii="Arial" w:hAnsi="Arial" w:cs="Arial"/>
          <w:color w:val="0F486E" w:themeColor="text2" w:themeShade="BF"/>
          <w:sz w:val="22"/>
          <w:szCs w:val="22"/>
        </w:rPr>
      </w:pPr>
      <w:r w:rsidRPr="00AA076A">
        <w:rPr>
          <w:rFonts w:ascii="Arial" w:hAnsi="Arial" w:cs="Arial"/>
          <w:noProof/>
          <w:color w:val="0F486E" w:themeColor="text2" w:themeShade="BF"/>
          <w:sz w:val="22"/>
          <w:szCs w:val="22"/>
        </w:rPr>
        <w:drawing>
          <wp:inline distT="0" distB="0" distL="0" distR="0" wp14:anchorId="30AEF243" wp14:editId="04DDA4D9">
            <wp:extent cx="5494492" cy="1698892"/>
            <wp:effectExtent l="0" t="0" r="0" b="0"/>
            <wp:docPr id="13355280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574362" cy="1723588"/>
                    </a:xfrm>
                    <a:prstGeom prst="rect">
                      <a:avLst/>
                    </a:prstGeom>
                    <a:noFill/>
                  </pic:spPr>
                </pic:pic>
              </a:graphicData>
            </a:graphic>
          </wp:inline>
        </w:drawing>
      </w:r>
    </w:p>
    <w:p w14:paraId="1EFCA3DF" w14:textId="3B3010F5" w:rsidR="00AA076A" w:rsidRDefault="0047432C"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Dietary approaches focusing on reduced saturated fat intake, increased fibre consumption and controlled carbohydrate intake further support improved metabolic outcomes (Public Health England, 2018). In addition, structured education programmes such as DESMOND enhance diabetes knowledge, self-efficacy and long-term behavioural change, supporting individuals to sustain lifestyle</w:t>
      </w:r>
      <w:r w:rsidR="00AA076A" w:rsidRPr="00AA076A">
        <w:rPr>
          <w:rFonts w:ascii="Arial" w:hAnsi="Arial" w:cs="Arial"/>
          <w:color w:val="0F486E" w:themeColor="text2" w:themeShade="BF"/>
          <w:sz w:val="22"/>
          <w:szCs w:val="22"/>
        </w:rPr>
        <w:t xml:space="preserve"> </w:t>
      </w:r>
      <w:r w:rsidRPr="00AA076A">
        <w:rPr>
          <w:rFonts w:ascii="Arial" w:hAnsi="Arial" w:cs="Arial"/>
          <w:color w:val="0F486E" w:themeColor="text2" w:themeShade="BF"/>
          <w:sz w:val="22"/>
          <w:szCs w:val="22"/>
        </w:rPr>
        <w:t>improvements (Davies et al., 2008).</w:t>
      </w:r>
    </w:p>
    <w:p w14:paraId="0239F7A2" w14:textId="77777777" w:rsidR="00A009F3" w:rsidRDefault="00A009F3" w:rsidP="00A009F3">
      <w:pPr>
        <w:spacing w:line="360" w:lineRule="auto"/>
        <w:rPr>
          <w:rFonts w:ascii="Arial" w:hAnsi="Arial" w:cs="Arial"/>
          <w:color w:val="0F486E" w:themeColor="text2" w:themeShade="BF"/>
          <w:sz w:val="22"/>
          <w:szCs w:val="22"/>
        </w:rPr>
      </w:pPr>
      <w:r>
        <w:rPr>
          <w:rFonts w:ascii="Arial" w:hAnsi="Arial" w:cs="Arial"/>
          <w:noProof/>
          <w:color w:val="0F486E" w:themeColor="text2" w:themeShade="BF"/>
          <w:sz w:val="22"/>
          <w:szCs w:val="22"/>
        </w:rPr>
        <w:drawing>
          <wp:inline distT="0" distB="0" distL="0" distR="0" wp14:anchorId="01E56FF7" wp14:editId="5A03B48A">
            <wp:extent cx="2621819" cy="3277273"/>
            <wp:effectExtent l="0" t="0" r="7620" b="0"/>
            <wp:docPr id="458960100"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652674" cy="3315842"/>
                    </a:xfrm>
                    <a:prstGeom prst="rect">
                      <a:avLst/>
                    </a:prstGeom>
                    <a:noFill/>
                  </pic:spPr>
                </pic:pic>
              </a:graphicData>
            </a:graphic>
          </wp:inline>
        </w:drawing>
      </w:r>
      <w:bookmarkStart w:id="11" w:name="_Toc223067592"/>
    </w:p>
    <w:p w14:paraId="7763F181" w14:textId="7B157BC4" w:rsidR="00213D0A" w:rsidRPr="00A009F3" w:rsidRDefault="00213D0A" w:rsidP="00A009F3">
      <w:pPr>
        <w:spacing w:line="360" w:lineRule="auto"/>
        <w:rPr>
          <w:rFonts w:ascii="Arial" w:hAnsi="Arial" w:cs="Arial"/>
          <w:color w:val="0F486E" w:themeColor="text2" w:themeShade="BF"/>
          <w:sz w:val="22"/>
          <w:szCs w:val="22"/>
        </w:rPr>
      </w:pPr>
      <w:r w:rsidRPr="001F059E">
        <w:rPr>
          <w:rFonts w:ascii="Arial" w:hAnsi="Arial" w:cs="Arial"/>
          <w:b/>
          <w:bCs/>
          <w:color w:val="167AF3" w:themeColor="accent1" w:themeTint="99"/>
          <w:sz w:val="32"/>
          <w:szCs w:val="32"/>
        </w:rPr>
        <w:lastRenderedPageBreak/>
        <w:t>Models and Theoretical Frameworks</w:t>
      </w:r>
      <w:bookmarkEnd w:id="11"/>
    </w:p>
    <w:p w14:paraId="33E5BDDC" w14:textId="7A257943" w:rsidR="00213D0A" w:rsidRPr="00213D0A" w:rsidRDefault="00213D0A" w:rsidP="00213D0A">
      <w:r>
        <w:rPr>
          <w:noProof/>
        </w:rPr>
        <w:drawing>
          <wp:inline distT="0" distB="0" distL="0" distR="0" wp14:anchorId="25EB560F" wp14:editId="0C12D648">
            <wp:extent cx="1668780" cy="2190945"/>
            <wp:effectExtent l="0" t="0" r="7620" b="0"/>
            <wp:docPr id="1843792965"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31">
                      <a:extLst>
                        <a:ext uri="{28A0092B-C50C-407E-A947-70E740481C1C}">
                          <a14:useLocalDpi xmlns:a14="http://schemas.microsoft.com/office/drawing/2010/main" val="0"/>
                        </a:ext>
                      </a:extLst>
                    </a:blip>
                    <a:srcRect l="15872" t="2766" r="17964" b="17034"/>
                    <a:stretch>
                      <a:fillRect/>
                    </a:stretch>
                  </pic:blipFill>
                  <pic:spPr bwMode="auto">
                    <a:xfrm>
                      <a:off x="0" y="0"/>
                      <a:ext cx="1670001" cy="2192548"/>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FCD21A4" wp14:editId="215889DD">
            <wp:extent cx="1751855" cy="2198176"/>
            <wp:effectExtent l="0" t="0" r="1270" b="0"/>
            <wp:docPr id="353757691"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rotWithShape="1">
                    <a:blip r:embed="rId32">
                      <a:extLst>
                        <a:ext uri="{28A0092B-C50C-407E-A947-70E740481C1C}">
                          <a14:useLocalDpi xmlns:a14="http://schemas.microsoft.com/office/drawing/2010/main" val="0"/>
                        </a:ext>
                      </a:extLst>
                    </a:blip>
                    <a:srcRect l="14818" t="1638" r="15037" b="25442"/>
                    <a:stretch>
                      <a:fillRect/>
                    </a:stretch>
                  </pic:blipFill>
                  <pic:spPr bwMode="auto">
                    <a:xfrm>
                      <a:off x="0" y="0"/>
                      <a:ext cx="1762546" cy="2211591"/>
                    </a:xfrm>
                    <a:prstGeom prst="rect">
                      <a:avLst/>
                    </a:prstGeom>
                    <a:noFill/>
                    <a:ln>
                      <a:noFill/>
                    </a:ln>
                    <a:extLst>
                      <a:ext uri="{53640926-AAD7-44D8-BBD7-CCE9431645EC}">
                        <a14:shadowObscured xmlns:a14="http://schemas.microsoft.com/office/drawing/2010/main"/>
                      </a:ext>
                    </a:extLst>
                  </pic:spPr>
                </pic:pic>
              </a:graphicData>
            </a:graphic>
          </wp:inline>
        </w:drawing>
      </w:r>
    </w:p>
    <w:p w14:paraId="389FBE20" w14:textId="5B2D640B" w:rsidR="006D7FAF" w:rsidRPr="00AA076A" w:rsidRDefault="006D7FAF" w:rsidP="00AA076A">
      <w:pPr>
        <w:spacing w:line="360" w:lineRule="auto"/>
        <w:rPr>
          <w:rFonts w:ascii="Arial" w:hAnsi="Arial" w:cs="Arial"/>
          <w:b/>
          <w:bCs/>
          <w:color w:val="167AF3" w:themeColor="accent1" w:themeTint="99"/>
          <w:sz w:val="22"/>
          <w:szCs w:val="22"/>
          <w:u w:val="single"/>
        </w:rPr>
      </w:pPr>
      <w:r w:rsidRPr="00AA076A">
        <w:rPr>
          <w:rFonts w:ascii="Arial" w:hAnsi="Arial" w:cs="Arial"/>
          <w:b/>
          <w:bCs/>
          <w:color w:val="167AF3" w:themeColor="accent1" w:themeTint="99"/>
          <w:sz w:val="22"/>
          <w:szCs w:val="22"/>
          <w:u w:val="single"/>
        </w:rPr>
        <w:t>House of Care Model (UK) and Type 2 Diabetes</w:t>
      </w:r>
    </w:p>
    <w:p w14:paraId="0FCC76AE" w14:textId="77777777" w:rsidR="007B0C9E" w:rsidRDefault="007B0C9E" w:rsidP="00AA076A">
      <w:pPr>
        <w:spacing w:line="360" w:lineRule="auto"/>
        <w:rPr>
          <w:rFonts w:ascii="Arial" w:hAnsi="Arial" w:cs="Arial"/>
          <w:color w:val="032348" w:themeColor="accent1" w:themeShade="BF"/>
          <w:sz w:val="22"/>
          <w:szCs w:val="22"/>
        </w:rPr>
      </w:pPr>
      <w:r w:rsidRPr="007B0C9E">
        <w:rPr>
          <w:rFonts w:ascii="Arial" w:hAnsi="Arial" w:cs="Arial"/>
          <w:color w:val="032348" w:themeColor="accent1" w:themeShade="BF"/>
          <w:sz w:val="22"/>
          <w:szCs w:val="22"/>
        </w:rPr>
        <w:t xml:space="preserve">A UK framework for long-term condition management is called the House of Care model. It puts the patient at the </w:t>
      </w:r>
      <w:proofErr w:type="spellStart"/>
      <w:r w:rsidRPr="007B0C9E">
        <w:rPr>
          <w:rFonts w:ascii="Arial" w:hAnsi="Arial" w:cs="Arial"/>
          <w:color w:val="032348" w:themeColor="accent1" w:themeShade="BF"/>
          <w:sz w:val="22"/>
          <w:szCs w:val="22"/>
        </w:rPr>
        <w:t>center</w:t>
      </w:r>
      <w:proofErr w:type="spellEnd"/>
      <w:r w:rsidRPr="007B0C9E">
        <w:rPr>
          <w:rFonts w:ascii="Arial" w:hAnsi="Arial" w:cs="Arial"/>
          <w:color w:val="032348" w:themeColor="accent1" w:themeShade="BF"/>
          <w:sz w:val="22"/>
          <w:szCs w:val="22"/>
        </w:rPr>
        <w:t xml:space="preserve"> of care and encourages collaboration between medical staff and patients (Coulter et al., 2013).</w:t>
      </w:r>
    </w:p>
    <w:p w14:paraId="03701083" w14:textId="77777777" w:rsidR="009602C5" w:rsidRDefault="009602C5" w:rsidP="00AA076A">
      <w:pPr>
        <w:spacing w:line="360" w:lineRule="auto"/>
        <w:rPr>
          <w:rFonts w:ascii="Arial" w:hAnsi="Arial" w:cs="Arial"/>
          <w:color w:val="032348" w:themeColor="accent1" w:themeShade="BF"/>
          <w:sz w:val="22"/>
          <w:szCs w:val="22"/>
        </w:rPr>
      </w:pPr>
      <w:r w:rsidRPr="009602C5">
        <w:rPr>
          <w:rFonts w:ascii="Arial" w:hAnsi="Arial" w:cs="Arial"/>
          <w:color w:val="032348" w:themeColor="accent1" w:themeShade="BF"/>
          <w:sz w:val="22"/>
          <w:szCs w:val="22"/>
        </w:rPr>
        <w:t>The approach encourages collaborative decision-making and individualized treatment planning for type 2 diabetes. It acknowledges that well-informed patients and ready clinical teams collaborating are essential for successful diabetes care (NHS England, 2016).</w:t>
      </w:r>
    </w:p>
    <w:p w14:paraId="76A4687C" w14:textId="4C3E0C70" w:rsidR="006D7FAF" w:rsidRPr="00AA076A" w:rsidRDefault="006D7FAF" w:rsidP="00AA076A">
      <w:pPr>
        <w:spacing w:line="360" w:lineRule="auto"/>
        <w:rPr>
          <w:rFonts w:ascii="Arial" w:hAnsi="Arial" w:cs="Arial"/>
          <w:color w:val="032348" w:themeColor="accent1" w:themeShade="BF"/>
          <w:sz w:val="22"/>
          <w:szCs w:val="22"/>
        </w:rPr>
      </w:pPr>
      <w:r w:rsidRPr="00AA076A">
        <w:rPr>
          <w:rFonts w:ascii="Arial" w:hAnsi="Arial" w:cs="Arial"/>
          <w:color w:val="032348" w:themeColor="accent1" w:themeShade="BF"/>
          <w:sz w:val="22"/>
          <w:szCs w:val="22"/>
        </w:rPr>
        <w:t>The framework also highlights the importance of structured reviews, access to education and multidisciplinary support. Care plans are tailored to individual goals, preferences and cultural needs (NHS England, 2016).</w:t>
      </w:r>
    </w:p>
    <w:p w14:paraId="3F62066A" w14:textId="2B0601CE" w:rsidR="0087524F" w:rsidRPr="00AA076A" w:rsidRDefault="006D7FAF" w:rsidP="00AA076A">
      <w:pPr>
        <w:spacing w:line="360" w:lineRule="auto"/>
        <w:rPr>
          <w:rFonts w:ascii="Arial" w:hAnsi="Arial" w:cs="Arial"/>
          <w:color w:val="032348" w:themeColor="accent1" w:themeShade="BF"/>
          <w:sz w:val="22"/>
          <w:szCs w:val="22"/>
        </w:rPr>
      </w:pPr>
      <w:r w:rsidRPr="00AA076A">
        <w:rPr>
          <w:rFonts w:ascii="Arial" w:hAnsi="Arial" w:cs="Arial"/>
          <w:color w:val="032348" w:themeColor="accent1" w:themeShade="BF"/>
          <w:sz w:val="22"/>
          <w:szCs w:val="22"/>
        </w:rPr>
        <w:t>The model aligns with the NHS Long Term Plan, particularly its focus on prevention, personalised care and reducing health inequalities (NHS England, 2019).</w:t>
      </w:r>
    </w:p>
    <w:p w14:paraId="41E21C28" w14:textId="77777777" w:rsidR="006D7FAF" w:rsidRPr="00AA076A" w:rsidRDefault="006D7FAF" w:rsidP="00AA076A">
      <w:pPr>
        <w:spacing w:line="360" w:lineRule="auto"/>
        <w:rPr>
          <w:rFonts w:ascii="Arial" w:hAnsi="Arial" w:cs="Arial"/>
          <w:color w:val="032348" w:themeColor="accent1" w:themeShade="BF"/>
          <w:sz w:val="22"/>
          <w:szCs w:val="22"/>
        </w:rPr>
      </w:pPr>
    </w:p>
    <w:p w14:paraId="472B76EA" w14:textId="5DEBE426" w:rsidR="00213D0A" w:rsidRDefault="00E55AB1" w:rsidP="00AA076A">
      <w:pPr>
        <w:spacing w:line="360" w:lineRule="auto"/>
        <w:rPr>
          <w:rFonts w:ascii="Arial" w:hAnsi="Arial" w:cs="Arial"/>
          <w:b/>
          <w:bCs/>
          <w:color w:val="167AF3" w:themeColor="accent1" w:themeTint="99"/>
          <w:sz w:val="22"/>
          <w:szCs w:val="22"/>
        </w:rPr>
      </w:pPr>
      <w:r w:rsidRPr="00AA076A">
        <w:rPr>
          <w:rFonts w:ascii="Arial" w:hAnsi="Arial" w:cs="Arial"/>
          <w:b/>
          <w:bCs/>
          <w:noProof/>
          <w:color w:val="167AF3" w:themeColor="accent1" w:themeTint="99"/>
          <w:sz w:val="22"/>
          <w:szCs w:val="22"/>
          <w:u w:val="single"/>
        </w:rPr>
        <w:drawing>
          <wp:inline distT="0" distB="0" distL="0" distR="0" wp14:anchorId="75F831DC" wp14:editId="3F4A6BED">
            <wp:extent cx="3264635" cy="2225284"/>
            <wp:effectExtent l="0" t="0" r="0" b="3810"/>
            <wp:docPr id="207304272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346062" cy="2280787"/>
                    </a:xfrm>
                    <a:prstGeom prst="rect">
                      <a:avLst/>
                    </a:prstGeom>
                    <a:noFill/>
                  </pic:spPr>
                </pic:pic>
              </a:graphicData>
            </a:graphic>
          </wp:inline>
        </w:drawing>
      </w:r>
      <w:r w:rsidR="00213D0A">
        <w:rPr>
          <w:rFonts w:ascii="Arial" w:hAnsi="Arial" w:cs="Arial"/>
          <w:b/>
          <w:bCs/>
          <w:color w:val="167AF3" w:themeColor="accent1" w:themeTint="99"/>
          <w:sz w:val="22"/>
          <w:szCs w:val="22"/>
        </w:rPr>
        <w:t xml:space="preserve"> House of Care Model - </w:t>
      </w:r>
      <w:r w:rsidR="00B53A52" w:rsidRPr="00AA076A">
        <w:rPr>
          <w:rFonts w:ascii="Arial" w:hAnsi="Arial" w:cs="Arial"/>
          <w:b/>
          <w:bCs/>
          <w:color w:val="167AF3" w:themeColor="accent1" w:themeTint="99"/>
          <w:sz w:val="22"/>
          <w:szCs w:val="22"/>
        </w:rPr>
        <w:t>(NHS, 2023)</w:t>
      </w:r>
    </w:p>
    <w:p w14:paraId="4B4E55A3" w14:textId="5D815F22" w:rsidR="006D7FAF" w:rsidRPr="00213D0A" w:rsidRDefault="006D7FAF" w:rsidP="00AA076A">
      <w:pPr>
        <w:spacing w:line="360" w:lineRule="auto"/>
        <w:rPr>
          <w:rFonts w:ascii="Arial" w:hAnsi="Arial" w:cs="Arial"/>
          <w:b/>
          <w:bCs/>
          <w:color w:val="167AF3" w:themeColor="accent1" w:themeTint="99"/>
          <w:sz w:val="22"/>
          <w:szCs w:val="22"/>
        </w:rPr>
      </w:pPr>
      <w:r w:rsidRPr="00AA076A">
        <w:rPr>
          <w:rFonts w:ascii="Arial" w:hAnsi="Arial" w:cs="Arial"/>
          <w:b/>
          <w:bCs/>
          <w:color w:val="167AF3" w:themeColor="accent1" w:themeTint="99"/>
          <w:sz w:val="22"/>
          <w:szCs w:val="22"/>
          <w:u w:val="single"/>
        </w:rPr>
        <w:lastRenderedPageBreak/>
        <w:t>Chronic Care Model (International) and Type 2 Diabetes</w:t>
      </w:r>
    </w:p>
    <w:p w14:paraId="12A94373" w14:textId="77777777" w:rsidR="002B54AD" w:rsidRPr="002B54AD" w:rsidRDefault="002B54AD" w:rsidP="00AA076A">
      <w:pPr>
        <w:spacing w:line="360" w:lineRule="auto"/>
        <w:rPr>
          <w:rFonts w:ascii="Arial" w:hAnsi="Arial" w:cs="Arial"/>
          <w:color w:val="0F486E" w:themeColor="text2" w:themeShade="BF"/>
          <w:sz w:val="22"/>
          <w:szCs w:val="22"/>
        </w:rPr>
      </w:pPr>
      <w:r w:rsidRPr="002B54AD">
        <w:rPr>
          <w:rFonts w:ascii="Arial" w:hAnsi="Arial" w:cs="Arial"/>
          <w:color w:val="0F486E" w:themeColor="text2" w:themeShade="BF"/>
          <w:sz w:val="22"/>
          <w:szCs w:val="22"/>
        </w:rPr>
        <w:t>An international framework called the Chronic Care Model (CCM) was created with the goal of improving outcomes for long-term illnesses. Instead of reactive treatment, it encourages proactive and organized care (Wagner et al., 2001).</w:t>
      </w:r>
    </w:p>
    <w:p w14:paraId="0DB65193" w14:textId="2FA61CBD" w:rsidR="00A06DF7" w:rsidRPr="00AA076A" w:rsidRDefault="006D7FAF" w:rsidP="00AA076A">
      <w:pPr>
        <w:spacing w:line="360" w:lineRule="auto"/>
        <w:rPr>
          <w:rFonts w:ascii="Arial" w:hAnsi="Arial" w:cs="Arial"/>
          <w:color w:val="167AF3" w:themeColor="accent1" w:themeTint="99"/>
          <w:sz w:val="22"/>
          <w:szCs w:val="22"/>
        </w:rPr>
      </w:pPr>
      <w:r w:rsidRPr="00AA076A">
        <w:rPr>
          <w:rFonts w:ascii="Arial" w:hAnsi="Arial" w:cs="Arial"/>
          <w:color w:val="167AF3" w:themeColor="accent1" w:themeTint="99"/>
          <w:sz w:val="22"/>
          <w:szCs w:val="22"/>
        </w:rPr>
        <w:t xml:space="preserve">The model includes six components: </w:t>
      </w:r>
    </w:p>
    <w:p w14:paraId="7F11127D" w14:textId="77777777" w:rsidR="00A645F9" w:rsidRPr="00446860" w:rsidRDefault="00A645F9" w:rsidP="00AA076A">
      <w:pPr>
        <w:spacing w:line="360" w:lineRule="auto"/>
        <w:rPr>
          <w:rFonts w:ascii="Arial" w:hAnsi="Arial" w:cs="Arial"/>
          <w:color w:val="0F486E" w:themeColor="text2" w:themeShade="BF"/>
          <w:sz w:val="22"/>
          <w:szCs w:val="22"/>
        </w:rPr>
      </w:pPr>
      <w:r w:rsidRPr="00446860">
        <w:rPr>
          <w:rFonts w:ascii="Arial" w:hAnsi="Arial" w:cs="Arial"/>
          <w:color w:val="0F486E" w:themeColor="text2" w:themeShade="BF"/>
          <w:sz w:val="22"/>
          <w:szCs w:val="22"/>
        </w:rPr>
        <w:t>information systems, self-management assistance, decision support, delivery design, health system leadership, and community resources (Wagner et al., 2001).</w:t>
      </w:r>
    </w:p>
    <w:p w14:paraId="2D855FBE" w14:textId="35F12479" w:rsidR="006D7FAF" w:rsidRPr="00446860" w:rsidRDefault="006D7FAF" w:rsidP="00AA076A">
      <w:pPr>
        <w:spacing w:line="360" w:lineRule="auto"/>
        <w:rPr>
          <w:rFonts w:ascii="Arial" w:hAnsi="Arial" w:cs="Arial"/>
          <w:color w:val="0F486E" w:themeColor="text2" w:themeShade="BF"/>
          <w:sz w:val="22"/>
          <w:szCs w:val="22"/>
        </w:rPr>
      </w:pPr>
      <w:r w:rsidRPr="00446860">
        <w:rPr>
          <w:rFonts w:ascii="Arial" w:hAnsi="Arial" w:cs="Arial"/>
          <w:color w:val="0F486E" w:themeColor="text2" w:themeShade="BF"/>
          <w:sz w:val="22"/>
          <w:szCs w:val="22"/>
        </w:rPr>
        <w:t>In diabetes care, this supports regular monitoring of HbA1c, blood pressure and lipids. It also promotes evidence-based treatment and structured education (Coleman et al., 2009).</w:t>
      </w:r>
    </w:p>
    <w:p w14:paraId="2DB9592E" w14:textId="281AFA37" w:rsidR="006D7FAF" w:rsidRPr="00446860" w:rsidRDefault="006D7FAF" w:rsidP="00AA076A">
      <w:pPr>
        <w:spacing w:line="360" w:lineRule="auto"/>
        <w:rPr>
          <w:rFonts w:ascii="Arial" w:hAnsi="Arial" w:cs="Arial"/>
          <w:color w:val="0F486E" w:themeColor="text2" w:themeShade="BF"/>
          <w:sz w:val="22"/>
          <w:szCs w:val="22"/>
        </w:rPr>
      </w:pPr>
      <w:r w:rsidRPr="00446860">
        <w:rPr>
          <w:rFonts w:ascii="Arial" w:hAnsi="Arial" w:cs="Arial"/>
          <w:color w:val="0F486E" w:themeColor="text2" w:themeShade="BF"/>
          <w:sz w:val="22"/>
          <w:szCs w:val="22"/>
        </w:rPr>
        <w:t>Clinical information systems allow professionals to track outcomes and identify patients who need additional support (Coleman et al., 2009).</w:t>
      </w:r>
    </w:p>
    <w:p w14:paraId="7F836D30" w14:textId="5EC6543A" w:rsidR="00B8278F" w:rsidRPr="00446860" w:rsidRDefault="006D7FAF" w:rsidP="00AA076A">
      <w:pPr>
        <w:spacing w:line="360" w:lineRule="auto"/>
        <w:rPr>
          <w:rFonts w:ascii="Arial" w:hAnsi="Arial" w:cs="Arial"/>
          <w:color w:val="0F486E" w:themeColor="text2" w:themeShade="BF"/>
          <w:sz w:val="22"/>
          <w:szCs w:val="22"/>
        </w:rPr>
      </w:pPr>
      <w:r w:rsidRPr="00446860">
        <w:rPr>
          <w:rFonts w:ascii="Arial" w:hAnsi="Arial" w:cs="Arial"/>
          <w:color w:val="0F486E" w:themeColor="text2" w:themeShade="BF"/>
          <w:sz w:val="22"/>
          <w:szCs w:val="22"/>
        </w:rPr>
        <w:t>Research shows that CCM-based programmes improve glycaemic control and reduce complications (Coleman et al., 2009; Wagner</w:t>
      </w:r>
      <w:r w:rsidR="00446860">
        <w:rPr>
          <w:rFonts w:ascii="Arial" w:hAnsi="Arial" w:cs="Arial"/>
          <w:color w:val="0F486E" w:themeColor="text2" w:themeShade="BF"/>
          <w:sz w:val="22"/>
          <w:szCs w:val="22"/>
        </w:rPr>
        <w:t xml:space="preserve">, </w:t>
      </w:r>
      <w:r w:rsidRPr="00446860">
        <w:rPr>
          <w:rFonts w:ascii="Arial" w:hAnsi="Arial" w:cs="Arial"/>
          <w:color w:val="0F486E" w:themeColor="text2" w:themeShade="BF"/>
          <w:sz w:val="22"/>
          <w:szCs w:val="22"/>
        </w:rPr>
        <w:t>2001).</w:t>
      </w:r>
    </w:p>
    <w:p w14:paraId="7710B8DC" w14:textId="77777777" w:rsidR="002B6B54" w:rsidRDefault="002B6B54" w:rsidP="00AA076A">
      <w:pPr>
        <w:spacing w:line="360" w:lineRule="auto"/>
        <w:rPr>
          <w:rFonts w:ascii="Arial" w:hAnsi="Arial" w:cs="Arial"/>
          <w:color w:val="032348" w:themeColor="accent1" w:themeShade="BF"/>
          <w:sz w:val="22"/>
          <w:szCs w:val="22"/>
        </w:rPr>
      </w:pPr>
    </w:p>
    <w:p w14:paraId="611D31FA" w14:textId="6E2A3F07" w:rsidR="005278F9" w:rsidRPr="00AA076A" w:rsidRDefault="002B6B54" w:rsidP="00AA076A">
      <w:pPr>
        <w:spacing w:line="360" w:lineRule="auto"/>
        <w:rPr>
          <w:rFonts w:ascii="Arial" w:hAnsi="Arial" w:cs="Arial"/>
          <w:color w:val="032348" w:themeColor="accent1" w:themeShade="BF"/>
          <w:sz w:val="22"/>
          <w:szCs w:val="22"/>
        </w:rPr>
      </w:pPr>
      <w:r w:rsidRPr="002B6B54">
        <w:rPr>
          <w:rFonts w:ascii="Arial" w:hAnsi="Arial" w:cs="Arial"/>
          <w:color w:val="032348" w:themeColor="accent1" w:themeShade="BF"/>
          <w:sz w:val="22"/>
          <w:szCs w:val="22"/>
        </w:rPr>
        <w:t xml:space="preserve">Chronic Care Model </w:t>
      </w:r>
      <w:r w:rsidR="00841718" w:rsidRPr="00AA076A">
        <w:rPr>
          <w:rFonts w:ascii="Arial" w:hAnsi="Arial" w:cs="Arial"/>
          <w:noProof/>
          <w:color w:val="032348" w:themeColor="accent1" w:themeShade="BF"/>
          <w:sz w:val="22"/>
          <w:szCs w:val="22"/>
        </w:rPr>
        <w:drawing>
          <wp:anchor distT="0" distB="0" distL="114300" distR="114300" simplePos="0" relativeHeight="251684864" behindDoc="0" locked="0" layoutInCell="1" allowOverlap="1" wp14:anchorId="59060CCA" wp14:editId="02FCDB28">
            <wp:simplePos x="0" y="0"/>
            <wp:positionH relativeFrom="column">
              <wp:posOffset>-173990</wp:posOffset>
            </wp:positionH>
            <wp:positionV relativeFrom="paragraph">
              <wp:posOffset>233045</wp:posOffset>
            </wp:positionV>
            <wp:extent cx="5273040" cy="3143250"/>
            <wp:effectExtent l="0" t="0" r="3810" b="0"/>
            <wp:wrapSquare wrapText="bothSides"/>
            <wp:docPr id="4156311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273040" cy="314325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color w:val="032348" w:themeColor="accent1" w:themeShade="BF"/>
          <w:sz w:val="22"/>
          <w:szCs w:val="22"/>
        </w:rPr>
        <w:t xml:space="preserve">- </w:t>
      </w:r>
      <w:r w:rsidR="00C452E5" w:rsidRPr="00AA076A">
        <w:rPr>
          <w:rFonts w:ascii="Arial" w:hAnsi="Arial" w:cs="Arial"/>
          <w:color w:val="032348" w:themeColor="accent1" w:themeShade="BF"/>
          <w:sz w:val="22"/>
          <w:szCs w:val="22"/>
        </w:rPr>
        <w:t>(Ansari</w:t>
      </w:r>
      <w:r w:rsidR="00362B30">
        <w:rPr>
          <w:rFonts w:ascii="Arial" w:hAnsi="Arial" w:cs="Arial"/>
          <w:color w:val="032348" w:themeColor="accent1" w:themeShade="BF"/>
          <w:sz w:val="22"/>
          <w:szCs w:val="22"/>
        </w:rPr>
        <w:t xml:space="preserve">, </w:t>
      </w:r>
      <w:r w:rsidR="00C452E5" w:rsidRPr="00AA076A">
        <w:rPr>
          <w:rFonts w:ascii="Arial" w:hAnsi="Arial" w:cs="Arial"/>
          <w:color w:val="032348" w:themeColor="accent1" w:themeShade="BF"/>
          <w:sz w:val="22"/>
          <w:szCs w:val="22"/>
        </w:rPr>
        <w:t>2021)</w:t>
      </w:r>
    </w:p>
    <w:p w14:paraId="53DF81CB" w14:textId="77777777" w:rsidR="00841718" w:rsidRPr="00AA076A" w:rsidRDefault="00841718" w:rsidP="00AA076A">
      <w:pPr>
        <w:spacing w:line="360" w:lineRule="auto"/>
        <w:rPr>
          <w:rFonts w:ascii="Arial" w:hAnsi="Arial" w:cs="Arial"/>
          <w:color w:val="032348" w:themeColor="accent1" w:themeShade="BF"/>
          <w:sz w:val="22"/>
          <w:szCs w:val="22"/>
        </w:rPr>
      </w:pPr>
    </w:p>
    <w:p w14:paraId="1C65F0F3" w14:textId="77777777" w:rsidR="00841718" w:rsidRPr="00AA076A" w:rsidRDefault="00841718" w:rsidP="00AA076A">
      <w:pPr>
        <w:spacing w:line="360" w:lineRule="auto"/>
        <w:rPr>
          <w:rFonts w:ascii="Arial" w:hAnsi="Arial" w:cs="Arial"/>
          <w:color w:val="032348" w:themeColor="accent1" w:themeShade="BF"/>
          <w:sz w:val="22"/>
          <w:szCs w:val="22"/>
        </w:rPr>
      </w:pPr>
    </w:p>
    <w:p w14:paraId="65466E3F" w14:textId="77777777" w:rsidR="00841718" w:rsidRPr="00AA076A" w:rsidRDefault="00841718" w:rsidP="00AA076A">
      <w:pPr>
        <w:spacing w:line="360" w:lineRule="auto"/>
        <w:rPr>
          <w:rFonts w:ascii="Arial" w:hAnsi="Arial" w:cs="Arial"/>
          <w:color w:val="032348" w:themeColor="accent1" w:themeShade="BF"/>
          <w:sz w:val="22"/>
          <w:szCs w:val="22"/>
        </w:rPr>
      </w:pPr>
    </w:p>
    <w:p w14:paraId="5BEA35C0" w14:textId="77777777" w:rsidR="00841718" w:rsidRPr="00AA076A" w:rsidRDefault="00841718" w:rsidP="00AA076A">
      <w:pPr>
        <w:spacing w:line="360" w:lineRule="auto"/>
        <w:rPr>
          <w:rFonts w:ascii="Arial" w:hAnsi="Arial" w:cs="Arial"/>
          <w:color w:val="032348" w:themeColor="accent1" w:themeShade="BF"/>
          <w:sz w:val="22"/>
          <w:szCs w:val="22"/>
        </w:rPr>
      </w:pPr>
    </w:p>
    <w:p w14:paraId="492DEC81" w14:textId="77777777" w:rsidR="00841718" w:rsidRPr="00AA076A" w:rsidRDefault="00841718" w:rsidP="00AA076A">
      <w:pPr>
        <w:spacing w:line="360" w:lineRule="auto"/>
        <w:rPr>
          <w:rFonts w:ascii="Arial" w:hAnsi="Arial" w:cs="Arial"/>
          <w:color w:val="032348" w:themeColor="accent1" w:themeShade="BF"/>
          <w:sz w:val="22"/>
          <w:szCs w:val="22"/>
        </w:rPr>
      </w:pPr>
    </w:p>
    <w:p w14:paraId="2F4CB22A" w14:textId="77777777" w:rsidR="00841718" w:rsidRPr="00AA076A" w:rsidRDefault="00841718" w:rsidP="00AA076A">
      <w:pPr>
        <w:spacing w:line="360" w:lineRule="auto"/>
        <w:rPr>
          <w:rFonts w:ascii="Arial" w:hAnsi="Arial" w:cs="Arial"/>
          <w:color w:val="032348" w:themeColor="accent1" w:themeShade="BF"/>
          <w:sz w:val="22"/>
          <w:szCs w:val="22"/>
        </w:rPr>
      </w:pPr>
    </w:p>
    <w:p w14:paraId="5719B24B" w14:textId="77777777" w:rsidR="00841718" w:rsidRPr="00AA076A" w:rsidRDefault="00841718" w:rsidP="00AA076A">
      <w:pPr>
        <w:spacing w:line="360" w:lineRule="auto"/>
        <w:rPr>
          <w:rFonts w:ascii="Arial" w:hAnsi="Arial" w:cs="Arial"/>
          <w:color w:val="032348" w:themeColor="accent1" w:themeShade="BF"/>
          <w:sz w:val="22"/>
          <w:szCs w:val="22"/>
        </w:rPr>
      </w:pPr>
    </w:p>
    <w:p w14:paraId="318EC69F" w14:textId="77777777" w:rsidR="00841718" w:rsidRPr="00AA076A" w:rsidRDefault="00841718" w:rsidP="00AA076A">
      <w:pPr>
        <w:spacing w:line="360" w:lineRule="auto"/>
        <w:rPr>
          <w:rFonts w:ascii="Arial" w:hAnsi="Arial" w:cs="Arial"/>
          <w:color w:val="032348" w:themeColor="accent1" w:themeShade="BF"/>
          <w:sz w:val="22"/>
          <w:szCs w:val="22"/>
        </w:rPr>
      </w:pPr>
    </w:p>
    <w:p w14:paraId="709DC075" w14:textId="77777777" w:rsidR="00841718" w:rsidRPr="00AA076A" w:rsidRDefault="00841718" w:rsidP="00AA076A">
      <w:pPr>
        <w:spacing w:line="360" w:lineRule="auto"/>
        <w:rPr>
          <w:rFonts w:ascii="Arial" w:hAnsi="Arial" w:cs="Arial"/>
          <w:color w:val="032348" w:themeColor="accent1" w:themeShade="BF"/>
          <w:sz w:val="22"/>
          <w:szCs w:val="22"/>
        </w:rPr>
      </w:pPr>
    </w:p>
    <w:p w14:paraId="1C9E6106" w14:textId="77777777" w:rsidR="00841718" w:rsidRDefault="00841718" w:rsidP="00AA076A">
      <w:pPr>
        <w:spacing w:line="360" w:lineRule="auto"/>
        <w:rPr>
          <w:rFonts w:ascii="Arial" w:hAnsi="Arial" w:cs="Arial"/>
          <w:color w:val="032348" w:themeColor="accent1" w:themeShade="BF"/>
          <w:sz w:val="22"/>
          <w:szCs w:val="22"/>
        </w:rPr>
      </w:pPr>
    </w:p>
    <w:p w14:paraId="12109421" w14:textId="77777777" w:rsidR="002B6B54" w:rsidRPr="00AA076A" w:rsidRDefault="002B6B54" w:rsidP="00AA076A">
      <w:pPr>
        <w:spacing w:line="360" w:lineRule="auto"/>
        <w:rPr>
          <w:rFonts w:ascii="Arial" w:hAnsi="Arial" w:cs="Arial"/>
          <w:color w:val="032348" w:themeColor="accent1" w:themeShade="BF"/>
          <w:sz w:val="22"/>
          <w:szCs w:val="22"/>
        </w:rPr>
      </w:pPr>
    </w:p>
    <w:p w14:paraId="6018A701" w14:textId="24DF9F7D" w:rsidR="00B8278F" w:rsidRPr="00AA076A" w:rsidRDefault="00B8278F" w:rsidP="00AA076A">
      <w:pPr>
        <w:spacing w:line="360" w:lineRule="auto"/>
        <w:rPr>
          <w:rFonts w:ascii="Arial" w:hAnsi="Arial" w:cs="Arial"/>
          <w:color w:val="032348" w:themeColor="accent1" w:themeShade="BF"/>
          <w:sz w:val="22"/>
          <w:szCs w:val="22"/>
        </w:rPr>
      </w:pPr>
    </w:p>
    <w:p w14:paraId="5029F35E" w14:textId="77777777" w:rsidR="00D95050" w:rsidRDefault="00D95050" w:rsidP="00AA076A">
      <w:pPr>
        <w:spacing w:line="360" w:lineRule="auto"/>
        <w:rPr>
          <w:rFonts w:ascii="Arial" w:hAnsi="Arial" w:cs="Arial"/>
          <w:b/>
          <w:bCs/>
          <w:color w:val="167AF3" w:themeColor="accent1" w:themeTint="99"/>
          <w:sz w:val="22"/>
          <w:szCs w:val="22"/>
          <w:u w:val="single"/>
        </w:rPr>
      </w:pPr>
    </w:p>
    <w:p w14:paraId="5E8609B8" w14:textId="7CD91396" w:rsidR="001D52CE" w:rsidRPr="00AA076A" w:rsidRDefault="008216E4" w:rsidP="00AA076A">
      <w:pPr>
        <w:spacing w:line="360" w:lineRule="auto"/>
        <w:rPr>
          <w:rFonts w:ascii="Arial" w:hAnsi="Arial" w:cs="Arial"/>
          <w:b/>
          <w:bCs/>
          <w:color w:val="167AF3" w:themeColor="accent1" w:themeTint="99"/>
          <w:sz w:val="22"/>
          <w:szCs w:val="22"/>
          <w:u w:val="single"/>
        </w:rPr>
      </w:pPr>
      <w:r w:rsidRPr="00AA076A">
        <w:rPr>
          <w:rFonts w:ascii="Arial" w:hAnsi="Arial" w:cs="Arial"/>
          <w:b/>
          <w:bCs/>
          <w:color w:val="167AF3" w:themeColor="accent1" w:themeTint="99"/>
          <w:sz w:val="22"/>
          <w:szCs w:val="22"/>
          <w:u w:val="single"/>
        </w:rPr>
        <w:lastRenderedPageBreak/>
        <w:t>How These Models Benefit People with Type 2 Diabetes</w:t>
      </w:r>
    </w:p>
    <w:p w14:paraId="100302DC" w14:textId="15DC337B" w:rsidR="001D52CE" w:rsidRPr="00AA076A" w:rsidRDefault="001D52CE" w:rsidP="00AA076A">
      <w:pPr>
        <w:spacing w:line="360" w:lineRule="auto"/>
        <w:rPr>
          <w:rFonts w:ascii="Arial" w:hAnsi="Arial" w:cs="Arial"/>
          <w:b/>
          <w:bCs/>
          <w:color w:val="167AF3" w:themeColor="accent1" w:themeTint="99"/>
          <w:sz w:val="22"/>
          <w:szCs w:val="22"/>
          <w:u w:val="single"/>
        </w:rPr>
      </w:pPr>
      <w:r w:rsidRPr="00AA076A">
        <w:rPr>
          <w:rFonts w:ascii="Arial" w:hAnsi="Arial" w:cs="Arial"/>
          <w:b/>
          <w:bCs/>
          <w:color w:val="167AF3" w:themeColor="accent1" w:themeTint="99"/>
          <w:sz w:val="22"/>
          <w:szCs w:val="22"/>
          <w:u w:val="single"/>
        </w:rPr>
        <w:t>House of Care Model (UK)</w:t>
      </w:r>
    </w:p>
    <w:p w14:paraId="7FB28CA7" w14:textId="7B5D5249" w:rsidR="001D52CE" w:rsidRPr="00AA076A" w:rsidRDefault="002D2244" w:rsidP="00AA076A">
      <w:pPr>
        <w:spacing w:line="360" w:lineRule="auto"/>
        <w:rPr>
          <w:rFonts w:ascii="Arial" w:hAnsi="Arial" w:cs="Arial"/>
          <w:color w:val="0F486E" w:themeColor="text2" w:themeShade="BF"/>
          <w:sz w:val="22"/>
          <w:szCs w:val="22"/>
        </w:rPr>
      </w:pPr>
      <w:r w:rsidRPr="002D2244">
        <w:rPr>
          <w:rFonts w:ascii="Arial" w:hAnsi="Arial" w:cs="Arial"/>
          <w:color w:val="0F486E" w:themeColor="text2" w:themeShade="BF"/>
          <w:sz w:val="22"/>
          <w:szCs w:val="22"/>
        </w:rPr>
        <w:t xml:space="preserve">You are at the </w:t>
      </w:r>
      <w:r w:rsidRPr="002D2244">
        <w:rPr>
          <w:rFonts w:ascii="Arial" w:hAnsi="Arial" w:cs="Arial"/>
          <w:color w:val="0F486E" w:themeColor="text2" w:themeShade="BF"/>
          <w:sz w:val="22"/>
          <w:szCs w:val="22"/>
        </w:rPr>
        <w:t>centre</w:t>
      </w:r>
      <w:r w:rsidRPr="002D2244">
        <w:rPr>
          <w:rFonts w:ascii="Arial" w:hAnsi="Arial" w:cs="Arial"/>
          <w:color w:val="0F486E" w:themeColor="text2" w:themeShade="BF"/>
          <w:sz w:val="22"/>
          <w:szCs w:val="22"/>
        </w:rPr>
        <w:t xml:space="preserve"> of your diabetes care when using the NHS's House of Care approach (NHS England, 2016). Through collaboration and individualized care planning, it aims to enhance outcomes for individuals with chronic illnesses like type 2 diabetes (Coulter, Entwistle, and Eccles, 2013). </w:t>
      </w:r>
      <w:r w:rsidR="001D52CE" w:rsidRPr="00AA076A">
        <w:rPr>
          <w:rFonts w:ascii="Arial" w:hAnsi="Arial" w:cs="Arial"/>
          <w:color w:val="0F486E" w:themeColor="text2" w:themeShade="BF"/>
          <w:sz w:val="22"/>
          <w:szCs w:val="22"/>
        </w:rPr>
        <w:t>It focuses on:</w:t>
      </w:r>
    </w:p>
    <w:p w14:paraId="7FCAE7F6" w14:textId="637B2E78" w:rsidR="001D52CE" w:rsidRPr="00AA076A" w:rsidRDefault="001D52CE" w:rsidP="00AA076A">
      <w:pPr>
        <w:pStyle w:val="ListParagraph"/>
        <w:numPr>
          <w:ilvl w:val="1"/>
          <w:numId w:val="21"/>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Shared decision-making between you and your healthcare team (NHS England, 2016).</w:t>
      </w:r>
    </w:p>
    <w:p w14:paraId="2631CDF7" w14:textId="4D3BD6B9" w:rsidR="001D52CE" w:rsidRPr="00AA076A" w:rsidRDefault="001D52CE" w:rsidP="00AA076A">
      <w:pPr>
        <w:pStyle w:val="ListParagraph"/>
        <w:numPr>
          <w:ilvl w:val="1"/>
          <w:numId w:val="21"/>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Personalised care planning based on your goals, priorities and cultural needs (Coulter, Entwistle and Eccles, 2013).</w:t>
      </w:r>
    </w:p>
    <w:p w14:paraId="5FB75179" w14:textId="4446A5D6" w:rsidR="001D52CE" w:rsidRPr="00AA076A" w:rsidRDefault="001D52CE" w:rsidP="00AA076A">
      <w:pPr>
        <w:pStyle w:val="ListParagraph"/>
        <w:numPr>
          <w:ilvl w:val="1"/>
          <w:numId w:val="21"/>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Support for lifestyle change and prevention to reduce complications (NHS England, 2019).</w:t>
      </w:r>
    </w:p>
    <w:p w14:paraId="7DEB2EF0" w14:textId="04DD97BA" w:rsidR="001D52CE" w:rsidRPr="00AA076A" w:rsidRDefault="001D52CE" w:rsidP="00AA076A">
      <w:pPr>
        <w:pStyle w:val="ListParagraph"/>
        <w:numPr>
          <w:ilvl w:val="1"/>
          <w:numId w:val="21"/>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Coordinated care across GP services, community teams and specialist clinics (NHS England, 2016).</w:t>
      </w:r>
    </w:p>
    <w:p w14:paraId="115D84CE" w14:textId="31021037" w:rsidR="001D52CE" w:rsidRPr="006877B2" w:rsidRDefault="001D52CE"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This approach has been shown to improve confidence, strengthen self-management skills and support better long-term health outcomes for people with type 2 diabetes (Coulter, Entwistle and Eccles, 2013; NHS England, 2019).</w:t>
      </w:r>
    </w:p>
    <w:p w14:paraId="1B681201" w14:textId="66AF0E7E" w:rsidR="001D52CE" w:rsidRPr="00AA076A" w:rsidRDefault="001D52CE" w:rsidP="00AA076A">
      <w:pPr>
        <w:spacing w:line="360" w:lineRule="auto"/>
        <w:rPr>
          <w:rFonts w:ascii="Arial" w:hAnsi="Arial" w:cs="Arial"/>
          <w:b/>
          <w:bCs/>
          <w:color w:val="167AF3" w:themeColor="accent1" w:themeTint="99"/>
          <w:sz w:val="22"/>
          <w:szCs w:val="22"/>
          <w:u w:val="single"/>
        </w:rPr>
      </w:pPr>
      <w:r w:rsidRPr="00AA076A">
        <w:rPr>
          <w:rFonts w:ascii="Arial" w:hAnsi="Arial" w:cs="Arial"/>
          <w:b/>
          <w:bCs/>
          <w:color w:val="167AF3" w:themeColor="accent1" w:themeTint="99"/>
          <w:sz w:val="22"/>
          <w:szCs w:val="22"/>
          <w:u w:val="single"/>
        </w:rPr>
        <w:t>Chronic Care Model (International)</w:t>
      </w:r>
    </w:p>
    <w:p w14:paraId="010ED54F" w14:textId="5B1B97E9" w:rsidR="001D52CE" w:rsidRPr="00AA076A" w:rsidRDefault="0041474B" w:rsidP="00AA076A">
      <w:pPr>
        <w:spacing w:line="360" w:lineRule="auto"/>
        <w:rPr>
          <w:rFonts w:ascii="Arial" w:hAnsi="Arial" w:cs="Arial"/>
          <w:color w:val="0F486E" w:themeColor="text2" w:themeShade="BF"/>
          <w:sz w:val="22"/>
          <w:szCs w:val="22"/>
        </w:rPr>
      </w:pPr>
      <w:r w:rsidRPr="0041474B">
        <w:rPr>
          <w:rFonts w:ascii="Arial" w:hAnsi="Arial" w:cs="Arial"/>
          <w:color w:val="0F486E" w:themeColor="text2" w:themeShade="BF"/>
          <w:sz w:val="22"/>
          <w:szCs w:val="22"/>
        </w:rPr>
        <w:t>Type 2 diabetes is among the long-term illnesses that are better managed globally with the implementation of the Chronic Care Model (CCM) (Wagner et al., 2001). Instead of treating issues reactively, it encourages proactive, organized, and patient-</w:t>
      </w:r>
      <w:r w:rsidRPr="0041474B">
        <w:rPr>
          <w:rFonts w:ascii="Arial" w:hAnsi="Arial" w:cs="Arial"/>
          <w:color w:val="0F486E" w:themeColor="text2" w:themeShade="BF"/>
          <w:sz w:val="22"/>
          <w:szCs w:val="22"/>
        </w:rPr>
        <w:t>centred</w:t>
      </w:r>
      <w:r w:rsidRPr="0041474B">
        <w:rPr>
          <w:rFonts w:ascii="Arial" w:hAnsi="Arial" w:cs="Arial"/>
          <w:color w:val="0F486E" w:themeColor="text2" w:themeShade="BF"/>
          <w:sz w:val="22"/>
          <w:szCs w:val="22"/>
        </w:rPr>
        <w:t xml:space="preserve"> care (Coleman et al., 2009).</w:t>
      </w:r>
      <w:r>
        <w:rPr>
          <w:rFonts w:ascii="Arial" w:hAnsi="Arial" w:cs="Arial"/>
          <w:color w:val="0F486E" w:themeColor="text2" w:themeShade="BF"/>
          <w:sz w:val="22"/>
          <w:szCs w:val="22"/>
        </w:rPr>
        <w:t xml:space="preserve"> I</w:t>
      </w:r>
      <w:r w:rsidR="001D52CE" w:rsidRPr="00AA076A">
        <w:rPr>
          <w:rFonts w:ascii="Arial" w:hAnsi="Arial" w:cs="Arial"/>
          <w:color w:val="0F486E" w:themeColor="text2" w:themeShade="BF"/>
          <w:sz w:val="22"/>
          <w:szCs w:val="22"/>
        </w:rPr>
        <w:t>t focuses on:</w:t>
      </w:r>
    </w:p>
    <w:p w14:paraId="3119EB2D" w14:textId="6877E283" w:rsidR="001D52CE" w:rsidRPr="00AA076A" w:rsidRDefault="001D52CE" w:rsidP="00AA076A">
      <w:pPr>
        <w:pStyle w:val="ListParagraph"/>
        <w:numPr>
          <w:ilvl w:val="1"/>
          <w:numId w:val="21"/>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Empowering patients to become informed and active in their own care (Wagner et al., 2001).</w:t>
      </w:r>
    </w:p>
    <w:p w14:paraId="4A5FEF05" w14:textId="3B575584" w:rsidR="001D52CE" w:rsidRPr="00AA076A" w:rsidRDefault="001D52CE" w:rsidP="00AA076A">
      <w:pPr>
        <w:pStyle w:val="ListParagraph"/>
        <w:numPr>
          <w:ilvl w:val="1"/>
          <w:numId w:val="21"/>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Providing structured education and self-management support (Coleman et al., 2009).</w:t>
      </w:r>
    </w:p>
    <w:p w14:paraId="5D6177B5" w14:textId="7F9C2053" w:rsidR="001D52CE" w:rsidRPr="00AA076A" w:rsidRDefault="001D52CE" w:rsidP="00AA076A">
      <w:pPr>
        <w:pStyle w:val="ListParagraph"/>
        <w:numPr>
          <w:ilvl w:val="1"/>
          <w:numId w:val="21"/>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Using digital records and clinical information systems to monitor progress and outcomes (Wagner et al., 2001).</w:t>
      </w:r>
    </w:p>
    <w:p w14:paraId="77765796" w14:textId="603C6F6B" w:rsidR="001D52CE" w:rsidRPr="00AA076A" w:rsidRDefault="001D52CE" w:rsidP="00AA076A">
      <w:pPr>
        <w:pStyle w:val="ListParagraph"/>
        <w:numPr>
          <w:ilvl w:val="1"/>
          <w:numId w:val="21"/>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Encouraging team-based, proactive care rather than episodic treatment (Coleman et al., 2009).</w:t>
      </w:r>
    </w:p>
    <w:p w14:paraId="7460B06F" w14:textId="5B9F5150" w:rsidR="00FC722C" w:rsidRPr="00AA076A" w:rsidRDefault="001D52CE"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Research shows that this model improves blood glucose control, reduces complications and supports coordinated long-term diabetes care (Coleman et al., 2009; Wagner et al., 2001).</w:t>
      </w:r>
    </w:p>
    <w:p w14:paraId="5813D9F1" w14:textId="4248E750" w:rsidR="001F4051" w:rsidRPr="00727F12" w:rsidRDefault="00E90841" w:rsidP="00727F12">
      <w:pPr>
        <w:pStyle w:val="Heading1"/>
        <w:spacing w:line="360" w:lineRule="auto"/>
        <w:jc w:val="left"/>
        <w:rPr>
          <w:rFonts w:ascii="Arial" w:hAnsi="Arial" w:cs="Arial"/>
          <w:b/>
          <w:bCs/>
          <w:color w:val="167AF3" w:themeColor="accent1" w:themeTint="99"/>
          <w:sz w:val="32"/>
          <w:szCs w:val="32"/>
        </w:rPr>
      </w:pPr>
      <w:bookmarkStart w:id="12" w:name="_Toc223067593"/>
      <w:r w:rsidRPr="00AA076A">
        <w:rPr>
          <w:rFonts w:ascii="Arial" w:hAnsi="Arial" w:cs="Arial"/>
          <w:b/>
          <w:bCs/>
          <w:color w:val="167AF3" w:themeColor="accent1" w:themeTint="99"/>
          <w:sz w:val="32"/>
          <w:szCs w:val="32"/>
        </w:rPr>
        <w:lastRenderedPageBreak/>
        <w:t>Political and Policy Context</w:t>
      </w:r>
      <w:bookmarkEnd w:id="12"/>
    </w:p>
    <w:p w14:paraId="29295F86" w14:textId="2C0F30AC" w:rsidR="00E90841" w:rsidRPr="00AA076A" w:rsidRDefault="00E90841" w:rsidP="00AA076A">
      <w:pPr>
        <w:spacing w:line="360" w:lineRule="auto"/>
        <w:rPr>
          <w:rFonts w:ascii="Arial" w:hAnsi="Arial" w:cs="Arial"/>
          <w:b/>
          <w:bCs/>
          <w:color w:val="167AF3" w:themeColor="accent1" w:themeTint="99"/>
          <w:sz w:val="22"/>
          <w:szCs w:val="22"/>
        </w:rPr>
      </w:pPr>
      <w:r w:rsidRPr="00AA076A">
        <w:rPr>
          <w:rFonts w:ascii="Arial" w:hAnsi="Arial" w:cs="Arial"/>
          <w:b/>
          <w:bCs/>
          <w:color w:val="167AF3" w:themeColor="accent1" w:themeTint="99"/>
          <w:sz w:val="22"/>
          <w:szCs w:val="22"/>
        </w:rPr>
        <w:t>NHS Long Term Plan</w:t>
      </w:r>
    </w:p>
    <w:p w14:paraId="166B1E23" w14:textId="359D89C6" w:rsidR="00E90841" w:rsidRPr="00AA076A" w:rsidRDefault="00E90841"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Expands Diabetes Prevention Programme and remission trials (NHS England, 2019).</w:t>
      </w:r>
    </w:p>
    <w:p w14:paraId="5A4FA828" w14:textId="36FEE60D" w:rsidR="00E90841" w:rsidRPr="00AA076A" w:rsidRDefault="00E90841" w:rsidP="00AA076A">
      <w:pPr>
        <w:spacing w:line="360" w:lineRule="auto"/>
        <w:rPr>
          <w:rFonts w:ascii="Arial" w:hAnsi="Arial" w:cs="Arial"/>
          <w:b/>
          <w:bCs/>
          <w:color w:val="167AF3" w:themeColor="accent1" w:themeTint="99"/>
          <w:sz w:val="22"/>
          <w:szCs w:val="22"/>
        </w:rPr>
      </w:pPr>
      <w:r w:rsidRPr="00AA076A">
        <w:rPr>
          <w:rFonts w:ascii="Arial" w:hAnsi="Arial" w:cs="Arial"/>
          <w:b/>
          <w:bCs/>
          <w:color w:val="167AF3" w:themeColor="accent1" w:themeTint="99"/>
          <w:sz w:val="22"/>
          <w:szCs w:val="22"/>
        </w:rPr>
        <w:t>Core20PLUS5</w:t>
      </w:r>
    </w:p>
    <w:p w14:paraId="4CA7AD68" w14:textId="77A0CD71" w:rsidR="00E90841" w:rsidRDefault="00E90841"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Targets deprived and ethnic minority populations to reduce health inequalities (NHS England, 2021).</w:t>
      </w:r>
    </w:p>
    <w:p w14:paraId="5BDBD06E" w14:textId="3740FF77" w:rsidR="00727F12" w:rsidRPr="00AA076A" w:rsidRDefault="00727F12" w:rsidP="00AA076A">
      <w:pPr>
        <w:spacing w:line="360" w:lineRule="auto"/>
        <w:rPr>
          <w:rFonts w:ascii="Arial" w:hAnsi="Arial" w:cs="Arial"/>
          <w:color w:val="0F486E" w:themeColor="text2" w:themeShade="BF"/>
          <w:sz w:val="22"/>
          <w:szCs w:val="22"/>
        </w:rPr>
      </w:pPr>
      <w:r>
        <w:rPr>
          <w:rFonts w:ascii="Arial" w:hAnsi="Arial" w:cs="Arial"/>
          <w:noProof/>
          <w:color w:val="0F486E" w:themeColor="text2" w:themeShade="BF"/>
          <w:sz w:val="22"/>
          <w:szCs w:val="22"/>
        </w:rPr>
        <w:drawing>
          <wp:inline distT="0" distB="0" distL="0" distR="0" wp14:anchorId="3EE208CE" wp14:editId="51EA0D24">
            <wp:extent cx="4103464" cy="2177415"/>
            <wp:effectExtent l="0" t="0" r="0" b="0"/>
            <wp:docPr id="296279944"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rotWithShape="1">
                    <a:blip r:embed="rId35">
                      <a:extLst>
                        <a:ext uri="{28A0092B-C50C-407E-A947-70E740481C1C}">
                          <a14:useLocalDpi xmlns:a14="http://schemas.microsoft.com/office/drawing/2010/main" val="0"/>
                        </a:ext>
                      </a:extLst>
                    </a:blip>
                    <a:srcRect l="14912" r="14760"/>
                    <a:stretch>
                      <a:fillRect/>
                    </a:stretch>
                  </pic:blipFill>
                  <pic:spPr bwMode="auto">
                    <a:xfrm>
                      <a:off x="0" y="0"/>
                      <a:ext cx="4119957" cy="2186167"/>
                    </a:xfrm>
                    <a:prstGeom prst="rect">
                      <a:avLst/>
                    </a:prstGeom>
                    <a:noFill/>
                    <a:ln>
                      <a:noFill/>
                    </a:ln>
                    <a:extLst>
                      <a:ext uri="{53640926-AAD7-44D8-BBD7-CCE9431645EC}">
                        <a14:shadowObscured xmlns:a14="http://schemas.microsoft.com/office/drawing/2010/main"/>
                      </a:ext>
                    </a:extLst>
                  </pic:spPr>
                </pic:pic>
              </a:graphicData>
            </a:graphic>
          </wp:inline>
        </w:drawing>
      </w:r>
    </w:p>
    <w:p w14:paraId="3C4CB6AC" w14:textId="3F886A4C" w:rsidR="00E90841" w:rsidRDefault="00E90841" w:rsidP="00AA076A">
      <w:pPr>
        <w:spacing w:line="360" w:lineRule="auto"/>
        <w:rPr>
          <w:rFonts w:ascii="Arial" w:hAnsi="Arial" w:cs="Arial"/>
          <w:b/>
          <w:bCs/>
          <w:color w:val="167AF3" w:themeColor="accent1" w:themeTint="99"/>
          <w:sz w:val="22"/>
          <w:szCs w:val="22"/>
        </w:rPr>
      </w:pPr>
      <w:r w:rsidRPr="00AA076A">
        <w:rPr>
          <w:rFonts w:ascii="Arial" w:hAnsi="Arial" w:cs="Arial"/>
          <w:b/>
          <w:bCs/>
          <w:color w:val="167AF3" w:themeColor="accent1" w:themeTint="99"/>
          <w:sz w:val="22"/>
          <w:szCs w:val="22"/>
        </w:rPr>
        <w:t>Health and Care Act 2022</w:t>
      </w:r>
    </w:p>
    <w:p w14:paraId="7E397F74" w14:textId="1DC136C5" w:rsidR="00955E2E" w:rsidRPr="00955E2E" w:rsidRDefault="00955E2E" w:rsidP="00AA076A">
      <w:pPr>
        <w:spacing w:line="360" w:lineRule="auto"/>
        <w:rPr>
          <w:rFonts w:ascii="Arial" w:hAnsi="Arial" w:cs="Arial"/>
          <w:color w:val="0F486E" w:themeColor="text2" w:themeShade="BF"/>
          <w:sz w:val="22"/>
          <w:szCs w:val="22"/>
        </w:rPr>
      </w:pPr>
      <w:r w:rsidRPr="00955E2E">
        <w:rPr>
          <w:rFonts w:ascii="Arial" w:hAnsi="Arial" w:cs="Arial"/>
          <w:color w:val="0F486E" w:themeColor="text2" w:themeShade="BF"/>
          <w:sz w:val="22"/>
          <w:szCs w:val="22"/>
        </w:rPr>
        <w:t>creates Integrated Care Systems to manage social and health services (DHSC, 2022). Strong policy frameworks notwithstanding, implementation issues include continuing inequality disparities, financial constraints, and workforce demands.</w:t>
      </w:r>
    </w:p>
    <w:p w14:paraId="2082D286" w14:textId="5663E8FB" w:rsidR="006B6995" w:rsidRPr="00AA076A" w:rsidRDefault="00133639" w:rsidP="00AA076A">
      <w:pPr>
        <w:spacing w:line="360" w:lineRule="auto"/>
        <w:rPr>
          <w:rFonts w:ascii="Arial" w:hAnsi="Arial" w:cs="Arial"/>
          <w:color w:val="0F486E" w:themeColor="text2" w:themeShade="BF"/>
          <w:sz w:val="22"/>
          <w:szCs w:val="22"/>
        </w:rPr>
      </w:pPr>
      <w:r w:rsidRPr="00AA076A">
        <w:rPr>
          <w:rFonts w:ascii="Arial" w:hAnsi="Arial" w:cs="Arial"/>
          <w:noProof/>
          <w:color w:val="0F486E" w:themeColor="text2" w:themeShade="BF"/>
          <w:sz w:val="22"/>
          <w:szCs w:val="22"/>
        </w:rPr>
        <mc:AlternateContent>
          <mc:Choice Requires="wps">
            <w:drawing>
              <wp:anchor distT="0" distB="0" distL="114300" distR="114300" simplePos="0" relativeHeight="251683840" behindDoc="0" locked="0" layoutInCell="1" allowOverlap="1" wp14:anchorId="6AC5710A" wp14:editId="49306024">
                <wp:simplePos x="0" y="0"/>
                <wp:positionH relativeFrom="margin">
                  <wp:align>center</wp:align>
                </wp:positionH>
                <wp:positionV relativeFrom="paragraph">
                  <wp:posOffset>173</wp:posOffset>
                </wp:positionV>
                <wp:extent cx="244187" cy="187036"/>
                <wp:effectExtent l="19050" t="0" r="41910" b="22860"/>
                <wp:wrapNone/>
                <wp:docPr id="1368034385" name="Heart 28"/>
                <wp:cNvGraphicFramePr/>
                <a:graphic xmlns:a="http://schemas.openxmlformats.org/drawingml/2006/main">
                  <a:graphicData uri="http://schemas.microsoft.com/office/word/2010/wordprocessingShape">
                    <wps:wsp>
                      <wps:cNvSpPr/>
                      <wps:spPr>
                        <a:xfrm>
                          <a:off x="0" y="0"/>
                          <a:ext cx="244187" cy="187036"/>
                        </a:xfrm>
                        <a:prstGeom prst="heart">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A00B6B" id="Heart 28" o:spid="_x0000_s1026" style="position:absolute;margin-left:0;margin-top:0;width:19.25pt;height:14.75pt;z-index:2516838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244187,1870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" path="m122094,46759v50872,-109104,249274,,,140277c-127181,46759,71221,-62345,122094,46759xe" fillcolor="#167af3 [1940]" strokecolor="#00060e [484]" strokeweight="1.25pt">
                <v:stroke endcap="round"/>
                <v:path arrowok="t" o:connecttype="custom" o:connectlocs="122094,46759;122094,187036;122094,46759" o:connectangles="0,0,0"/>
                <w10:wrap anchorx="margin"/>
              </v:shape>
            </w:pict>
          </mc:Fallback>
        </mc:AlternateContent>
      </w:r>
      <w:r w:rsidR="006B6995" w:rsidRPr="00AA076A">
        <w:rPr>
          <w:rFonts w:ascii="Arial" w:hAnsi="Arial" w:cs="Arial"/>
          <w:b/>
          <w:bCs/>
          <w:color w:val="167AF3" w:themeColor="accent1" w:themeTint="99"/>
          <w:sz w:val="22"/>
          <w:szCs w:val="22"/>
        </w:rPr>
        <w:t>Current Policies and Latest Information</w:t>
      </w:r>
    </w:p>
    <w:p w14:paraId="6D3490BD" w14:textId="240E00A8" w:rsidR="006B6995" w:rsidRPr="00E511AE" w:rsidRDefault="00E511AE" w:rsidP="00E511AE">
      <w:pPr>
        <w:spacing w:line="360" w:lineRule="auto"/>
        <w:rPr>
          <w:rFonts w:ascii="Arial" w:hAnsi="Arial" w:cs="Arial"/>
          <w:color w:val="0F486E" w:themeColor="text2" w:themeShade="BF"/>
          <w:sz w:val="22"/>
          <w:szCs w:val="22"/>
        </w:rPr>
      </w:pPr>
      <w:r w:rsidRPr="00E511AE">
        <w:rPr>
          <w:rFonts w:ascii="Arial" w:hAnsi="Arial" w:cs="Arial"/>
          <w:color w:val="0F486E" w:themeColor="text2" w:themeShade="BF"/>
          <w:sz w:val="22"/>
          <w:szCs w:val="22"/>
        </w:rPr>
        <w:t>Diabetes prevention, early detection, and individualized care are given top priority in the NHS Long Term Plan (NHS England, 2019). In order to enhance coordination between health and social care providers, Integrated Care Systems were implemented under the Health and Care Act 2022 (DHSC, 2022). Reflecting advancements in evidence-based therapy, recent NICE guidance highlights the early use of GLP-1 receptor agonists and SGLT-2 inhibitors for those at cardiovascular or renal risk (NICE, 2022)</w:t>
      </w:r>
      <w:r w:rsidRPr="00E511AE">
        <w:rPr>
          <w:rFonts w:ascii="Arial" w:hAnsi="Arial" w:cs="Arial"/>
          <w:color w:val="0F486E" w:themeColor="text2" w:themeShade="BF"/>
          <w:sz w:val="22"/>
          <w:szCs w:val="22"/>
        </w:rPr>
        <w:t xml:space="preserve">. </w:t>
      </w:r>
    </w:p>
    <w:p w14:paraId="16371DF3" w14:textId="753D32F3" w:rsidR="006B6995" w:rsidRPr="00AA076A" w:rsidRDefault="006B6995"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The National Diabetes Audit continues to monitor quality of care processes and outcomes across England, highlighting areas for improvement in achieving treatment targets (NHS Digital, 2023).</w:t>
      </w:r>
    </w:p>
    <w:p w14:paraId="11B3B2DE" w14:textId="5A8E80A3" w:rsidR="006877B2" w:rsidRPr="00133639" w:rsidRDefault="006B6995"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Ongoing expansion of the NHS Diabetes Prevention Programme aims to reduce incidence rates and address rising prevalence (NHS England, 2023).</w:t>
      </w:r>
    </w:p>
    <w:p w14:paraId="3D586F03" w14:textId="41C46E95" w:rsidR="001F4051" w:rsidRPr="00133639" w:rsidRDefault="00370773" w:rsidP="00133639">
      <w:pPr>
        <w:pStyle w:val="Heading1"/>
        <w:spacing w:line="360" w:lineRule="auto"/>
        <w:jc w:val="left"/>
        <w:rPr>
          <w:rFonts w:ascii="Arial" w:hAnsi="Arial" w:cs="Arial"/>
          <w:b/>
          <w:bCs/>
          <w:color w:val="167AF3" w:themeColor="accent1" w:themeTint="99"/>
          <w:sz w:val="32"/>
          <w:szCs w:val="32"/>
        </w:rPr>
      </w:pPr>
      <w:bookmarkStart w:id="13" w:name="_Toc223067594"/>
      <w:r w:rsidRPr="00AA076A">
        <w:rPr>
          <w:rFonts w:ascii="Arial" w:hAnsi="Arial" w:cs="Arial"/>
          <w:b/>
          <w:bCs/>
          <w:color w:val="167AF3" w:themeColor="accent1" w:themeTint="99"/>
          <w:sz w:val="32"/>
          <w:szCs w:val="32"/>
        </w:rPr>
        <w:lastRenderedPageBreak/>
        <w:t>Equality Challenges</w:t>
      </w:r>
      <w:bookmarkEnd w:id="13"/>
    </w:p>
    <w:p w14:paraId="5FE939CA" w14:textId="77777777" w:rsidR="000C5693" w:rsidRDefault="000C435E" w:rsidP="00AA076A">
      <w:pPr>
        <w:spacing w:line="360" w:lineRule="auto"/>
        <w:rPr>
          <w:rFonts w:ascii="Arial" w:hAnsi="Arial" w:cs="Arial"/>
          <w:color w:val="0F486E" w:themeColor="text2" w:themeShade="BF"/>
          <w:sz w:val="22"/>
          <w:szCs w:val="22"/>
        </w:rPr>
      </w:pPr>
      <w:r w:rsidRPr="000C435E">
        <w:rPr>
          <w:rFonts w:ascii="Arial" w:hAnsi="Arial" w:cs="Arial"/>
          <w:color w:val="0F486E" w:themeColor="text2" w:themeShade="BF"/>
          <w:sz w:val="22"/>
          <w:szCs w:val="22"/>
        </w:rPr>
        <w:t>In the UK, diabetes outcomes are greatly impacted by health disparities (Marmot, 2020). Type 2 diabetes is more common and starts earlier in those with South Asian and Black African or Caribbean ancestry (Public Health England, 2018).</w:t>
      </w:r>
    </w:p>
    <w:p w14:paraId="090B6063" w14:textId="68E9798E" w:rsidR="00370773" w:rsidRDefault="00370773"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Socioeconomic deprivation is associated with poorer glycaemic control and increased complication rates (NHS Digital, 2023). Access to digital technologies and structured education programmes also varies, potentially widening health disparities (Diabetes UK, 2023).</w:t>
      </w:r>
    </w:p>
    <w:p w14:paraId="0AA576D0" w14:textId="7A134BBF" w:rsidR="00133639" w:rsidRPr="00AA076A" w:rsidRDefault="00133639" w:rsidP="00AA076A">
      <w:pPr>
        <w:spacing w:line="360" w:lineRule="auto"/>
        <w:rPr>
          <w:rFonts w:ascii="Arial" w:hAnsi="Arial" w:cs="Arial"/>
          <w:color w:val="0F486E" w:themeColor="text2" w:themeShade="BF"/>
          <w:sz w:val="22"/>
          <w:szCs w:val="22"/>
        </w:rPr>
      </w:pPr>
      <w:r>
        <w:rPr>
          <w:rFonts w:ascii="Arial" w:hAnsi="Arial" w:cs="Arial"/>
          <w:noProof/>
          <w:color w:val="0F486E" w:themeColor="text2" w:themeShade="BF"/>
          <w:sz w:val="22"/>
          <w:szCs w:val="22"/>
        </w:rPr>
        <w:drawing>
          <wp:inline distT="0" distB="0" distL="0" distR="0" wp14:anchorId="0CDD8643" wp14:editId="45FA31F2">
            <wp:extent cx="2516489" cy="2045970"/>
            <wp:effectExtent l="0" t="0" r="0" b="0"/>
            <wp:docPr id="1122470475"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36">
                      <a:extLst>
                        <a:ext uri="{28A0092B-C50C-407E-A947-70E740481C1C}">
                          <a14:useLocalDpi xmlns:a14="http://schemas.microsoft.com/office/drawing/2010/main" val="0"/>
                        </a:ext>
                      </a:extLst>
                    </a:blip>
                    <a:srcRect l="10347" t="10666" r="13696" b="15617"/>
                    <a:stretch>
                      <a:fillRect/>
                    </a:stretch>
                  </pic:blipFill>
                  <pic:spPr bwMode="auto">
                    <a:xfrm>
                      <a:off x="0" y="0"/>
                      <a:ext cx="2533589" cy="2059873"/>
                    </a:xfrm>
                    <a:prstGeom prst="rect">
                      <a:avLst/>
                    </a:prstGeom>
                    <a:noFill/>
                    <a:ln>
                      <a:noFill/>
                    </a:ln>
                    <a:extLst>
                      <a:ext uri="{53640926-AAD7-44D8-BBD7-CCE9431645EC}">
                        <a14:shadowObscured xmlns:a14="http://schemas.microsoft.com/office/drawing/2010/main"/>
                      </a:ext>
                    </a:extLst>
                  </pic:spPr>
                </pic:pic>
              </a:graphicData>
            </a:graphic>
          </wp:inline>
        </w:drawing>
      </w:r>
    </w:p>
    <w:p w14:paraId="574B3A07" w14:textId="30691A68" w:rsidR="006877B2" w:rsidRDefault="00370773"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Addressing these inequalities requires culturally competent services and targeted policy interventions (Marmot, 2020).</w:t>
      </w:r>
    </w:p>
    <w:p w14:paraId="33BCCE78" w14:textId="77777777" w:rsidR="00717424" w:rsidRPr="00AA076A" w:rsidRDefault="00717424" w:rsidP="00AA076A">
      <w:pPr>
        <w:spacing w:line="360" w:lineRule="auto"/>
        <w:rPr>
          <w:rFonts w:ascii="Arial" w:hAnsi="Arial" w:cs="Arial"/>
          <w:color w:val="0F486E" w:themeColor="text2" w:themeShade="BF"/>
          <w:sz w:val="22"/>
          <w:szCs w:val="22"/>
        </w:rPr>
      </w:pPr>
    </w:p>
    <w:p w14:paraId="0A8AA4CE" w14:textId="1319B860" w:rsidR="00C7006F" w:rsidRPr="00720A42" w:rsidRDefault="00C7006F" w:rsidP="002E5454">
      <w:pPr>
        <w:pStyle w:val="Heading1"/>
        <w:spacing w:line="360" w:lineRule="auto"/>
        <w:jc w:val="left"/>
        <w:rPr>
          <w:rFonts w:ascii="Arial" w:hAnsi="Arial" w:cs="Arial"/>
          <w:b/>
          <w:bCs/>
          <w:color w:val="167AF3" w:themeColor="accent1" w:themeTint="99"/>
          <w:sz w:val="32"/>
          <w:szCs w:val="32"/>
        </w:rPr>
      </w:pPr>
      <w:bookmarkStart w:id="14" w:name="_Toc223067595"/>
      <w:r w:rsidRPr="00AA076A">
        <w:rPr>
          <w:rFonts w:ascii="Arial" w:hAnsi="Arial" w:cs="Arial"/>
          <w:b/>
          <w:bCs/>
          <w:color w:val="167AF3" w:themeColor="accent1" w:themeTint="99"/>
          <w:sz w:val="32"/>
          <w:szCs w:val="32"/>
        </w:rPr>
        <w:t xml:space="preserve">Recommendations for Improving </w:t>
      </w:r>
      <w:r w:rsidR="00720A42">
        <w:rPr>
          <w:rFonts w:ascii="Arial" w:hAnsi="Arial" w:cs="Arial"/>
          <w:b/>
          <w:bCs/>
          <w:color w:val="167AF3" w:themeColor="accent1" w:themeTint="99"/>
          <w:sz w:val="32"/>
          <w:szCs w:val="32"/>
        </w:rPr>
        <w:t xml:space="preserve">- </w:t>
      </w:r>
      <w:r w:rsidRPr="00AA076A">
        <w:rPr>
          <w:rFonts w:ascii="Arial" w:hAnsi="Arial" w:cs="Arial"/>
          <w:color w:val="167AF3" w:themeColor="accent1" w:themeTint="99"/>
          <w:sz w:val="22"/>
          <w:szCs w:val="22"/>
        </w:rPr>
        <w:t>Type 2 Diabetes Care</w:t>
      </w:r>
      <w:bookmarkEnd w:id="14"/>
    </w:p>
    <w:p w14:paraId="5A2C3459" w14:textId="381E061B" w:rsidR="00C7006F" w:rsidRPr="00AA076A" w:rsidRDefault="00C7006F" w:rsidP="00AA076A">
      <w:pPr>
        <w:spacing w:line="360" w:lineRule="auto"/>
        <w:rPr>
          <w:rFonts w:ascii="Arial" w:hAnsi="Arial" w:cs="Arial"/>
          <w:b/>
          <w:bCs/>
          <w:color w:val="167AF3" w:themeColor="accent1" w:themeTint="99"/>
          <w:sz w:val="22"/>
          <w:szCs w:val="22"/>
        </w:rPr>
      </w:pPr>
      <w:r w:rsidRPr="00AA076A">
        <w:rPr>
          <w:rFonts w:ascii="Arial" w:hAnsi="Arial" w:cs="Arial"/>
          <w:b/>
          <w:bCs/>
          <w:color w:val="167AF3" w:themeColor="accent1" w:themeTint="99"/>
          <w:sz w:val="22"/>
          <w:szCs w:val="22"/>
        </w:rPr>
        <w:t>1. Strengthen Person-Centred Care</w:t>
      </w:r>
    </w:p>
    <w:p w14:paraId="1111F632" w14:textId="651551A3" w:rsidR="00C7006F" w:rsidRPr="00AA076A" w:rsidRDefault="00C7006F"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Person-centred care should be embedded across all diabetes services through structured shared decision-making and collaborative goal setting (NICE, 2021). Evidence shows that involving individuals in treatment decisions improves engagement, glycaemic control and adherence to medication (Coulter, Entwistle and Eccles, 2013).</w:t>
      </w:r>
    </w:p>
    <w:p w14:paraId="4CD8908A" w14:textId="398FD09A" w:rsidR="007C1AA8" w:rsidRDefault="00C7006F"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Care planning must also account for cultural beliefs, health literacy levels and socioeconomic circumstances, particularly for high-risk groups such as South Asian and Black African/Caribbean populations (Public Health England, 2018). Tailored interventions that recognise social context reduce inequalities and improve long-term outcomes (NHS England, 2019).</w:t>
      </w:r>
    </w:p>
    <w:p w14:paraId="294C34BE" w14:textId="77777777" w:rsidR="00717424" w:rsidRDefault="00717424" w:rsidP="00AA076A">
      <w:pPr>
        <w:spacing w:line="360" w:lineRule="auto"/>
        <w:rPr>
          <w:rFonts w:ascii="Arial" w:hAnsi="Arial" w:cs="Arial"/>
          <w:color w:val="0F486E" w:themeColor="text2" w:themeShade="BF"/>
          <w:sz w:val="22"/>
          <w:szCs w:val="22"/>
        </w:rPr>
      </w:pPr>
    </w:p>
    <w:p w14:paraId="154AFCD5" w14:textId="77777777" w:rsidR="00717424" w:rsidRPr="002E5454" w:rsidRDefault="00717424" w:rsidP="00AA076A">
      <w:pPr>
        <w:spacing w:line="360" w:lineRule="auto"/>
        <w:rPr>
          <w:rFonts w:ascii="Arial" w:hAnsi="Arial" w:cs="Arial"/>
          <w:color w:val="0F486E" w:themeColor="text2" w:themeShade="BF"/>
          <w:sz w:val="22"/>
          <w:szCs w:val="22"/>
        </w:rPr>
      </w:pPr>
    </w:p>
    <w:p w14:paraId="2C1C71A8" w14:textId="6B7D9C0D" w:rsidR="00C7006F" w:rsidRPr="00AA076A" w:rsidRDefault="00C7006F" w:rsidP="00AA076A">
      <w:pPr>
        <w:spacing w:line="360" w:lineRule="auto"/>
        <w:rPr>
          <w:rFonts w:ascii="Arial" w:hAnsi="Arial" w:cs="Arial"/>
          <w:b/>
          <w:bCs/>
          <w:color w:val="167AF3" w:themeColor="accent1" w:themeTint="99"/>
          <w:sz w:val="22"/>
          <w:szCs w:val="22"/>
        </w:rPr>
      </w:pPr>
      <w:r w:rsidRPr="00AA076A">
        <w:rPr>
          <w:rFonts w:ascii="Arial" w:hAnsi="Arial" w:cs="Arial"/>
          <w:b/>
          <w:bCs/>
          <w:color w:val="167AF3" w:themeColor="accent1" w:themeTint="99"/>
          <w:sz w:val="22"/>
          <w:szCs w:val="22"/>
        </w:rPr>
        <w:t>2. Expand Structured Self-Management Support</w:t>
      </w:r>
    </w:p>
    <w:p w14:paraId="0C2E7480" w14:textId="483C16D7" w:rsidR="00C7006F" w:rsidRPr="00AA076A" w:rsidRDefault="00C7006F"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Structured diabetes education programmes, such as DESMOND, should be universally accessible at diagnosis and during disease progression, as they improve knowledge, self-efficacy and metabolic outcomes (Davies et al., 2008). Ongoing reinforcement, rather than one-off education, is essential for sustained behavioural change (NICE, 2022).</w:t>
      </w:r>
    </w:p>
    <w:p w14:paraId="6D38042D" w14:textId="77777777" w:rsidR="00C7006F" w:rsidRPr="00AA076A" w:rsidRDefault="00C7006F"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Digital health technologies, including glucose monitoring systems and app-based tracking tools, enhance self-management and treatment adherence when integrated into routine care (NICE, 2022; Greenwood et al., 2017). Peer-support networks and community-based programmes also improve psychological wellbeing and reduce diabetes-related distress (Fisher et al., 2012).</w:t>
      </w:r>
    </w:p>
    <w:p w14:paraId="12DCE45C" w14:textId="6E5476B7" w:rsidR="00C7006F" w:rsidRPr="00AA076A" w:rsidRDefault="00C7006F" w:rsidP="00AA076A">
      <w:pPr>
        <w:spacing w:line="360" w:lineRule="auto"/>
        <w:rPr>
          <w:rFonts w:ascii="Arial" w:hAnsi="Arial" w:cs="Arial"/>
          <w:b/>
          <w:bCs/>
          <w:color w:val="167AF3" w:themeColor="accent1" w:themeTint="99"/>
          <w:sz w:val="22"/>
          <w:szCs w:val="22"/>
        </w:rPr>
      </w:pPr>
      <w:r w:rsidRPr="00AA076A">
        <w:rPr>
          <w:rFonts w:ascii="Arial" w:hAnsi="Arial" w:cs="Arial"/>
          <w:b/>
          <w:bCs/>
          <w:color w:val="167AF3" w:themeColor="accent1" w:themeTint="99"/>
          <w:sz w:val="22"/>
          <w:szCs w:val="22"/>
        </w:rPr>
        <w:t>3. Address Social Determinants of Health</w:t>
      </w:r>
    </w:p>
    <w:p w14:paraId="65912FD7" w14:textId="6BB6615D" w:rsidR="00C7006F" w:rsidRPr="00AA076A" w:rsidRDefault="00C7006F"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Type 2 diabetes prevalence is strongly associated with deprivation, obesity and limited access to healthy environments (Public Health England, 2018). Policy initiatives should prioritise improving access to affordable healthy food, safe physical activity spaces and weight management services in high-risk communities (WHO, 2016).</w:t>
      </w:r>
    </w:p>
    <w:p w14:paraId="0DE53C7A" w14:textId="77777777" w:rsidR="00C7006F" w:rsidRPr="00AA076A" w:rsidRDefault="00C7006F"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National strategies must also target structural inequalities, including poverty, housing instability and employment insecurity, which contribute to poor glycaemic control and increased complications (Marmot et al., 2020). A public health approach that combines prevention, early detection and community engagement is essential to reduce long-term NHS costs and health inequalities (NHS England, 2019).</w:t>
      </w:r>
    </w:p>
    <w:p w14:paraId="2E4DC0FB" w14:textId="77777777" w:rsidR="00C7006F" w:rsidRPr="00AA076A" w:rsidRDefault="00C7006F" w:rsidP="00AA076A">
      <w:pPr>
        <w:spacing w:line="360" w:lineRule="auto"/>
        <w:rPr>
          <w:rFonts w:ascii="Arial" w:hAnsi="Arial" w:cs="Arial"/>
          <w:b/>
          <w:bCs/>
          <w:color w:val="0F486E" w:themeColor="text2" w:themeShade="BF"/>
          <w:sz w:val="22"/>
          <w:szCs w:val="22"/>
        </w:rPr>
      </w:pPr>
    </w:p>
    <w:p w14:paraId="779463FE" w14:textId="20D97C25" w:rsidR="00C7006F" w:rsidRPr="00AA076A" w:rsidRDefault="00C7006F" w:rsidP="00AA076A">
      <w:pPr>
        <w:spacing w:line="360" w:lineRule="auto"/>
        <w:rPr>
          <w:rFonts w:ascii="Arial" w:hAnsi="Arial" w:cs="Arial"/>
          <w:b/>
          <w:bCs/>
          <w:color w:val="0F486E" w:themeColor="text2" w:themeShade="BF"/>
          <w:sz w:val="22"/>
          <w:szCs w:val="22"/>
        </w:rPr>
      </w:pPr>
      <w:r w:rsidRPr="00AA076A">
        <w:rPr>
          <w:rFonts w:ascii="Arial" w:hAnsi="Arial" w:cs="Arial"/>
          <w:b/>
          <w:bCs/>
          <w:color w:val="167AF3" w:themeColor="accent1" w:themeTint="99"/>
          <w:sz w:val="22"/>
          <w:szCs w:val="22"/>
        </w:rPr>
        <w:t>4. Improve Integrated and Multidisciplinary Care</w:t>
      </w:r>
    </w:p>
    <w:p w14:paraId="5D90B17B" w14:textId="4E273860" w:rsidR="00C7006F" w:rsidRPr="00AA076A" w:rsidRDefault="0076006C" w:rsidP="00AA076A">
      <w:pPr>
        <w:spacing w:line="360" w:lineRule="auto"/>
        <w:rPr>
          <w:rFonts w:ascii="Arial" w:hAnsi="Arial" w:cs="Arial"/>
          <w:color w:val="0F486E" w:themeColor="text2" w:themeShade="BF"/>
          <w:sz w:val="22"/>
          <w:szCs w:val="22"/>
        </w:rPr>
      </w:pPr>
      <w:r w:rsidRPr="0076006C">
        <w:rPr>
          <w:rFonts w:ascii="Arial" w:hAnsi="Arial" w:cs="Arial"/>
          <w:color w:val="0F486E" w:themeColor="text2" w:themeShade="BF"/>
          <w:sz w:val="22"/>
          <w:szCs w:val="22"/>
        </w:rPr>
        <w:t xml:space="preserve">Primary care, specialized diabetes teams, mental health services, and social care should all work together more effectively in integrated care systems (NHS England, 2019). </w:t>
      </w:r>
      <w:r w:rsidR="00C7006F" w:rsidRPr="00AA076A">
        <w:rPr>
          <w:rFonts w:ascii="Arial" w:hAnsi="Arial" w:cs="Arial"/>
          <w:color w:val="0F486E" w:themeColor="text2" w:themeShade="BF"/>
          <w:sz w:val="22"/>
          <w:szCs w:val="22"/>
        </w:rPr>
        <w:t>Multidisciplinary approaches reduce hospital admissions and improve coordinated management of complications such as cardiovascular disease and kidney impairment (Coleman et al., 2009).</w:t>
      </w:r>
    </w:p>
    <w:p w14:paraId="01E56E22" w14:textId="39E631B9" w:rsidR="002E5454" w:rsidRPr="002B6B54" w:rsidRDefault="00C7006F" w:rsidP="002B6B54">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Routine psychological screening for diabetes distress and depression should be incorporated into annual reviews, as mental health significantly influences glycaemic control and self-management behaviours (Fisher et al., 2012; NICE, 2022).</w:t>
      </w:r>
    </w:p>
    <w:p w14:paraId="20D5314B" w14:textId="2B7D52FD" w:rsidR="00AA076A" w:rsidRPr="00AA076A" w:rsidRDefault="00AA076A" w:rsidP="00AA076A">
      <w:pPr>
        <w:pStyle w:val="Heading1"/>
        <w:jc w:val="left"/>
        <w:rPr>
          <w:rFonts w:ascii="Arial" w:hAnsi="Arial" w:cs="Arial"/>
          <w:b/>
          <w:bCs/>
          <w:color w:val="167AF3" w:themeColor="accent1" w:themeTint="99"/>
          <w:sz w:val="32"/>
          <w:szCs w:val="32"/>
        </w:rPr>
      </w:pPr>
      <w:bookmarkStart w:id="15" w:name="_Toc223067596"/>
      <w:r w:rsidRPr="00AA076A">
        <w:rPr>
          <w:rFonts w:ascii="Arial" w:hAnsi="Arial" w:cs="Arial"/>
          <w:b/>
          <w:bCs/>
          <w:color w:val="167AF3" w:themeColor="accent1" w:themeTint="99"/>
          <w:sz w:val="32"/>
          <w:szCs w:val="32"/>
        </w:rPr>
        <w:lastRenderedPageBreak/>
        <w:t>Technological Innovation</w:t>
      </w:r>
      <w:bookmarkEnd w:id="15"/>
    </w:p>
    <w:p w14:paraId="2DD0D8C6" w14:textId="77777777" w:rsidR="00AA076A" w:rsidRPr="00AA076A" w:rsidRDefault="00AA076A" w:rsidP="00AA076A">
      <w:pPr>
        <w:spacing w:line="360" w:lineRule="auto"/>
        <w:rPr>
          <w:rFonts w:ascii="Arial" w:hAnsi="Arial" w:cs="Arial"/>
          <w:color w:val="0F486E" w:themeColor="text2" w:themeShade="BF"/>
          <w:sz w:val="22"/>
          <w:szCs w:val="22"/>
        </w:rPr>
      </w:pPr>
    </w:p>
    <w:p w14:paraId="36253B43" w14:textId="50F28232" w:rsidR="00717424" w:rsidRPr="00AA076A" w:rsidRDefault="00AA076A"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Technological innovation is transforming diabetes care in the UK (NHS England, 2023). Continuous Glucose Monitoring (CGM) systems allow real-time glucose tracking, improving glycaemic stability and reducing hypoglycaemia (NICE, 2022).</w:t>
      </w:r>
    </w:p>
    <w:p w14:paraId="288BBF70" w14:textId="77777777" w:rsidR="00FF4552" w:rsidRDefault="00AA076A"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 xml:space="preserve">Digital health applications and remote consultations improve access and patient engagement (NHS England, 2019). </w:t>
      </w:r>
    </w:p>
    <w:p w14:paraId="19CE4761" w14:textId="77777777" w:rsidR="002B2068" w:rsidRDefault="00AA076A"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Emerging artificial intelligence tools are being explored to enhance risk prediction and personalised treatment planning (Topol, 2019).</w:t>
      </w:r>
      <w:r>
        <w:rPr>
          <w:rFonts w:ascii="Arial" w:hAnsi="Arial" w:cs="Arial"/>
          <w:color w:val="0F486E" w:themeColor="text2" w:themeShade="BF"/>
          <w:sz w:val="22"/>
          <w:szCs w:val="22"/>
        </w:rPr>
        <w:t xml:space="preserve"> </w:t>
      </w:r>
    </w:p>
    <w:p w14:paraId="24717C0B" w14:textId="647C90DC" w:rsidR="00BC6609" w:rsidRDefault="00AA076A"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Technology supports both the Chronic Care Model and House of Care framework by strengthening information systems and empowering patients.</w:t>
      </w:r>
    </w:p>
    <w:p w14:paraId="2017A854" w14:textId="77777777" w:rsidR="00717424" w:rsidRDefault="00717424" w:rsidP="00AA076A">
      <w:pPr>
        <w:spacing w:line="360" w:lineRule="auto"/>
        <w:rPr>
          <w:rFonts w:ascii="Arial" w:hAnsi="Arial" w:cs="Arial"/>
          <w:color w:val="0F486E" w:themeColor="text2" w:themeShade="BF"/>
          <w:sz w:val="22"/>
          <w:szCs w:val="22"/>
        </w:rPr>
      </w:pPr>
    </w:p>
    <w:p w14:paraId="2EF9481A" w14:textId="5FDF6079" w:rsidR="00BC6609" w:rsidRPr="00717424" w:rsidRDefault="00BC6609" w:rsidP="00AA076A">
      <w:pPr>
        <w:spacing w:line="360" w:lineRule="auto"/>
        <w:rPr>
          <w:rFonts w:ascii="Arial" w:hAnsi="Arial" w:cs="Arial"/>
          <w:color w:val="0F486E" w:themeColor="text2" w:themeShade="BF"/>
          <w:sz w:val="22"/>
          <w:szCs w:val="22"/>
        </w:rPr>
      </w:pPr>
      <w:r>
        <w:rPr>
          <w:rFonts w:ascii="Arial" w:hAnsi="Arial" w:cs="Arial"/>
          <w:noProof/>
          <w:color w:val="0F486E" w:themeColor="text2" w:themeShade="BF"/>
          <w:sz w:val="22"/>
          <w:szCs w:val="22"/>
        </w:rPr>
        <w:drawing>
          <wp:inline distT="0" distB="0" distL="0" distR="0" wp14:anchorId="74459E8A" wp14:editId="015E9137">
            <wp:extent cx="5682883" cy="3197894"/>
            <wp:effectExtent l="0" t="0" r="0" b="2540"/>
            <wp:docPr id="753567974"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54508" cy="3238199"/>
                    </a:xfrm>
                    <a:prstGeom prst="rect">
                      <a:avLst/>
                    </a:prstGeom>
                    <a:noFill/>
                  </pic:spPr>
                </pic:pic>
              </a:graphicData>
            </a:graphic>
          </wp:inline>
        </w:drawing>
      </w:r>
    </w:p>
    <w:p w14:paraId="53ED36C9" w14:textId="77777777" w:rsidR="00717424" w:rsidRDefault="00717424" w:rsidP="00AA076A">
      <w:pPr>
        <w:spacing w:line="360" w:lineRule="auto"/>
        <w:rPr>
          <w:rFonts w:ascii="Arial" w:hAnsi="Arial" w:cs="Arial"/>
          <w:color w:val="167AF3" w:themeColor="accent1" w:themeTint="99"/>
          <w:sz w:val="22"/>
          <w:szCs w:val="22"/>
        </w:rPr>
      </w:pPr>
    </w:p>
    <w:p w14:paraId="2DD383C6" w14:textId="77777777" w:rsidR="00717424" w:rsidRDefault="00717424" w:rsidP="00AA076A">
      <w:pPr>
        <w:spacing w:line="360" w:lineRule="auto"/>
        <w:rPr>
          <w:rFonts w:ascii="Arial" w:hAnsi="Arial" w:cs="Arial"/>
          <w:color w:val="167AF3" w:themeColor="accent1" w:themeTint="99"/>
          <w:sz w:val="22"/>
          <w:szCs w:val="22"/>
        </w:rPr>
      </w:pPr>
    </w:p>
    <w:p w14:paraId="24B9D611" w14:textId="77777777" w:rsidR="00717424" w:rsidRDefault="00717424" w:rsidP="00AA076A">
      <w:pPr>
        <w:spacing w:line="360" w:lineRule="auto"/>
        <w:rPr>
          <w:rFonts w:ascii="Arial" w:hAnsi="Arial" w:cs="Arial"/>
          <w:color w:val="167AF3" w:themeColor="accent1" w:themeTint="99"/>
          <w:sz w:val="22"/>
          <w:szCs w:val="22"/>
        </w:rPr>
      </w:pPr>
    </w:p>
    <w:p w14:paraId="671E93C2" w14:textId="77777777" w:rsidR="00717424" w:rsidRDefault="00717424" w:rsidP="00AA076A">
      <w:pPr>
        <w:spacing w:line="360" w:lineRule="auto"/>
        <w:rPr>
          <w:rFonts w:ascii="Arial" w:hAnsi="Arial" w:cs="Arial"/>
          <w:color w:val="167AF3" w:themeColor="accent1" w:themeTint="99"/>
          <w:sz w:val="22"/>
          <w:szCs w:val="22"/>
        </w:rPr>
      </w:pPr>
    </w:p>
    <w:p w14:paraId="6CF78D26" w14:textId="77777777" w:rsidR="00717424" w:rsidRDefault="00717424" w:rsidP="00AA076A">
      <w:pPr>
        <w:spacing w:line="360" w:lineRule="auto"/>
        <w:rPr>
          <w:rFonts w:ascii="Arial" w:hAnsi="Arial" w:cs="Arial"/>
          <w:color w:val="167AF3" w:themeColor="accent1" w:themeTint="99"/>
          <w:sz w:val="22"/>
          <w:szCs w:val="22"/>
        </w:rPr>
      </w:pPr>
    </w:p>
    <w:p w14:paraId="76669A62" w14:textId="77777777" w:rsidR="00717424" w:rsidRDefault="00717424" w:rsidP="00AA076A">
      <w:pPr>
        <w:spacing w:line="360" w:lineRule="auto"/>
        <w:rPr>
          <w:rFonts w:ascii="Arial" w:hAnsi="Arial" w:cs="Arial"/>
          <w:color w:val="167AF3" w:themeColor="accent1" w:themeTint="99"/>
          <w:sz w:val="22"/>
          <w:szCs w:val="22"/>
        </w:rPr>
      </w:pPr>
    </w:p>
    <w:p w14:paraId="19F64478" w14:textId="13BA8AAC" w:rsidR="001322D7" w:rsidRPr="002E5454" w:rsidRDefault="00AA076A" w:rsidP="00AA076A">
      <w:pPr>
        <w:spacing w:line="360" w:lineRule="auto"/>
        <w:rPr>
          <w:rFonts w:ascii="Arial" w:hAnsi="Arial" w:cs="Arial"/>
          <w:color w:val="167AF3" w:themeColor="accent1" w:themeTint="99"/>
          <w:sz w:val="22"/>
          <w:szCs w:val="22"/>
        </w:rPr>
      </w:pPr>
      <w:r w:rsidRPr="002E5454">
        <w:rPr>
          <w:rFonts w:ascii="Arial" w:hAnsi="Arial" w:cs="Arial"/>
          <w:color w:val="167AF3" w:themeColor="accent1" w:themeTint="99"/>
          <w:sz w:val="22"/>
          <w:szCs w:val="22"/>
        </w:rPr>
        <w:lastRenderedPageBreak/>
        <w:t>Diabetes care has seen major technological advances:</w:t>
      </w:r>
    </w:p>
    <w:p w14:paraId="5EEE7A09" w14:textId="77777777" w:rsidR="00AA076A" w:rsidRDefault="00AA076A" w:rsidP="00AA076A">
      <w:pPr>
        <w:spacing w:line="360" w:lineRule="auto"/>
        <w:rPr>
          <w:rFonts w:ascii="Arial" w:hAnsi="Arial" w:cs="Arial"/>
          <w:b/>
          <w:bCs/>
          <w:color w:val="167AF3" w:themeColor="accent1" w:themeTint="99"/>
          <w:sz w:val="22"/>
          <w:szCs w:val="22"/>
        </w:rPr>
      </w:pPr>
      <w:r w:rsidRPr="00AA076A">
        <w:rPr>
          <w:rFonts w:ascii="Arial" w:hAnsi="Arial" w:cs="Arial"/>
          <w:b/>
          <w:bCs/>
          <w:color w:val="167AF3" w:themeColor="accent1" w:themeTint="99"/>
          <w:sz w:val="22"/>
          <w:szCs w:val="22"/>
        </w:rPr>
        <w:t>Continuous Glucose Monitoring (CGM)</w:t>
      </w:r>
    </w:p>
    <w:p w14:paraId="3E971AF0" w14:textId="13D4F694" w:rsidR="00A85EEE" w:rsidRPr="00A85EEE" w:rsidRDefault="00A85EEE" w:rsidP="00A85EEE">
      <w:pPr>
        <w:spacing w:line="360" w:lineRule="auto"/>
        <w:rPr>
          <w:rFonts w:ascii="Arial" w:hAnsi="Arial" w:cs="Arial"/>
          <w:color w:val="0F486E" w:themeColor="text2" w:themeShade="BF"/>
          <w:sz w:val="22"/>
          <w:szCs w:val="22"/>
        </w:rPr>
      </w:pPr>
      <w:r w:rsidRPr="00A85EEE">
        <w:rPr>
          <w:rFonts w:ascii="Arial" w:hAnsi="Arial" w:cs="Arial"/>
          <w:color w:val="0F486E" w:themeColor="text2" w:themeShade="BF"/>
          <w:sz w:val="22"/>
          <w:szCs w:val="22"/>
        </w:rPr>
        <w:t xml:space="preserve">Compared to intermittent finger-prick testing, Continuous Glucose Monitoring (CGM) systems offer real-time glucose readings throughout the day and night, enabling people to see glucose trends, make quick lifestyle and treatment changes, and enhance glycaemic control and self-management confidence (NICE, 2022b; </w:t>
      </w:r>
      <w:proofErr w:type="spellStart"/>
      <w:r w:rsidRPr="00A85EEE">
        <w:rPr>
          <w:rFonts w:ascii="Arial" w:hAnsi="Arial" w:cs="Arial"/>
          <w:color w:val="0F486E" w:themeColor="text2" w:themeShade="BF"/>
          <w:sz w:val="22"/>
          <w:szCs w:val="22"/>
        </w:rPr>
        <w:t>Battelino</w:t>
      </w:r>
      <w:proofErr w:type="spellEnd"/>
      <w:r w:rsidRPr="00A85EEE">
        <w:rPr>
          <w:rFonts w:ascii="Arial" w:hAnsi="Arial" w:cs="Arial"/>
          <w:color w:val="0F486E" w:themeColor="text2" w:themeShade="BF"/>
          <w:sz w:val="22"/>
          <w:szCs w:val="22"/>
        </w:rPr>
        <w:t xml:space="preserve"> et al., 2020).</w:t>
      </w:r>
    </w:p>
    <w:p w14:paraId="5EF3D2A6" w14:textId="03819D52" w:rsidR="00717424" w:rsidRPr="00AA076A" w:rsidRDefault="001322D7" w:rsidP="00AA076A">
      <w:pPr>
        <w:spacing w:line="360" w:lineRule="auto"/>
        <w:rPr>
          <w:rFonts w:ascii="Arial" w:hAnsi="Arial" w:cs="Arial"/>
          <w:color w:val="0F486E" w:themeColor="text2" w:themeShade="BF"/>
          <w:sz w:val="22"/>
          <w:szCs w:val="22"/>
        </w:rPr>
      </w:pPr>
      <w:r>
        <w:rPr>
          <w:rFonts w:ascii="Arial" w:hAnsi="Arial" w:cs="Arial"/>
          <w:noProof/>
          <w:color w:val="0F486E" w:themeColor="text2" w:themeShade="BF"/>
          <w:sz w:val="22"/>
          <w:szCs w:val="22"/>
        </w:rPr>
        <w:drawing>
          <wp:inline distT="0" distB="0" distL="0" distR="0" wp14:anchorId="0EB900A7" wp14:editId="70F43026">
            <wp:extent cx="2230582" cy="1254703"/>
            <wp:effectExtent l="0" t="0" r="0" b="3175"/>
            <wp:docPr id="1273400840"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239363" cy="1259642"/>
                    </a:xfrm>
                    <a:prstGeom prst="rect">
                      <a:avLst/>
                    </a:prstGeom>
                    <a:noFill/>
                  </pic:spPr>
                </pic:pic>
              </a:graphicData>
            </a:graphic>
          </wp:inline>
        </w:drawing>
      </w:r>
    </w:p>
    <w:p w14:paraId="6DB8F163" w14:textId="77777777" w:rsidR="00AA076A" w:rsidRPr="00AA076A" w:rsidRDefault="00AA076A" w:rsidP="00AA076A">
      <w:pPr>
        <w:spacing w:line="360" w:lineRule="auto"/>
        <w:rPr>
          <w:rFonts w:ascii="Arial" w:hAnsi="Arial" w:cs="Arial"/>
          <w:b/>
          <w:bCs/>
          <w:color w:val="167AF3" w:themeColor="accent1" w:themeTint="99"/>
          <w:sz w:val="22"/>
          <w:szCs w:val="22"/>
        </w:rPr>
      </w:pPr>
      <w:r w:rsidRPr="00AA076A">
        <w:rPr>
          <w:rFonts w:ascii="Arial" w:hAnsi="Arial" w:cs="Arial"/>
          <w:b/>
          <w:bCs/>
          <w:color w:val="167AF3" w:themeColor="accent1" w:themeTint="99"/>
          <w:sz w:val="22"/>
          <w:szCs w:val="22"/>
        </w:rPr>
        <w:t>Smartphone Diagnostic Tools</w:t>
      </w:r>
    </w:p>
    <w:p w14:paraId="128F778B" w14:textId="7F937965" w:rsidR="00AA076A" w:rsidRPr="00AA076A" w:rsidRDefault="00AA076A"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New smartphone-based diagnostic tools and health apps are being trialled in the UK to support early detection of type 2 diabetes and improve ongoing monitoring, with evidence suggesting that app-assisted screening and self-monitoring can increase engagement with care and reduce the risk of complications when integrated with clinical oversight (Charpentier et al., 2019; Huma, 2024).</w:t>
      </w:r>
    </w:p>
    <w:p w14:paraId="24E9D70E" w14:textId="77777777" w:rsidR="00AA076A" w:rsidRPr="00AA076A" w:rsidRDefault="00AA076A" w:rsidP="00AA076A">
      <w:pPr>
        <w:spacing w:line="360" w:lineRule="auto"/>
        <w:rPr>
          <w:rFonts w:ascii="Arial" w:hAnsi="Arial" w:cs="Arial"/>
          <w:b/>
          <w:bCs/>
          <w:color w:val="167AF3" w:themeColor="accent1" w:themeTint="99"/>
          <w:sz w:val="22"/>
          <w:szCs w:val="22"/>
        </w:rPr>
      </w:pPr>
      <w:r w:rsidRPr="00AA076A">
        <w:rPr>
          <w:rFonts w:ascii="Arial" w:hAnsi="Arial" w:cs="Arial"/>
          <w:b/>
          <w:bCs/>
          <w:color w:val="167AF3" w:themeColor="accent1" w:themeTint="99"/>
          <w:sz w:val="22"/>
          <w:szCs w:val="22"/>
        </w:rPr>
        <w:t>AI-Supported Decision Tools</w:t>
      </w:r>
    </w:p>
    <w:p w14:paraId="2CCE5214" w14:textId="74B15EA9" w:rsidR="00AA076A" w:rsidRPr="00AA076A" w:rsidRDefault="00AA076A"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Emerging research suggests that artificial intelligence (AI)-supported decision tools can analyse complex clinical data to enhance diagnostic accuracy, personalise treatment recommendations and predict individual risk trajectories for complications, improving the precision of diabetes care (Rehman et al., 2026; Topol, 2019).</w:t>
      </w:r>
    </w:p>
    <w:p w14:paraId="3EE52155" w14:textId="5865589A" w:rsidR="00AA076A" w:rsidRDefault="00AA076A"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These innovations foster self-management and more precise clinical care, bridging public health, medical and chronic care models.</w:t>
      </w:r>
    </w:p>
    <w:p w14:paraId="5FC2AEF3" w14:textId="77777777" w:rsidR="00717424" w:rsidRDefault="00DC130D" w:rsidP="00717424">
      <w:pPr>
        <w:spacing w:line="360" w:lineRule="auto"/>
        <w:rPr>
          <w:rFonts w:ascii="Arial" w:hAnsi="Arial" w:cs="Arial"/>
          <w:b/>
          <w:bCs/>
          <w:color w:val="167AF3" w:themeColor="accent1" w:themeTint="99"/>
          <w:sz w:val="32"/>
          <w:szCs w:val="32"/>
        </w:rPr>
      </w:pPr>
      <w:r>
        <w:rPr>
          <w:rFonts w:ascii="Arial" w:hAnsi="Arial" w:cs="Arial"/>
          <w:noProof/>
          <w:color w:val="0F486E" w:themeColor="text2" w:themeShade="BF"/>
          <w:sz w:val="22"/>
          <w:szCs w:val="22"/>
        </w:rPr>
        <w:drawing>
          <wp:inline distT="0" distB="0" distL="0" distR="0" wp14:anchorId="53720B1F" wp14:editId="2D0A69B6">
            <wp:extent cx="2976819" cy="1657096"/>
            <wp:effectExtent l="0" t="0" r="0" b="635"/>
            <wp:docPr id="354929386"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980499" cy="1659144"/>
                    </a:xfrm>
                    <a:prstGeom prst="rect">
                      <a:avLst/>
                    </a:prstGeom>
                    <a:noFill/>
                  </pic:spPr>
                </pic:pic>
              </a:graphicData>
            </a:graphic>
          </wp:inline>
        </w:drawing>
      </w:r>
    </w:p>
    <w:p w14:paraId="69A9A528" w14:textId="6589FEC2" w:rsidR="00455799" w:rsidRPr="00455799" w:rsidRDefault="00455799" w:rsidP="00717424">
      <w:pPr>
        <w:spacing w:line="360" w:lineRule="auto"/>
        <w:rPr>
          <w:rFonts w:ascii="Arial" w:hAnsi="Arial" w:cs="Arial"/>
          <w:b/>
          <w:bCs/>
          <w:color w:val="167AF3" w:themeColor="accent1" w:themeTint="99"/>
          <w:sz w:val="32"/>
          <w:szCs w:val="32"/>
        </w:rPr>
      </w:pPr>
      <w:r w:rsidRPr="00455799">
        <w:rPr>
          <w:rFonts w:ascii="Arial" w:hAnsi="Arial" w:cs="Arial"/>
          <w:b/>
          <w:bCs/>
          <w:color w:val="167AF3" w:themeColor="accent1" w:themeTint="99"/>
          <w:sz w:val="32"/>
          <w:szCs w:val="32"/>
        </w:rPr>
        <w:lastRenderedPageBreak/>
        <w:t xml:space="preserve">End of life </w:t>
      </w:r>
      <w:r w:rsidR="0052185C">
        <w:rPr>
          <w:rFonts w:ascii="Arial" w:hAnsi="Arial" w:cs="Arial"/>
          <w:b/>
          <w:bCs/>
          <w:color w:val="167AF3" w:themeColor="accent1" w:themeTint="99"/>
          <w:sz w:val="32"/>
          <w:szCs w:val="32"/>
        </w:rPr>
        <w:t>C</w:t>
      </w:r>
      <w:r w:rsidRPr="00455799">
        <w:rPr>
          <w:rFonts w:ascii="Arial" w:hAnsi="Arial" w:cs="Arial"/>
          <w:b/>
          <w:bCs/>
          <w:color w:val="167AF3" w:themeColor="accent1" w:themeTint="99"/>
          <w:sz w:val="32"/>
          <w:szCs w:val="32"/>
        </w:rPr>
        <w:t>are</w:t>
      </w:r>
    </w:p>
    <w:p w14:paraId="76F9EEDE" w14:textId="2DB2883F" w:rsidR="00F14770" w:rsidRPr="00AA076A" w:rsidRDefault="00AA076A" w:rsidP="00AA076A">
      <w:pPr>
        <w:spacing w:line="360" w:lineRule="auto"/>
        <w:rPr>
          <w:rFonts w:ascii="Arial" w:hAnsi="Arial" w:cs="Arial"/>
          <w:b/>
          <w:bCs/>
          <w:color w:val="167AF3" w:themeColor="accent1" w:themeTint="99"/>
          <w:sz w:val="22"/>
          <w:szCs w:val="22"/>
          <w:u w:val="single"/>
        </w:rPr>
      </w:pPr>
      <w:r w:rsidRPr="00AA076A">
        <w:rPr>
          <w:rFonts w:ascii="Arial" w:hAnsi="Arial" w:cs="Arial"/>
          <w:b/>
          <w:bCs/>
          <w:noProof/>
          <w:color w:val="052F61" w:themeColor="accent1"/>
          <w:sz w:val="22"/>
          <w:szCs w:val="22"/>
          <w:u w:val="single"/>
        </w:rPr>
        <mc:AlternateContent>
          <mc:Choice Requires="wps">
            <w:drawing>
              <wp:anchor distT="0" distB="0" distL="114300" distR="114300" simplePos="0" relativeHeight="251679744" behindDoc="0" locked="0" layoutInCell="1" allowOverlap="1" wp14:anchorId="1B293FDA" wp14:editId="127C07CE">
                <wp:simplePos x="0" y="0"/>
                <wp:positionH relativeFrom="column">
                  <wp:posOffset>2748280</wp:posOffset>
                </wp:positionH>
                <wp:positionV relativeFrom="paragraph">
                  <wp:posOffset>760730</wp:posOffset>
                </wp:positionV>
                <wp:extent cx="2466575" cy="391886"/>
                <wp:effectExtent l="0" t="0" r="10160" b="27305"/>
                <wp:wrapNone/>
                <wp:docPr id="1623721860" name="Flowchart: Alternative Process 28"/>
                <wp:cNvGraphicFramePr/>
                <a:graphic xmlns:a="http://schemas.openxmlformats.org/drawingml/2006/main">
                  <a:graphicData uri="http://schemas.microsoft.com/office/word/2010/wordprocessingShape">
                    <wps:wsp>
                      <wps:cNvSpPr/>
                      <wps:spPr>
                        <a:xfrm>
                          <a:off x="0" y="0"/>
                          <a:ext cx="2466575" cy="391886"/>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92878B7" w14:textId="198BA359" w:rsidR="00FD51E9" w:rsidRPr="00FD51E9" w:rsidRDefault="00FD51E9" w:rsidP="00FD51E9">
                            <w:pPr>
                              <w:jc w:val="center"/>
                              <w:rPr>
                                <w:b/>
                                <w:bCs/>
                                <w:color w:val="167AF3" w:themeColor="accent1" w:themeTint="99"/>
                                <w:sz w:val="32"/>
                                <w:szCs w:val="32"/>
                              </w:rPr>
                            </w:pPr>
                            <w:r w:rsidRPr="00FD51E9">
                              <w:rPr>
                                <w:b/>
                                <w:bCs/>
                                <w:color w:val="167AF3" w:themeColor="accent1" w:themeTint="99"/>
                                <w:sz w:val="32"/>
                                <w:szCs w:val="32"/>
                              </w:rPr>
                              <w:t>End-of-Life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B293FDA" id="Flowchart: Alternative Process 28" o:spid="_x0000_s1036" type="#_x0000_t176" style="position:absolute;margin-left:216.4pt;margin-top:59.9pt;width:194.2pt;height:30.8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" fillcolor="#052f61 [3204]" strokecolor="#00060e [484]" strokeweight="1.25pt">
                <v:stroke endcap="round"/>
                <v:textbox>
                  <w:txbxContent>
                    <w:p w14:paraId="192878B7" w14:textId="198BA359" w:rsidR="00FD51E9" w:rsidRPr="00FD51E9" w:rsidRDefault="00FD51E9" w:rsidP="00FD51E9">
                      <w:pPr>
                        <w:jc w:val="center"/>
                        <w:rPr>
                          <w:b/>
                          <w:bCs/>
                          <w:color w:val="167AF3" w:themeColor="accent1" w:themeTint="99"/>
                          <w:sz w:val="32"/>
                          <w:szCs w:val="32"/>
                        </w:rPr>
                      </w:pPr>
                      <w:r w:rsidRPr="00FD51E9">
                        <w:rPr>
                          <w:b/>
                          <w:bCs/>
                          <w:color w:val="167AF3" w:themeColor="accent1" w:themeTint="99"/>
                          <w:sz w:val="32"/>
                          <w:szCs w:val="32"/>
                        </w:rPr>
                        <w:t>End-of-Life Care</w:t>
                      </w:r>
                    </w:p>
                  </w:txbxContent>
                </v:textbox>
              </v:shape>
            </w:pict>
          </mc:Fallback>
        </mc:AlternateContent>
      </w:r>
      <w:r w:rsidR="00F14770" w:rsidRPr="00AA076A">
        <w:rPr>
          <w:rFonts w:ascii="Arial" w:hAnsi="Arial" w:cs="Arial"/>
          <w:b/>
          <w:bCs/>
          <w:noProof/>
          <w:color w:val="052F61" w:themeColor="accent1"/>
          <w:sz w:val="22"/>
          <w:szCs w:val="22"/>
          <w:u w:val="single"/>
        </w:rPr>
        <mc:AlternateContent>
          <mc:Choice Requires="wps">
            <w:drawing>
              <wp:anchor distT="0" distB="0" distL="114300" distR="114300" simplePos="0" relativeHeight="251677696" behindDoc="0" locked="0" layoutInCell="1" allowOverlap="1" wp14:anchorId="0E2B624B" wp14:editId="1B15ADA0">
                <wp:simplePos x="0" y="0"/>
                <wp:positionH relativeFrom="column">
                  <wp:posOffset>1149817</wp:posOffset>
                </wp:positionH>
                <wp:positionV relativeFrom="paragraph">
                  <wp:posOffset>2004829</wp:posOffset>
                </wp:positionV>
                <wp:extent cx="221581" cy="176464"/>
                <wp:effectExtent l="19050" t="0" r="45720" b="14605"/>
                <wp:wrapNone/>
                <wp:docPr id="554921127" name="Heart 25"/>
                <wp:cNvGraphicFramePr/>
                <a:graphic xmlns:a="http://schemas.openxmlformats.org/drawingml/2006/main">
                  <a:graphicData uri="http://schemas.microsoft.com/office/word/2010/wordprocessingShape">
                    <wps:wsp>
                      <wps:cNvSpPr/>
                      <wps:spPr>
                        <a:xfrm>
                          <a:off x="0" y="0"/>
                          <a:ext cx="221581" cy="176464"/>
                        </a:xfrm>
                        <a:prstGeom prst="heart">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DD1175" id="Heart 25" o:spid="_x0000_s1026" style="position:absolute;margin-left:90.55pt;margin-top:157.85pt;width:17.45pt;height:13.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1581,17646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" path="m110791,44116v46162,-102937,226197,,,132348c-115407,44116,64628,-58821,110791,44116xe" fillcolor="#167af3 [1940]" strokecolor="#00060e [484]" strokeweight="1.25pt">
                <v:stroke endcap="round"/>
                <v:path arrowok="t" o:connecttype="custom" o:connectlocs="110791,44116;110791,176464;110791,44116" o:connectangles="0,0,0"/>
              </v:shape>
            </w:pict>
          </mc:Fallback>
        </mc:AlternateContent>
      </w:r>
      <w:r w:rsidR="00F14770" w:rsidRPr="00AA076A">
        <w:rPr>
          <w:rFonts w:ascii="Arial" w:hAnsi="Arial" w:cs="Arial"/>
          <w:b/>
          <w:bCs/>
          <w:noProof/>
          <w:color w:val="052F61" w:themeColor="accent1"/>
          <w:sz w:val="22"/>
          <w:szCs w:val="22"/>
          <w:u w:val="single"/>
        </w:rPr>
        <mc:AlternateContent>
          <mc:Choice Requires="wps">
            <w:drawing>
              <wp:anchor distT="0" distB="0" distL="114300" distR="114300" simplePos="0" relativeHeight="251678720" behindDoc="0" locked="0" layoutInCell="1" allowOverlap="1" wp14:anchorId="0E6E88ED" wp14:editId="45D83F66">
                <wp:simplePos x="0" y="0"/>
                <wp:positionH relativeFrom="column">
                  <wp:posOffset>1101391</wp:posOffset>
                </wp:positionH>
                <wp:positionV relativeFrom="paragraph">
                  <wp:posOffset>472775</wp:posOffset>
                </wp:positionV>
                <wp:extent cx="221582" cy="168442"/>
                <wp:effectExtent l="19050" t="0" r="45720" b="22225"/>
                <wp:wrapNone/>
                <wp:docPr id="1547769583" name="Heart 26"/>
                <wp:cNvGraphicFramePr/>
                <a:graphic xmlns:a="http://schemas.openxmlformats.org/drawingml/2006/main">
                  <a:graphicData uri="http://schemas.microsoft.com/office/word/2010/wordprocessingShape">
                    <wps:wsp>
                      <wps:cNvSpPr/>
                      <wps:spPr>
                        <a:xfrm>
                          <a:off x="0" y="0"/>
                          <a:ext cx="221582" cy="168442"/>
                        </a:xfrm>
                        <a:prstGeom prst="heart">
                          <a:avLst/>
                        </a:prstGeom>
                        <a:solidFill>
                          <a:schemeClr val="accent1">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16FF8D" id="Heart 26" o:spid="_x0000_s1026" style="position:absolute;margin-left:86.7pt;margin-top:37.25pt;width:17.45pt;height:13.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21582,1684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" path="m110791,42111v46163,-98258,226198,,,126331c-115407,42111,64628,-56147,110791,42111xe" fillcolor="#167af3 [1940]" strokecolor="#00060e [484]" strokeweight="1.25pt">
                <v:stroke endcap="round"/>
                <v:path arrowok="t" o:connecttype="custom" o:connectlocs="110791,42111;110791,168442;110791,42111" o:connectangles="0,0,0"/>
              </v:shape>
            </w:pict>
          </mc:Fallback>
        </mc:AlternateContent>
      </w:r>
      <w:r w:rsidR="00F14770" w:rsidRPr="00B40A5E">
        <w:rPr>
          <w:rFonts w:ascii="Arial" w:hAnsi="Arial" w:cs="Arial"/>
          <w:noProof/>
          <w:color w:val="0F486E" w:themeColor="text2" w:themeShade="BF"/>
          <w:sz w:val="22"/>
          <w:szCs w:val="22"/>
          <w:shd w:val="clear" w:color="auto" w:fill="167AF3" w:themeFill="accent1" w:themeFillTint="99"/>
        </w:rPr>
        <w:drawing>
          <wp:inline distT="0" distB="0" distL="0" distR="0" wp14:anchorId="42EACBB1" wp14:editId="10CBDF56">
            <wp:extent cx="2518410" cy="3304674"/>
            <wp:effectExtent l="0" t="0" r="0" b="0"/>
            <wp:docPr id="348432400" name="Picture 32" descr="A blue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432400" name="Picture 32" descr="A blue background with white text&#10;&#10;AI-generated content may be incorrect."/>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535189" cy="3326692"/>
                    </a:xfrm>
                    <a:prstGeom prst="rect">
                      <a:avLst/>
                    </a:prstGeom>
                    <a:noFill/>
                  </pic:spPr>
                </pic:pic>
              </a:graphicData>
            </a:graphic>
          </wp:inline>
        </w:drawing>
      </w:r>
      <w:r w:rsidR="00B80A73" w:rsidRPr="00AA076A">
        <w:rPr>
          <w:rFonts w:ascii="Arial" w:hAnsi="Arial" w:cs="Arial"/>
          <w:b/>
          <w:bCs/>
          <w:noProof/>
          <w:color w:val="167AF3" w:themeColor="accent1" w:themeTint="99"/>
          <w:sz w:val="22"/>
          <w:szCs w:val="22"/>
          <w:u w:val="single"/>
        </w:rPr>
        <w:drawing>
          <wp:inline distT="0" distB="0" distL="0" distR="0" wp14:anchorId="63CDE6C1" wp14:editId="50E53B8C">
            <wp:extent cx="3164620" cy="1919605"/>
            <wp:effectExtent l="0" t="0" r="0" b="4445"/>
            <wp:docPr id="186396764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194570" cy="1937772"/>
                    </a:xfrm>
                    <a:prstGeom prst="rect">
                      <a:avLst/>
                    </a:prstGeom>
                    <a:noFill/>
                  </pic:spPr>
                </pic:pic>
              </a:graphicData>
            </a:graphic>
          </wp:inline>
        </w:drawing>
      </w:r>
    </w:p>
    <w:p w14:paraId="630DE3C2" w14:textId="35111D4F" w:rsidR="008B73B0" w:rsidRPr="00AA076A" w:rsidRDefault="008B73B0" w:rsidP="00AA076A">
      <w:pPr>
        <w:spacing w:line="360" w:lineRule="auto"/>
        <w:rPr>
          <w:rFonts w:ascii="Arial" w:hAnsi="Arial" w:cs="Arial"/>
          <w:color w:val="0A3049" w:themeColor="text2" w:themeShade="80"/>
          <w:sz w:val="22"/>
          <w:szCs w:val="22"/>
        </w:rPr>
      </w:pPr>
      <w:r w:rsidRPr="00AA076A">
        <w:rPr>
          <w:rFonts w:ascii="Arial" w:hAnsi="Arial" w:cs="Arial"/>
          <w:color w:val="0A3049" w:themeColor="text2" w:themeShade="80"/>
          <w:sz w:val="22"/>
          <w:szCs w:val="22"/>
        </w:rPr>
        <w:t xml:space="preserve">                                                                                                                    (Instagram, 2017)</w:t>
      </w:r>
    </w:p>
    <w:p w14:paraId="2767C4AC" w14:textId="77777777" w:rsidR="00F05BEC" w:rsidRDefault="00A706F4" w:rsidP="00AA076A">
      <w:pPr>
        <w:spacing w:line="360" w:lineRule="auto"/>
        <w:rPr>
          <w:rFonts w:ascii="Arial" w:hAnsi="Arial" w:cs="Arial"/>
          <w:noProof/>
          <w:color w:val="0F486E" w:themeColor="text2" w:themeShade="BF"/>
          <w:sz w:val="22"/>
          <w:szCs w:val="22"/>
        </w:rPr>
      </w:pPr>
      <w:r w:rsidRPr="00AA076A">
        <w:rPr>
          <w:rFonts w:ascii="Arial" w:hAnsi="Arial" w:cs="Arial"/>
          <w:b/>
          <w:bCs/>
          <w:color w:val="167AF3" w:themeColor="accent1" w:themeTint="99"/>
          <w:sz w:val="22"/>
          <w:szCs w:val="22"/>
          <w:u w:val="single"/>
        </w:rPr>
        <w:t>What is Advance Care Planning?</w:t>
      </w:r>
      <w:r w:rsidR="00F14770" w:rsidRPr="00AA076A">
        <w:rPr>
          <w:rFonts w:ascii="Arial" w:hAnsi="Arial" w:cs="Arial"/>
          <w:noProof/>
          <w:color w:val="0F486E" w:themeColor="text2" w:themeShade="BF"/>
          <w:sz w:val="22"/>
          <w:szCs w:val="22"/>
        </w:rPr>
        <w:t xml:space="preserve"> </w:t>
      </w:r>
      <w:r w:rsidR="00530960" w:rsidRPr="00AA076A">
        <w:rPr>
          <w:rFonts w:ascii="Arial" w:hAnsi="Arial" w:cs="Arial"/>
          <w:noProof/>
          <w:color w:val="0F486E" w:themeColor="text2" w:themeShade="BF"/>
          <w:sz w:val="22"/>
          <w:szCs w:val="22"/>
        </w:rPr>
        <w:t xml:space="preserve">     </w:t>
      </w:r>
    </w:p>
    <w:p w14:paraId="182C0699" w14:textId="52DB27FD" w:rsidR="00A706F4" w:rsidRPr="00AA076A" w:rsidRDefault="00F05BEC" w:rsidP="00AA076A">
      <w:pPr>
        <w:spacing w:line="360" w:lineRule="auto"/>
        <w:rPr>
          <w:rFonts w:ascii="Arial" w:hAnsi="Arial" w:cs="Arial"/>
          <w:b/>
          <w:bCs/>
          <w:color w:val="167AF3" w:themeColor="accent1" w:themeTint="99"/>
          <w:sz w:val="22"/>
          <w:szCs w:val="22"/>
          <w:u w:val="single"/>
        </w:rPr>
      </w:pPr>
      <w:r w:rsidRPr="00F05BEC">
        <w:rPr>
          <w:rFonts w:ascii="Arial" w:hAnsi="Arial" w:cs="Arial"/>
          <w:noProof/>
          <w:color w:val="0F486E" w:themeColor="text2" w:themeShade="BF"/>
          <w:sz w:val="22"/>
          <w:szCs w:val="22"/>
        </w:rPr>
        <w:t>A collaborative conversation about future care preferences involving an individual, their family, and medical experts is known as advance care planning, or ACP (NICE, 2015). This is especially crucial for diabetics because their ability to make decisions may be impacted by problems like stroke or cognitive deterioration (Feil et al., 2011).</w:t>
      </w:r>
      <w:r w:rsidR="00530960" w:rsidRPr="00AA076A">
        <w:rPr>
          <w:rFonts w:ascii="Arial" w:hAnsi="Arial" w:cs="Arial"/>
          <w:noProof/>
          <w:color w:val="0F486E" w:themeColor="text2" w:themeShade="BF"/>
          <w:sz w:val="22"/>
          <w:szCs w:val="22"/>
        </w:rPr>
        <w:t xml:space="preserve">                      </w:t>
      </w:r>
    </w:p>
    <w:p w14:paraId="5D748822" w14:textId="6C6A3A61" w:rsidR="00B2605E" w:rsidRPr="00AA076A" w:rsidRDefault="00B2605E" w:rsidP="00AA076A">
      <w:pPr>
        <w:spacing w:line="360" w:lineRule="auto"/>
        <w:rPr>
          <w:rFonts w:ascii="Arial" w:hAnsi="Arial" w:cs="Arial"/>
          <w:b/>
          <w:bCs/>
          <w:color w:val="167AF3" w:themeColor="accent1" w:themeTint="99"/>
          <w:sz w:val="22"/>
          <w:szCs w:val="22"/>
          <w:u w:val="single"/>
        </w:rPr>
      </w:pPr>
      <w:r w:rsidRPr="00AA076A">
        <w:rPr>
          <w:rFonts w:ascii="Arial" w:hAnsi="Arial" w:cs="Arial"/>
          <w:b/>
          <w:bCs/>
          <w:color w:val="167AF3" w:themeColor="accent1" w:themeTint="99"/>
          <w:sz w:val="22"/>
          <w:szCs w:val="22"/>
          <w:u w:val="single"/>
        </w:rPr>
        <w:t>ACP discussions may include</w:t>
      </w:r>
    </w:p>
    <w:p w14:paraId="7C54B0FE" w14:textId="5F69F5BC" w:rsidR="00B2605E" w:rsidRPr="00AA076A" w:rsidRDefault="00B2605E" w:rsidP="00AA076A">
      <w:pPr>
        <w:pStyle w:val="ListParagraph"/>
        <w:numPr>
          <w:ilvl w:val="0"/>
          <w:numId w:val="14"/>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Preferred place of care (home, hospice or hospital)</w:t>
      </w:r>
    </w:p>
    <w:p w14:paraId="0720A723" w14:textId="73042B10" w:rsidR="00B2605E" w:rsidRPr="00AA076A" w:rsidRDefault="00B2605E" w:rsidP="00AA076A">
      <w:pPr>
        <w:pStyle w:val="ListParagraph"/>
        <w:numPr>
          <w:ilvl w:val="0"/>
          <w:numId w:val="14"/>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Decisions about hospital admission</w:t>
      </w:r>
    </w:p>
    <w:p w14:paraId="7EF6525F" w14:textId="4FCBE44E" w:rsidR="001012CE" w:rsidRDefault="001012CE" w:rsidP="00AA076A">
      <w:pPr>
        <w:pStyle w:val="ListParagraph"/>
        <w:numPr>
          <w:ilvl w:val="0"/>
          <w:numId w:val="14"/>
        </w:numPr>
        <w:spacing w:line="360" w:lineRule="auto"/>
        <w:rPr>
          <w:rFonts w:ascii="Arial" w:hAnsi="Arial" w:cs="Arial"/>
          <w:color w:val="0F486E" w:themeColor="text2" w:themeShade="BF"/>
          <w:sz w:val="22"/>
          <w:szCs w:val="22"/>
        </w:rPr>
      </w:pPr>
      <w:r w:rsidRPr="001012CE">
        <w:rPr>
          <w:rFonts w:ascii="Arial" w:hAnsi="Arial" w:cs="Arial"/>
          <w:color w:val="0F486E" w:themeColor="text2" w:themeShade="BF"/>
          <w:sz w:val="22"/>
          <w:szCs w:val="22"/>
        </w:rPr>
        <w:t>Cardiopulmonary Resuscitation (DNACPR) should not be attempted.</w:t>
      </w:r>
    </w:p>
    <w:p w14:paraId="3BE717EF" w14:textId="324AE9C1" w:rsidR="00B2605E" w:rsidRPr="00AA076A" w:rsidRDefault="00B2605E" w:rsidP="00AA076A">
      <w:pPr>
        <w:pStyle w:val="ListParagraph"/>
        <w:numPr>
          <w:ilvl w:val="0"/>
          <w:numId w:val="14"/>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Appointing a Lasting Power of Attorney</w:t>
      </w:r>
    </w:p>
    <w:p w14:paraId="4FAFECFC" w14:textId="75046436" w:rsidR="000851A7" w:rsidRPr="00AA076A" w:rsidRDefault="00B2605E" w:rsidP="00AA076A">
      <w:pPr>
        <w:pStyle w:val="ListParagraph"/>
        <w:numPr>
          <w:ilvl w:val="0"/>
          <w:numId w:val="14"/>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Cultural or spiritual wishes</w:t>
      </w:r>
    </w:p>
    <w:p w14:paraId="56CEECE6" w14:textId="740954CA" w:rsidR="00717424" w:rsidRDefault="00B2605E" w:rsidP="00F010D6">
      <w:pPr>
        <w:spacing w:line="360" w:lineRule="auto"/>
        <w:rPr>
          <w:rFonts w:ascii="Arial" w:hAnsi="Arial" w:cs="Arial"/>
          <w:b/>
          <w:bCs/>
          <w:color w:val="0F486E" w:themeColor="text2" w:themeShade="BF"/>
          <w:sz w:val="22"/>
          <w:szCs w:val="22"/>
        </w:rPr>
      </w:pPr>
      <w:r w:rsidRPr="00AA076A">
        <w:rPr>
          <w:rFonts w:ascii="Arial" w:hAnsi="Arial" w:cs="Arial"/>
          <w:b/>
          <w:bCs/>
          <w:color w:val="0F486E" w:themeColor="text2" w:themeShade="BF"/>
          <w:sz w:val="22"/>
          <w:szCs w:val="22"/>
        </w:rPr>
        <w:t>Research shows that ACP improves patient satisfaction and reduces stress for families (Detering et al., 2010).</w:t>
      </w:r>
    </w:p>
    <w:p w14:paraId="0ED543A9" w14:textId="77777777" w:rsidR="00F010D6" w:rsidRPr="00F010D6" w:rsidRDefault="00F010D6" w:rsidP="00F010D6">
      <w:pPr>
        <w:spacing w:line="360" w:lineRule="auto"/>
        <w:rPr>
          <w:rFonts w:ascii="Arial" w:hAnsi="Arial" w:cs="Arial"/>
          <w:b/>
          <w:bCs/>
          <w:color w:val="0F486E" w:themeColor="text2" w:themeShade="BF"/>
          <w:sz w:val="22"/>
          <w:szCs w:val="22"/>
        </w:rPr>
      </w:pPr>
    </w:p>
    <w:p w14:paraId="5C51CFF2" w14:textId="22F2C727" w:rsidR="00A52661" w:rsidRPr="00AA076A" w:rsidRDefault="00A52661" w:rsidP="00AA076A">
      <w:pPr>
        <w:pStyle w:val="Heading1"/>
        <w:spacing w:line="360" w:lineRule="auto"/>
        <w:jc w:val="left"/>
        <w:rPr>
          <w:rFonts w:ascii="Arial" w:hAnsi="Arial" w:cs="Arial"/>
          <w:b/>
          <w:bCs/>
          <w:color w:val="167AF3" w:themeColor="accent1" w:themeTint="99"/>
          <w:sz w:val="32"/>
          <w:szCs w:val="32"/>
        </w:rPr>
      </w:pPr>
      <w:bookmarkStart w:id="16" w:name="_Toc223067597"/>
      <w:r w:rsidRPr="00AA076A">
        <w:rPr>
          <w:rFonts w:ascii="Arial" w:hAnsi="Arial" w:cs="Arial"/>
          <w:b/>
          <w:bCs/>
          <w:color w:val="167AF3" w:themeColor="accent1" w:themeTint="99"/>
          <w:sz w:val="32"/>
          <w:szCs w:val="32"/>
        </w:rPr>
        <w:lastRenderedPageBreak/>
        <w:t>Treatment at End of Life</w:t>
      </w:r>
      <w:bookmarkEnd w:id="16"/>
    </w:p>
    <w:p w14:paraId="31788342" w14:textId="77503D6F" w:rsidR="00A52661" w:rsidRPr="00AA076A" w:rsidRDefault="00966DA8" w:rsidP="00AA076A">
      <w:pPr>
        <w:spacing w:line="360" w:lineRule="auto"/>
        <w:rPr>
          <w:rFonts w:ascii="Arial" w:hAnsi="Arial" w:cs="Arial"/>
          <w:b/>
          <w:bCs/>
          <w:color w:val="167AF3" w:themeColor="accent1" w:themeTint="99"/>
          <w:sz w:val="22"/>
          <w:szCs w:val="22"/>
        </w:rPr>
      </w:pPr>
      <w:r w:rsidRPr="00AA076A">
        <w:rPr>
          <w:rFonts w:ascii="Arial" w:hAnsi="Arial" w:cs="Arial"/>
          <w:b/>
          <w:bCs/>
          <w:color w:val="167AF3" w:themeColor="accent1" w:themeTint="99"/>
          <w:sz w:val="22"/>
          <w:szCs w:val="22"/>
        </w:rPr>
        <w:t xml:space="preserve">Changes to Diabetes </w:t>
      </w:r>
    </w:p>
    <w:p w14:paraId="7E1A5704" w14:textId="6CB29826" w:rsidR="00966DA8" w:rsidRPr="005803DA" w:rsidRDefault="00966DA8"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In advanced illness, strict blood glucose control is usually no longer appropriate (Sinclair et al., 2020). Intensive treatment can increase the risk of hypoglycaemia, which may cause distress or harm in frail adults (Bain et al., 2020).</w:t>
      </w:r>
    </w:p>
    <w:p w14:paraId="4F713CE7" w14:textId="0B9D467C" w:rsidR="00966DA8" w:rsidRPr="00AA076A" w:rsidRDefault="00966DA8" w:rsidP="00AA076A">
      <w:pPr>
        <w:spacing w:line="360" w:lineRule="auto"/>
        <w:rPr>
          <w:rFonts w:ascii="Arial" w:hAnsi="Arial" w:cs="Arial"/>
          <w:b/>
          <w:bCs/>
          <w:color w:val="167AF3" w:themeColor="accent1" w:themeTint="99"/>
          <w:sz w:val="22"/>
          <w:szCs w:val="22"/>
        </w:rPr>
      </w:pPr>
      <w:r w:rsidRPr="00AA076A">
        <w:rPr>
          <w:rFonts w:ascii="Arial" w:hAnsi="Arial" w:cs="Arial"/>
          <w:b/>
          <w:bCs/>
          <w:color w:val="167AF3" w:themeColor="accent1" w:themeTint="99"/>
          <w:sz w:val="22"/>
          <w:szCs w:val="22"/>
        </w:rPr>
        <w:t>Instead, care focuses on:</w:t>
      </w:r>
    </w:p>
    <w:p w14:paraId="4385A3D0" w14:textId="3C00C737" w:rsidR="00966DA8" w:rsidRPr="00AA076A" w:rsidRDefault="00966DA8" w:rsidP="00AA076A">
      <w:pPr>
        <w:pStyle w:val="ListParagraph"/>
        <w:numPr>
          <w:ilvl w:val="0"/>
          <w:numId w:val="15"/>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Preventing uncomfortable symptoms</w:t>
      </w:r>
    </w:p>
    <w:p w14:paraId="4E2D20CE" w14:textId="13099E67" w:rsidR="00966DA8" w:rsidRPr="00AA076A" w:rsidRDefault="00966DA8" w:rsidP="00AA076A">
      <w:pPr>
        <w:pStyle w:val="ListParagraph"/>
        <w:numPr>
          <w:ilvl w:val="0"/>
          <w:numId w:val="15"/>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Avoiding low blood sugar</w:t>
      </w:r>
    </w:p>
    <w:p w14:paraId="082A84C0" w14:textId="5BA2097F" w:rsidR="00966DA8" w:rsidRPr="00AA076A" w:rsidRDefault="00966DA8" w:rsidP="00AA076A">
      <w:pPr>
        <w:pStyle w:val="ListParagraph"/>
        <w:numPr>
          <w:ilvl w:val="0"/>
          <w:numId w:val="15"/>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Reducing treatment burden</w:t>
      </w:r>
    </w:p>
    <w:p w14:paraId="623365BB" w14:textId="77777777" w:rsidR="00966DA8" w:rsidRPr="00AA076A" w:rsidRDefault="00966DA8" w:rsidP="00AA076A">
      <w:pPr>
        <w:pStyle w:val="ListParagraph"/>
        <w:numPr>
          <w:ilvl w:val="0"/>
          <w:numId w:val="15"/>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Simplifying medication where appropriate</w:t>
      </w:r>
    </w:p>
    <w:p w14:paraId="68D2A8AC" w14:textId="77777777" w:rsidR="00966DA8" w:rsidRPr="00AA076A" w:rsidRDefault="00966DA8" w:rsidP="00AA076A">
      <w:pPr>
        <w:spacing w:line="360" w:lineRule="auto"/>
        <w:rPr>
          <w:rFonts w:ascii="Arial" w:hAnsi="Arial" w:cs="Arial"/>
          <w:b/>
          <w:bCs/>
          <w:color w:val="167AF3" w:themeColor="accent1" w:themeTint="99"/>
          <w:sz w:val="22"/>
          <w:szCs w:val="22"/>
        </w:rPr>
      </w:pPr>
    </w:p>
    <w:p w14:paraId="10DEF2C4" w14:textId="7909DDCA" w:rsidR="00966DA8" w:rsidRDefault="00966DA8" w:rsidP="00AA076A">
      <w:pPr>
        <w:spacing w:line="360" w:lineRule="auto"/>
        <w:rPr>
          <w:rFonts w:ascii="Arial" w:hAnsi="Arial" w:cs="Arial"/>
          <w:b/>
          <w:bCs/>
          <w:color w:val="0F486E" w:themeColor="text2" w:themeShade="BF"/>
          <w:sz w:val="22"/>
          <w:szCs w:val="22"/>
        </w:rPr>
      </w:pPr>
      <w:r w:rsidRPr="00AA076A">
        <w:rPr>
          <w:rFonts w:ascii="Arial" w:hAnsi="Arial" w:cs="Arial"/>
          <w:b/>
          <w:bCs/>
          <w:color w:val="0F486E" w:themeColor="text2" w:themeShade="BF"/>
          <w:sz w:val="22"/>
          <w:szCs w:val="22"/>
        </w:rPr>
        <w:t>HbA1c targets are relaxed, and some medications may be reduced or discontinued depending on prognosis (NICE, 2015).</w:t>
      </w:r>
    </w:p>
    <w:p w14:paraId="17C7BBD9" w14:textId="77777777" w:rsidR="00D46A21" w:rsidRPr="00D46A21" w:rsidRDefault="00D46A21" w:rsidP="00AA076A">
      <w:pPr>
        <w:spacing w:line="360" w:lineRule="auto"/>
        <w:rPr>
          <w:rFonts w:ascii="Arial" w:hAnsi="Arial" w:cs="Arial"/>
          <w:b/>
          <w:bCs/>
          <w:color w:val="0F486E" w:themeColor="text2" w:themeShade="BF"/>
          <w:sz w:val="22"/>
          <w:szCs w:val="22"/>
        </w:rPr>
      </w:pPr>
    </w:p>
    <w:p w14:paraId="17E0D285" w14:textId="59729535" w:rsidR="00A706F4" w:rsidRPr="00AA076A" w:rsidRDefault="00A706F4" w:rsidP="00AA076A">
      <w:pPr>
        <w:spacing w:line="360" w:lineRule="auto"/>
        <w:rPr>
          <w:rFonts w:ascii="Arial" w:hAnsi="Arial" w:cs="Arial"/>
          <w:b/>
          <w:bCs/>
          <w:color w:val="167AF3" w:themeColor="accent1" w:themeTint="99"/>
          <w:sz w:val="22"/>
          <w:szCs w:val="22"/>
        </w:rPr>
      </w:pPr>
      <w:r w:rsidRPr="00AA076A">
        <w:rPr>
          <w:rFonts w:ascii="Arial" w:hAnsi="Arial" w:cs="Arial"/>
          <w:b/>
          <w:bCs/>
          <w:color w:val="167AF3" w:themeColor="accent1" w:themeTint="99"/>
          <w:sz w:val="22"/>
          <w:szCs w:val="22"/>
        </w:rPr>
        <w:t>Managing Symptoms</w:t>
      </w:r>
    </w:p>
    <w:p w14:paraId="36ED973F" w14:textId="3171BEE2" w:rsidR="00A706F4" w:rsidRPr="00AA076A" w:rsidRDefault="00A706F4" w:rsidP="00AA076A">
      <w:pPr>
        <w:pStyle w:val="ListParagraph"/>
        <w:numPr>
          <w:ilvl w:val="0"/>
          <w:numId w:val="10"/>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High blood sugar can cause:</w:t>
      </w:r>
    </w:p>
    <w:p w14:paraId="717DF6AC" w14:textId="264B13B6" w:rsidR="00A706F4" w:rsidRPr="00AA076A" w:rsidRDefault="00A706F4" w:rsidP="00AA076A">
      <w:pPr>
        <w:pStyle w:val="ListParagraph"/>
        <w:numPr>
          <w:ilvl w:val="0"/>
          <w:numId w:val="10"/>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Thirst</w:t>
      </w:r>
    </w:p>
    <w:p w14:paraId="5DEBC845" w14:textId="12C3B8C3" w:rsidR="00A706F4" w:rsidRPr="00AA076A" w:rsidRDefault="00A706F4" w:rsidP="00AA076A">
      <w:pPr>
        <w:pStyle w:val="ListParagraph"/>
        <w:numPr>
          <w:ilvl w:val="0"/>
          <w:numId w:val="10"/>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Tiredness</w:t>
      </w:r>
    </w:p>
    <w:p w14:paraId="6E5898DF" w14:textId="0BA3D485" w:rsidR="00A706F4" w:rsidRPr="00AA076A" w:rsidRDefault="00A706F4" w:rsidP="00AA076A">
      <w:pPr>
        <w:pStyle w:val="ListParagraph"/>
        <w:numPr>
          <w:ilvl w:val="0"/>
          <w:numId w:val="10"/>
        </w:num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Confusion</w:t>
      </w:r>
    </w:p>
    <w:p w14:paraId="4F9BC92F" w14:textId="35B11D83" w:rsidR="00A706F4" w:rsidRPr="00AA076A" w:rsidRDefault="00A706F4" w:rsidP="00AA076A">
      <w:pPr>
        <w:spacing w:line="360" w:lineRule="auto"/>
        <w:ind w:left="360"/>
        <w:rPr>
          <w:rFonts w:ascii="Arial" w:hAnsi="Arial" w:cs="Arial"/>
          <w:b/>
          <w:bCs/>
          <w:color w:val="167AF3" w:themeColor="accent1" w:themeTint="99"/>
          <w:sz w:val="22"/>
          <w:szCs w:val="22"/>
        </w:rPr>
      </w:pPr>
      <w:r w:rsidRPr="00AA076A">
        <w:rPr>
          <w:rFonts w:ascii="Arial" w:hAnsi="Arial" w:cs="Arial"/>
          <w:b/>
          <w:bCs/>
          <w:color w:val="167AF3" w:themeColor="accent1" w:themeTint="99"/>
          <w:sz w:val="22"/>
          <w:szCs w:val="22"/>
        </w:rPr>
        <w:t>Low blood sugar can cause:</w:t>
      </w:r>
    </w:p>
    <w:p w14:paraId="5F11BD89" w14:textId="2AC2AE50" w:rsidR="00A706F4" w:rsidRPr="00AA076A" w:rsidRDefault="00A706F4" w:rsidP="00AA076A">
      <w:pPr>
        <w:pStyle w:val="ListParagraph"/>
        <w:numPr>
          <w:ilvl w:val="0"/>
          <w:numId w:val="10"/>
        </w:numPr>
        <w:spacing w:line="360" w:lineRule="auto"/>
        <w:ind w:left="1080"/>
        <w:rPr>
          <w:rFonts w:ascii="Arial" w:hAnsi="Arial" w:cs="Arial"/>
          <w:color w:val="0F486E" w:themeColor="text2" w:themeShade="BF"/>
          <w:sz w:val="22"/>
          <w:szCs w:val="22"/>
        </w:rPr>
      </w:pPr>
      <w:r w:rsidRPr="00AA076A">
        <w:rPr>
          <w:rFonts w:ascii="Arial" w:hAnsi="Arial" w:cs="Arial"/>
          <w:color w:val="0F486E" w:themeColor="text2" w:themeShade="BF"/>
          <w:sz w:val="22"/>
          <w:szCs w:val="22"/>
        </w:rPr>
        <w:t>Shaking</w:t>
      </w:r>
    </w:p>
    <w:p w14:paraId="2BF2AAE8" w14:textId="13786BEE" w:rsidR="00A706F4" w:rsidRPr="00AA076A" w:rsidRDefault="00A706F4" w:rsidP="00AA076A">
      <w:pPr>
        <w:pStyle w:val="ListParagraph"/>
        <w:numPr>
          <w:ilvl w:val="0"/>
          <w:numId w:val="10"/>
        </w:numPr>
        <w:spacing w:line="360" w:lineRule="auto"/>
        <w:ind w:left="1080"/>
        <w:rPr>
          <w:rFonts w:ascii="Arial" w:hAnsi="Arial" w:cs="Arial"/>
          <w:color w:val="0F486E" w:themeColor="text2" w:themeShade="BF"/>
          <w:sz w:val="22"/>
          <w:szCs w:val="22"/>
        </w:rPr>
      </w:pPr>
      <w:r w:rsidRPr="00AA076A">
        <w:rPr>
          <w:rFonts w:ascii="Arial" w:hAnsi="Arial" w:cs="Arial"/>
          <w:color w:val="0F486E" w:themeColor="text2" w:themeShade="BF"/>
          <w:sz w:val="22"/>
          <w:szCs w:val="22"/>
        </w:rPr>
        <w:t>Sweating</w:t>
      </w:r>
    </w:p>
    <w:p w14:paraId="06F32F74" w14:textId="0FA0106A" w:rsidR="00A706F4" w:rsidRPr="00AA076A" w:rsidRDefault="00A706F4" w:rsidP="00AA076A">
      <w:pPr>
        <w:pStyle w:val="ListParagraph"/>
        <w:numPr>
          <w:ilvl w:val="0"/>
          <w:numId w:val="10"/>
        </w:numPr>
        <w:spacing w:line="360" w:lineRule="auto"/>
        <w:ind w:left="1080"/>
        <w:rPr>
          <w:rFonts w:ascii="Arial" w:hAnsi="Arial" w:cs="Arial"/>
          <w:color w:val="0F486E" w:themeColor="text2" w:themeShade="BF"/>
          <w:sz w:val="22"/>
          <w:szCs w:val="22"/>
        </w:rPr>
      </w:pPr>
      <w:r w:rsidRPr="00AA076A">
        <w:rPr>
          <w:rFonts w:ascii="Arial" w:hAnsi="Arial" w:cs="Arial"/>
          <w:color w:val="0F486E" w:themeColor="text2" w:themeShade="BF"/>
          <w:sz w:val="22"/>
          <w:szCs w:val="22"/>
        </w:rPr>
        <w:t>Dizziness</w:t>
      </w:r>
    </w:p>
    <w:p w14:paraId="7B6E6B98" w14:textId="19F358B1" w:rsidR="00A706F4" w:rsidRPr="00AA076A" w:rsidRDefault="00A706F4" w:rsidP="00AA076A">
      <w:pPr>
        <w:pStyle w:val="ListParagraph"/>
        <w:numPr>
          <w:ilvl w:val="0"/>
          <w:numId w:val="10"/>
        </w:numPr>
        <w:spacing w:line="360" w:lineRule="auto"/>
        <w:ind w:left="1080"/>
        <w:rPr>
          <w:rFonts w:ascii="Arial" w:hAnsi="Arial" w:cs="Arial"/>
          <w:color w:val="0F486E" w:themeColor="text2" w:themeShade="BF"/>
          <w:sz w:val="22"/>
          <w:szCs w:val="22"/>
        </w:rPr>
      </w:pPr>
      <w:r w:rsidRPr="00AA076A">
        <w:rPr>
          <w:rFonts w:ascii="Arial" w:hAnsi="Arial" w:cs="Arial"/>
          <w:color w:val="0F486E" w:themeColor="text2" w:themeShade="BF"/>
          <w:sz w:val="22"/>
          <w:szCs w:val="22"/>
        </w:rPr>
        <w:t>Loss of consciousness</w:t>
      </w:r>
    </w:p>
    <w:p w14:paraId="7E75EDF6" w14:textId="5CAA75CC" w:rsidR="00AA076A" w:rsidRPr="00F47B96" w:rsidRDefault="00657100" w:rsidP="00AA076A">
      <w:pPr>
        <w:spacing w:line="360" w:lineRule="auto"/>
        <w:rPr>
          <w:rFonts w:ascii="Arial" w:hAnsi="Arial" w:cs="Arial"/>
          <w:b/>
          <w:bCs/>
          <w:color w:val="0F486E" w:themeColor="text2" w:themeShade="BF"/>
          <w:sz w:val="22"/>
          <w:szCs w:val="22"/>
        </w:rPr>
      </w:pPr>
      <w:r w:rsidRPr="00F47B96">
        <w:rPr>
          <w:rFonts w:ascii="Arial" w:hAnsi="Arial" w:cs="Arial"/>
          <w:b/>
          <w:bCs/>
          <w:color w:val="0F486E" w:themeColor="text2" w:themeShade="BF"/>
          <w:sz w:val="22"/>
          <w:szCs w:val="22"/>
        </w:rPr>
        <w:t>The healthcare team will adjust treatment to maintain comfort while avoiding unnecessary monitoring (Sinclair et al., 2020).</w:t>
      </w:r>
    </w:p>
    <w:p w14:paraId="16A65354" w14:textId="77777777" w:rsidR="00DC130D" w:rsidRDefault="00DC130D" w:rsidP="00D46A21">
      <w:pPr>
        <w:spacing w:line="360" w:lineRule="auto"/>
        <w:rPr>
          <w:rFonts w:ascii="Arial" w:hAnsi="Arial" w:cs="Arial"/>
          <w:b/>
          <w:bCs/>
          <w:color w:val="167AF3" w:themeColor="accent1" w:themeTint="99"/>
          <w:sz w:val="22"/>
          <w:szCs w:val="22"/>
          <w:u w:val="single"/>
        </w:rPr>
      </w:pPr>
    </w:p>
    <w:p w14:paraId="378935C1" w14:textId="77777777" w:rsidR="00DC130D" w:rsidRDefault="00DC130D" w:rsidP="00D46A21">
      <w:pPr>
        <w:spacing w:line="360" w:lineRule="auto"/>
        <w:rPr>
          <w:rFonts w:ascii="Arial" w:hAnsi="Arial" w:cs="Arial"/>
          <w:b/>
          <w:bCs/>
          <w:color w:val="167AF3" w:themeColor="accent1" w:themeTint="99"/>
          <w:sz w:val="22"/>
          <w:szCs w:val="22"/>
          <w:u w:val="single"/>
        </w:rPr>
      </w:pPr>
    </w:p>
    <w:p w14:paraId="0596EB24" w14:textId="77777777" w:rsidR="00F010D6" w:rsidRDefault="00F010D6" w:rsidP="00D46A21">
      <w:pPr>
        <w:spacing w:line="360" w:lineRule="auto"/>
        <w:rPr>
          <w:rFonts w:ascii="Arial" w:hAnsi="Arial" w:cs="Arial"/>
          <w:b/>
          <w:bCs/>
          <w:color w:val="167AF3" w:themeColor="accent1" w:themeTint="99"/>
          <w:sz w:val="22"/>
          <w:szCs w:val="22"/>
          <w:u w:val="single"/>
        </w:rPr>
      </w:pPr>
    </w:p>
    <w:p w14:paraId="5F810CEC" w14:textId="25DFF678" w:rsidR="00D46A21" w:rsidRDefault="00D46A21" w:rsidP="00D46A21">
      <w:pPr>
        <w:spacing w:line="360" w:lineRule="auto"/>
        <w:rPr>
          <w:rFonts w:ascii="Arial" w:hAnsi="Arial" w:cs="Arial"/>
          <w:b/>
          <w:bCs/>
          <w:color w:val="167AF3" w:themeColor="accent1" w:themeTint="99"/>
          <w:sz w:val="22"/>
          <w:szCs w:val="22"/>
          <w:u w:val="single"/>
        </w:rPr>
      </w:pPr>
      <w:r w:rsidRPr="00D46A21">
        <w:rPr>
          <w:rFonts w:ascii="Arial" w:hAnsi="Arial" w:cs="Arial"/>
          <w:b/>
          <w:bCs/>
          <w:color w:val="167AF3" w:themeColor="accent1" w:themeTint="99"/>
          <w:sz w:val="22"/>
          <w:szCs w:val="22"/>
          <w:u w:val="single"/>
        </w:rPr>
        <w:lastRenderedPageBreak/>
        <w:t>End-of-Life Care Recommendation</w:t>
      </w:r>
    </w:p>
    <w:p w14:paraId="147E69A9" w14:textId="6E473DBB" w:rsidR="00CA2E4F" w:rsidRPr="00CA2E4F" w:rsidRDefault="00CA2E4F" w:rsidP="00D46A21">
      <w:pPr>
        <w:spacing w:line="360" w:lineRule="auto"/>
        <w:rPr>
          <w:rFonts w:ascii="Arial" w:hAnsi="Arial" w:cs="Arial"/>
          <w:color w:val="0F486E" w:themeColor="text2" w:themeShade="BF"/>
          <w:sz w:val="22"/>
          <w:szCs w:val="22"/>
        </w:rPr>
      </w:pPr>
      <w:r w:rsidRPr="00CA2E4F">
        <w:rPr>
          <w:rFonts w:ascii="Arial" w:hAnsi="Arial" w:cs="Arial"/>
          <w:color w:val="0F486E" w:themeColor="text2" w:themeShade="BF"/>
          <w:sz w:val="22"/>
          <w:szCs w:val="22"/>
        </w:rPr>
        <w:t xml:space="preserve">Early advance care planning should be included in routine care conversations for people with advanced type 2 diabetes and serious complications to guarantee that treatment, symptom control, and care location preferences are </w:t>
      </w:r>
      <w:r w:rsidRPr="00CA2E4F">
        <w:rPr>
          <w:rFonts w:ascii="Arial" w:hAnsi="Arial" w:cs="Arial"/>
          <w:color w:val="0F486E" w:themeColor="text2" w:themeShade="BF"/>
          <w:sz w:val="22"/>
          <w:szCs w:val="22"/>
        </w:rPr>
        <w:t>honoured</w:t>
      </w:r>
      <w:r w:rsidRPr="00CA2E4F">
        <w:rPr>
          <w:rFonts w:ascii="Arial" w:hAnsi="Arial" w:cs="Arial"/>
          <w:color w:val="0F486E" w:themeColor="text2" w:themeShade="BF"/>
          <w:sz w:val="22"/>
          <w:szCs w:val="22"/>
        </w:rPr>
        <w:t xml:space="preserve"> (NICE, 2015). Comfort, dignity, and quality of life should be the main goals of person-</w:t>
      </w:r>
      <w:r w:rsidRPr="00CA2E4F">
        <w:rPr>
          <w:rFonts w:ascii="Arial" w:hAnsi="Arial" w:cs="Arial"/>
          <w:color w:val="0F486E" w:themeColor="text2" w:themeShade="BF"/>
          <w:sz w:val="22"/>
          <w:szCs w:val="22"/>
        </w:rPr>
        <w:t>centred</w:t>
      </w:r>
      <w:r w:rsidRPr="00CA2E4F">
        <w:rPr>
          <w:rFonts w:ascii="Arial" w:hAnsi="Arial" w:cs="Arial"/>
          <w:color w:val="0F486E" w:themeColor="text2" w:themeShade="BF"/>
          <w:sz w:val="22"/>
          <w:szCs w:val="22"/>
        </w:rPr>
        <w:t xml:space="preserve"> end-of-life care. This includes reviewing medications appropriately, avoiding burdensome interventions, and providing coordinated palliative support when necessary (NICE, 2022).</w:t>
      </w:r>
    </w:p>
    <w:p w14:paraId="12169FEC" w14:textId="6DF7D904" w:rsidR="00AA076A" w:rsidRDefault="00AA076A" w:rsidP="00AA076A">
      <w:pPr>
        <w:pStyle w:val="Heading1"/>
        <w:jc w:val="left"/>
        <w:rPr>
          <w:rFonts w:ascii="Arial" w:hAnsi="Arial" w:cs="Arial"/>
          <w:color w:val="167AF3" w:themeColor="accent1" w:themeTint="99"/>
          <w:sz w:val="32"/>
          <w:szCs w:val="32"/>
        </w:rPr>
      </w:pPr>
      <w:bookmarkStart w:id="17" w:name="_Toc223067598"/>
      <w:r w:rsidRPr="00AA076A">
        <w:rPr>
          <w:rFonts w:ascii="Arial" w:hAnsi="Arial" w:cs="Arial"/>
          <w:b/>
          <w:bCs/>
          <w:noProof/>
          <w:color w:val="052F61" w:themeColor="accent1"/>
          <w:sz w:val="22"/>
          <w:szCs w:val="22"/>
        </w:rPr>
        <mc:AlternateContent>
          <mc:Choice Requires="wps">
            <w:drawing>
              <wp:anchor distT="0" distB="0" distL="114300" distR="114300" simplePos="0" relativeHeight="251680768" behindDoc="0" locked="0" layoutInCell="1" allowOverlap="1" wp14:anchorId="3E517ADB" wp14:editId="0A05A843">
                <wp:simplePos x="0" y="0"/>
                <wp:positionH relativeFrom="margin">
                  <wp:posOffset>1535488</wp:posOffset>
                </wp:positionH>
                <wp:positionV relativeFrom="paragraph">
                  <wp:posOffset>90055</wp:posOffset>
                </wp:positionV>
                <wp:extent cx="348095" cy="304800"/>
                <wp:effectExtent l="19050" t="0" r="33020" b="19050"/>
                <wp:wrapNone/>
                <wp:docPr id="1391388194" name="Heart 29"/>
                <wp:cNvGraphicFramePr/>
                <a:graphic xmlns:a="http://schemas.openxmlformats.org/drawingml/2006/main">
                  <a:graphicData uri="http://schemas.microsoft.com/office/word/2010/wordprocessingShape">
                    <wps:wsp>
                      <wps:cNvSpPr/>
                      <wps:spPr>
                        <a:xfrm>
                          <a:off x="0" y="0"/>
                          <a:ext cx="348095" cy="304800"/>
                        </a:xfrm>
                        <a:prstGeom prst="heart">
                          <a:avLst/>
                        </a:prstGeom>
                        <a:solidFill>
                          <a:schemeClr val="tx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0CDC39" id="Heart 29" o:spid="_x0000_s1026" style="position:absolute;margin-left:120.9pt;margin-top:7.1pt;width:27.4pt;height:24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48095,304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" path="m174048,76200v72519,-177800,355346,,,228600c-181299,76200,101528,-101600,174048,76200xe" fillcolor="#4aa8e6 [1951]" strokecolor="#00060e [484]" strokeweight="1.25pt">
                <v:stroke endcap="round"/>
                <v:path arrowok="t" o:connecttype="custom" o:connectlocs="174048,76200;174048,304800;174048,76200" o:connectangles="0,0,0"/>
                <w10:wrap anchorx="margin"/>
              </v:shape>
            </w:pict>
          </mc:Fallback>
        </mc:AlternateContent>
      </w:r>
      <w:r w:rsidRPr="00AA076A">
        <w:rPr>
          <w:rFonts w:ascii="Arial" w:hAnsi="Arial" w:cs="Arial"/>
          <w:color w:val="167AF3" w:themeColor="accent1" w:themeTint="99"/>
          <w:sz w:val="32"/>
          <w:szCs w:val="32"/>
        </w:rPr>
        <w:t>Family support</w:t>
      </w:r>
      <w:bookmarkEnd w:id="17"/>
    </w:p>
    <w:p w14:paraId="103B44E7" w14:textId="77777777" w:rsidR="00AA076A" w:rsidRPr="00AA076A" w:rsidRDefault="00AA076A" w:rsidP="00AA076A"/>
    <w:p w14:paraId="04FB4557" w14:textId="0D370063" w:rsidR="00A706F4" w:rsidRPr="00AA076A" w:rsidRDefault="00A706F4" w:rsidP="00AA076A">
      <w:pPr>
        <w:spacing w:line="360" w:lineRule="auto"/>
        <w:rPr>
          <w:rFonts w:ascii="Arial" w:hAnsi="Arial" w:cs="Arial"/>
          <w:b/>
          <w:bCs/>
          <w:color w:val="167AF3" w:themeColor="accent1" w:themeTint="99"/>
          <w:sz w:val="22"/>
          <w:szCs w:val="22"/>
          <w:u w:val="single"/>
        </w:rPr>
      </w:pPr>
      <w:r w:rsidRPr="00AA076A">
        <w:rPr>
          <w:rFonts w:ascii="Arial" w:hAnsi="Arial" w:cs="Arial"/>
          <w:b/>
          <w:bCs/>
          <w:color w:val="167AF3" w:themeColor="accent1" w:themeTint="99"/>
          <w:sz w:val="22"/>
          <w:szCs w:val="22"/>
          <w:u w:val="single"/>
        </w:rPr>
        <w:t>Emotional and Family Support</w:t>
      </w:r>
    </w:p>
    <w:p w14:paraId="4707D18C" w14:textId="0EB70119" w:rsidR="009B3E0A" w:rsidRDefault="00C94DBF"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 xml:space="preserve">Advanced illness alongside diabetes can increase anxiety and depression (Roy and Lloyd, 2012). Family members may experience emotional strain and caregiver burden (Schulz and Sherwood, 2008). </w:t>
      </w:r>
      <w:r w:rsidR="00A706F4" w:rsidRPr="00AA076A">
        <w:rPr>
          <w:rFonts w:ascii="Arial" w:hAnsi="Arial" w:cs="Arial"/>
          <w:color w:val="0F486E" w:themeColor="text2" w:themeShade="BF"/>
          <w:sz w:val="22"/>
          <w:szCs w:val="22"/>
        </w:rPr>
        <w:t>Living with advanced illness can be emotionally difficult.</w:t>
      </w:r>
    </w:p>
    <w:p w14:paraId="07CB21DF" w14:textId="3E8BF0BC" w:rsidR="009B3E0A" w:rsidRPr="00AA076A" w:rsidRDefault="009B3E0A" w:rsidP="00AA076A">
      <w:pPr>
        <w:spacing w:line="360" w:lineRule="auto"/>
        <w:rPr>
          <w:rFonts w:ascii="Arial" w:hAnsi="Arial" w:cs="Arial"/>
          <w:color w:val="0F486E" w:themeColor="text2" w:themeShade="BF"/>
          <w:sz w:val="22"/>
          <w:szCs w:val="22"/>
        </w:rPr>
      </w:pPr>
      <w:r>
        <w:rPr>
          <w:rFonts w:ascii="Arial" w:hAnsi="Arial" w:cs="Arial"/>
          <w:noProof/>
          <w:color w:val="0F486E" w:themeColor="text2" w:themeShade="BF"/>
          <w:sz w:val="22"/>
          <w:szCs w:val="22"/>
        </w:rPr>
        <w:drawing>
          <wp:inline distT="0" distB="0" distL="0" distR="0" wp14:anchorId="09D7C8F2" wp14:editId="2A4C93C8">
            <wp:extent cx="2894340" cy="2776717"/>
            <wp:effectExtent l="0" t="0" r="1270" b="5080"/>
            <wp:docPr id="119103671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920260" cy="2801583"/>
                    </a:xfrm>
                    <a:prstGeom prst="rect">
                      <a:avLst/>
                    </a:prstGeom>
                    <a:noFill/>
                  </pic:spPr>
                </pic:pic>
              </a:graphicData>
            </a:graphic>
          </wp:inline>
        </w:drawing>
      </w:r>
    </w:p>
    <w:p w14:paraId="28C94ECC" w14:textId="5EADA3F5" w:rsidR="00A706F4" w:rsidRPr="00D46A21" w:rsidRDefault="00A706F4" w:rsidP="00AA076A">
      <w:pPr>
        <w:spacing w:line="360" w:lineRule="auto"/>
        <w:rPr>
          <w:rFonts w:ascii="Arial" w:hAnsi="Arial" w:cs="Arial"/>
          <w:b/>
          <w:bCs/>
          <w:color w:val="167AF3" w:themeColor="accent1" w:themeTint="99"/>
          <w:sz w:val="22"/>
          <w:szCs w:val="22"/>
        </w:rPr>
      </w:pPr>
      <w:r w:rsidRPr="00D46A21">
        <w:rPr>
          <w:rFonts w:ascii="Arial" w:hAnsi="Arial" w:cs="Arial"/>
          <w:b/>
          <w:bCs/>
          <w:color w:val="167AF3" w:themeColor="accent1" w:themeTint="99"/>
          <w:sz w:val="22"/>
          <w:szCs w:val="22"/>
        </w:rPr>
        <w:t>Support is available for:</w:t>
      </w:r>
    </w:p>
    <w:p w14:paraId="1C489D32" w14:textId="43BAB2AD" w:rsidR="00A706F4" w:rsidRPr="00AA076A" w:rsidRDefault="00DC130D" w:rsidP="00DC130D">
      <w:pPr>
        <w:spacing w:line="360" w:lineRule="auto"/>
        <w:rPr>
          <w:rFonts w:ascii="Arial" w:hAnsi="Arial" w:cs="Arial"/>
          <w:color w:val="0F486E" w:themeColor="text2" w:themeShade="BF"/>
          <w:sz w:val="22"/>
          <w:szCs w:val="22"/>
        </w:rPr>
      </w:pPr>
      <w:r w:rsidRPr="00AA076A">
        <w:rPr>
          <w:rFonts w:ascii="Arial" w:hAnsi="Arial" w:cs="Arial"/>
          <w:noProof/>
          <w:color w:val="0F486E" w:themeColor="text2" w:themeShade="BF"/>
          <w:sz w:val="22"/>
          <w:szCs w:val="22"/>
        </w:rPr>
        <mc:AlternateContent>
          <mc:Choice Requires="wps">
            <w:drawing>
              <wp:anchor distT="0" distB="0" distL="114300" distR="114300" simplePos="0" relativeHeight="251682816" behindDoc="0" locked="0" layoutInCell="1" allowOverlap="1" wp14:anchorId="599DB947" wp14:editId="6F753D47">
                <wp:simplePos x="0" y="0"/>
                <wp:positionH relativeFrom="column">
                  <wp:posOffset>2832100</wp:posOffset>
                </wp:positionH>
                <wp:positionV relativeFrom="paragraph">
                  <wp:posOffset>5715</wp:posOffset>
                </wp:positionV>
                <wp:extent cx="190832" cy="182880"/>
                <wp:effectExtent l="0" t="0" r="19050" b="26670"/>
                <wp:wrapNone/>
                <wp:docPr id="1960957172" name="Smiley Face 23"/>
                <wp:cNvGraphicFramePr/>
                <a:graphic xmlns:a="http://schemas.openxmlformats.org/drawingml/2006/main">
                  <a:graphicData uri="http://schemas.microsoft.com/office/word/2010/wordprocessingShape">
                    <wps:wsp>
                      <wps:cNvSpPr/>
                      <wps:spPr>
                        <a:xfrm>
                          <a:off x="0" y="0"/>
                          <a:ext cx="190832" cy="182880"/>
                        </a:xfrm>
                        <a:prstGeom prst="smileyFace">
                          <a:avLst/>
                        </a:prstGeom>
                        <a:solidFill>
                          <a:schemeClr val="tx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60FD14"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23" o:spid="_x0000_s1026" type="#_x0000_t96" style="position:absolute;margin-left:223pt;margin-top:.45pt;width:15.05pt;height:14.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" fillcolor="#4aa8e6 [1951]" strokecolor="#00060e [484]" strokeweight="1.25pt">
                <v:stroke endcap="round"/>
              </v:shape>
            </w:pict>
          </mc:Fallback>
        </mc:AlternateContent>
      </w:r>
      <w:r w:rsidRPr="00AA076A">
        <w:rPr>
          <w:rFonts w:ascii="Arial" w:hAnsi="Arial" w:cs="Arial"/>
          <w:noProof/>
          <w:color w:val="0F486E" w:themeColor="text2" w:themeShade="BF"/>
          <w:sz w:val="22"/>
          <w:szCs w:val="22"/>
        </w:rPr>
        <mc:AlternateContent>
          <mc:Choice Requires="wps">
            <w:drawing>
              <wp:anchor distT="0" distB="0" distL="114300" distR="114300" simplePos="0" relativeHeight="251681792" behindDoc="0" locked="0" layoutInCell="1" allowOverlap="1" wp14:anchorId="7BCB1329" wp14:editId="459BBC8B">
                <wp:simplePos x="0" y="0"/>
                <wp:positionH relativeFrom="column">
                  <wp:posOffset>1496060</wp:posOffset>
                </wp:positionH>
                <wp:positionV relativeFrom="paragraph">
                  <wp:posOffset>5715</wp:posOffset>
                </wp:positionV>
                <wp:extent cx="174928" cy="182880"/>
                <wp:effectExtent l="0" t="0" r="15875" b="26670"/>
                <wp:wrapNone/>
                <wp:docPr id="1216809391" name="Smiley Face 22"/>
                <wp:cNvGraphicFramePr/>
                <a:graphic xmlns:a="http://schemas.openxmlformats.org/drawingml/2006/main">
                  <a:graphicData uri="http://schemas.microsoft.com/office/word/2010/wordprocessingShape">
                    <wps:wsp>
                      <wps:cNvSpPr/>
                      <wps:spPr>
                        <a:xfrm>
                          <a:off x="0" y="0"/>
                          <a:ext cx="174928" cy="182880"/>
                        </a:xfrm>
                        <a:prstGeom prst="smileyFace">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563B74" id="Smiley Face 22" o:spid="_x0000_s1026" type="#_x0000_t96" style="position:absolute;margin-left:117.8pt;margin-top:.45pt;width:13.75pt;height:14.4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" fillcolor="#00b0f0" strokecolor="#00060e [484]" strokeweight="1.25pt">
                <v:stroke endcap="round"/>
              </v:shape>
            </w:pict>
          </mc:Fallback>
        </mc:AlternateContent>
      </w:r>
      <w:r w:rsidR="00A706F4" w:rsidRPr="00AA076A">
        <w:rPr>
          <w:rFonts w:ascii="Arial" w:hAnsi="Arial" w:cs="Arial"/>
          <w:color w:val="0F486E" w:themeColor="text2" w:themeShade="BF"/>
          <w:sz w:val="22"/>
          <w:szCs w:val="22"/>
        </w:rPr>
        <w:t>Anxiety or depression</w:t>
      </w:r>
      <w:r w:rsidR="004A53DA" w:rsidRPr="00AA076A">
        <w:rPr>
          <w:rFonts w:ascii="Arial" w:hAnsi="Arial" w:cs="Arial"/>
          <w:color w:val="0F486E" w:themeColor="text2" w:themeShade="BF"/>
          <w:sz w:val="22"/>
          <w:szCs w:val="22"/>
        </w:rPr>
        <w:t xml:space="preserve">            </w:t>
      </w:r>
      <w:r w:rsidR="00A706F4" w:rsidRPr="00AA076A">
        <w:rPr>
          <w:rFonts w:ascii="Arial" w:hAnsi="Arial" w:cs="Arial"/>
          <w:color w:val="0F486E" w:themeColor="text2" w:themeShade="BF"/>
          <w:sz w:val="22"/>
          <w:szCs w:val="22"/>
        </w:rPr>
        <w:t>Family carers</w:t>
      </w:r>
      <w:r w:rsidR="004A53DA" w:rsidRPr="00AA076A">
        <w:rPr>
          <w:rFonts w:ascii="Arial" w:hAnsi="Arial" w:cs="Arial"/>
          <w:color w:val="0F486E" w:themeColor="text2" w:themeShade="BF"/>
          <w:sz w:val="22"/>
          <w:szCs w:val="22"/>
        </w:rPr>
        <w:t xml:space="preserve">              </w:t>
      </w:r>
      <w:r w:rsidR="00A706F4" w:rsidRPr="00AA076A">
        <w:rPr>
          <w:rFonts w:ascii="Arial" w:hAnsi="Arial" w:cs="Arial"/>
          <w:color w:val="0F486E" w:themeColor="text2" w:themeShade="BF"/>
          <w:sz w:val="22"/>
          <w:szCs w:val="22"/>
        </w:rPr>
        <w:t>Bereavement support</w:t>
      </w:r>
    </w:p>
    <w:p w14:paraId="55E10C3F" w14:textId="6D58E29D" w:rsidR="009F321E" w:rsidRDefault="00A706F4" w:rsidP="00AA076A">
      <w:pPr>
        <w:spacing w:line="360" w:lineRule="auto"/>
        <w:rPr>
          <w:rFonts w:ascii="Arial" w:hAnsi="Arial" w:cs="Arial"/>
          <w:color w:val="0F486E" w:themeColor="text2" w:themeShade="BF"/>
          <w:sz w:val="22"/>
          <w:szCs w:val="22"/>
        </w:rPr>
      </w:pPr>
      <w:r w:rsidRPr="00AA076A">
        <w:rPr>
          <w:rFonts w:ascii="Arial" w:hAnsi="Arial" w:cs="Arial"/>
          <w:color w:val="0F486E" w:themeColor="text2" w:themeShade="BF"/>
          <w:sz w:val="22"/>
          <w:szCs w:val="22"/>
        </w:rPr>
        <w:t>You are entitled to compassionate, person-centred care that respects your values and beliefs</w:t>
      </w:r>
      <w:r w:rsidR="00E7397F" w:rsidRPr="00AA076A">
        <w:rPr>
          <w:rFonts w:ascii="Arial" w:hAnsi="Arial" w:cs="Arial"/>
          <w:color w:val="0F486E" w:themeColor="text2" w:themeShade="BF"/>
          <w:sz w:val="22"/>
          <w:szCs w:val="22"/>
        </w:rPr>
        <w:t>.</w:t>
      </w:r>
      <w:r w:rsidR="00751769" w:rsidRPr="00AA076A">
        <w:rPr>
          <w:rFonts w:ascii="Arial" w:hAnsi="Arial" w:cs="Arial"/>
          <w:color w:val="0F486E" w:themeColor="text2" w:themeShade="BF"/>
          <w:sz w:val="22"/>
          <w:szCs w:val="22"/>
        </w:rPr>
        <w:t xml:space="preserve"> End-of-life care in type 2 diabetes prioritises comfort, dignity and respect for personal wishes rather than strict blood sugar targets (NICE, 2015). </w:t>
      </w:r>
      <w:r w:rsidR="00B15747" w:rsidRPr="00B15747">
        <w:rPr>
          <w:rFonts w:ascii="Arial" w:hAnsi="Arial" w:cs="Arial"/>
          <w:color w:val="0F486E" w:themeColor="text2" w:themeShade="BF"/>
          <w:sz w:val="22"/>
          <w:szCs w:val="22"/>
        </w:rPr>
        <w:t>Individuals' and their families' quality of life can be enhanced by early discussions and individualized care planning.</w:t>
      </w:r>
    </w:p>
    <w:p w14:paraId="07A16425" w14:textId="77777777" w:rsidR="00DC130D" w:rsidRDefault="00DC130D" w:rsidP="00AA076A">
      <w:pPr>
        <w:spacing w:line="360" w:lineRule="auto"/>
        <w:rPr>
          <w:rFonts w:ascii="Arial" w:hAnsi="Arial" w:cs="Arial"/>
          <w:color w:val="0F486E" w:themeColor="text2" w:themeShade="BF"/>
          <w:sz w:val="22"/>
          <w:szCs w:val="22"/>
        </w:rPr>
      </w:pPr>
    </w:p>
    <w:p w14:paraId="36D6643F" w14:textId="6BFFB59D" w:rsidR="00881ABC" w:rsidRDefault="0042503A" w:rsidP="00AA076A">
      <w:pPr>
        <w:pStyle w:val="Heading1"/>
        <w:spacing w:line="360" w:lineRule="auto"/>
        <w:jc w:val="left"/>
        <w:rPr>
          <w:rFonts w:ascii="Arial" w:hAnsi="Arial" w:cs="Arial"/>
          <w:b/>
          <w:bCs/>
          <w:color w:val="167AF3" w:themeColor="accent1" w:themeTint="99"/>
          <w:sz w:val="32"/>
          <w:szCs w:val="32"/>
        </w:rPr>
      </w:pPr>
      <w:bookmarkStart w:id="18" w:name="_Toc223067599"/>
      <w:r w:rsidRPr="00AA076A">
        <w:rPr>
          <w:rFonts w:ascii="Arial" w:hAnsi="Arial" w:cs="Arial"/>
          <w:b/>
          <w:bCs/>
          <w:color w:val="167AF3" w:themeColor="accent1" w:themeTint="99"/>
          <w:sz w:val="32"/>
          <w:szCs w:val="32"/>
        </w:rPr>
        <w:lastRenderedPageBreak/>
        <w:t>Summary</w:t>
      </w:r>
      <w:bookmarkEnd w:id="18"/>
    </w:p>
    <w:p w14:paraId="1E75147E" w14:textId="338AB4D8" w:rsidR="00A024FC" w:rsidRPr="00A024FC" w:rsidRDefault="00A47640" w:rsidP="00A024FC">
      <w:pPr>
        <w:spacing w:line="360" w:lineRule="auto"/>
        <w:rPr>
          <w:rFonts w:ascii="Arial" w:hAnsi="Arial" w:cs="Arial"/>
          <w:color w:val="0F486E" w:themeColor="text2" w:themeShade="BF"/>
          <w:sz w:val="22"/>
          <w:szCs w:val="22"/>
        </w:rPr>
      </w:pPr>
      <w:r w:rsidRPr="00A47640">
        <w:rPr>
          <w:rFonts w:ascii="Arial" w:hAnsi="Arial" w:cs="Arial"/>
          <w:color w:val="0F486E" w:themeColor="text2" w:themeShade="BF"/>
          <w:sz w:val="22"/>
          <w:szCs w:val="22"/>
        </w:rPr>
        <w:t xml:space="preserve">Insulin resistance and increasing beta-cell dysfunction are hallmarks of type 2 diabetes, a complex, chronic illness that leads to persistent </w:t>
      </w:r>
      <w:r w:rsidRPr="00A47640">
        <w:rPr>
          <w:rFonts w:ascii="Arial" w:hAnsi="Arial" w:cs="Arial"/>
          <w:color w:val="0F486E" w:themeColor="text2" w:themeShade="BF"/>
          <w:sz w:val="22"/>
          <w:szCs w:val="22"/>
        </w:rPr>
        <w:t>hyperglycaemia</w:t>
      </w:r>
      <w:r w:rsidRPr="00A47640">
        <w:rPr>
          <w:rFonts w:ascii="Arial" w:hAnsi="Arial" w:cs="Arial"/>
          <w:color w:val="0F486E" w:themeColor="text2" w:themeShade="BF"/>
          <w:sz w:val="22"/>
          <w:szCs w:val="22"/>
        </w:rPr>
        <w:t xml:space="preserve"> (NICE, 2022). </w:t>
      </w:r>
      <w:r w:rsidR="00A024FC" w:rsidRPr="00A024FC">
        <w:rPr>
          <w:rFonts w:ascii="Arial" w:hAnsi="Arial" w:cs="Arial"/>
          <w:color w:val="0F486E" w:themeColor="text2" w:themeShade="BF"/>
          <w:sz w:val="22"/>
          <w:szCs w:val="22"/>
        </w:rPr>
        <w:t>It is a significant global and UK public health issue, contributing to high levels of morbidity, premature mortality and substantial healthcare expenditure (World Health Organization, 2016; Diabetes UK, 2023). In the UK, risk is higher among adults over 40 years (or over 25 in South Asian and Black African/Caribbean populations), and among individuals with obesity, hypertension or a family history of diabetes (Public Health England, 2018).</w:t>
      </w:r>
    </w:p>
    <w:p w14:paraId="7029A6B2" w14:textId="6DF0337B" w:rsidR="00A024FC" w:rsidRPr="00A024FC" w:rsidRDefault="00A64492" w:rsidP="00A024FC">
      <w:pPr>
        <w:spacing w:line="360" w:lineRule="auto"/>
        <w:rPr>
          <w:rFonts w:ascii="Arial" w:hAnsi="Arial" w:cs="Arial"/>
          <w:color w:val="0F486E" w:themeColor="text2" w:themeShade="BF"/>
          <w:sz w:val="22"/>
          <w:szCs w:val="22"/>
        </w:rPr>
      </w:pPr>
      <w:r w:rsidRPr="00A64492">
        <w:rPr>
          <w:rFonts w:ascii="Arial" w:hAnsi="Arial" w:cs="Arial"/>
          <w:color w:val="0F486E" w:themeColor="text2" w:themeShade="BF"/>
          <w:sz w:val="22"/>
          <w:szCs w:val="22"/>
        </w:rPr>
        <w:t xml:space="preserve">In addition to psychological discomfort and social hardship, the disorder is linked to major physical problems such as cardiovascular disease, neuropathy, nephropathy, and retinopathy (NICE, 2022; Fisher et al., 2012). </w:t>
      </w:r>
      <w:r w:rsidR="00A024FC" w:rsidRPr="00A024FC">
        <w:rPr>
          <w:rFonts w:ascii="Arial" w:hAnsi="Arial" w:cs="Arial"/>
          <w:color w:val="0F486E" w:themeColor="text2" w:themeShade="BF"/>
          <w:sz w:val="22"/>
          <w:szCs w:val="22"/>
        </w:rPr>
        <w:t>Effective management therefore extends beyond glycaemic control, requiring integrated multidisciplinary care, prevention strategies and action on wider social determinants of health (NHS England, 2019; Marmot et al., 2020).</w:t>
      </w:r>
    </w:p>
    <w:p w14:paraId="2CA1EE24" w14:textId="155D8C0D" w:rsidR="00A024FC" w:rsidRPr="00A024FC" w:rsidRDefault="00F910AE" w:rsidP="00A024FC">
      <w:pPr>
        <w:spacing w:line="360" w:lineRule="auto"/>
        <w:rPr>
          <w:rFonts w:ascii="Arial" w:hAnsi="Arial" w:cs="Arial"/>
          <w:color w:val="0F486E" w:themeColor="text2" w:themeShade="BF"/>
          <w:sz w:val="22"/>
          <w:szCs w:val="22"/>
        </w:rPr>
      </w:pPr>
      <w:r w:rsidRPr="00F910AE">
        <w:rPr>
          <w:rFonts w:ascii="Arial" w:hAnsi="Arial" w:cs="Arial"/>
          <w:color w:val="0F486E" w:themeColor="text2" w:themeShade="BF"/>
          <w:sz w:val="22"/>
          <w:szCs w:val="22"/>
        </w:rPr>
        <w:t>In keeping with national policy frameworks and evidence-based guidelines, person-</w:t>
      </w:r>
      <w:proofErr w:type="spellStart"/>
      <w:r w:rsidRPr="00F910AE">
        <w:rPr>
          <w:rFonts w:ascii="Arial" w:hAnsi="Arial" w:cs="Arial"/>
          <w:color w:val="0F486E" w:themeColor="text2" w:themeShade="BF"/>
          <w:sz w:val="22"/>
          <w:szCs w:val="22"/>
        </w:rPr>
        <w:t>centered</w:t>
      </w:r>
      <w:proofErr w:type="spellEnd"/>
      <w:r w:rsidRPr="00F910AE">
        <w:rPr>
          <w:rFonts w:ascii="Arial" w:hAnsi="Arial" w:cs="Arial"/>
          <w:color w:val="0F486E" w:themeColor="text2" w:themeShade="BF"/>
          <w:sz w:val="22"/>
          <w:szCs w:val="22"/>
        </w:rPr>
        <w:t xml:space="preserve"> care, collaborative decision-making, and organized self-management assistance are essential for better results (NHS England, 2019; NICE, 2021).</w:t>
      </w:r>
    </w:p>
    <w:p w14:paraId="32E1DD31" w14:textId="4496FC2D" w:rsidR="00881ABC" w:rsidRDefault="00F33FA6" w:rsidP="00F33FA6">
      <w:pPr>
        <w:spacing w:line="360" w:lineRule="auto"/>
        <w:rPr>
          <w:rFonts w:ascii="Arial" w:hAnsi="Arial" w:cs="Arial"/>
          <w:b/>
          <w:bCs/>
          <w:color w:val="167AF3" w:themeColor="accent1" w:themeTint="99"/>
          <w:sz w:val="28"/>
          <w:szCs w:val="28"/>
        </w:rPr>
      </w:pPr>
      <w:r w:rsidRPr="00F33FA6">
        <w:rPr>
          <w:rFonts w:ascii="Arial" w:hAnsi="Arial" w:cs="Arial"/>
          <w:b/>
          <w:bCs/>
          <w:color w:val="167AF3" w:themeColor="accent1" w:themeTint="99"/>
          <w:sz w:val="28"/>
          <w:szCs w:val="28"/>
        </w:rPr>
        <w:t>Key points</w:t>
      </w:r>
    </w:p>
    <w:p w14:paraId="285DE871" w14:textId="7053F9EE" w:rsidR="00F33FA6" w:rsidRPr="00F33FA6" w:rsidRDefault="00F33FA6" w:rsidP="00F33FA6">
      <w:pPr>
        <w:spacing w:line="360" w:lineRule="auto"/>
        <w:rPr>
          <w:rFonts w:ascii="Arial" w:hAnsi="Arial" w:cs="Arial"/>
          <w:color w:val="0F486E" w:themeColor="text2" w:themeShade="BF"/>
          <w:sz w:val="22"/>
          <w:szCs w:val="22"/>
        </w:rPr>
      </w:pPr>
      <w:r w:rsidRPr="00F33FA6">
        <w:rPr>
          <w:rFonts w:ascii="Arial" w:hAnsi="Arial" w:cs="Arial"/>
          <w:color w:val="0F486E" w:themeColor="text2" w:themeShade="BF"/>
          <w:sz w:val="22"/>
          <w:szCs w:val="22"/>
        </w:rPr>
        <w:t>• Type 2 diabetes is preventable and manageable with early intervention and lifestyle modification (WHO, 2016; NICE, 2022).</w:t>
      </w:r>
    </w:p>
    <w:p w14:paraId="7C91A512" w14:textId="21CAB594" w:rsidR="00F33FA6" w:rsidRPr="00F33FA6" w:rsidRDefault="00F33FA6" w:rsidP="00F33FA6">
      <w:pPr>
        <w:spacing w:line="360" w:lineRule="auto"/>
        <w:rPr>
          <w:rFonts w:ascii="Arial" w:hAnsi="Arial" w:cs="Arial"/>
          <w:color w:val="0F486E" w:themeColor="text2" w:themeShade="BF"/>
          <w:sz w:val="22"/>
          <w:szCs w:val="22"/>
        </w:rPr>
      </w:pPr>
      <w:r w:rsidRPr="00F33FA6">
        <w:rPr>
          <w:rFonts w:ascii="Arial" w:hAnsi="Arial" w:cs="Arial"/>
          <w:color w:val="0F486E" w:themeColor="text2" w:themeShade="BF"/>
          <w:sz w:val="22"/>
          <w:szCs w:val="22"/>
        </w:rPr>
        <w:t>• High-risk groups include adults over 40 (or over 25 in certain ethnic groups), individuals with obesity, hypertension and family history (Public Health England, 2018).</w:t>
      </w:r>
    </w:p>
    <w:p w14:paraId="30FF299B" w14:textId="74AF14F5" w:rsidR="00F33FA6" w:rsidRPr="00F33FA6" w:rsidRDefault="00F33FA6" w:rsidP="00F33FA6">
      <w:pPr>
        <w:spacing w:line="360" w:lineRule="auto"/>
        <w:rPr>
          <w:rFonts w:ascii="Arial" w:hAnsi="Arial" w:cs="Arial"/>
          <w:color w:val="0F486E" w:themeColor="text2" w:themeShade="BF"/>
          <w:sz w:val="22"/>
          <w:szCs w:val="22"/>
        </w:rPr>
      </w:pPr>
      <w:r w:rsidRPr="00F33FA6">
        <w:rPr>
          <w:rFonts w:ascii="Arial" w:hAnsi="Arial" w:cs="Arial"/>
          <w:color w:val="0F486E" w:themeColor="text2" w:themeShade="BF"/>
          <w:sz w:val="22"/>
          <w:szCs w:val="22"/>
        </w:rPr>
        <w:t>• Complications can be reduced through regular monitoring, structured education and evidence-based treatment (NICE, 2022).</w:t>
      </w:r>
    </w:p>
    <w:p w14:paraId="3E7DA99F" w14:textId="59DC6A4A" w:rsidR="00F33FA6" w:rsidRPr="00F33FA6" w:rsidRDefault="00F33FA6" w:rsidP="00F33FA6">
      <w:pPr>
        <w:spacing w:line="360" w:lineRule="auto"/>
        <w:rPr>
          <w:rFonts w:ascii="Arial" w:hAnsi="Arial" w:cs="Arial"/>
          <w:color w:val="0F486E" w:themeColor="text2" w:themeShade="BF"/>
          <w:sz w:val="22"/>
          <w:szCs w:val="22"/>
        </w:rPr>
      </w:pPr>
      <w:r w:rsidRPr="00F33FA6">
        <w:rPr>
          <w:rFonts w:ascii="Arial" w:hAnsi="Arial" w:cs="Arial"/>
          <w:color w:val="0F486E" w:themeColor="text2" w:themeShade="BF"/>
          <w:sz w:val="22"/>
          <w:szCs w:val="22"/>
        </w:rPr>
        <w:t>• Person-centred care and shared decision-making improve engagement and long-term outcomes (NICE, 2021).</w:t>
      </w:r>
    </w:p>
    <w:p w14:paraId="5579BC4A" w14:textId="5BED0F57" w:rsidR="00F33FA6" w:rsidRPr="00F33FA6" w:rsidRDefault="00F33FA6" w:rsidP="00F33FA6">
      <w:pPr>
        <w:spacing w:line="360" w:lineRule="auto"/>
        <w:rPr>
          <w:rFonts w:ascii="Arial" w:hAnsi="Arial" w:cs="Arial"/>
          <w:color w:val="0F486E" w:themeColor="text2" w:themeShade="BF"/>
          <w:sz w:val="22"/>
          <w:szCs w:val="22"/>
        </w:rPr>
      </w:pPr>
      <w:r w:rsidRPr="00F33FA6">
        <w:rPr>
          <w:rFonts w:ascii="Arial" w:hAnsi="Arial" w:cs="Arial"/>
          <w:color w:val="0F486E" w:themeColor="text2" w:themeShade="BF"/>
          <w:sz w:val="22"/>
          <w:szCs w:val="22"/>
        </w:rPr>
        <w:t>• Addressing inequality and social determinants is essential to reduce prevalence and complications (Marmot et al., 2020; NHS England, 2019).</w:t>
      </w:r>
    </w:p>
    <w:p w14:paraId="3FBFD81C" w14:textId="3A395081" w:rsidR="00F33FA6" w:rsidRPr="00F33FA6" w:rsidRDefault="00F33FA6" w:rsidP="00F33FA6">
      <w:pPr>
        <w:spacing w:line="360" w:lineRule="auto"/>
        <w:rPr>
          <w:rFonts w:ascii="Arial" w:hAnsi="Arial" w:cs="Arial"/>
          <w:color w:val="0F486E" w:themeColor="text2" w:themeShade="BF"/>
          <w:sz w:val="22"/>
          <w:szCs w:val="22"/>
        </w:rPr>
      </w:pPr>
      <w:r w:rsidRPr="00F33FA6">
        <w:rPr>
          <w:rFonts w:ascii="Arial" w:hAnsi="Arial" w:cs="Arial"/>
          <w:color w:val="0F486E" w:themeColor="text2" w:themeShade="BF"/>
          <w:sz w:val="22"/>
          <w:szCs w:val="22"/>
        </w:rPr>
        <w:t>• Integrated care models and public health approaches are key to sustainable diabetes management (NHS England, 2019; WHO, 2016).</w:t>
      </w:r>
    </w:p>
    <w:p w14:paraId="3D399EA1" w14:textId="77777777" w:rsidR="00881ABC" w:rsidRPr="00AA076A" w:rsidRDefault="00881ABC" w:rsidP="0056367E">
      <w:pPr>
        <w:spacing w:line="360" w:lineRule="auto"/>
        <w:rPr>
          <w:rFonts w:ascii="Arial" w:hAnsi="Arial" w:cs="Arial"/>
          <w:color w:val="0F486E" w:themeColor="text2" w:themeShade="BF"/>
          <w:sz w:val="22"/>
          <w:szCs w:val="22"/>
        </w:rPr>
      </w:pPr>
    </w:p>
    <w:p w14:paraId="2CA479BE" w14:textId="193D2037" w:rsidR="00881ABC" w:rsidRPr="00AA076A" w:rsidRDefault="00881ABC" w:rsidP="00AA076A">
      <w:pPr>
        <w:spacing w:line="360" w:lineRule="auto"/>
        <w:jc w:val="center"/>
        <w:rPr>
          <w:rFonts w:ascii="Arial" w:hAnsi="Arial" w:cs="Arial"/>
          <w:color w:val="0F486E" w:themeColor="text2" w:themeShade="BF"/>
          <w:sz w:val="22"/>
          <w:szCs w:val="22"/>
        </w:rPr>
      </w:pPr>
      <w:r w:rsidRPr="00AA076A">
        <w:rPr>
          <w:rFonts w:ascii="Arial" w:hAnsi="Arial" w:cs="Arial"/>
          <w:noProof/>
          <w:color w:val="0F486E" w:themeColor="text2" w:themeShade="BF"/>
          <w:sz w:val="22"/>
          <w:szCs w:val="22"/>
        </w:rPr>
        <w:lastRenderedPageBreak/>
        <w:drawing>
          <wp:inline distT="0" distB="0" distL="0" distR="0" wp14:anchorId="5CE31A4F" wp14:editId="17EB4AD0">
            <wp:extent cx="2537637" cy="2696411"/>
            <wp:effectExtent l="0" t="0" r="0" b="8890"/>
            <wp:docPr id="51317319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541935" cy="2700978"/>
                    </a:xfrm>
                    <a:prstGeom prst="rect">
                      <a:avLst/>
                    </a:prstGeom>
                    <a:noFill/>
                  </pic:spPr>
                </pic:pic>
              </a:graphicData>
            </a:graphic>
          </wp:inline>
        </w:drawing>
      </w:r>
    </w:p>
    <w:p w14:paraId="1368D1F9" w14:textId="7C07CBE2" w:rsidR="0065505A" w:rsidRPr="0056367E" w:rsidRDefault="0042503A" w:rsidP="0056367E">
      <w:pPr>
        <w:spacing w:line="360" w:lineRule="auto"/>
        <w:jc w:val="center"/>
        <w:rPr>
          <w:rFonts w:ascii="Arial" w:hAnsi="Arial" w:cs="Arial"/>
          <w:b/>
          <w:bCs/>
          <w:color w:val="EE0000"/>
        </w:rPr>
      </w:pPr>
      <w:r w:rsidRPr="0056367E">
        <w:rPr>
          <w:rFonts w:ascii="Arial" w:hAnsi="Arial" w:cs="Arial"/>
          <w:b/>
          <w:bCs/>
          <w:color w:val="EE0000"/>
        </w:rPr>
        <w:t>To access additional guidance, self-management support please scan the QR code to visit the NHS and Diabetes UK websites.</w:t>
      </w:r>
    </w:p>
    <w:p w14:paraId="7173DCD5" w14:textId="77777777" w:rsidR="007C1AA8" w:rsidRPr="007C1AA8" w:rsidRDefault="007C1AA8" w:rsidP="007C1AA8"/>
    <w:p w14:paraId="0A07F7BC" w14:textId="77777777" w:rsidR="00DF66A9" w:rsidRDefault="00DF66A9" w:rsidP="00BC447A">
      <w:pPr>
        <w:spacing w:line="360" w:lineRule="auto"/>
        <w:rPr>
          <w:rFonts w:ascii="Arial" w:hAnsi="Arial" w:cs="Arial"/>
          <w:color w:val="0F486E" w:themeColor="text2" w:themeShade="BF"/>
          <w:sz w:val="24"/>
          <w:szCs w:val="24"/>
        </w:rPr>
      </w:pPr>
    </w:p>
    <w:p w14:paraId="62E04D28" w14:textId="77777777" w:rsidR="007C1AA8" w:rsidRDefault="007C1AA8" w:rsidP="00BC447A">
      <w:pPr>
        <w:spacing w:line="360" w:lineRule="auto"/>
        <w:rPr>
          <w:rFonts w:ascii="Arial" w:hAnsi="Arial" w:cs="Arial"/>
          <w:color w:val="0F486E" w:themeColor="text2" w:themeShade="BF"/>
          <w:sz w:val="24"/>
          <w:szCs w:val="24"/>
        </w:rPr>
      </w:pPr>
    </w:p>
    <w:p w14:paraId="6FC463F5" w14:textId="77777777" w:rsidR="007C1AA8" w:rsidRDefault="007C1AA8" w:rsidP="00BC447A">
      <w:pPr>
        <w:spacing w:line="360" w:lineRule="auto"/>
        <w:rPr>
          <w:rFonts w:ascii="Arial" w:hAnsi="Arial" w:cs="Arial"/>
          <w:color w:val="0F486E" w:themeColor="text2" w:themeShade="BF"/>
          <w:sz w:val="24"/>
          <w:szCs w:val="24"/>
        </w:rPr>
      </w:pPr>
    </w:p>
    <w:p w14:paraId="5D15B5CD" w14:textId="77777777" w:rsidR="007C1AA8" w:rsidRDefault="007C1AA8" w:rsidP="00BC447A">
      <w:pPr>
        <w:spacing w:line="360" w:lineRule="auto"/>
        <w:rPr>
          <w:rFonts w:ascii="Arial" w:hAnsi="Arial" w:cs="Arial"/>
          <w:color w:val="0F486E" w:themeColor="text2" w:themeShade="BF"/>
          <w:sz w:val="24"/>
          <w:szCs w:val="24"/>
        </w:rPr>
      </w:pPr>
    </w:p>
    <w:p w14:paraId="7BF9060B" w14:textId="77777777" w:rsidR="007C1AA8" w:rsidRDefault="007C1AA8" w:rsidP="00BC447A">
      <w:pPr>
        <w:spacing w:line="360" w:lineRule="auto"/>
        <w:rPr>
          <w:rFonts w:ascii="Arial" w:hAnsi="Arial" w:cs="Arial"/>
          <w:color w:val="0F486E" w:themeColor="text2" w:themeShade="BF"/>
          <w:sz w:val="24"/>
          <w:szCs w:val="24"/>
        </w:rPr>
      </w:pPr>
    </w:p>
    <w:p w14:paraId="5C7A3E95" w14:textId="77777777" w:rsidR="007C1AA8" w:rsidRDefault="007C1AA8" w:rsidP="00BC447A">
      <w:pPr>
        <w:spacing w:line="360" w:lineRule="auto"/>
        <w:rPr>
          <w:rFonts w:ascii="Arial" w:hAnsi="Arial" w:cs="Arial"/>
          <w:color w:val="0F486E" w:themeColor="text2" w:themeShade="BF"/>
          <w:sz w:val="24"/>
          <w:szCs w:val="24"/>
        </w:rPr>
      </w:pPr>
    </w:p>
    <w:p w14:paraId="59F16E17" w14:textId="77777777" w:rsidR="007C1AA8" w:rsidRDefault="007C1AA8" w:rsidP="00BC447A">
      <w:pPr>
        <w:spacing w:line="360" w:lineRule="auto"/>
        <w:rPr>
          <w:rFonts w:ascii="Arial" w:hAnsi="Arial" w:cs="Arial"/>
          <w:color w:val="0F486E" w:themeColor="text2" w:themeShade="BF"/>
          <w:sz w:val="24"/>
          <w:szCs w:val="24"/>
        </w:rPr>
      </w:pPr>
    </w:p>
    <w:p w14:paraId="4D0A0DA2" w14:textId="77777777" w:rsidR="00A024FC" w:rsidRDefault="00A024FC" w:rsidP="00BC447A">
      <w:pPr>
        <w:spacing w:line="360" w:lineRule="auto"/>
        <w:rPr>
          <w:rFonts w:ascii="Arial" w:hAnsi="Arial" w:cs="Arial"/>
          <w:color w:val="0F486E" w:themeColor="text2" w:themeShade="BF"/>
          <w:sz w:val="24"/>
          <w:szCs w:val="24"/>
        </w:rPr>
      </w:pPr>
    </w:p>
    <w:p w14:paraId="16376919" w14:textId="77777777" w:rsidR="00A024FC" w:rsidRDefault="00A024FC" w:rsidP="00BC447A">
      <w:pPr>
        <w:spacing w:line="360" w:lineRule="auto"/>
        <w:rPr>
          <w:rFonts w:ascii="Arial" w:hAnsi="Arial" w:cs="Arial"/>
          <w:color w:val="0F486E" w:themeColor="text2" w:themeShade="BF"/>
          <w:sz w:val="24"/>
          <w:szCs w:val="24"/>
        </w:rPr>
      </w:pPr>
    </w:p>
    <w:p w14:paraId="5F3BAE70" w14:textId="77777777" w:rsidR="00A024FC" w:rsidRDefault="00A024FC" w:rsidP="00BC447A">
      <w:pPr>
        <w:spacing w:line="360" w:lineRule="auto"/>
        <w:rPr>
          <w:rFonts w:ascii="Arial" w:hAnsi="Arial" w:cs="Arial"/>
          <w:color w:val="0F486E" w:themeColor="text2" w:themeShade="BF"/>
          <w:sz w:val="24"/>
          <w:szCs w:val="24"/>
        </w:rPr>
      </w:pPr>
    </w:p>
    <w:p w14:paraId="72F49769" w14:textId="77777777" w:rsidR="000A659C" w:rsidRDefault="000A659C" w:rsidP="000A659C">
      <w:pPr>
        <w:pStyle w:val="Heading1"/>
        <w:shd w:val="clear" w:color="auto" w:fill="F2F2F2" w:themeFill="background1" w:themeFillShade="F2"/>
        <w:jc w:val="left"/>
      </w:pPr>
    </w:p>
    <w:p w14:paraId="529049EB" w14:textId="77777777" w:rsidR="000A659C" w:rsidRDefault="000A659C" w:rsidP="000A659C">
      <w:pPr>
        <w:pStyle w:val="Heading1"/>
        <w:shd w:val="clear" w:color="auto" w:fill="F2F2F2" w:themeFill="background1" w:themeFillShade="F2"/>
        <w:jc w:val="left"/>
      </w:pPr>
    </w:p>
    <w:p w14:paraId="43EDEFB9" w14:textId="0F1277F2" w:rsidR="00474BF6" w:rsidRDefault="00474BF6" w:rsidP="000A659C">
      <w:pPr>
        <w:pStyle w:val="Heading1"/>
        <w:shd w:val="clear" w:color="auto" w:fill="F2F2F2" w:themeFill="background1" w:themeFillShade="F2"/>
        <w:jc w:val="left"/>
        <w:rPr>
          <w:rFonts w:ascii="Arial" w:hAnsi="Arial" w:cs="Arial"/>
          <w:color w:val="167AF3" w:themeColor="accent1" w:themeTint="99"/>
          <w:sz w:val="32"/>
          <w:szCs w:val="32"/>
        </w:rPr>
      </w:pPr>
      <w:bookmarkStart w:id="19" w:name="_Toc223067600"/>
      <w:r w:rsidRPr="00DC130D">
        <w:rPr>
          <w:rFonts w:ascii="Arial" w:hAnsi="Arial" w:cs="Arial"/>
          <w:color w:val="167AF3" w:themeColor="accent1" w:themeTint="99"/>
          <w:sz w:val="32"/>
          <w:szCs w:val="32"/>
        </w:rPr>
        <w:t>Reference list</w:t>
      </w:r>
      <w:bookmarkEnd w:id="19"/>
    </w:p>
    <w:p w14:paraId="368451B0" w14:textId="77777777" w:rsidR="00F47B96" w:rsidRPr="00F47B96" w:rsidRDefault="00F47B96" w:rsidP="00F47B96"/>
    <w:p w14:paraId="6EF6493E" w14:textId="77777777" w:rsidR="00F47B96" w:rsidRDefault="00F47B96" w:rsidP="00926043">
      <w:pPr>
        <w:spacing w:line="360" w:lineRule="auto"/>
        <w:rPr>
          <w:rFonts w:ascii="Arial" w:hAnsi="Arial" w:cs="Arial"/>
          <w:color w:val="0F486E" w:themeColor="text2" w:themeShade="BF"/>
          <w:sz w:val="24"/>
          <w:szCs w:val="24"/>
        </w:rPr>
      </w:pPr>
    </w:p>
    <w:p w14:paraId="4122AA4F" w14:textId="77777777" w:rsidR="00691FE9" w:rsidRPr="00474BF6" w:rsidRDefault="00691FE9" w:rsidP="00474BF6">
      <w:pPr>
        <w:spacing w:line="360" w:lineRule="auto"/>
        <w:rPr>
          <w:rFonts w:ascii="Arial" w:hAnsi="Arial" w:cs="Arial"/>
          <w:sz w:val="22"/>
          <w:szCs w:val="22"/>
        </w:rPr>
      </w:pPr>
      <w:proofErr w:type="spellStart"/>
      <w:r w:rsidRPr="00474BF6">
        <w:rPr>
          <w:rFonts w:ascii="Arial" w:hAnsi="Arial" w:cs="Arial"/>
          <w:sz w:val="22"/>
          <w:szCs w:val="22"/>
        </w:rPr>
        <w:t>Alicic</w:t>
      </w:r>
      <w:proofErr w:type="spellEnd"/>
      <w:r w:rsidRPr="00474BF6">
        <w:rPr>
          <w:rFonts w:ascii="Arial" w:hAnsi="Arial" w:cs="Arial"/>
          <w:sz w:val="22"/>
          <w:szCs w:val="22"/>
        </w:rPr>
        <w:t>, R.Z. et al. (2017) ‘Diabetic nephropathy: challenges, progress, and possibilities’, Clinical Journal of the American Society of Nephrology, 12(12), pp. 2032–2045.</w:t>
      </w:r>
    </w:p>
    <w:p w14:paraId="69EC6367" w14:textId="77777777" w:rsidR="00691FE9" w:rsidRDefault="00691FE9" w:rsidP="00474BF6">
      <w:pPr>
        <w:spacing w:line="360" w:lineRule="auto"/>
        <w:rPr>
          <w:rFonts w:ascii="Arial" w:hAnsi="Arial" w:cs="Arial"/>
          <w:sz w:val="22"/>
          <w:szCs w:val="22"/>
        </w:rPr>
      </w:pPr>
      <w:r w:rsidRPr="00917864">
        <w:rPr>
          <w:rFonts w:ascii="Arial" w:hAnsi="Arial" w:cs="Arial"/>
          <w:sz w:val="22"/>
          <w:szCs w:val="22"/>
        </w:rPr>
        <w:t xml:space="preserve">Ansari, R.M., Harris, M.F., Hosseinzadeh, H. and Zwar, N. (2021). Applications of a Chronic </w:t>
      </w:r>
    </w:p>
    <w:p w14:paraId="2CAE43EE" w14:textId="77777777" w:rsidR="00691FE9" w:rsidRPr="00474BF6" w:rsidRDefault="00691FE9" w:rsidP="00BC447A">
      <w:pPr>
        <w:spacing w:line="360" w:lineRule="auto"/>
        <w:rPr>
          <w:rFonts w:ascii="Arial" w:hAnsi="Arial" w:cs="Arial"/>
          <w:sz w:val="22"/>
          <w:szCs w:val="22"/>
        </w:rPr>
      </w:pPr>
      <w:r w:rsidRPr="00474BF6">
        <w:rPr>
          <w:rFonts w:ascii="Arial" w:hAnsi="Arial" w:cs="Arial"/>
          <w:sz w:val="22"/>
          <w:szCs w:val="22"/>
        </w:rPr>
        <w:t>Bain, S.C. et al. (2020) ‘Management of diabetes at the end of life’, Diabetic Medicine, 37(8), pp. 1250–1258.</w:t>
      </w:r>
    </w:p>
    <w:p w14:paraId="3470CF50" w14:textId="77777777" w:rsidR="00691FE9" w:rsidRDefault="00691FE9" w:rsidP="00CD4649">
      <w:pPr>
        <w:spacing w:line="360" w:lineRule="auto"/>
        <w:rPr>
          <w:rFonts w:ascii="Arial" w:hAnsi="Arial" w:cs="Arial"/>
          <w:color w:val="000000" w:themeColor="text1"/>
          <w:sz w:val="20"/>
          <w:szCs w:val="20"/>
        </w:rPr>
      </w:pPr>
      <w:proofErr w:type="spellStart"/>
      <w:r w:rsidRPr="00CD4649">
        <w:rPr>
          <w:rFonts w:ascii="Arial" w:hAnsi="Arial" w:cs="Arial"/>
          <w:color w:val="000000" w:themeColor="text1"/>
          <w:sz w:val="20"/>
          <w:szCs w:val="20"/>
        </w:rPr>
        <w:t>Battelino</w:t>
      </w:r>
      <w:proofErr w:type="spellEnd"/>
      <w:r w:rsidRPr="00CD4649">
        <w:rPr>
          <w:rFonts w:ascii="Arial" w:hAnsi="Arial" w:cs="Arial"/>
          <w:color w:val="000000" w:themeColor="text1"/>
          <w:sz w:val="20"/>
          <w:szCs w:val="20"/>
        </w:rPr>
        <w:t>, T. et al. (2020) ‘Clinical targets for continuous glucose monitoring data interpretation’, Diabetes Care, 43(1), pp. 159–178.</w:t>
      </w:r>
    </w:p>
    <w:p w14:paraId="66CDFF56"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Bellamy, L. et al. (2009) ‘Type 2 diabetes mellitus after gestational diabetes’, Lancet, 373(9677), pp. 1773–1779.</w:t>
      </w:r>
    </w:p>
    <w:p w14:paraId="07C966D4" w14:textId="77777777" w:rsidR="00691FE9" w:rsidRPr="004A53DA" w:rsidRDefault="00691FE9" w:rsidP="004A53DA">
      <w:pPr>
        <w:spacing w:line="360" w:lineRule="auto"/>
        <w:rPr>
          <w:rFonts w:ascii="Arial" w:hAnsi="Arial" w:cs="Arial"/>
          <w:color w:val="0D0D0D" w:themeColor="text1" w:themeTint="F2"/>
          <w:sz w:val="22"/>
          <w:szCs w:val="22"/>
        </w:rPr>
      </w:pPr>
      <w:r w:rsidRPr="004A53DA">
        <w:rPr>
          <w:rFonts w:ascii="Arial" w:hAnsi="Arial" w:cs="Arial"/>
          <w:color w:val="0D0D0D" w:themeColor="text1" w:themeTint="F2"/>
          <w:sz w:val="22"/>
          <w:szCs w:val="22"/>
        </w:rPr>
        <w:t>Boorse, C. (1977) ‘Health as a theoretical concept’, Philosophy of Science, 44(4), pp. 542–573.</w:t>
      </w:r>
    </w:p>
    <w:p w14:paraId="547A8BA9"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Boulton, A.J.M. et al. (2005) ‘Comprehensive foot examination and risk assessment’, Diabetes Care, 31(8), pp. 1679–1685.</w:t>
      </w:r>
    </w:p>
    <w:p w14:paraId="7C4CB885" w14:textId="77777777" w:rsidR="00691FE9" w:rsidRPr="00474BF6" w:rsidRDefault="00691FE9" w:rsidP="00474BF6">
      <w:pPr>
        <w:spacing w:line="360" w:lineRule="auto"/>
        <w:rPr>
          <w:rFonts w:ascii="Arial" w:hAnsi="Arial" w:cs="Arial"/>
          <w:sz w:val="22"/>
          <w:szCs w:val="22"/>
        </w:rPr>
      </w:pPr>
      <w:r w:rsidRPr="00917864">
        <w:rPr>
          <w:rFonts w:ascii="Arial" w:hAnsi="Arial" w:cs="Arial"/>
          <w:sz w:val="22"/>
          <w:szCs w:val="22"/>
        </w:rPr>
        <w:t xml:space="preserve">Care Model for Self-Management of Type 2 Diabetes: A Qualitative Analysis. International Journal of Environmental Research and Public Health, 18(20), p.10840. </w:t>
      </w:r>
      <w:proofErr w:type="spellStart"/>
      <w:r w:rsidRPr="00917864">
        <w:rPr>
          <w:rFonts w:ascii="Arial" w:hAnsi="Arial" w:cs="Arial"/>
          <w:sz w:val="22"/>
          <w:szCs w:val="22"/>
        </w:rPr>
        <w:t>doi:https</w:t>
      </w:r>
      <w:proofErr w:type="spellEnd"/>
      <w:r w:rsidRPr="00917864">
        <w:rPr>
          <w:rFonts w:ascii="Arial" w:hAnsi="Arial" w:cs="Arial"/>
          <w:sz w:val="22"/>
          <w:szCs w:val="22"/>
        </w:rPr>
        <w:t>://doi.org/10.3390/ijerph182010840.</w:t>
      </w:r>
    </w:p>
    <w:p w14:paraId="264FB643" w14:textId="77777777" w:rsidR="00691FE9" w:rsidRPr="00CD4649" w:rsidRDefault="00691FE9" w:rsidP="00CD4649">
      <w:pPr>
        <w:spacing w:line="360" w:lineRule="auto"/>
        <w:rPr>
          <w:rFonts w:ascii="Arial" w:hAnsi="Arial" w:cs="Arial"/>
          <w:color w:val="000000" w:themeColor="text1"/>
          <w:sz w:val="20"/>
          <w:szCs w:val="20"/>
        </w:rPr>
      </w:pPr>
      <w:r w:rsidRPr="00CD4649">
        <w:rPr>
          <w:rFonts w:ascii="Arial" w:hAnsi="Arial" w:cs="Arial"/>
          <w:color w:val="000000" w:themeColor="text1"/>
          <w:sz w:val="20"/>
          <w:szCs w:val="20"/>
        </w:rPr>
        <w:t xml:space="preserve">Charpentier, G. et al. (2019) ‘Mobile app use for the self-management of type 2 diabetes: results of the </w:t>
      </w:r>
      <w:proofErr w:type="spellStart"/>
      <w:r w:rsidRPr="00CD4649">
        <w:rPr>
          <w:rFonts w:ascii="Arial" w:hAnsi="Arial" w:cs="Arial"/>
          <w:color w:val="000000" w:themeColor="text1"/>
          <w:sz w:val="20"/>
          <w:szCs w:val="20"/>
        </w:rPr>
        <w:t>DiaCert</w:t>
      </w:r>
      <w:proofErr w:type="spellEnd"/>
      <w:r w:rsidRPr="00CD4649">
        <w:rPr>
          <w:rFonts w:ascii="Arial" w:hAnsi="Arial" w:cs="Arial"/>
          <w:color w:val="000000" w:themeColor="text1"/>
          <w:sz w:val="20"/>
          <w:szCs w:val="20"/>
        </w:rPr>
        <w:t xml:space="preserve"> randomized controlled trial’, Journal of Diabetes Science and Technology, 13(3), pp. 464–472.</w:t>
      </w:r>
    </w:p>
    <w:p w14:paraId="5B0FEA33"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Colberg, S.R. et al. (2016) ‘Physical activity guidelines for diabetes’, Diabetes Care, 39(11), pp. 2065–2079.</w:t>
      </w:r>
    </w:p>
    <w:p w14:paraId="73B6F59C" w14:textId="77777777" w:rsidR="00691FE9" w:rsidRPr="004A53DA" w:rsidRDefault="00691FE9" w:rsidP="004A53DA">
      <w:pPr>
        <w:spacing w:line="360" w:lineRule="auto"/>
        <w:rPr>
          <w:rFonts w:ascii="Arial" w:hAnsi="Arial" w:cs="Arial"/>
          <w:color w:val="0D0D0D" w:themeColor="text1" w:themeTint="F2"/>
          <w:sz w:val="22"/>
          <w:szCs w:val="22"/>
        </w:rPr>
      </w:pPr>
      <w:r w:rsidRPr="004A53DA">
        <w:rPr>
          <w:rFonts w:ascii="Arial" w:hAnsi="Arial" w:cs="Arial"/>
          <w:color w:val="0D0D0D" w:themeColor="text1" w:themeTint="F2"/>
          <w:sz w:val="22"/>
          <w:szCs w:val="22"/>
        </w:rPr>
        <w:t>Coleman, K. et al. (2009) ‘Evidence on the Chronic Care Model’, Health Affairs, 28(1), pp. 75–85.</w:t>
      </w:r>
    </w:p>
    <w:p w14:paraId="16381F9B" w14:textId="77777777" w:rsidR="00691FE9" w:rsidRPr="004A53DA" w:rsidRDefault="00691FE9" w:rsidP="004A53DA">
      <w:pPr>
        <w:spacing w:line="360" w:lineRule="auto"/>
        <w:rPr>
          <w:rFonts w:ascii="Arial" w:hAnsi="Arial" w:cs="Arial"/>
          <w:color w:val="0D0D0D" w:themeColor="text1" w:themeTint="F2"/>
          <w:sz w:val="22"/>
          <w:szCs w:val="22"/>
        </w:rPr>
      </w:pPr>
      <w:r w:rsidRPr="004A53DA">
        <w:rPr>
          <w:rFonts w:ascii="Arial" w:hAnsi="Arial" w:cs="Arial"/>
          <w:color w:val="0D0D0D" w:themeColor="text1" w:themeTint="F2"/>
          <w:sz w:val="22"/>
          <w:szCs w:val="22"/>
        </w:rPr>
        <w:lastRenderedPageBreak/>
        <w:t>Coulter, A. et al. (2013) Delivering better services for people with long-term conditions. London: The King’s Fund.</w:t>
      </w:r>
    </w:p>
    <w:p w14:paraId="02214D30" w14:textId="77777777" w:rsidR="00691FE9" w:rsidRPr="00DF28F0" w:rsidRDefault="00691FE9" w:rsidP="00DF28F0">
      <w:pPr>
        <w:spacing w:line="360" w:lineRule="auto"/>
        <w:rPr>
          <w:rFonts w:ascii="Arial" w:hAnsi="Arial" w:cs="Arial"/>
          <w:sz w:val="24"/>
          <w:szCs w:val="24"/>
        </w:rPr>
      </w:pPr>
      <w:r w:rsidRPr="00DF28F0">
        <w:rPr>
          <w:rFonts w:ascii="Arial" w:hAnsi="Arial" w:cs="Arial"/>
          <w:sz w:val="24"/>
          <w:szCs w:val="24"/>
        </w:rPr>
        <w:t>Coulter, A., Entwistle, V.A. and Eccles, A. (2013) Personalised Care Planning for Long Term Conditions. Oxford: Oxford University Press.</w:t>
      </w:r>
    </w:p>
    <w:p w14:paraId="181E0442"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Davies, M.J. et al. (2008) ‘Effectiveness of the X-PERT Diabetes Programme’, Diabetic Medicine, 25(9), pp. 1007–1014.</w:t>
      </w:r>
    </w:p>
    <w:p w14:paraId="613F52F1"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DeFronzo, R.A. et al. (2015) ‘Type 2 diabetes mellitus’, Nature Reviews Disease Primers, 1, pp. 1–22.</w:t>
      </w:r>
    </w:p>
    <w:p w14:paraId="555DC50F"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Després, J.P. (2012) ‘Body fat distribution and risk’, Circulation, 126(10), pp. 1301–1313.</w:t>
      </w:r>
    </w:p>
    <w:p w14:paraId="095DC4AB" w14:textId="77777777" w:rsidR="00691FE9" w:rsidRPr="00474BF6" w:rsidRDefault="00691FE9" w:rsidP="00BC447A">
      <w:pPr>
        <w:spacing w:line="360" w:lineRule="auto"/>
        <w:rPr>
          <w:rFonts w:ascii="Arial" w:hAnsi="Arial" w:cs="Arial"/>
          <w:sz w:val="22"/>
          <w:szCs w:val="22"/>
        </w:rPr>
      </w:pPr>
      <w:r w:rsidRPr="00474BF6">
        <w:rPr>
          <w:rFonts w:ascii="Arial" w:hAnsi="Arial" w:cs="Arial"/>
          <w:sz w:val="22"/>
          <w:szCs w:val="22"/>
        </w:rPr>
        <w:t>Detering, K.M. et al. (2010) ‘The impact of advance care planning on end of life care’, BMJ, 340, c1345.</w:t>
      </w:r>
    </w:p>
    <w:p w14:paraId="6D4E7D08"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DHSC (2022) Health and Care Act 2022. London: Department of Health and Social Care.</w:t>
      </w:r>
    </w:p>
    <w:p w14:paraId="771F7C7C"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Diabetes UK (2019) Diabetes and Emotional Health. London: Diabetes UK.</w:t>
      </w:r>
    </w:p>
    <w:p w14:paraId="70BB1CF1" w14:textId="080D390B" w:rsidR="00691FE9" w:rsidRPr="00720A42" w:rsidRDefault="00691FE9" w:rsidP="00864B74">
      <w:pPr>
        <w:spacing w:line="360" w:lineRule="auto"/>
        <w:rPr>
          <w:rFonts w:ascii="Arial" w:hAnsi="Arial" w:cs="Arial"/>
          <w:color w:val="000000" w:themeColor="text1"/>
          <w:sz w:val="22"/>
          <w:szCs w:val="22"/>
        </w:rPr>
      </w:pPr>
      <w:r w:rsidRPr="00843A7F">
        <w:rPr>
          <w:rFonts w:ascii="Arial" w:hAnsi="Arial" w:cs="Arial"/>
          <w:color w:val="000000" w:themeColor="text1"/>
          <w:sz w:val="22"/>
          <w:szCs w:val="22"/>
        </w:rPr>
        <w:t>Diabetes UK (2023) Diabetes prevalence 2023. London: Diabetes UK.</w:t>
      </w:r>
    </w:p>
    <w:p w14:paraId="55523C57" w14:textId="77777777" w:rsidR="00691FE9" w:rsidRPr="00F47B96" w:rsidRDefault="00691FE9" w:rsidP="00F47B96">
      <w:pPr>
        <w:spacing w:line="360" w:lineRule="auto"/>
        <w:rPr>
          <w:rFonts w:ascii="Arial" w:hAnsi="Arial" w:cs="Arial"/>
          <w:sz w:val="24"/>
          <w:szCs w:val="24"/>
        </w:rPr>
      </w:pPr>
      <w:r w:rsidRPr="00F47B96">
        <w:rPr>
          <w:rFonts w:ascii="Arial" w:hAnsi="Arial" w:cs="Arial"/>
          <w:sz w:val="24"/>
          <w:szCs w:val="24"/>
        </w:rPr>
        <w:t>Diabetes UK (2023) Signs and symptoms of type 2 diabetes. London: Diabetes UK.</w:t>
      </w:r>
    </w:p>
    <w:p w14:paraId="4EE1B9EF"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Diabetes UK (2023) The Cost of Diabetes. London: Diabetes UK.</w:t>
      </w:r>
    </w:p>
    <w:p w14:paraId="44A6E7FB" w14:textId="77777777" w:rsidR="00691FE9" w:rsidRPr="003F11B0" w:rsidRDefault="00691FE9" w:rsidP="003F11B0">
      <w:pPr>
        <w:spacing w:line="360" w:lineRule="auto"/>
        <w:rPr>
          <w:rFonts w:ascii="Arial" w:hAnsi="Arial" w:cs="Arial"/>
          <w:color w:val="000000" w:themeColor="text1"/>
          <w:sz w:val="20"/>
          <w:szCs w:val="20"/>
        </w:rPr>
      </w:pPr>
      <w:r w:rsidRPr="003F11B0">
        <w:rPr>
          <w:rFonts w:ascii="Arial" w:hAnsi="Arial" w:cs="Arial"/>
          <w:color w:val="000000" w:themeColor="text1"/>
          <w:sz w:val="20"/>
          <w:szCs w:val="20"/>
        </w:rPr>
        <w:t>Diabetes UK (2025) Tackling Inequity Strategy 2025–30. London: Diabetes UK.</w:t>
      </w:r>
    </w:p>
    <w:p w14:paraId="521E6013" w14:textId="7D244A17" w:rsidR="00691FE9" w:rsidRDefault="00691FE9" w:rsidP="00926043">
      <w:pPr>
        <w:spacing w:line="360" w:lineRule="auto"/>
        <w:rPr>
          <w:rFonts w:ascii="Arial" w:hAnsi="Arial" w:cs="Arial"/>
          <w:color w:val="000000" w:themeColor="text1"/>
          <w:sz w:val="22"/>
          <w:szCs w:val="22"/>
        </w:rPr>
      </w:pPr>
      <w:proofErr w:type="spellStart"/>
      <w:r w:rsidRPr="008B2468">
        <w:rPr>
          <w:rFonts w:ascii="Arial" w:hAnsi="Arial" w:cs="Arial"/>
          <w:color w:val="000000" w:themeColor="text1"/>
          <w:sz w:val="22"/>
          <w:szCs w:val="22"/>
        </w:rPr>
        <w:t>elearning</w:t>
      </w:r>
      <w:proofErr w:type="spellEnd"/>
      <w:r w:rsidRPr="008B2468">
        <w:rPr>
          <w:rFonts w:ascii="Arial" w:hAnsi="Arial" w:cs="Arial"/>
          <w:color w:val="000000" w:themeColor="text1"/>
          <w:sz w:val="22"/>
          <w:szCs w:val="22"/>
        </w:rPr>
        <w:t xml:space="preserve"> for healthcare. (2024). Managing Type 2 Diabetes in Children and Young People - </w:t>
      </w:r>
      <w:proofErr w:type="spellStart"/>
      <w:r w:rsidRPr="008B2468">
        <w:rPr>
          <w:rFonts w:ascii="Arial" w:hAnsi="Arial" w:cs="Arial"/>
          <w:color w:val="000000" w:themeColor="text1"/>
          <w:sz w:val="22"/>
          <w:szCs w:val="22"/>
        </w:rPr>
        <w:t>elearning</w:t>
      </w:r>
      <w:proofErr w:type="spellEnd"/>
      <w:r w:rsidRPr="008B2468">
        <w:rPr>
          <w:rFonts w:ascii="Arial" w:hAnsi="Arial" w:cs="Arial"/>
          <w:color w:val="000000" w:themeColor="text1"/>
          <w:sz w:val="22"/>
          <w:szCs w:val="22"/>
        </w:rPr>
        <w:t xml:space="preserve"> for healthcare. [online] Available at:</w:t>
      </w:r>
      <w:r>
        <w:rPr>
          <w:rFonts w:ascii="Arial" w:hAnsi="Arial" w:cs="Arial"/>
          <w:color w:val="000000" w:themeColor="text1"/>
          <w:sz w:val="22"/>
          <w:szCs w:val="22"/>
        </w:rPr>
        <w:t xml:space="preserve"> </w:t>
      </w:r>
      <w:hyperlink r:id="rId44" w:history="1">
        <w:r w:rsidRPr="006C3B12">
          <w:rPr>
            <w:rStyle w:val="Hyperlink"/>
            <w:rFonts w:ascii="Arial" w:hAnsi="Arial" w:cs="Arial"/>
            <w:sz w:val="22"/>
            <w:szCs w:val="22"/>
          </w:rPr>
          <w:t>https://www.elfh.org.uk/programmes/managing-type-2-diabetes-in-children-and-young-people</w:t>
        </w:r>
      </w:hyperlink>
      <w:r>
        <w:rPr>
          <w:rFonts w:ascii="Arial" w:hAnsi="Arial" w:cs="Arial"/>
          <w:color w:val="000000" w:themeColor="text1"/>
          <w:sz w:val="22"/>
          <w:szCs w:val="22"/>
        </w:rPr>
        <w:t xml:space="preserve"> </w:t>
      </w:r>
      <w:r w:rsidRPr="008B2468">
        <w:rPr>
          <w:rFonts w:ascii="Arial" w:hAnsi="Arial" w:cs="Arial"/>
          <w:color w:val="000000" w:themeColor="text1"/>
          <w:sz w:val="22"/>
          <w:szCs w:val="22"/>
        </w:rPr>
        <w:t>/ [Accessed 1</w:t>
      </w:r>
      <w:r w:rsidR="00162E11">
        <w:rPr>
          <w:rFonts w:ascii="Arial" w:hAnsi="Arial" w:cs="Arial"/>
          <w:color w:val="000000" w:themeColor="text1"/>
          <w:sz w:val="22"/>
          <w:szCs w:val="22"/>
        </w:rPr>
        <w:t>5</w:t>
      </w:r>
      <w:r w:rsidRPr="008B2468">
        <w:rPr>
          <w:rFonts w:ascii="Arial" w:hAnsi="Arial" w:cs="Arial"/>
          <w:color w:val="000000" w:themeColor="text1"/>
          <w:sz w:val="22"/>
          <w:szCs w:val="22"/>
        </w:rPr>
        <w:t xml:space="preserve"> Feb. 2026]. </w:t>
      </w:r>
    </w:p>
    <w:p w14:paraId="72589536" w14:textId="77777777" w:rsidR="00691FE9" w:rsidRPr="004A53DA" w:rsidRDefault="00691FE9" w:rsidP="004A53DA">
      <w:pPr>
        <w:spacing w:line="360" w:lineRule="auto"/>
        <w:rPr>
          <w:rFonts w:ascii="Arial" w:hAnsi="Arial" w:cs="Arial"/>
          <w:color w:val="0D0D0D" w:themeColor="text1" w:themeTint="F2"/>
          <w:sz w:val="22"/>
          <w:szCs w:val="22"/>
        </w:rPr>
      </w:pPr>
      <w:r w:rsidRPr="004A53DA">
        <w:rPr>
          <w:rFonts w:ascii="Arial" w:hAnsi="Arial" w:cs="Arial"/>
          <w:color w:val="0D0D0D" w:themeColor="text1" w:themeTint="F2"/>
          <w:sz w:val="22"/>
          <w:szCs w:val="22"/>
        </w:rPr>
        <w:t>Emerging Risk Factors Collaboration (2010) ‘Diabetes and cause-specific death’, NEJM, 364, pp. 829–841.</w:t>
      </w:r>
    </w:p>
    <w:p w14:paraId="4B61306D"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Emerging Risk Factors Collaboration (2010) ‘Diabetes and vascular disease’, Lancet, 375, pp. 2215–2222.</w:t>
      </w:r>
    </w:p>
    <w:p w14:paraId="6A8BB085" w14:textId="77777777" w:rsidR="00691FE9" w:rsidRPr="00474BF6" w:rsidRDefault="00691FE9" w:rsidP="00BC447A">
      <w:pPr>
        <w:spacing w:line="360" w:lineRule="auto"/>
        <w:rPr>
          <w:rFonts w:ascii="Arial" w:hAnsi="Arial" w:cs="Arial"/>
          <w:sz w:val="22"/>
          <w:szCs w:val="22"/>
        </w:rPr>
      </w:pPr>
      <w:r w:rsidRPr="00474BF6">
        <w:rPr>
          <w:rFonts w:ascii="Arial" w:hAnsi="Arial" w:cs="Arial"/>
          <w:sz w:val="22"/>
          <w:szCs w:val="22"/>
        </w:rPr>
        <w:t>Emerging Risk Factors Collaboration (2010) ‘Diabetes mellitus, fasting glucose, and risk of cause-specific death’, New England Journal of Medicine, 364, pp. 829–841.</w:t>
      </w:r>
    </w:p>
    <w:p w14:paraId="0BFFBFE0" w14:textId="77777777" w:rsidR="00691FE9" w:rsidRPr="004A53DA" w:rsidRDefault="00691FE9" w:rsidP="004A53DA">
      <w:pPr>
        <w:spacing w:line="360" w:lineRule="auto"/>
        <w:rPr>
          <w:rFonts w:ascii="Arial" w:hAnsi="Arial" w:cs="Arial"/>
          <w:color w:val="0D0D0D" w:themeColor="text1" w:themeTint="F2"/>
          <w:sz w:val="22"/>
          <w:szCs w:val="22"/>
        </w:rPr>
      </w:pPr>
      <w:r w:rsidRPr="004A53DA">
        <w:rPr>
          <w:rFonts w:ascii="Arial" w:hAnsi="Arial" w:cs="Arial"/>
          <w:color w:val="0D0D0D" w:themeColor="text1" w:themeTint="F2"/>
          <w:sz w:val="22"/>
          <w:szCs w:val="22"/>
        </w:rPr>
        <w:t>Engel, G.L. (1977) ‘The need for a new medical model’, Science, 196(4286), pp. 129–136.</w:t>
      </w:r>
    </w:p>
    <w:p w14:paraId="6D70BAE1"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lastRenderedPageBreak/>
        <w:t>Evert, A.B. et al. (2019) ‘Nutrition therapy for adults with diabetes’, Diabetes Care, 42(5), pp. 731–754.</w:t>
      </w:r>
    </w:p>
    <w:p w14:paraId="18BE4705" w14:textId="77777777" w:rsidR="00691FE9" w:rsidRPr="00474BF6" w:rsidRDefault="00691FE9" w:rsidP="00BC447A">
      <w:pPr>
        <w:spacing w:line="360" w:lineRule="auto"/>
        <w:rPr>
          <w:rFonts w:ascii="Arial" w:hAnsi="Arial" w:cs="Arial"/>
          <w:sz w:val="22"/>
          <w:szCs w:val="22"/>
        </w:rPr>
      </w:pPr>
      <w:r w:rsidRPr="00474BF6">
        <w:rPr>
          <w:rFonts w:ascii="Arial" w:hAnsi="Arial" w:cs="Arial"/>
          <w:sz w:val="22"/>
          <w:szCs w:val="22"/>
        </w:rPr>
        <w:t>Feil, D.G. et al. (2011) ‘Cognitive impairment and diabetes self-management’, Diabetes Care, 34(3), pp. 563–568.</w:t>
      </w:r>
    </w:p>
    <w:p w14:paraId="56B75944"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Fisher, L. et al. (2012) ‘Diabetes distress’, Diabetes Care, 35(6), pp. 1337–1344.</w:t>
      </w:r>
    </w:p>
    <w:p w14:paraId="52E8665C" w14:textId="77777777" w:rsidR="00691FE9" w:rsidRPr="00DF765E" w:rsidRDefault="00691FE9" w:rsidP="00DF765E">
      <w:pPr>
        <w:spacing w:line="360" w:lineRule="auto"/>
        <w:rPr>
          <w:rFonts w:ascii="Arial" w:hAnsi="Arial" w:cs="Arial"/>
          <w:sz w:val="24"/>
          <w:szCs w:val="24"/>
        </w:rPr>
      </w:pPr>
      <w:r w:rsidRPr="00DF765E">
        <w:rPr>
          <w:rFonts w:ascii="Arial" w:hAnsi="Arial" w:cs="Arial"/>
          <w:sz w:val="24"/>
          <w:szCs w:val="24"/>
        </w:rPr>
        <w:t>Fisher, L., Hessler, D., Polonsky, W. and Mullan, J. (2012) ‘When is diabetes distress clinically meaningful?’, Diabetes Care, 35(2), pp. 259–264.</w:t>
      </w:r>
    </w:p>
    <w:p w14:paraId="38ABBD66" w14:textId="77777777" w:rsidR="00691FE9" w:rsidRPr="00B63129" w:rsidRDefault="00691FE9" w:rsidP="00B63129">
      <w:pPr>
        <w:spacing w:line="360" w:lineRule="auto"/>
        <w:rPr>
          <w:rFonts w:ascii="Arial" w:hAnsi="Arial" w:cs="Arial"/>
          <w:color w:val="000000" w:themeColor="text1"/>
          <w:sz w:val="24"/>
          <w:szCs w:val="24"/>
        </w:rPr>
      </w:pPr>
      <w:r w:rsidRPr="00B63129">
        <w:rPr>
          <w:rFonts w:ascii="Arial" w:hAnsi="Arial" w:cs="Arial"/>
          <w:color w:val="000000" w:themeColor="text1"/>
          <w:sz w:val="24"/>
          <w:szCs w:val="24"/>
        </w:rPr>
        <w:t xml:space="preserve">Frid, A.H., </w:t>
      </w:r>
      <w:proofErr w:type="spellStart"/>
      <w:r w:rsidRPr="00B63129">
        <w:rPr>
          <w:rFonts w:ascii="Arial" w:hAnsi="Arial" w:cs="Arial"/>
          <w:color w:val="000000" w:themeColor="text1"/>
          <w:sz w:val="24"/>
          <w:szCs w:val="24"/>
        </w:rPr>
        <w:t>Kreugel</w:t>
      </w:r>
      <w:proofErr w:type="spellEnd"/>
      <w:r w:rsidRPr="00B63129">
        <w:rPr>
          <w:rFonts w:ascii="Arial" w:hAnsi="Arial" w:cs="Arial"/>
          <w:color w:val="000000" w:themeColor="text1"/>
          <w:sz w:val="24"/>
          <w:szCs w:val="24"/>
        </w:rPr>
        <w:t>, G., Grassi, G. et al. (2016) ‘New insulin delivery recommendations’, Mayo Clinic Proceedings, 91(9), pp. 1231–1255.</w:t>
      </w:r>
    </w:p>
    <w:p w14:paraId="2F8DD410"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GOV.UK (2023) Health Matters: Preventing Type 2 Diabetes. London: Crown.</w:t>
      </w:r>
    </w:p>
    <w:p w14:paraId="6F0D33C4" w14:textId="77777777" w:rsidR="00691FE9" w:rsidRPr="003F11B0" w:rsidRDefault="00691FE9" w:rsidP="003F11B0">
      <w:pPr>
        <w:spacing w:line="360" w:lineRule="auto"/>
        <w:rPr>
          <w:rFonts w:ascii="Arial" w:hAnsi="Arial" w:cs="Arial"/>
          <w:color w:val="000000" w:themeColor="text1"/>
          <w:sz w:val="20"/>
          <w:szCs w:val="20"/>
        </w:rPr>
      </w:pPr>
      <w:r w:rsidRPr="003F11B0">
        <w:rPr>
          <w:rFonts w:ascii="Arial" w:hAnsi="Arial" w:cs="Arial"/>
          <w:color w:val="000000" w:themeColor="text1"/>
          <w:sz w:val="20"/>
          <w:szCs w:val="20"/>
        </w:rPr>
        <w:t>GOV.UK (2025) Diabetes profile: statistical commentary, March 2025. London: Government Statistical Service.</w:t>
      </w:r>
    </w:p>
    <w:p w14:paraId="6887CAC1" w14:textId="77777777" w:rsidR="00691FE9" w:rsidRPr="00DF765E" w:rsidRDefault="00691FE9" w:rsidP="00DF765E">
      <w:pPr>
        <w:spacing w:line="360" w:lineRule="auto"/>
        <w:rPr>
          <w:rFonts w:ascii="Arial" w:hAnsi="Arial" w:cs="Arial"/>
          <w:sz w:val="24"/>
          <w:szCs w:val="24"/>
        </w:rPr>
      </w:pPr>
      <w:r w:rsidRPr="00DF765E">
        <w:rPr>
          <w:rFonts w:ascii="Arial" w:hAnsi="Arial" w:cs="Arial"/>
          <w:sz w:val="24"/>
          <w:szCs w:val="24"/>
        </w:rPr>
        <w:t>Greenwood, D.A., Gee, P.M., Fatkin, K.J. and Peeples, M. (2017) ‘A systematic review of reviews evaluating technology-enabled diabetes self-management education’, JMIR Diabetes, 2(1), e3.</w:t>
      </w:r>
    </w:p>
    <w:p w14:paraId="3C7A4553" w14:textId="77777777" w:rsidR="00691FE9" w:rsidRDefault="00691FE9" w:rsidP="00474BF6">
      <w:pPr>
        <w:spacing w:line="360" w:lineRule="auto"/>
        <w:rPr>
          <w:rFonts w:ascii="Arial" w:hAnsi="Arial" w:cs="Arial"/>
          <w:sz w:val="22"/>
          <w:szCs w:val="22"/>
        </w:rPr>
      </w:pPr>
      <w:r w:rsidRPr="00474BF6">
        <w:rPr>
          <w:rFonts w:ascii="Arial" w:hAnsi="Arial" w:cs="Arial"/>
          <w:sz w:val="22"/>
          <w:szCs w:val="22"/>
        </w:rPr>
        <w:t>Hex, N. et al. (2012) ‘Estimating the costs of diabetes in the UK’, Diabetic Medicine, 29, pp. 855–862.</w:t>
      </w:r>
    </w:p>
    <w:p w14:paraId="39C25A9E" w14:textId="77777777" w:rsidR="00691FE9" w:rsidRPr="00CD4649" w:rsidRDefault="00691FE9" w:rsidP="00CD4649">
      <w:pPr>
        <w:spacing w:line="360" w:lineRule="auto"/>
        <w:rPr>
          <w:rFonts w:ascii="Arial" w:hAnsi="Arial" w:cs="Arial"/>
          <w:color w:val="000000" w:themeColor="text1"/>
          <w:sz w:val="20"/>
          <w:szCs w:val="20"/>
        </w:rPr>
      </w:pPr>
      <w:r w:rsidRPr="00CD4649">
        <w:rPr>
          <w:rFonts w:ascii="Arial" w:hAnsi="Arial" w:cs="Arial"/>
          <w:color w:val="000000" w:themeColor="text1"/>
          <w:sz w:val="20"/>
          <w:szCs w:val="20"/>
        </w:rPr>
        <w:t xml:space="preserve">Huma (2024) Diabetes goes digital. Available at: </w:t>
      </w:r>
      <w:hyperlink r:id="rId45" w:history="1">
        <w:r w:rsidRPr="00646D95">
          <w:rPr>
            <w:rStyle w:val="Hyperlink"/>
            <w:rFonts w:ascii="Arial" w:hAnsi="Arial" w:cs="Arial"/>
            <w:sz w:val="20"/>
            <w:szCs w:val="20"/>
          </w:rPr>
          <w:t>https://www.huma.com/insights/diabetes-goes-digital</w:t>
        </w:r>
      </w:hyperlink>
      <w:r>
        <w:rPr>
          <w:rFonts w:ascii="Arial" w:hAnsi="Arial" w:cs="Arial"/>
          <w:color w:val="000000" w:themeColor="text1"/>
          <w:sz w:val="20"/>
          <w:szCs w:val="20"/>
        </w:rPr>
        <w:t xml:space="preserve"> </w:t>
      </w:r>
    </w:p>
    <w:p w14:paraId="701B3497"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IDF (2023) IDF Diabetes Atlas 10th ed. Brussels: International Diabetes Federation.</w:t>
      </w:r>
    </w:p>
    <w:p w14:paraId="5EBD72D9" w14:textId="77777777" w:rsidR="00691FE9" w:rsidRDefault="00691FE9" w:rsidP="0043093E">
      <w:pPr>
        <w:spacing w:line="360" w:lineRule="auto"/>
        <w:rPr>
          <w:rFonts w:ascii="Arial" w:hAnsi="Arial" w:cs="Arial"/>
          <w:color w:val="000000" w:themeColor="text1"/>
          <w:sz w:val="20"/>
          <w:szCs w:val="20"/>
        </w:rPr>
      </w:pPr>
      <w:r w:rsidRPr="0043093E">
        <w:rPr>
          <w:rFonts w:ascii="Arial" w:hAnsi="Arial" w:cs="Arial"/>
          <w:color w:val="000000" w:themeColor="text1"/>
          <w:sz w:val="20"/>
          <w:szCs w:val="20"/>
        </w:rPr>
        <w:t xml:space="preserve">Instagram. (2017). CDE Healthcare | | Instagram. [online] Available at: </w:t>
      </w:r>
      <w:hyperlink r:id="rId46" w:history="1">
        <w:r w:rsidRPr="0043093E">
          <w:rPr>
            <w:rStyle w:val="Hyperlink"/>
            <w:rFonts w:ascii="Arial" w:hAnsi="Arial" w:cs="Arial"/>
            <w:sz w:val="20"/>
            <w:szCs w:val="20"/>
          </w:rPr>
          <w:t>https://www.instagram.com/p/DPyGufPDJVQ/</w:t>
        </w:r>
      </w:hyperlink>
      <w:r w:rsidRPr="0043093E">
        <w:rPr>
          <w:rFonts w:ascii="Arial" w:hAnsi="Arial" w:cs="Arial"/>
          <w:color w:val="000000" w:themeColor="text1"/>
          <w:sz w:val="20"/>
          <w:szCs w:val="20"/>
        </w:rPr>
        <w:t xml:space="preserve">   [Accessed 20 Feb. 2026].</w:t>
      </w:r>
    </w:p>
    <w:p w14:paraId="24EBE18D"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Jeon, C.Y. et al. (2007) ‘Physical activity and risk of type 2 diabetes’, JAMA, 298(17), pp. 1758–1767.</w:t>
      </w:r>
    </w:p>
    <w:p w14:paraId="08389539"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Lean, M.E.J. et al. (2018) ‘Diets for remission of type 2 diabetes’, Lancet Diabetes &amp; Endocrinology, 6(1), pp. 15–25.</w:t>
      </w:r>
    </w:p>
    <w:p w14:paraId="7DC16B9E" w14:textId="77777777" w:rsidR="00691FE9" w:rsidRPr="004A53DA" w:rsidRDefault="00691FE9" w:rsidP="004A53DA">
      <w:pPr>
        <w:spacing w:line="360" w:lineRule="auto"/>
        <w:rPr>
          <w:rFonts w:ascii="Arial" w:hAnsi="Arial" w:cs="Arial"/>
          <w:color w:val="0D0D0D" w:themeColor="text1" w:themeTint="F2"/>
          <w:sz w:val="22"/>
          <w:szCs w:val="22"/>
        </w:rPr>
      </w:pPr>
      <w:r w:rsidRPr="004A53DA">
        <w:rPr>
          <w:rFonts w:ascii="Arial" w:hAnsi="Arial" w:cs="Arial"/>
          <w:color w:val="0D0D0D" w:themeColor="text1" w:themeTint="F2"/>
          <w:sz w:val="22"/>
          <w:szCs w:val="22"/>
        </w:rPr>
        <w:t>Lean, M.E.J. et al. (2018) ‘Primary care-led weight management for remission’, The Lancet, 391, pp. 541–551.</w:t>
      </w:r>
    </w:p>
    <w:p w14:paraId="004A8A48"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Lindström, J. et al. (2006) ‘Lifestyle changes and diabetes prevention’, New England Journal of Medicine, 354(7), pp. 667–679.</w:t>
      </w:r>
    </w:p>
    <w:p w14:paraId="46A7A5A0" w14:textId="77777777" w:rsidR="00691FE9" w:rsidRDefault="00691FE9" w:rsidP="00926043">
      <w:pPr>
        <w:spacing w:line="360" w:lineRule="auto"/>
        <w:rPr>
          <w:rFonts w:ascii="Arial" w:hAnsi="Arial" w:cs="Arial"/>
          <w:color w:val="000000" w:themeColor="text1"/>
          <w:sz w:val="22"/>
          <w:szCs w:val="22"/>
        </w:rPr>
      </w:pPr>
      <w:r w:rsidRPr="00F36AD3">
        <w:rPr>
          <w:rFonts w:ascii="Arial" w:hAnsi="Arial" w:cs="Arial"/>
          <w:color w:val="000000" w:themeColor="text1"/>
          <w:sz w:val="22"/>
          <w:szCs w:val="22"/>
        </w:rPr>
        <w:lastRenderedPageBreak/>
        <w:t xml:space="preserve">Manzoorhospital.com. (2021). Understanding Diabetes: Types, Symptoms, and Management – Manzoor Hospital &amp; Surgical Complex. [online] Available at: </w:t>
      </w:r>
      <w:hyperlink r:id="rId47" w:history="1">
        <w:r w:rsidRPr="00E53801">
          <w:rPr>
            <w:rStyle w:val="Hyperlink"/>
            <w:rFonts w:ascii="Arial" w:hAnsi="Arial" w:cs="Arial"/>
            <w:sz w:val="22"/>
            <w:szCs w:val="22"/>
          </w:rPr>
          <w:t>https://manzoorhospital.com/understanding-diabetes-types-symptoms-and-management/</w:t>
        </w:r>
      </w:hyperlink>
      <w:r w:rsidRPr="00F36AD3">
        <w:rPr>
          <w:rFonts w:ascii="Arial" w:hAnsi="Arial" w:cs="Arial"/>
          <w:color w:val="000000" w:themeColor="text1"/>
          <w:sz w:val="22"/>
          <w:szCs w:val="22"/>
        </w:rPr>
        <w:t>.</w:t>
      </w:r>
      <w:r>
        <w:rPr>
          <w:rFonts w:ascii="Arial" w:hAnsi="Arial" w:cs="Arial"/>
          <w:color w:val="000000" w:themeColor="text1"/>
          <w:sz w:val="22"/>
          <w:szCs w:val="22"/>
        </w:rPr>
        <w:t xml:space="preserve"> </w:t>
      </w:r>
    </w:p>
    <w:p w14:paraId="2889D12E" w14:textId="77777777" w:rsidR="00691FE9" w:rsidRPr="004A53DA" w:rsidRDefault="00691FE9" w:rsidP="004A53DA">
      <w:pPr>
        <w:spacing w:line="360" w:lineRule="auto"/>
        <w:rPr>
          <w:rFonts w:ascii="Arial" w:hAnsi="Arial" w:cs="Arial"/>
          <w:color w:val="0D0D0D" w:themeColor="text1" w:themeTint="F2"/>
          <w:sz w:val="22"/>
          <w:szCs w:val="22"/>
        </w:rPr>
      </w:pPr>
      <w:r w:rsidRPr="004A53DA">
        <w:rPr>
          <w:rFonts w:ascii="Arial" w:hAnsi="Arial" w:cs="Arial"/>
          <w:color w:val="0D0D0D" w:themeColor="text1" w:themeTint="F2"/>
          <w:sz w:val="22"/>
          <w:szCs w:val="22"/>
        </w:rPr>
        <w:t>Marmot, M. (2020) Health Equity in England: The Marmot Review 10 Years On. London: Institute of Health Equity.</w:t>
      </w:r>
    </w:p>
    <w:p w14:paraId="60B0E127" w14:textId="77777777" w:rsidR="00691FE9" w:rsidRPr="00B63129" w:rsidRDefault="00691FE9" w:rsidP="00B63129">
      <w:pPr>
        <w:spacing w:line="360" w:lineRule="auto"/>
        <w:rPr>
          <w:rFonts w:ascii="Arial" w:hAnsi="Arial" w:cs="Arial"/>
          <w:color w:val="000000" w:themeColor="text1"/>
          <w:sz w:val="24"/>
          <w:szCs w:val="24"/>
        </w:rPr>
      </w:pPr>
      <w:r w:rsidRPr="00B63129">
        <w:rPr>
          <w:rFonts w:ascii="Arial" w:hAnsi="Arial" w:cs="Arial"/>
          <w:color w:val="000000" w:themeColor="text1"/>
          <w:sz w:val="24"/>
          <w:szCs w:val="24"/>
        </w:rPr>
        <w:t>Marso, S.P., Daniels, G.H., Brown-Frandsen, K. et al. (2016) ‘Liraglutide and cardiovascular outcomes in type 2 diabetes’, New England Journal of Medicine, 375(4), pp. 311–322.</w:t>
      </w:r>
    </w:p>
    <w:p w14:paraId="7CBA887B"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Mayberry, L.S. &amp; Osborn, C.Y. (2012) ‘Family involvement and diabetes outcomes’, Journal of General Internal Medicine, 27(10), pp. 1282–1290.</w:t>
      </w:r>
    </w:p>
    <w:p w14:paraId="1B12C56E"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Meigs, J.B. et al. (2000) ‘Parental transmission of type 2 diabetes’, Diabetes, 49(12), pp. 2201–2207.</w:t>
      </w:r>
    </w:p>
    <w:p w14:paraId="3A2CD26C" w14:textId="77777777" w:rsidR="00691FE9" w:rsidRPr="00474BF6" w:rsidRDefault="00691FE9" w:rsidP="00474BF6">
      <w:pPr>
        <w:spacing w:line="360" w:lineRule="auto"/>
        <w:rPr>
          <w:rFonts w:ascii="Arial" w:hAnsi="Arial" w:cs="Arial"/>
          <w:sz w:val="22"/>
          <w:szCs w:val="22"/>
        </w:rPr>
      </w:pPr>
      <w:proofErr w:type="spellStart"/>
      <w:r w:rsidRPr="00474BF6">
        <w:rPr>
          <w:rFonts w:ascii="Arial" w:hAnsi="Arial" w:cs="Arial"/>
          <w:sz w:val="22"/>
          <w:szCs w:val="22"/>
        </w:rPr>
        <w:t>Mozaffarian</w:t>
      </w:r>
      <w:proofErr w:type="spellEnd"/>
      <w:r w:rsidRPr="00474BF6">
        <w:rPr>
          <w:rFonts w:ascii="Arial" w:hAnsi="Arial" w:cs="Arial"/>
          <w:sz w:val="22"/>
          <w:szCs w:val="22"/>
        </w:rPr>
        <w:t>, D. et al. (2011) ‘Food choices and disease risk’, Journal of the American College of Cardiology, 66(14), pp. 1590–1601.</w:t>
      </w:r>
    </w:p>
    <w:p w14:paraId="64913B52" w14:textId="77777777" w:rsidR="00691FE9" w:rsidRPr="004A53DA" w:rsidRDefault="00691FE9" w:rsidP="004A53DA">
      <w:pPr>
        <w:spacing w:line="360" w:lineRule="auto"/>
        <w:rPr>
          <w:rFonts w:ascii="Arial" w:hAnsi="Arial" w:cs="Arial"/>
          <w:color w:val="0D0D0D" w:themeColor="text1" w:themeTint="F2"/>
          <w:sz w:val="22"/>
          <w:szCs w:val="22"/>
        </w:rPr>
      </w:pPr>
      <w:r w:rsidRPr="004A53DA">
        <w:rPr>
          <w:rFonts w:ascii="Arial" w:hAnsi="Arial" w:cs="Arial"/>
          <w:color w:val="0D0D0D" w:themeColor="text1" w:themeTint="F2"/>
          <w:sz w:val="22"/>
          <w:szCs w:val="22"/>
        </w:rPr>
        <w:t xml:space="preserve">NHS (2023) Type 2 diabetes overview. Available at: </w:t>
      </w:r>
      <w:hyperlink r:id="rId48" w:history="1">
        <w:r w:rsidRPr="006C3B12">
          <w:rPr>
            <w:rStyle w:val="Hyperlink"/>
            <w:rFonts w:ascii="Arial" w:hAnsi="Arial" w:cs="Arial"/>
            <w:sz w:val="22"/>
            <w:szCs w:val="22"/>
          </w:rPr>
          <w:t>www.nhs.uk</w:t>
        </w:r>
      </w:hyperlink>
      <w:r>
        <w:rPr>
          <w:rFonts w:ascii="Arial" w:hAnsi="Arial" w:cs="Arial"/>
          <w:color w:val="0D0D0D" w:themeColor="text1" w:themeTint="F2"/>
          <w:sz w:val="22"/>
          <w:szCs w:val="22"/>
        </w:rPr>
        <w:t xml:space="preserve"> </w:t>
      </w:r>
    </w:p>
    <w:p w14:paraId="329D9A92" w14:textId="77777777" w:rsidR="00691FE9" w:rsidRPr="00DF28F0" w:rsidRDefault="00691FE9" w:rsidP="00DF765E">
      <w:pPr>
        <w:spacing w:line="360" w:lineRule="auto"/>
        <w:rPr>
          <w:rFonts w:ascii="Arial" w:hAnsi="Arial" w:cs="Arial"/>
          <w:sz w:val="24"/>
          <w:szCs w:val="24"/>
        </w:rPr>
      </w:pPr>
      <w:r w:rsidRPr="00624C9C">
        <w:rPr>
          <w:rFonts w:ascii="Arial" w:hAnsi="Arial" w:cs="Arial"/>
          <w:sz w:val="24"/>
          <w:szCs w:val="24"/>
        </w:rPr>
        <w:t xml:space="preserve">NHS (2023). House of Care. [online] www.whittington.nhs.uk. Available at: </w:t>
      </w:r>
      <w:hyperlink r:id="rId49" w:history="1">
        <w:r w:rsidRPr="006C3B12">
          <w:rPr>
            <w:rStyle w:val="Hyperlink"/>
            <w:rFonts w:ascii="Arial" w:hAnsi="Arial" w:cs="Arial"/>
            <w:sz w:val="24"/>
            <w:szCs w:val="24"/>
          </w:rPr>
          <w:t>https://www.whittington.nhs.uk/default.asp?c=31000</w:t>
        </w:r>
      </w:hyperlink>
      <w:r w:rsidRPr="00624C9C">
        <w:rPr>
          <w:rFonts w:ascii="Arial" w:hAnsi="Arial" w:cs="Arial"/>
          <w:sz w:val="24"/>
          <w:szCs w:val="24"/>
        </w:rPr>
        <w:t>.</w:t>
      </w:r>
      <w:r>
        <w:rPr>
          <w:rFonts w:ascii="Arial" w:hAnsi="Arial" w:cs="Arial"/>
          <w:sz w:val="24"/>
          <w:szCs w:val="24"/>
        </w:rPr>
        <w:t xml:space="preserve"> </w:t>
      </w:r>
    </w:p>
    <w:p w14:paraId="633FAE73" w14:textId="77777777" w:rsidR="00691FE9" w:rsidRPr="004A53DA" w:rsidRDefault="00691FE9" w:rsidP="004A53DA">
      <w:pPr>
        <w:spacing w:line="360" w:lineRule="auto"/>
        <w:rPr>
          <w:rFonts w:ascii="Arial" w:hAnsi="Arial" w:cs="Arial"/>
          <w:color w:val="0D0D0D" w:themeColor="text1" w:themeTint="F2"/>
          <w:sz w:val="22"/>
          <w:szCs w:val="22"/>
        </w:rPr>
      </w:pPr>
      <w:r w:rsidRPr="004A53DA">
        <w:rPr>
          <w:rFonts w:ascii="Arial" w:hAnsi="Arial" w:cs="Arial"/>
          <w:color w:val="0D0D0D" w:themeColor="text1" w:themeTint="F2"/>
          <w:sz w:val="22"/>
          <w:szCs w:val="22"/>
        </w:rPr>
        <w:t>NHS Digital (2023) National Diabetes Audit 2022–23. Leeds: NHS Digital.</w:t>
      </w:r>
    </w:p>
    <w:p w14:paraId="1D1462B2" w14:textId="77777777" w:rsidR="00691FE9" w:rsidRPr="004A53DA" w:rsidRDefault="00691FE9" w:rsidP="004A53DA">
      <w:pPr>
        <w:spacing w:line="360" w:lineRule="auto"/>
        <w:rPr>
          <w:rFonts w:ascii="Arial" w:hAnsi="Arial" w:cs="Arial"/>
          <w:color w:val="0D0D0D" w:themeColor="text1" w:themeTint="F2"/>
          <w:sz w:val="22"/>
          <w:szCs w:val="22"/>
        </w:rPr>
      </w:pPr>
      <w:r w:rsidRPr="004A53DA">
        <w:rPr>
          <w:rFonts w:ascii="Arial" w:hAnsi="Arial" w:cs="Arial"/>
          <w:color w:val="0D0D0D" w:themeColor="text1" w:themeTint="F2"/>
          <w:sz w:val="22"/>
          <w:szCs w:val="22"/>
        </w:rPr>
        <w:t>NHS England (2016) House of Care framework. London: NHS England.</w:t>
      </w:r>
    </w:p>
    <w:p w14:paraId="321B163D" w14:textId="77777777" w:rsidR="00691FE9" w:rsidRPr="00DF28F0" w:rsidRDefault="00691FE9" w:rsidP="00DF28F0">
      <w:pPr>
        <w:spacing w:line="360" w:lineRule="auto"/>
        <w:rPr>
          <w:rFonts w:ascii="Arial" w:hAnsi="Arial" w:cs="Arial"/>
          <w:sz w:val="24"/>
          <w:szCs w:val="24"/>
        </w:rPr>
      </w:pPr>
      <w:r w:rsidRPr="00DF28F0">
        <w:rPr>
          <w:rFonts w:ascii="Arial" w:hAnsi="Arial" w:cs="Arial"/>
          <w:sz w:val="24"/>
          <w:szCs w:val="24"/>
        </w:rPr>
        <w:t>NHS England (2016) House of Care: Shared Decision Making and Personalised Care Planning. London: NHS England.</w:t>
      </w:r>
    </w:p>
    <w:p w14:paraId="5430F840" w14:textId="77777777" w:rsidR="00691FE9" w:rsidRPr="00D15BA4" w:rsidRDefault="00691FE9" w:rsidP="00DF28F0">
      <w:pPr>
        <w:spacing w:line="360" w:lineRule="auto"/>
        <w:rPr>
          <w:rFonts w:ascii="Arial" w:hAnsi="Arial" w:cs="Arial"/>
          <w:sz w:val="22"/>
          <w:szCs w:val="22"/>
        </w:rPr>
      </w:pPr>
      <w:r w:rsidRPr="00034968">
        <w:rPr>
          <w:rFonts w:ascii="Arial" w:hAnsi="Arial" w:cs="Arial"/>
          <w:sz w:val="22"/>
          <w:szCs w:val="22"/>
        </w:rPr>
        <w:t>NHS England (2019) The NHS Long Term Plan. London: NHS England.</w:t>
      </w:r>
    </w:p>
    <w:p w14:paraId="1495BA58"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NHS England (2021) Core20PLUS5 Strategy. London: NHS England.</w:t>
      </w:r>
    </w:p>
    <w:p w14:paraId="4F1A7D89" w14:textId="77777777" w:rsidR="00691FE9" w:rsidRPr="004A53DA" w:rsidRDefault="00691FE9" w:rsidP="004A53DA">
      <w:pPr>
        <w:spacing w:line="360" w:lineRule="auto"/>
        <w:rPr>
          <w:rFonts w:ascii="Arial" w:hAnsi="Arial" w:cs="Arial"/>
          <w:color w:val="0D0D0D" w:themeColor="text1" w:themeTint="F2"/>
          <w:sz w:val="22"/>
          <w:szCs w:val="22"/>
        </w:rPr>
      </w:pPr>
      <w:r w:rsidRPr="004A53DA">
        <w:rPr>
          <w:rFonts w:ascii="Arial" w:hAnsi="Arial" w:cs="Arial"/>
          <w:color w:val="0D0D0D" w:themeColor="text1" w:themeTint="F2"/>
          <w:sz w:val="22"/>
          <w:szCs w:val="22"/>
        </w:rPr>
        <w:t>NHS England (2023) NHS Diabetes Prevention Programme. London: NHS England.</w:t>
      </w:r>
    </w:p>
    <w:p w14:paraId="464EDA1E" w14:textId="77777777" w:rsidR="00691FE9" w:rsidRPr="003F11B0" w:rsidRDefault="00691FE9" w:rsidP="003F11B0">
      <w:pPr>
        <w:spacing w:line="360" w:lineRule="auto"/>
        <w:rPr>
          <w:rFonts w:ascii="Arial" w:hAnsi="Arial" w:cs="Arial"/>
          <w:color w:val="000000" w:themeColor="text1"/>
          <w:sz w:val="20"/>
          <w:szCs w:val="20"/>
        </w:rPr>
      </w:pPr>
      <w:r w:rsidRPr="003F11B0">
        <w:rPr>
          <w:rFonts w:ascii="Arial" w:hAnsi="Arial" w:cs="Arial"/>
          <w:color w:val="000000" w:themeColor="text1"/>
          <w:sz w:val="20"/>
          <w:szCs w:val="20"/>
        </w:rPr>
        <w:t>NHS England (2024) NHS identifies over half a million more people at risk of type 2 diabetes in a year. London: NHS England.</w:t>
      </w:r>
    </w:p>
    <w:p w14:paraId="5A129992" w14:textId="77777777" w:rsidR="00691FE9" w:rsidRPr="00474BF6" w:rsidRDefault="00691FE9" w:rsidP="00BC447A">
      <w:pPr>
        <w:spacing w:line="360" w:lineRule="auto"/>
        <w:rPr>
          <w:rFonts w:ascii="Arial" w:hAnsi="Arial" w:cs="Arial"/>
          <w:sz w:val="22"/>
          <w:szCs w:val="22"/>
        </w:rPr>
      </w:pPr>
      <w:r w:rsidRPr="00474BF6">
        <w:rPr>
          <w:rFonts w:ascii="Arial" w:hAnsi="Arial" w:cs="Arial"/>
          <w:sz w:val="22"/>
          <w:szCs w:val="22"/>
        </w:rPr>
        <w:t>NICE (2015) Care of dying adults in the last days of life (NG31). London: National Institute for Health and Care Excellence.</w:t>
      </w:r>
    </w:p>
    <w:p w14:paraId="169A6CBA"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NICE (2015) Care of Dying Adults in the Last Days of Life (NG31). London: NICE.</w:t>
      </w:r>
    </w:p>
    <w:p w14:paraId="3D49EA9F" w14:textId="77777777" w:rsidR="00691FE9" w:rsidRPr="00DF765E" w:rsidRDefault="00691FE9" w:rsidP="00DF765E">
      <w:pPr>
        <w:spacing w:line="360" w:lineRule="auto"/>
        <w:rPr>
          <w:rFonts w:ascii="Arial" w:hAnsi="Arial" w:cs="Arial"/>
          <w:sz w:val="24"/>
          <w:szCs w:val="24"/>
        </w:rPr>
      </w:pPr>
      <w:r w:rsidRPr="00DF765E">
        <w:rPr>
          <w:rFonts w:ascii="Arial" w:hAnsi="Arial" w:cs="Arial"/>
          <w:sz w:val="24"/>
          <w:szCs w:val="24"/>
        </w:rPr>
        <w:lastRenderedPageBreak/>
        <w:t>NICE (2021) Shared decision making (NG197). London: NICE.</w:t>
      </w:r>
    </w:p>
    <w:p w14:paraId="57BAA170" w14:textId="77777777" w:rsidR="00691FE9" w:rsidRPr="00CD4649" w:rsidRDefault="00691FE9" w:rsidP="00CD4649">
      <w:pPr>
        <w:spacing w:line="360" w:lineRule="auto"/>
        <w:rPr>
          <w:rFonts w:ascii="Arial" w:hAnsi="Arial" w:cs="Arial"/>
          <w:color w:val="000000" w:themeColor="text1"/>
          <w:sz w:val="20"/>
          <w:szCs w:val="20"/>
        </w:rPr>
      </w:pPr>
      <w:r w:rsidRPr="00CD4649">
        <w:rPr>
          <w:rFonts w:ascii="Arial" w:hAnsi="Arial" w:cs="Arial"/>
          <w:color w:val="000000" w:themeColor="text1"/>
          <w:sz w:val="20"/>
          <w:szCs w:val="20"/>
        </w:rPr>
        <w:t>NICE (2022) Continuous glucose monitoring guidance. London: National Institute for Health and Care Excellence.</w:t>
      </w:r>
    </w:p>
    <w:p w14:paraId="26F6F174" w14:textId="77777777" w:rsidR="00691FE9" w:rsidRPr="00F47B96" w:rsidRDefault="00691FE9" w:rsidP="00F47B96">
      <w:pPr>
        <w:spacing w:line="360" w:lineRule="auto"/>
        <w:rPr>
          <w:rFonts w:ascii="Arial" w:hAnsi="Arial" w:cs="Arial"/>
          <w:sz w:val="24"/>
          <w:szCs w:val="24"/>
        </w:rPr>
      </w:pPr>
      <w:r w:rsidRPr="00F47B96">
        <w:rPr>
          <w:rFonts w:ascii="Arial" w:hAnsi="Arial" w:cs="Arial"/>
          <w:sz w:val="24"/>
          <w:szCs w:val="24"/>
        </w:rPr>
        <w:t>NICE (2022) Type 2 diabetes in adults: management (NG28). London: NICE.</w:t>
      </w:r>
    </w:p>
    <w:p w14:paraId="27E5A0B0" w14:textId="77777777" w:rsidR="00691FE9" w:rsidRPr="003F11B0" w:rsidRDefault="00691FE9" w:rsidP="003F11B0">
      <w:pPr>
        <w:spacing w:line="360" w:lineRule="auto"/>
        <w:rPr>
          <w:rFonts w:ascii="Arial" w:hAnsi="Arial" w:cs="Arial"/>
          <w:color w:val="000000" w:themeColor="text1"/>
          <w:sz w:val="20"/>
          <w:szCs w:val="20"/>
        </w:rPr>
      </w:pPr>
      <w:r w:rsidRPr="003F11B0">
        <w:rPr>
          <w:rFonts w:ascii="Arial" w:hAnsi="Arial" w:cs="Arial"/>
          <w:color w:val="000000" w:themeColor="text1"/>
          <w:sz w:val="20"/>
          <w:szCs w:val="20"/>
        </w:rPr>
        <w:t>NICE (2025) Biggest shake-up in type 2 diabetes care in a decade announced. London: NICE.</w:t>
      </w:r>
    </w:p>
    <w:p w14:paraId="2F523942" w14:textId="77777777" w:rsidR="00691FE9" w:rsidRPr="004A53DA" w:rsidRDefault="00691FE9" w:rsidP="004A53DA">
      <w:pPr>
        <w:spacing w:line="360" w:lineRule="auto"/>
        <w:rPr>
          <w:rFonts w:ascii="Arial" w:hAnsi="Arial" w:cs="Arial"/>
          <w:color w:val="0D0D0D" w:themeColor="text1" w:themeTint="F2"/>
          <w:sz w:val="22"/>
          <w:szCs w:val="22"/>
        </w:rPr>
      </w:pPr>
      <w:r w:rsidRPr="004A53DA">
        <w:rPr>
          <w:rFonts w:ascii="Arial" w:hAnsi="Arial" w:cs="Arial"/>
          <w:color w:val="0D0D0D" w:themeColor="text1" w:themeTint="F2"/>
          <w:sz w:val="22"/>
          <w:szCs w:val="22"/>
        </w:rPr>
        <w:t>Public Health England (2018) Health matters: preventing type 2 diabetes. London: PHE.</w:t>
      </w:r>
    </w:p>
    <w:p w14:paraId="34DE7093" w14:textId="77777777" w:rsidR="00691FE9" w:rsidRPr="0098104A" w:rsidRDefault="00691FE9" w:rsidP="0098104A">
      <w:pPr>
        <w:spacing w:line="360" w:lineRule="auto"/>
        <w:rPr>
          <w:rFonts w:ascii="Arial" w:hAnsi="Arial" w:cs="Arial"/>
          <w:color w:val="0D0D0D" w:themeColor="text1" w:themeTint="F2"/>
          <w:sz w:val="22"/>
          <w:szCs w:val="22"/>
        </w:rPr>
      </w:pPr>
      <w:r w:rsidRPr="0098104A">
        <w:rPr>
          <w:rFonts w:ascii="Arial" w:hAnsi="Arial" w:cs="Arial"/>
          <w:color w:val="0D0D0D" w:themeColor="text1" w:themeTint="F2"/>
          <w:sz w:val="22"/>
          <w:szCs w:val="22"/>
        </w:rPr>
        <w:t>Rehman, A. et al. (2026) ‘Artificial intelligence in personalised diabetes care: predictive models and clinical applications’, Journal of Medical Internet Research, 28(1).</w:t>
      </w:r>
    </w:p>
    <w:p w14:paraId="54917C7D"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Roy, T. &amp; Lloyd, C. (2012) ‘Epidemiology of depression in type 2 diabetes’, Journal of Affective Disorders, 142, pp. S8–S21.</w:t>
      </w:r>
    </w:p>
    <w:p w14:paraId="6C619885"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Saboo, B.Y. &amp; Bhansali, A. (2013) ‘Type 2 diabetes in South Asians’, Journal of Diabetology, 4(1), pp. 6–14.</w:t>
      </w:r>
    </w:p>
    <w:p w14:paraId="77250506"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Schulz, R. &amp; Sherwood, P.R. (2008) ‘Family caregiving: Chronic illness impact’, Annual Review of Nursing Research, 26, pp. 1–28.</w:t>
      </w:r>
    </w:p>
    <w:p w14:paraId="623EA7CC" w14:textId="77777777" w:rsidR="00691FE9" w:rsidRPr="00474BF6" w:rsidRDefault="00691FE9" w:rsidP="00BC447A">
      <w:pPr>
        <w:spacing w:line="360" w:lineRule="auto"/>
        <w:rPr>
          <w:rFonts w:ascii="Arial" w:hAnsi="Arial" w:cs="Arial"/>
          <w:sz w:val="22"/>
          <w:szCs w:val="22"/>
        </w:rPr>
      </w:pPr>
      <w:r w:rsidRPr="00474BF6">
        <w:rPr>
          <w:rFonts w:ascii="Arial" w:hAnsi="Arial" w:cs="Arial"/>
          <w:sz w:val="22"/>
          <w:szCs w:val="22"/>
        </w:rPr>
        <w:t>Schulz, R. and Sherwood, P.R. (2008) ‘Physical and mental health effects of family caregiving’, American Journal of Nursing, 108(9), pp. 23–27.</w:t>
      </w:r>
    </w:p>
    <w:p w14:paraId="18B81740"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Selvin, E. &amp; Erlinger, T.P. (2004) ‘Prevalence of peripheral arterial disease’, Circulation, 110, pp. 738–743.</w:t>
      </w:r>
    </w:p>
    <w:p w14:paraId="6960B96E" w14:textId="77777777" w:rsidR="00691FE9" w:rsidRPr="00474BF6" w:rsidRDefault="00691FE9" w:rsidP="00474BF6">
      <w:pPr>
        <w:spacing w:line="360" w:lineRule="auto"/>
        <w:rPr>
          <w:rFonts w:ascii="Arial" w:hAnsi="Arial" w:cs="Arial"/>
          <w:sz w:val="22"/>
          <w:szCs w:val="22"/>
        </w:rPr>
      </w:pPr>
      <w:proofErr w:type="spellStart"/>
      <w:r w:rsidRPr="00474BF6">
        <w:rPr>
          <w:rFonts w:ascii="Arial" w:hAnsi="Arial" w:cs="Arial"/>
          <w:sz w:val="22"/>
          <w:szCs w:val="22"/>
        </w:rPr>
        <w:t>Shoelson</w:t>
      </w:r>
      <w:proofErr w:type="spellEnd"/>
      <w:r w:rsidRPr="00474BF6">
        <w:rPr>
          <w:rFonts w:ascii="Arial" w:hAnsi="Arial" w:cs="Arial"/>
          <w:sz w:val="22"/>
          <w:szCs w:val="22"/>
        </w:rPr>
        <w:t>, S.E., Lee, J. &amp; Goldfine, A.B. (2006) ‘Inflammation and insulin resistance’, Journal of Clinical Investigation, 116(7), pp. 1793–1801.</w:t>
      </w:r>
    </w:p>
    <w:p w14:paraId="3EB6A03B" w14:textId="77777777" w:rsidR="00691FE9" w:rsidRPr="00D15BA4" w:rsidRDefault="00691FE9" w:rsidP="004A53DA">
      <w:pPr>
        <w:spacing w:line="360" w:lineRule="auto"/>
        <w:rPr>
          <w:rFonts w:ascii="Arial" w:hAnsi="Arial" w:cs="Arial"/>
          <w:sz w:val="22"/>
          <w:szCs w:val="22"/>
        </w:rPr>
      </w:pPr>
      <w:r w:rsidRPr="00474BF6">
        <w:rPr>
          <w:rFonts w:ascii="Arial" w:hAnsi="Arial" w:cs="Arial"/>
          <w:sz w:val="22"/>
          <w:szCs w:val="22"/>
        </w:rPr>
        <w:t>Sinclair, A. et al. (2020) ‘European Diabetes Working Party for Older People guidelines’, Diabetic Medicine, 37(1), pp. 1–30.</w:t>
      </w:r>
    </w:p>
    <w:p w14:paraId="7F2DC727" w14:textId="77777777" w:rsidR="00691FE9" w:rsidRDefault="00691FE9" w:rsidP="0098104A">
      <w:pPr>
        <w:spacing w:line="360" w:lineRule="auto"/>
        <w:rPr>
          <w:rFonts w:ascii="Arial" w:hAnsi="Arial" w:cs="Arial"/>
          <w:color w:val="0D0D0D" w:themeColor="text1" w:themeTint="F2"/>
          <w:sz w:val="22"/>
          <w:szCs w:val="22"/>
        </w:rPr>
      </w:pPr>
      <w:r w:rsidRPr="0098104A">
        <w:rPr>
          <w:rFonts w:ascii="Arial" w:hAnsi="Arial" w:cs="Arial"/>
          <w:color w:val="0D0D0D" w:themeColor="text1" w:themeTint="F2"/>
          <w:sz w:val="22"/>
          <w:szCs w:val="22"/>
        </w:rPr>
        <w:t>Topol, E.J. (2019) Deep Medicine: How Artificial Intelligence Can Make Healthcare Human Again. New York: Basic Books.</w:t>
      </w:r>
    </w:p>
    <w:p w14:paraId="1A3E2D90" w14:textId="77777777" w:rsidR="00691FE9" w:rsidRDefault="00691FE9" w:rsidP="00474BF6">
      <w:pPr>
        <w:spacing w:line="360" w:lineRule="auto"/>
        <w:rPr>
          <w:rFonts w:ascii="Arial" w:hAnsi="Arial" w:cs="Arial"/>
          <w:sz w:val="22"/>
          <w:szCs w:val="22"/>
        </w:rPr>
      </w:pPr>
      <w:r w:rsidRPr="00474BF6">
        <w:rPr>
          <w:rFonts w:ascii="Arial" w:hAnsi="Arial" w:cs="Arial"/>
          <w:sz w:val="22"/>
          <w:szCs w:val="22"/>
        </w:rPr>
        <w:t>Turnbull, F. et al. (2009) ‘Effects of blood pressure lowering’, Lancet, 373(9663), pp. 117–125.</w:t>
      </w:r>
    </w:p>
    <w:p w14:paraId="5E66B3AB" w14:textId="77777777" w:rsidR="00691FE9" w:rsidRPr="00B63129" w:rsidRDefault="00691FE9" w:rsidP="00B63129">
      <w:pPr>
        <w:spacing w:line="360" w:lineRule="auto"/>
        <w:rPr>
          <w:rFonts w:ascii="Arial" w:hAnsi="Arial" w:cs="Arial"/>
          <w:color w:val="000000" w:themeColor="text1"/>
          <w:sz w:val="24"/>
          <w:szCs w:val="24"/>
        </w:rPr>
      </w:pPr>
      <w:r w:rsidRPr="00B63129">
        <w:rPr>
          <w:rFonts w:ascii="Arial" w:hAnsi="Arial" w:cs="Arial"/>
          <w:color w:val="000000" w:themeColor="text1"/>
          <w:sz w:val="24"/>
          <w:szCs w:val="24"/>
        </w:rPr>
        <w:t>UK Prospective Diabetes Study (UKPDS) Group (1998) ‘Effect of intensive blood-glucose control with metformin on complications in overweight patients with type 2 diabetes’, The Lancet, 352(9131), pp. 854–865.</w:t>
      </w:r>
    </w:p>
    <w:p w14:paraId="25079677" w14:textId="77777777" w:rsidR="00691FE9" w:rsidRPr="00474BF6" w:rsidRDefault="00691FE9" w:rsidP="00474BF6">
      <w:pPr>
        <w:spacing w:line="360" w:lineRule="auto"/>
        <w:rPr>
          <w:rFonts w:ascii="Arial" w:hAnsi="Arial" w:cs="Arial"/>
          <w:sz w:val="22"/>
          <w:szCs w:val="22"/>
        </w:rPr>
      </w:pPr>
      <w:proofErr w:type="spellStart"/>
      <w:r w:rsidRPr="00474BF6">
        <w:rPr>
          <w:rFonts w:ascii="Arial" w:hAnsi="Arial" w:cs="Arial"/>
          <w:sz w:val="22"/>
          <w:szCs w:val="22"/>
        </w:rPr>
        <w:lastRenderedPageBreak/>
        <w:t>Valabhji</w:t>
      </w:r>
      <w:proofErr w:type="spellEnd"/>
      <w:r w:rsidRPr="00474BF6">
        <w:rPr>
          <w:rFonts w:ascii="Arial" w:hAnsi="Arial" w:cs="Arial"/>
          <w:sz w:val="22"/>
          <w:szCs w:val="22"/>
        </w:rPr>
        <w:t>, J. et al. (2020) ‘The NHS Diabetes Prevention Programme’, Lancet Diabetes &amp; Endocrinology, 8(4), pp. 319–327.</w:t>
      </w:r>
    </w:p>
    <w:p w14:paraId="2F2429ED"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Wagner, E. et al. (2001) ‘Improving chronic illness care’, Health Affairs, 20(6), pp. 64–78.</w:t>
      </w:r>
    </w:p>
    <w:p w14:paraId="196922A5" w14:textId="77777777" w:rsidR="00691FE9" w:rsidRPr="004A53DA" w:rsidRDefault="00691FE9" w:rsidP="004A53DA">
      <w:pPr>
        <w:spacing w:line="360" w:lineRule="auto"/>
        <w:rPr>
          <w:rFonts w:ascii="Arial" w:hAnsi="Arial" w:cs="Arial"/>
          <w:color w:val="0D0D0D" w:themeColor="text1" w:themeTint="F2"/>
          <w:sz w:val="22"/>
          <w:szCs w:val="22"/>
        </w:rPr>
      </w:pPr>
      <w:r w:rsidRPr="004A53DA">
        <w:rPr>
          <w:rFonts w:ascii="Arial" w:hAnsi="Arial" w:cs="Arial"/>
          <w:color w:val="0D0D0D" w:themeColor="text1" w:themeTint="F2"/>
          <w:sz w:val="22"/>
          <w:szCs w:val="22"/>
        </w:rPr>
        <w:t>Wagner, E.H. et al. (2001) ‘Improving chronic illness care’, Milbank Quarterly, 79(4), pp. 579–612.</w:t>
      </w:r>
    </w:p>
    <w:p w14:paraId="7162DA99" w14:textId="77777777" w:rsidR="00691FE9" w:rsidRDefault="00691FE9" w:rsidP="003F11B0">
      <w:pPr>
        <w:spacing w:line="360" w:lineRule="auto"/>
        <w:rPr>
          <w:rFonts w:ascii="Arial" w:hAnsi="Arial" w:cs="Arial"/>
          <w:color w:val="000000" w:themeColor="text1"/>
          <w:sz w:val="20"/>
          <w:szCs w:val="20"/>
        </w:rPr>
      </w:pPr>
      <w:r w:rsidRPr="003F11B0">
        <w:rPr>
          <w:rFonts w:ascii="Arial" w:hAnsi="Arial" w:cs="Arial"/>
          <w:color w:val="000000" w:themeColor="text1"/>
          <w:sz w:val="20"/>
          <w:szCs w:val="20"/>
        </w:rPr>
        <w:t>Wagner, E.H., Austin, B.T. and Von Korff, M. (2001) ‘Organizing care for patients with chronic illness’, Milbank Quarterly, 79(4), pp. 579–612.</w:t>
      </w:r>
    </w:p>
    <w:p w14:paraId="7869046F" w14:textId="77777777" w:rsidR="00691FE9" w:rsidRDefault="00691FE9" w:rsidP="00DF28F0">
      <w:pPr>
        <w:spacing w:line="360" w:lineRule="auto"/>
        <w:rPr>
          <w:rFonts w:ascii="Arial" w:hAnsi="Arial" w:cs="Arial"/>
          <w:sz w:val="24"/>
          <w:szCs w:val="24"/>
        </w:rPr>
      </w:pPr>
      <w:r w:rsidRPr="00DF28F0">
        <w:rPr>
          <w:rFonts w:ascii="Arial" w:hAnsi="Arial" w:cs="Arial"/>
          <w:sz w:val="24"/>
          <w:szCs w:val="24"/>
        </w:rPr>
        <w:t>Wagner, E.H., Austin, B.T., Davis, C., Hindmarsh, M., Schaefer, J. and Bonomi, A. (2001) ‘Improving chronic illness care: translating evidence into action’, Health Affairs, 20(6), pp. 64–78.</w:t>
      </w:r>
    </w:p>
    <w:p w14:paraId="6FDC030B"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WHO (2002) Innovative Care for Chronic Conditions Framework. Geneva: World Health Organization.</w:t>
      </w:r>
    </w:p>
    <w:p w14:paraId="666DAC6A" w14:textId="77777777" w:rsidR="00691FE9" w:rsidRPr="00474BF6" w:rsidRDefault="00691FE9" w:rsidP="00474BF6">
      <w:pPr>
        <w:spacing w:line="360" w:lineRule="auto"/>
        <w:rPr>
          <w:rFonts w:ascii="Arial" w:hAnsi="Arial" w:cs="Arial"/>
          <w:sz w:val="22"/>
          <w:szCs w:val="22"/>
        </w:rPr>
      </w:pPr>
      <w:r w:rsidRPr="00474BF6">
        <w:rPr>
          <w:rFonts w:ascii="Arial" w:hAnsi="Arial" w:cs="Arial"/>
          <w:sz w:val="22"/>
          <w:szCs w:val="22"/>
        </w:rPr>
        <w:t>WHO (2023) Diabetes Fact Sheet. Geneva: World Health Organization.</w:t>
      </w:r>
    </w:p>
    <w:p w14:paraId="187C3C3F" w14:textId="77777777" w:rsidR="00691FE9" w:rsidRDefault="00691FE9" w:rsidP="00926043">
      <w:pPr>
        <w:spacing w:line="360" w:lineRule="auto"/>
        <w:rPr>
          <w:rFonts w:ascii="Arial" w:hAnsi="Arial" w:cs="Arial"/>
          <w:color w:val="000000" w:themeColor="text1"/>
          <w:sz w:val="24"/>
          <w:szCs w:val="24"/>
        </w:rPr>
      </w:pPr>
      <w:proofErr w:type="spellStart"/>
      <w:r w:rsidRPr="009B30ED">
        <w:rPr>
          <w:rFonts w:ascii="Arial" w:hAnsi="Arial" w:cs="Arial"/>
          <w:color w:val="000000" w:themeColor="text1"/>
          <w:sz w:val="24"/>
          <w:szCs w:val="24"/>
        </w:rPr>
        <w:t>windowsadmins</w:t>
      </w:r>
      <w:proofErr w:type="spellEnd"/>
      <w:r w:rsidRPr="009B30ED">
        <w:rPr>
          <w:rFonts w:ascii="Arial" w:hAnsi="Arial" w:cs="Arial"/>
          <w:color w:val="000000" w:themeColor="text1"/>
          <w:sz w:val="24"/>
          <w:szCs w:val="24"/>
        </w:rPr>
        <w:t xml:space="preserve"> (2020). Predictive Diabetes and Opioid Abuse with Social Determinants of Health. [online] </w:t>
      </w:r>
      <w:proofErr w:type="spellStart"/>
      <w:r w:rsidRPr="009B30ED">
        <w:rPr>
          <w:rFonts w:ascii="Arial" w:hAnsi="Arial" w:cs="Arial"/>
          <w:color w:val="000000" w:themeColor="text1"/>
          <w:sz w:val="24"/>
          <w:szCs w:val="24"/>
        </w:rPr>
        <w:t>Certilytics</w:t>
      </w:r>
      <w:proofErr w:type="spellEnd"/>
      <w:r w:rsidRPr="009B30ED">
        <w:rPr>
          <w:rFonts w:ascii="Arial" w:hAnsi="Arial" w:cs="Arial"/>
          <w:color w:val="000000" w:themeColor="text1"/>
          <w:sz w:val="24"/>
          <w:szCs w:val="24"/>
        </w:rPr>
        <w:t xml:space="preserve">. Available at: </w:t>
      </w:r>
      <w:hyperlink r:id="rId50" w:history="1">
        <w:r w:rsidRPr="006C3B12">
          <w:rPr>
            <w:rStyle w:val="Hyperlink"/>
            <w:rFonts w:ascii="Arial" w:hAnsi="Arial" w:cs="Arial"/>
            <w:sz w:val="24"/>
            <w:szCs w:val="24"/>
          </w:rPr>
          <w:t>https://www.certilytics.com/news-insights/ci-social-determinants-of-health/</w:t>
        </w:r>
      </w:hyperlink>
      <w:r w:rsidRPr="009B30ED">
        <w:rPr>
          <w:rFonts w:ascii="Arial" w:hAnsi="Arial" w:cs="Arial"/>
          <w:color w:val="000000" w:themeColor="text1"/>
          <w:sz w:val="24"/>
          <w:szCs w:val="24"/>
        </w:rPr>
        <w:t>.</w:t>
      </w:r>
      <w:r>
        <w:rPr>
          <w:rFonts w:ascii="Arial" w:hAnsi="Arial" w:cs="Arial"/>
          <w:color w:val="000000" w:themeColor="text1"/>
          <w:sz w:val="24"/>
          <w:szCs w:val="24"/>
        </w:rPr>
        <w:t xml:space="preserve"> </w:t>
      </w:r>
    </w:p>
    <w:p w14:paraId="711FF947" w14:textId="77777777" w:rsidR="00691FE9" w:rsidRPr="0098104A" w:rsidRDefault="00691FE9" w:rsidP="004A53DA">
      <w:pPr>
        <w:spacing w:line="360" w:lineRule="auto"/>
        <w:rPr>
          <w:rFonts w:ascii="Arial" w:hAnsi="Arial" w:cs="Arial"/>
          <w:color w:val="0D0D0D" w:themeColor="text1" w:themeTint="F2"/>
          <w:sz w:val="22"/>
          <w:szCs w:val="22"/>
        </w:rPr>
      </w:pPr>
      <w:r w:rsidRPr="004A53DA">
        <w:rPr>
          <w:rFonts w:ascii="Arial" w:hAnsi="Arial" w:cs="Arial"/>
          <w:color w:val="0D0D0D" w:themeColor="text1" w:themeTint="F2"/>
          <w:sz w:val="22"/>
          <w:szCs w:val="22"/>
        </w:rPr>
        <w:t>World Health Organization (2002) Innovative Care for Chronic Conditions Framework. Geneva: WHO.</w:t>
      </w:r>
    </w:p>
    <w:p w14:paraId="72AB0211" w14:textId="77777777" w:rsidR="00691FE9" w:rsidRPr="00DF765E" w:rsidRDefault="00691FE9" w:rsidP="00F47B96">
      <w:pPr>
        <w:spacing w:line="360" w:lineRule="auto"/>
        <w:rPr>
          <w:rFonts w:ascii="Arial" w:hAnsi="Arial" w:cs="Arial"/>
          <w:sz w:val="24"/>
          <w:szCs w:val="24"/>
        </w:rPr>
      </w:pPr>
      <w:r w:rsidRPr="00F47B96">
        <w:rPr>
          <w:rFonts w:ascii="Arial" w:hAnsi="Arial" w:cs="Arial"/>
          <w:sz w:val="24"/>
          <w:szCs w:val="24"/>
        </w:rPr>
        <w:t>World Health Organization (2016) Global report on diabetes. Geneva: WHO.</w:t>
      </w:r>
    </w:p>
    <w:p w14:paraId="00B8BD7F" w14:textId="77777777" w:rsidR="00691FE9" w:rsidRDefault="00691FE9" w:rsidP="00B63129">
      <w:pPr>
        <w:spacing w:line="360" w:lineRule="auto"/>
        <w:rPr>
          <w:rFonts w:ascii="Arial" w:hAnsi="Arial" w:cs="Arial"/>
          <w:color w:val="000000" w:themeColor="text1"/>
          <w:sz w:val="24"/>
          <w:szCs w:val="24"/>
        </w:rPr>
      </w:pPr>
      <w:r w:rsidRPr="00B63129">
        <w:rPr>
          <w:rFonts w:ascii="Arial" w:hAnsi="Arial" w:cs="Arial"/>
          <w:color w:val="000000" w:themeColor="text1"/>
          <w:sz w:val="24"/>
          <w:szCs w:val="24"/>
        </w:rPr>
        <w:t xml:space="preserve">Zinman, B., </w:t>
      </w:r>
      <w:proofErr w:type="spellStart"/>
      <w:r w:rsidRPr="00B63129">
        <w:rPr>
          <w:rFonts w:ascii="Arial" w:hAnsi="Arial" w:cs="Arial"/>
          <w:color w:val="000000" w:themeColor="text1"/>
          <w:sz w:val="24"/>
          <w:szCs w:val="24"/>
        </w:rPr>
        <w:t>Wanner</w:t>
      </w:r>
      <w:proofErr w:type="spellEnd"/>
      <w:r w:rsidRPr="00B63129">
        <w:rPr>
          <w:rFonts w:ascii="Arial" w:hAnsi="Arial" w:cs="Arial"/>
          <w:color w:val="000000" w:themeColor="text1"/>
          <w:sz w:val="24"/>
          <w:szCs w:val="24"/>
        </w:rPr>
        <w:t>, C., Lachin, J.M. et al. (2015) ‘Empagliflozin, cardiovascular outcomes and mortality in type 2 diabetes’, New England Journal of Medicine, 373(22), pp. 2117–2128.</w:t>
      </w:r>
    </w:p>
    <w:p w14:paraId="0658E3F7" w14:textId="77777777" w:rsidR="009B30ED" w:rsidRPr="009B30ED" w:rsidRDefault="009B30ED" w:rsidP="00926043">
      <w:pPr>
        <w:spacing w:line="360" w:lineRule="auto"/>
        <w:rPr>
          <w:rFonts w:ascii="Arial" w:hAnsi="Arial" w:cs="Arial"/>
          <w:color w:val="000000" w:themeColor="text1"/>
          <w:sz w:val="24"/>
          <w:szCs w:val="24"/>
        </w:rPr>
      </w:pPr>
    </w:p>
    <w:p w14:paraId="53FA4E40" w14:textId="77777777" w:rsidR="00CE6640" w:rsidRDefault="00CE6640" w:rsidP="00926043">
      <w:pPr>
        <w:spacing w:line="360" w:lineRule="auto"/>
        <w:rPr>
          <w:rFonts w:ascii="Arial" w:hAnsi="Arial" w:cs="Arial"/>
          <w:color w:val="0F486E" w:themeColor="text2" w:themeShade="BF"/>
          <w:sz w:val="24"/>
          <w:szCs w:val="24"/>
        </w:rPr>
      </w:pPr>
    </w:p>
    <w:p w14:paraId="33069B72" w14:textId="77777777" w:rsidR="00CE6640" w:rsidRDefault="00CE6640" w:rsidP="00926043">
      <w:pPr>
        <w:spacing w:line="360" w:lineRule="auto"/>
        <w:rPr>
          <w:rFonts w:ascii="Arial" w:hAnsi="Arial" w:cs="Arial"/>
          <w:color w:val="0F486E" w:themeColor="text2" w:themeShade="BF"/>
          <w:sz w:val="24"/>
          <w:szCs w:val="24"/>
        </w:rPr>
      </w:pPr>
    </w:p>
    <w:p w14:paraId="780A0395" w14:textId="77777777" w:rsidR="00CE6640" w:rsidRDefault="00CE6640" w:rsidP="00926043">
      <w:pPr>
        <w:spacing w:line="360" w:lineRule="auto"/>
        <w:rPr>
          <w:rFonts w:ascii="Arial" w:hAnsi="Arial" w:cs="Arial"/>
          <w:color w:val="0F486E" w:themeColor="text2" w:themeShade="BF"/>
          <w:sz w:val="24"/>
          <w:szCs w:val="24"/>
        </w:rPr>
      </w:pPr>
    </w:p>
    <w:p w14:paraId="134A125B" w14:textId="77777777" w:rsidR="00CE6640" w:rsidRPr="00DA2EF7" w:rsidRDefault="00CE6640" w:rsidP="00926043">
      <w:pPr>
        <w:spacing w:line="360" w:lineRule="auto"/>
        <w:rPr>
          <w:rFonts w:ascii="Arial" w:hAnsi="Arial" w:cs="Arial"/>
          <w:color w:val="0F486E" w:themeColor="text2" w:themeShade="BF"/>
          <w:sz w:val="24"/>
          <w:szCs w:val="24"/>
        </w:rPr>
      </w:pPr>
    </w:p>
    <w:sectPr w:rsidR="00CE6640" w:rsidRPr="00DA2EF7">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692582" w14:textId="77777777" w:rsidR="00F37249" w:rsidRDefault="00F37249" w:rsidP="00D7026A">
      <w:pPr>
        <w:spacing w:after="0" w:line="240" w:lineRule="auto"/>
      </w:pPr>
      <w:r>
        <w:separator/>
      </w:r>
    </w:p>
  </w:endnote>
  <w:endnote w:type="continuationSeparator" w:id="0">
    <w:p w14:paraId="6B3E9BF1" w14:textId="77777777" w:rsidR="00F37249" w:rsidRDefault="00F37249" w:rsidP="00D702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6346479"/>
      <w:docPartObj>
        <w:docPartGallery w:val="Page Numbers (Bottom of Page)"/>
        <w:docPartUnique/>
      </w:docPartObj>
    </w:sdtPr>
    <w:sdtContent>
      <w:p w14:paraId="2F1B9AF8" w14:textId="61A0E4F6" w:rsidR="00AA72C1" w:rsidRDefault="00AA72C1">
        <w:pPr>
          <w:pStyle w:val="Footer"/>
        </w:pPr>
        <w:r>
          <w:fldChar w:fldCharType="begin"/>
        </w:r>
        <w:r>
          <w:instrText>PAGE   \* MERGEFORMAT</w:instrText>
        </w:r>
        <w:r>
          <w:fldChar w:fldCharType="separate"/>
        </w:r>
        <w:r>
          <w:t>2</w:t>
        </w:r>
        <w:r>
          <w:fldChar w:fldCharType="end"/>
        </w:r>
      </w:p>
    </w:sdtContent>
  </w:sdt>
  <w:p w14:paraId="03F2EE94" w14:textId="77777777" w:rsidR="00AA72C1" w:rsidRDefault="00AA72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439650" w14:textId="77777777" w:rsidR="00F37249" w:rsidRDefault="00F37249" w:rsidP="00D7026A">
      <w:pPr>
        <w:spacing w:after="0" w:line="240" w:lineRule="auto"/>
      </w:pPr>
      <w:r>
        <w:separator/>
      </w:r>
    </w:p>
  </w:footnote>
  <w:footnote w:type="continuationSeparator" w:id="0">
    <w:p w14:paraId="79393F1D" w14:textId="77777777" w:rsidR="00F37249" w:rsidRDefault="00F37249" w:rsidP="00D702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960A1"/>
    <w:multiLevelType w:val="hybridMultilevel"/>
    <w:tmpl w:val="BBD8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85455"/>
    <w:multiLevelType w:val="hybridMultilevel"/>
    <w:tmpl w:val="2640C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E4E56"/>
    <w:multiLevelType w:val="hybridMultilevel"/>
    <w:tmpl w:val="001806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1D5C23"/>
    <w:multiLevelType w:val="hybridMultilevel"/>
    <w:tmpl w:val="DC0C6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244D88"/>
    <w:multiLevelType w:val="hybridMultilevel"/>
    <w:tmpl w:val="BE72C1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0B2000"/>
    <w:multiLevelType w:val="hybridMultilevel"/>
    <w:tmpl w:val="C30A0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183A3F"/>
    <w:multiLevelType w:val="hybridMultilevel"/>
    <w:tmpl w:val="91E2F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A11E4D"/>
    <w:multiLevelType w:val="hybridMultilevel"/>
    <w:tmpl w:val="414A4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35312E"/>
    <w:multiLevelType w:val="hybridMultilevel"/>
    <w:tmpl w:val="FD50A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C2768D"/>
    <w:multiLevelType w:val="multilevel"/>
    <w:tmpl w:val="B8925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9B7EA3"/>
    <w:multiLevelType w:val="hybridMultilevel"/>
    <w:tmpl w:val="22B86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F17A3"/>
    <w:multiLevelType w:val="hybridMultilevel"/>
    <w:tmpl w:val="1C9CC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3E0DA2"/>
    <w:multiLevelType w:val="hybridMultilevel"/>
    <w:tmpl w:val="53704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4E0442"/>
    <w:multiLevelType w:val="hybridMultilevel"/>
    <w:tmpl w:val="12082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1F86ACD"/>
    <w:multiLevelType w:val="hybridMultilevel"/>
    <w:tmpl w:val="10423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395437"/>
    <w:multiLevelType w:val="hybridMultilevel"/>
    <w:tmpl w:val="155CB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431B01"/>
    <w:multiLevelType w:val="hybridMultilevel"/>
    <w:tmpl w:val="42CE2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922CAA"/>
    <w:multiLevelType w:val="hybridMultilevel"/>
    <w:tmpl w:val="4246E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D22122"/>
    <w:multiLevelType w:val="hybridMultilevel"/>
    <w:tmpl w:val="A170B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073B0B"/>
    <w:multiLevelType w:val="hybridMultilevel"/>
    <w:tmpl w:val="DA08E6C4"/>
    <w:lvl w:ilvl="0" w:tplc="08090001">
      <w:start w:val="1"/>
      <w:numFmt w:val="bullet"/>
      <w:lvlText w:val=""/>
      <w:lvlJc w:val="left"/>
      <w:pPr>
        <w:ind w:left="720" w:hanging="360"/>
      </w:pPr>
      <w:rPr>
        <w:rFonts w:ascii="Symbol" w:hAnsi="Symbol" w:hint="default"/>
      </w:rPr>
    </w:lvl>
    <w:lvl w:ilvl="1" w:tplc="90D834E6">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0E0F03"/>
    <w:multiLevelType w:val="hybridMultilevel"/>
    <w:tmpl w:val="16540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345EB6"/>
    <w:multiLevelType w:val="hybridMultilevel"/>
    <w:tmpl w:val="7354C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062884"/>
    <w:multiLevelType w:val="hybridMultilevel"/>
    <w:tmpl w:val="F5CE8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D15053"/>
    <w:multiLevelType w:val="hybridMultilevel"/>
    <w:tmpl w:val="94B8D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B00DD7"/>
    <w:multiLevelType w:val="hybridMultilevel"/>
    <w:tmpl w:val="36FA5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466561">
    <w:abstractNumId w:val="9"/>
  </w:num>
  <w:num w:numId="2" w16cid:durableId="1327830120">
    <w:abstractNumId w:val="0"/>
  </w:num>
  <w:num w:numId="3" w16cid:durableId="1614242473">
    <w:abstractNumId w:val="13"/>
  </w:num>
  <w:num w:numId="4" w16cid:durableId="1025835322">
    <w:abstractNumId w:val="10"/>
  </w:num>
  <w:num w:numId="5" w16cid:durableId="325213529">
    <w:abstractNumId w:val="22"/>
  </w:num>
  <w:num w:numId="6" w16cid:durableId="250747520">
    <w:abstractNumId w:val="18"/>
  </w:num>
  <w:num w:numId="7" w16cid:durableId="827093792">
    <w:abstractNumId w:val="20"/>
  </w:num>
  <w:num w:numId="8" w16cid:durableId="949319276">
    <w:abstractNumId w:val="17"/>
  </w:num>
  <w:num w:numId="9" w16cid:durableId="2066878925">
    <w:abstractNumId w:val="3"/>
  </w:num>
  <w:num w:numId="10" w16cid:durableId="1271427164">
    <w:abstractNumId w:val="11"/>
  </w:num>
  <w:num w:numId="11" w16cid:durableId="1805268818">
    <w:abstractNumId w:val="24"/>
  </w:num>
  <w:num w:numId="12" w16cid:durableId="1095050218">
    <w:abstractNumId w:val="5"/>
  </w:num>
  <w:num w:numId="13" w16cid:durableId="123155535">
    <w:abstractNumId w:val="23"/>
  </w:num>
  <w:num w:numId="14" w16cid:durableId="325716393">
    <w:abstractNumId w:val="12"/>
  </w:num>
  <w:num w:numId="15" w16cid:durableId="415171699">
    <w:abstractNumId w:val="14"/>
  </w:num>
  <w:num w:numId="16" w16cid:durableId="1592078282">
    <w:abstractNumId w:val="7"/>
  </w:num>
  <w:num w:numId="17" w16cid:durableId="1326275021">
    <w:abstractNumId w:val="16"/>
  </w:num>
  <w:num w:numId="18" w16cid:durableId="1872183016">
    <w:abstractNumId w:val="2"/>
  </w:num>
  <w:num w:numId="19" w16cid:durableId="1866555132">
    <w:abstractNumId w:val="6"/>
  </w:num>
  <w:num w:numId="20" w16cid:durableId="160506907">
    <w:abstractNumId w:val="15"/>
  </w:num>
  <w:num w:numId="21" w16cid:durableId="1869685791">
    <w:abstractNumId w:val="19"/>
  </w:num>
  <w:num w:numId="22" w16cid:durableId="82340167">
    <w:abstractNumId w:val="1"/>
  </w:num>
  <w:num w:numId="23" w16cid:durableId="425883528">
    <w:abstractNumId w:val="21"/>
  </w:num>
  <w:num w:numId="24" w16cid:durableId="2007433496">
    <w:abstractNumId w:val="8"/>
  </w:num>
  <w:num w:numId="25" w16cid:durableId="21110758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1C1"/>
    <w:rsid w:val="00001C60"/>
    <w:rsid w:val="00012FEC"/>
    <w:rsid w:val="000146C0"/>
    <w:rsid w:val="000155C8"/>
    <w:rsid w:val="000251C1"/>
    <w:rsid w:val="00025E1A"/>
    <w:rsid w:val="00025FCA"/>
    <w:rsid w:val="00031349"/>
    <w:rsid w:val="000317F8"/>
    <w:rsid w:val="00034968"/>
    <w:rsid w:val="00062191"/>
    <w:rsid w:val="00082A6B"/>
    <w:rsid w:val="0008455A"/>
    <w:rsid w:val="00084B46"/>
    <w:rsid w:val="000851A7"/>
    <w:rsid w:val="00085573"/>
    <w:rsid w:val="000A659C"/>
    <w:rsid w:val="000B0310"/>
    <w:rsid w:val="000B262A"/>
    <w:rsid w:val="000C05C9"/>
    <w:rsid w:val="000C09DA"/>
    <w:rsid w:val="000C435E"/>
    <w:rsid w:val="000C5693"/>
    <w:rsid w:val="000C59CB"/>
    <w:rsid w:val="000C5C31"/>
    <w:rsid w:val="000D2FA7"/>
    <w:rsid w:val="000D49EB"/>
    <w:rsid w:val="000E0486"/>
    <w:rsid w:val="0010097E"/>
    <w:rsid w:val="001012CE"/>
    <w:rsid w:val="00101389"/>
    <w:rsid w:val="001322D7"/>
    <w:rsid w:val="00133639"/>
    <w:rsid w:val="00151EF8"/>
    <w:rsid w:val="0015335E"/>
    <w:rsid w:val="00156FCC"/>
    <w:rsid w:val="00162E11"/>
    <w:rsid w:val="00165B16"/>
    <w:rsid w:val="00182CE7"/>
    <w:rsid w:val="00187DF1"/>
    <w:rsid w:val="001A5A6B"/>
    <w:rsid w:val="001A7D30"/>
    <w:rsid w:val="001B39F6"/>
    <w:rsid w:val="001B5D7A"/>
    <w:rsid w:val="001C4691"/>
    <w:rsid w:val="001C6D4E"/>
    <w:rsid w:val="001C7A33"/>
    <w:rsid w:val="001D0DA4"/>
    <w:rsid w:val="001D52CE"/>
    <w:rsid w:val="001D5953"/>
    <w:rsid w:val="001E3EF9"/>
    <w:rsid w:val="001F059E"/>
    <w:rsid w:val="001F4051"/>
    <w:rsid w:val="00205AEB"/>
    <w:rsid w:val="00212288"/>
    <w:rsid w:val="00213D0A"/>
    <w:rsid w:val="00225AF4"/>
    <w:rsid w:val="00240499"/>
    <w:rsid w:val="00240D2F"/>
    <w:rsid w:val="0025103C"/>
    <w:rsid w:val="002651C6"/>
    <w:rsid w:val="0027178E"/>
    <w:rsid w:val="002B2068"/>
    <w:rsid w:val="002B54AD"/>
    <w:rsid w:val="002B6B54"/>
    <w:rsid w:val="002C11C6"/>
    <w:rsid w:val="002D03A1"/>
    <w:rsid w:val="002D2244"/>
    <w:rsid w:val="002E2333"/>
    <w:rsid w:val="002E5454"/>
    <w:rsid w:val="00300D66"/>
    <w:rsid w:val="00312066"/>
    <w:rsid w:val="00316075"/>
    <w:rsid w:val="00362B30"/>
    <w:rsid w:val="003702FC"/>
    <w:rsid w:val="00370773"/>
    <w:rsid w:val="00377E0E"/>
    <w:rsid w:val="00383B5B"/>
    <w:rsid w:val="00397340"/>
    <w:rsid w:val="003B1883"/>
    <w:rsid w:val="003F11B0"/>
    <w:rsid w:val="003F198A"/>
    <w:rsid w:val="003F634E"/>
    <w:rsid w:val="003F679F"/>
    <w:rsid w:val="004076C7"/>
    <w:rsid w:val="004103C2"/>
    <w:rsid w:val="00411F18"/>
    <w:rsid w:val="0041474B"/>
    <w:rsid w:val="00414C29"/>
    <w:rsid w:val="00422AB7"/>
    <w:rsid w:val="0042503A"/>
    <w:rsid w:val="0043093E"/>
    <w:rsid w:val="004375C2"/>
    <w:rsid w:val="00441983"/>
    <w:rsid w:val="00446860"/>
    <w:rsid w:val="00450D1C"/>
    <w:rsid w:val="00455799"/>
    <w:rsid w:val="00472EF4"/>
    <w:rsid w:val="0047432C"/>
    <w:rsid w:val="00474BF6"/>
    <w:rsid w:val="004774F4"/>
    <w:rsid w:val="004822D8"/>
    <w:rsid w:val="00485258"/>
    <w:rsid w:val="00485947"/>
    <w:rsid w:val="004A53DA"/>
    <w:rsid w:val="004C206F"/>
    <w:rsid w:val="004C3E8E"/>
    <w:rsid w:val="004D4E8E"/>
    <w:rsid w:val="004D7800"/>
    <w:rsid w:val="004E38BD"/>
    <w:rsid w:val="00507B9D"/>
    <w:rsid w:val="0052185C"/>
    <w:rsid w:val="005242F9"/>
    <w:rsid w:val="005278F9"/>
    <w:rsid w:val="00530960"/>
    <w:rsid w:val="005453B9"/>
    <w:rsid w:val="0055395E"/>
    <w:rsid w:val="0056367E"/>
    <w:rsid w:val="0057025B"/>
    <w:rsid w:val="00573D41"/>
    <w:rsid w:val="00576750"/>
    <w:rsid w:val="005803DA"/>
    <w:rsid w:val="00581583"/>
    <w:rsid w:val="00590F61"/>
    <w:rsid w:val="005B2E95"/>
    <w:rsid w:val="006100C4"/>
    <w:rsid w:val="00624C9C"/>
    <w:rsid w:val="006325F6"/>
    <w:rsid w:val="00636001"/>
    <w:rsid w:val="0065505A"/>
    <w:rsid w:val="00657100"/>
    <w:rsid w:val="006660C0"/>
    <w:rsid w:val="00680CCD"/>
    <w:rsid w:val="006831CA"/>
    <w:rsid w:val="00686CB4"/>
    <w:rsid w:val="006877B2"/>
    <w:rsid w:val="00690C5A"/>
    <w:rsid w:val="00691FE9"/>
    <w:rsid w:val="00692B19"/>
    <w:rsid w:val="00694F4D"/>
    <w:rsid w:val="006B6995"/>
    <w:rsid w:val="006B7DF7"/>
    <w:rsid w:val="006C7574"/>
    <w:rsid w:val="006D7FAF"/>
    <w:rsid w:val="006E07B5"/>
    <w:rsid w:val="00717424"/>
    <w:rsid w:val="00720A42"/>
    <w:rsid w:val="0072576E"/>
    <w:rsid w:val="0072599E"/>
    <w:rsid w:val="00727F12"/>
    <w:rsid w:val="00741132"/>
    <w:rsid w:val="00751769"/>
    <w:rsid w:val="00751ED0"/>
    <w:rsid w:val="0076006C"/>
    <w:rsid w:val="00761456"/>
    <w:rsid w:val="00763F1B"/>
    <w:rsid w:val="00786429"/>
    <w:rsid w:val="00786B12"/>
    <w:rsid w:val="00796166"/>
    <w:rsid w:val="007A328C"/>
    <w:rsid w:val="007A455F"/>
    <w:rsid w:val="007B0C9E"/>
    <w:rsid w:val="007B53A1"/>
    <w:rsid w:val="007C094A"/>
    <w:rsid w:val="007C1AA8"/>
    <w:rsid w:val="007D7F71"/>
    <w:rsid w:val="007E7579"/>
    <w:rsid w:val="007F4DED"/>
    <w:rsid w:val="00803D5E"/>
    <w:rsid w:val="00803F09"/>
    <w:rsid w:val="00814842"/>
    <w:rsid w:val="00820936"/>
    <w:rsid w:val="008216E4"/>
    <w:rsid w:val="0083488C"/>
    <w:rsid w:val="00835491"/>
    <w:rsid w:val="00841718"/>
    <w:rsid w:val="008439D8"/>
    <w:rsid w:val="00843A7F"/>
    <w:rsid w:val="008462AC"/>
    <w:rsid w:val="00864B74"/>
    <w:rsid w:val="00864D95"/>
    <w:rsid w:val="0087085C"/>
    <w:rsid w:val="0087524F"/>
    <w:rsid w:val="00881ABC"/>
    <w:rsid w:val="00883D25"/>
    <w:rsid w:val="00891B24"/>
    <w:rsid w:val="00896F54"/>
    <w:rsid w:val="008A6E24"/>
    <w:rsid w:val="008B2468"/>
    <w:rsid w:val="008B73B0"/>
    <w:rsid w:val="008F1BD0"/>
    <w:rsid w:val="008F5C61"/>
    <w:rsid w:val="00903ADF"/>
    <w:rsid w:val="00904EFE"/>
    <w:rsid w:val="00914627"/>
    <w:rsid w:val="00917864"/>
    <w:rsid w:val="00921FDD"/>
    <w:rsid w:val="0092303A"/>
    <w:rsid w:val="00926043"/>
    <w:rsid w:val="00933ECA"/>
    <w:rsid w:val="00945660"/>
    <w:rsid w:val="00955ABF"/>
    <w:rsid w:val="00955E2E"/>
    <w:rsid w:val="009602C5"/>
    <w:rsid w:val="00966DA8"/>
    <w:rsid w:val="0098104A"/>
    <w:rsid w:val="009A000A"/>
    <w:rsid w:val="009A46AD"/>
    <w:rsid w:val="009B30ED"/>
    <w:rsid w:val="009B3E0A"/>
    <w:rsid w:val="009C2562"/>
    <w:rsid w:val="009D3014"/>
    <w:rsid w:val="009E157E"/>
    <w:rsid w:val="009F321E"/>
    <w:rsid w:val="00A009F3"/>
    <w:rsid w:val="00A01F82"/>
    <w:rsid w:val="00A024FC"/>
    <w:rsid w:val="00A03AB6"/>
    <w:rsid w:val="00A06022"/>
    <w:rsid w:val="00A06DF7"/>
    <w:rsid w:val="00A126CD"/>
    <w:rsid w:val="00A153A2"/>
    <w:rsid w:val="00A365DE"/>
    <w:rsid w:val="00A47640"/>
    <w:rsid w:val="00A47F55"/>
    <w:rsid w:val="00A52661"/>
    <w:rsid w:val="00A57B4D"/>
    <w:rsid w:val="00A616C4"/>
    <w:rsid w:val="00A64492"/>
    <w:rsid w:val="00A645F9"/>
    <w:rsid w:val="00A706F4"/>
    <w:rsid w:val="00A777D3"/>
    <w:rsid w:val="00A85EEE"/>
    <w:rsid w:val="00A905AC"/>
    <w:rsid w:val="00AA076A"/>
    <w:rsid w:val="00AA72C1"/>
    <w:rsid w:val="00AD2D26"/>
    <w:rsid w:val="00AD4C74"/>
    <w:rsid w:val="00AE5035"/>
    <w:rsid w:val="00AF24E8"/>
    <w:rsid w:val="00B02C52"/>
    <w:rsid w:val="00B06496"/>
    <w:rsid w:val="00B15747"/>
    <w:rsid w:val="00B2605E"/>
    <w:rsid w:val="00B40A5E"/>
    <w:rsid w:val="00B52C0B"/>
    <w:rsid w:val="00B53A52"/>
    <w:rsid w:val="00B63129"/>
    <w:rsid w:val="00B71D4A"/>
    <w:rsid w:val="00B80A73"/>
    <w:rsid w:val="00B8278F"/>
    <w:rsid w:val="00BA2774"/>
    <w:rsid w:val="00BA7A21"/>
    <w:rsid w:val="00BB30AC"/>
    <w:rsid w:val="00BC1B65"/>
    <w:rsid w:val="00BC447A"/>
    <w:rsid w:val="00BC6609"/>
    <w:rsid w:val="00BC7C11"/>
    <w:rsid w:val="00BD0D7E"/>
    <w:rsid w:val="00BE08DF"/>
    <w:rsid w:val="00BE3470"/>
    <w:rsid w:val="00BF0C7D"/>
    <w:rsid w:val="00C14DAE"/>
    <w:rsid w:val="00C230E6"/>
    <w:rsid w:val="00C452E5"/>
    <w:rsid w:val="00C52F69"/>
    <w:rsid w:val="00C7006F"/>
    <w:rsid w:val="00C76EF8"/>
    <w:rsid w:val="00C94DBF"/>
    <w:rsid w:val="00CA2E4F"/>
    <w:rsid w:val="00CA5C33"/>
    <w:rsid w:val="00CD3E52"/>
    <w:rsid w:val="00CD4649"/>
    <w:rsid w:val="00CE0A53"/>
    <w:rsid w:val="00CE6640"/>
    <w:rsid w:val="00CE67F9"/>
    <w:rsid w:val="00D13BAC"/>
    <w:rsid w:val="00D15BA4"/>
    <w:rsid w:val="00D17825"/>
    <w:rsid w:val="00D449CB"/>
    <w:rsid w:val="00D45C73"/>
    <w:rsid w:val="00D46A21"/>
    <w:rsid w:val="00D7026A"/>
    <w:rsid w:val="00D943A9"/>
    <w:rsid w:val="00D95050"/>
    <w:rsid w:val="00DA18CF"/>
    <w:rsid w:val="00DA2EF7"/>
    <w:rsid w:val="00DA34B5"/>
    <w:rsid w:val="00DA73C9"/>
    <w:rsid w:val="00DB04B2"/>
    <w:rsid w:val="00DB7F24"/>
    <w:rsid w:val="00DC130D"/>
    <w:rsid w:val="00DF28F0"/>
    <w:rsid w:val="00DF5E9F"/>
    <w:rsid w:val="00DF66A9"/>
    <w:rsid w:val="00DF765E"/>
    <w:rsid w:val="00E02BD7"/>
    <w:rsid w:val="00E12985"/>
    <w:rsid w:val="00E13D14"/>
    <w:rsid w:val="00E511AE"/>
    <w:rsid w:val="00E55AB1"/>
    <w:rsid w:val="00E6295B"/>
    <w:rsid w:val="00E7397F"/>
    <w:rsid w:val="00E8267D"/>
    <w:rsid w:val="00E90841"/>
    <w:rsid w:val="00E90D58"/>
    <w:rsid w:val="00EA1339"/>
    <w:rsid w:val="00EA23D4"/>
    <w:rsid w:val="00EC7832"/>
    <w:rsid w:val="00ED722E"/>
    <w:rsid w:val="00EE0C96"/>
    <w:rsid w:val="00EE2B96"/>
    <w:rsid w:val="00EE6307"/>
    <w:rsid w:val="00EF5D54"/>
    <w:rsid w:val="00F010D6"/>
    <w:rsid w:val="00F03DE9"/>
    <w:rsid w:val="00F05BEC"/>
    <w:rsid w:val="00F14283"/>
    <w:rsid w:val="00F14770"/>
    <w:rsid w:val="00F23B0F"/>
    <w:rsid w:val="00F33FA6"/>
    <w:rsid w:val="00F36AD3"/>
    <w:rsid w:val="00F37249"/>
    <w:rsid w:val="00F420D6"/>
    <w:rsid w:val="00F44B24"/>
    <w:rsid w:val="00F47B96"/>
    <w:rsid w:val="00F54EA7"/>
    <w:rsid w:val="00F6399D"/>
    <w:rsid w:val="00F67D43"/>
    <w:rsid w:val="00F748E2"/>
    <w:rsid w:val="00F76B82"/>
    <w:rsid w:val="00F910AE"/>
    <w:rsid w:val="00F914EE"/>
    <w:rsid w:val="00F9330C"/>
    <w:rsid w:val="00F95E1B"/>
    <w:rsid w:val="00FA4624"/>
    <w:rsid w:val="00FB0ED2"/>
    <w:rsid w:val="00FC695C"/>
    <w:rsid w:val="00FC722C"/>
    <w:rsid w:val="00FD09CC"/>
    <w:rsid w:val="00FD374C"/>
    <w:rsid w:val="00FD51E9"/>
    <w:rsid w:val="00FE643F"/>
    <w:rsid w:val="00FF43BB"/>
    <w:rsid w:val="00FF4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49FC7"/>
  <w15:chartTrackingRefBased/>
  <w15:docId w15:val="{1749AE85-3CDC-47F1-9E86-7C1CF9A17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7DF1"/>
  </w:style>
  <w:style w:type="paragraph" w:styleId="Heading1">
    <w:name w:val="heading 1"/>
    <w:basedOn w:val="Normal"/>
    <w:next w:val="Normal"/>
    <w:link w:val="Heading1Char"/>
    <w:uiPriority w:val="9"/>
    <w:qFormat/>
    <w:rsid w:val="00187DF1"/>
    <w:pPr>
      <w:keepNext/>
      <w:keepLines/>
      <w:spacing w:before="320" w:after="80" w:line="240" w:lineRule="auto"/>
      <w:jc w:val="center"/>
      <w:outlineLvl w:val="0"/>
    </w:pPr>
    <w:rPr>
      <w:rFonts w:asciiTheme="majorHAnsi" w:eastAsiaTheme="majorEastAsia" w:hAnsiTheme="majorHAnsi" w:cstheme="majorBidi"/>
      <w:color w:val="032348" w:themeColor="accent1" w:themeShade="BF"/>
      <w:sz w:val="40"/>
      <w:szCs w:val="40"/>
    </w:rPr>
  </w:style>
  <w:style w:type="paragraph" w:styleId="Heading2">
    <w:name w:val="heading 2"/>
    <w:basedOn w:val="Normal"/>
    <w:next w:val="Normal"/>
    <w:link w:val="Heading2Char"/>
    <w:uiPriority w:val="9"/>
    <w:unhideWhenUsed/>
    <w:qFormat/>
    <w:rsid w:val="00187DF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87DF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87DF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87DF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87DF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87DF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87DF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87DF1"/>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7DF1"/>
    <w:rPr>
      <w:rFonts w:asciiTheme="majorHAnsi" w:eastAsiaTheme="majorEastAsia" w:hAnsiTheme="majorHAnsi" w:cstheme="majorBidi"/>
      <w:color w:val="032348" w:themeColor="accent1" w:themeShade="BF"/>
      <w:sz w:val="40"/>
      <w:szCs w:val="40"/>
    </w:rPr>
  </w:style>
  <w:style w:type="character" w:customStyle="1" w:styleId="Heading2Char">
    <w:name w:val="Heading 2 Char"/>
    <w:basedOn w:val="DefaultParagraphFont"/>
    <w:link w:val="Heading2"/>
    <w:uiPriority w:val="9"/>
    <w:rsid w:val="00187DF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87DF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87DF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87DF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87DF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87DF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87DF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87DF1"/>
    <w:rPr>
      <w:b/>
      <w:bCs/>
      <w:i/>
      <w:iCs/>
    </w:rPr>
  </w:style>
  <w:style w:type="paragraph" w:styleId="Title">
    <w:name w:val="Title"/>
    <w:basedOn w:val="Normal"/>
    <w:next w:val="Normal"/>
    <w:link w:val="TitleChar"/>
    <w:uiPriority w:val="10"/>
    <w:qFormat/>
    <w:rsid w:val="00187DF1"/>
    <w:pPr>
      <w:pBdr>
        <w:top w:val="single" w:sz="6" w:space="8" w:color="14967C" w:themeColor="accent3"/>
        <w:bottom w:val="single" w:sz="6" w:space="8" w:color="14967C" w:themeColor="accent3"/>
      </w:pBdr>
      <w:spacing w:after="400" w:line="240" w:lineRule="auto"/>
      <w:contextualSpacing/>
      <w:jc w:val="center"/>
    </w:pPr>
    <w:rPr>
      <w:rFonts w:asciiTheme="majorHAnsi" w:eastAsiaTheme="majorEastAsia" w:hAnsiTheme="majorHAnsi" w:cstheme="majorBidi"/>
      <w:caps/>
      <w:color w:val="146194" w:themeColor="text2"/>
      <w:spacing w:val="30"/>
      <w:sz w:val="72"/>
      <w:szCs w:val="72"/>
    </w:rPr>
  </w:style>
  <w:style w:type="character" w:customStyle="1" w:styleId="TitleChar">
    <w:name w:val="Title Char"/>
    <w:basedOn w:val="DefaultParagraphFont"/>
    <w:link w:val="Title"/>
    <w:uiPriority w:val="10"/>
    <w:rsid w:val="00187DF1"/>
    <w:rPr>
      <w:rFonts w:asciiTheme="majorHAnsi" w:eastAsiaTheme="majorEastAsia" w:hAnsiTheme="majorHAnsi" w:cstheme="majorBidi"/>
      <w:caps/>
      <w:color w:val="146194" w:themeColor="text2"/>
      <w:spacing w:val="30"/>
      <w:sz w:val="72"/>
      <w:szCs w:val="72"/>
    </w:rPr>
  </w:style>
  <w:style w:type="paragraph" w:styleId="Subtitle">
    <w:name w:val="Subtitle"/>
    <w:basedOn w:val="Normal"/>
    <w:next w:val="Normal"/>
    <w:link w:val="SubtitleChar"/>
    <w:uiPriority w:val="11"/>
    <w:qFormat/>
    <w:rsid w:val="00187DF1"/>
    <w:pPr>
      <w:numPr>
        <w:ilvl w:val="1"/>
      </w:numPr>
      <w:jc w:val="center"/>
    </w:pPr>
    <w:rPr>
      <w:color w:val="146194" w:themeColor="text2"/>
      <w:sz w:val="28"/>
      <w:szCs w:val="28"/>
    </w:rPr>
  </w:style>
  <w:style w:type="character" w:customStyle="1" w:styleId="SubtitleChar">
    <w:name w:val="Subtitle Char"/>
    <w:basedOn w:val="DefaultParagraphFont"/>
    <w:link w:val="Subtitle"/>
    <w:uiPriority w:val="11"/>
    <w:rsid w:val="00187DF1"/>
    <w:rPr>
      <w:color w:val="146194" w:themeColor="text2"/>
      <w:sz w:val="28"/>
      <w:szCs w:val="28"/>
    </w:rPr>
  </w:style>
  <w:style w:type="paragraph" w:styleId="Quote">
    <w:name w:val="Quote"/>
    <w:basedOn w:val="Normal"/>
    <w:next w:val="Normal"/>
    <w:link w:val="QuoteChar"/>
    <w:uiPriority w:val="29"/>
    <w:qFormat/>
    <w:rsid w:val="00187DF1"/>
    <w:pPr>
      <w:spacing w:before="160"/>
      <w:ind w:left="720" w:right="720"/>
      <w:jc w:val="center"/>
    </w:pPr>
    <w:rPr>
      <w:i/>
      <w:iCs/>
      <w:color w:val="0F705C" w:themeColor="accent3" w:themeShade="BF"/>
      <w:sz w:val="24"/>
      <w:szCs w:val="24"/>
    </w:rPr>
  </w:style>
  <w:style w:type="character" w:customStyle="1" w:styleId="QuoteChar">
    <w:name w:val="Quote Char"/>
    <w:basedOn w:val="DefaultParagraphFont"/>
    <w:link w:val="Quote"/>
    <w:uiPriority w:val="29"/>
    <w:rsid w:val="00187DF1"/>
    <w:rPr>
      <w:i/>
      <w:iCs/>
      <w:color w:val="0F705C" w:themeColor="accent3" w:themeShade="BF"/>
      <w:sz w:val="24"/>
      <w:szCs w:val="24"/>
    </w:rPr>
  </w:style>
  <w:style w:type="paragraph" w:styleId="ListParagraph">
    <w:name w:val="List Paragraph"/>
    <w:basedOn w:val="Normal"/>
    <w:uiPriority w:val="34"/>
    <w:qFormat/>
    <w:rsid w:val="000251C1"/>
    <w:pPr>
      <w:ind w:left="720"/>
      <w:contextualSpacing/>
    </w:pPr>
  </w:style>
  <w:style w:type="character" w:styleId="IntenseEmphasis">
    <w:name w:val="Intense Emphasis"/>
    <w:basedOn w:val="DefaultParagraphFont"/>
    <w:uiPriority w:val="21"/>
    <w:qFormat/>
    <w:rsid w:val="00187DF1"/>
    <w:rPr>
      <w:b/>
      <w:bCs/>
      <w:i/>
      <w:iCs/>
      <w:color w:val="auto"/>
    </w:rPr>
  </w:style>
  <w:style w:type="paragraph" w:styleId="IntenseQuote">
    <w:name w:val="Intense Quote"/>
    <w:basedOn w:val="Normal"/>
    <w:next w:val="Normal"/>
    <w:link w:val="IntenseQuoteChar"/>
    <w:uiPriority w:val="30"/>
    <w:qFormat/>
    <w:rsid w:val="00187DF1"/>
    <w:pPr>
      <w:spacing w:before="160" w:line="276" w:lineRule="auto"/>
      <w:ind w:left="936" w:right="936"/>
      <w:jc w:val="center"/>
    </w:pPr>
    <w:rPr>
      <w:rFonts w:asciiTheme="majorHAnsi" w:eastAsiaTheme="majorEastAsia" w:hAnsiTheme="majorHAnsi" w:cstheme="majorBidi"/>
      <w:caps/>
      <w:color w:val="032348" w:themeColor="accent1" w:themeShade="BF"/>
      <w:sz w:val="28"/>
      <w:szCs w:val="28"/>
    </w:rPr>
  </w:style>
  <w:style w:type="character" w:customStyle="1" w:styleId="IntenseQuoteChar">
    <w:name w:val="Intense Quote Char"/>
    <w:basedOn w:val="DefaultParagraphFont"/>
    <w:link w:val="IntenseQuote"/>
    <w:uiPriority w:val="30"/>
    <w:rsid w:val="00187DF1"/>
    <w:rPr>
      <w:rFonts w:asciiTheme="majorHAnsi" w:eastAsiaTheme="majorEastAsia" w:hAnsiTheme="majorHAnsi" w:cstheme="majorBidi"/>
      <w:caps/>
      <w:color w:val="032348" w:themeColor="accent1" w:themeShade="BF"/>
      <w:sz w:val="28"/>
      <w:szCs w:val="28"/>
    </w:rPr>
  </w:style>
  <w:style w:type="character" w:styleId="IntenseReference">
    <w:name w:val="Intense Reference"/>
    <w:basedOn w:val="DefaultParagraphFont"/>
    <w:uiPriority w:val="32"/>
    <w:qFormat/>
    <w:rsid w:val="00187DF1"/>
    <w:rPr>
      <w:b/>
      <w:bCs/>
      <w:caps w:val="0"/>
      <w:smallCaps/>
      <w:color w:val="auto"/>
      <w:spacing w:val="0"/>
      <w:u w:val="single"/>
    </w:rPr>
  </w:style>
  <w:style w:type="paragraph" w:styleId="Caption">
    <w:name w:val="caption"/>
    <w:basedOn w:val="Normal"/>
    <w:next w:val="Normal"/>
    <w:uiPriority w:val="35"/>
    <w:semiHidden/>
    <w:unhideWhenUsed/>
    <w:qFormat/>
    <w:rsid w:val="00187DF1"/>
    <w:pPr>
      <w:spacing w:line="240" w:lineRule="auto"/>
    </w:pPr>
    <w:rPr>
      <w:b/>
      <w:bCs/>
      <w:color w:val="404040" w:themeColor="text1" w:themeTint="BF"/>
      <w:sz w:val="16"/>
      <w:szCs w:val="16"/>
    </w:rPr>
  </w:style>
  <w:style w:type="character" w:styleId="Strong">
    <w:name w:val="Strong"/>
    <w:basedOn w:val="DefaultParagraphFont"/>
    <w:uiPriority w:val="22"/>
    <w:qFormat/>
    <w:rsid w:val="00187DF1"/>
    <w:rPr>
      <w:b/>
      <w:bCs/>
    </w:rPr>
  </w:style>
  <w:style w:type="character" w:styleId="Emphasis">
    <w:name w:val="Emphasis"/>
    <w:basedOn w:val="DefaultParagraphFont"/>
    <w:uiPriority w:val="20"/>
    <w:qFormat/>
    <w:rsid w:val="00187DF1"/>
    <w:rPr>
      <w:i/>
      <w:iCs/>
      <w:color w:val="000000" w:themeColor="text1"/>
    </w:rPr>
  </w:style>
  <w:style w:type="paragraph" w:styleId="NoSpacing">
    <w:name w:val="No Spacing"/>
    <w:uiPriority w:val="1"/>
    <w:qFormat/>
    <w:rsid w:val="00187DF1"/>
    <w:pPr>
      <w:spacing w:after="0" w:line="240" w:lineRule="auto"/>
    </w:pPr>
  </w:style>
  <w:style w:type="character" w:styleId="SubtleEmphasis">
    <w:name w:val="Subtle Emphasis"/>
    <w:basedOn w:val="DefaultParagraphFont"/>
    <w:uiPriority w:val="19"/>
    <w:qFormat/>
    <w:rsid w:val="00187DF1"/>
    <w:rPr>
      <w:i/>
      <w:iCs/>
      <w:color w:val="595959" w:themeColor="text1" w:themeTint="A6"/>
    </w:rPr>
  </w:style>
  <w:style w:type="character" w:styleId="SubtleReference">
    <w:name w:val="Subtle Reference"/>
    <w:basedOn w:val="DefaultParagraphFont"/>
    <w:uiPriority w:val="31"/>
    <w:qFormat/>
    <w:rsid w:val="00187DF1"/>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187DF1"/>
    <w:rPr>
      <w:b/>
      <w:bCs/>
      <w:caps w:val="0"/>
      <w:smallCaps/>
      <w:spacing w:val="0"/>
    </w:rPr>
  </w:style>
  <w:style w:type="paragraph" w:styleId="TOCHeading">
    <w:name w:val="TOC Heading"/>
    <w:basedOn w:val="Heading1"/>
    <w:next w:val="Normal"/>
    <w:uiPriority w:val="39"/>
    <w:unhideWhenUsed/>
    <w:qFormat/>
    <w:rsid w:val="00187DF1"/>
    <w:pPr>
      <w:outlineLvl w:val="9"/>
    </w:pPr>
  </w:style>
  <w:style w:type="paragraph" w:styleId="NormalWeb">
    <w:name w:val="Normal (Web)"/>
    <w:basedOn w:val="Normal"/>
    <w:uiPriority w:val="99"/>
    <w:semiHidden/>
    <w:unhideWhenUsed/>
    <w:rsid w:val="00EF5D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36AD3"/>
    <w:rPr>
      <w:color w:val="0D2E46" w:themeColor="hyperlink"/>
      <w:u w:val="single"/>
    </w:rPr>
  </w:style>
  <w:style w:type="character" w:styleId="UnresolvedMention">
    <w:name w:val="Unresolved Mention"/>
    <w:basedOn w:val="DefaultParagraphFont"/>
    <w:uiPriority w:val="99"/>
    <w:semiHidden/>
    <w:unhideWhenUsed/>
    <w:rsid w:val="00F36AD3"/>
    <w:rPr>
      <w:color w:val="605E5C"/>
      <w:shd w:val="clear" w:color="auto" w:fill="E1DFDD"/>
    </w:rPr>
  </w:style>
  <w:style w:type="paragraph" w:styleId="Header">
    <w:name w:val="header"/>
    <w:basedOn w:val="Normal"/>
    <w:link w:val="HeaderChar"/>
    <w:uiPriority w:val="99"/>
    <w:unhideWhenUsed/>
    <w:rsid w:val="00D702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026A"/>
  </w:style>
  <w:style w:type="paragraph" w:styleId="Footer">
    <w:name w:val="footer"/>
    <w:basedOn w:val="Normal"/>
    <w:link w:val="FooterChar"/>
    <w:uiPriority w:val="99"/>
    <w:unhideWhenUsed/>
    <w:rsid w:val="00D702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026A"/>
  </w:style>
  <w:style w:type="paragraph" w:styleId="TOC1">
    <w:name w:val="toc 1"/>
    <w:basedOn w:val="Normal"/>
    <w:next w:val="Normal"/>
    <w:autoRedefine/>
    <w:uiPriority w:val="39"/>
    <w:unhideWhenUsed/>
    <w:rsid w:val="00A5266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yperlink" Target="https://manzoorhospital.com/understanding-diabetes-types-symptoms-and-management/" TargetMode="External"/><Relationship Id="rId50" Type="http://schemas.openxmlformats.org/officeDocument/2006/relationships/hyperlink" Target="https://www.certilytics.com/news-insights/ci-social-determinants-of-health/"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www.huma.com/insights/diabetes-goes-digital"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elfh.org.uk/programmes/managing-type-2-diabetes-in-children-and-young-people"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www.nhs.uk"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jpeg"/><Relationship Id="rId46" Type="http://schemas.openxmlformats.org/officeDocument/2006/relationships/hyperlink" Target="https://www.instagram.com/p/DPyGufPDJVQ/" TargetMode="External"/><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whittington.nhs.uk/default.asp?c=31000" TargetMode="Externa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25EA58-E180-4AEC-9271-B9AC6A4006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11113</TotalTime>
  <Pages>35</Pages>
  <Words>6135</Words>
  <Characters>34972</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Zobia Riaz (2226851)</dc:creator>
  <cp:keywords/>
  <dc:description/>
  <cp:lastModifiedBy>Zobia Riaz (2226851)</cp:lastModifiedBy>
  <cp:revision>339</cp:revision>
  <dcterms:created xsi:type="dcterms:W3CDTF">2026-02-11T10:18:00Z</dcterms:created>
  <dcterms:modified xsi:type="dcterms:W3CDTF">2026-02-27T08:51:00Z</dcterms:modified>
</cp:coreProperties>
</file>