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79D9BBCE">
            <wp:simplePos x="0" y="0"/>
            <wp:positionH relativeFrom="margin">
              <wp:align>center</wp:align>
            </wp:positionH>
            <wp:positionV relativeFrom="paragraph">
              <wp:posOffset>11430</wp:posOffset>
            </wp:positionV>
            <wp:extent cx="3114675" cy="1048111"/>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a:ext>
                      </a:extLst>
                    </a:blip>
                    <a:srcRect r="23643"/>
                    <a:stretch/>
                  </pic:blipFill>
                  <pic:spPr bwMode="auto">
                    <a:xfrm>
                      <a:off x="0" y="0"/>
                      <a:ext cx="3114675" cy="1048111"/>
                    </a:xfrm>
                    <a:prstGeom prst="rect">
                      <a:avLst/>
                    </a:prstGeom>
                    <a:noFill/>
                    <a:ln>
                      <a:noFill/>
                    </a:ln>
                  </pic:spPr>
                </pic:pic>
              </a:graphicData>
            </a:graphic>
            <wp14:sizeRelH relativeFrom="margin">
              <wp14:pctWidth>0</wp14:pctWidth>
            </wp14:sizeRelH>
          </wp:anchor>
        </w:drawing>
      </w:r>
    </w:p>
    <w:p w14:paraId="224238DC" w14:textId="184BA41B" w:rsidR="4F26DC6A" w:rsidRDefault="4F26DC6A" w:rsidP="4F26DC6A">
      <w:pPr>
        <w:rPr>
          <w:rFonts w:ascii="Arial" w:eastAsia="Arial" w:hAnsi="Arial" w:cs="Arial"/>
          <w:b/>
          <w:bCs/>
          <w:sz w:val="32"/>
          <w:szCs w:val="32"/>
        </w:rPr>
      </w:pPr>
    </w:p>
    <w:p w14:paraId="6D29CD44" w14:textId="589A5F68" w:rsidR="00063B4C" w:rsidRPr="00063B4C" w:rsidRDefault="00063B4C" w:rsidP="0E260372">
      <w:pPr>
        <w:rPr>
          <w:rFonts w:ascii="Arial" w:eastAsia="Arial" w:hAnsi="Arial" w:cs="Arial"/>
          <w:b/>
          <w:bCs/>
          <w:sz w:val="32"/>
          <w:szCs w:val="32"/>
        </w:rPr>
      </w:pPr>
      <w:r w:rsidRPr="0E260372">
        <w:rPr>
          <w:rFonts w:ascii="Arial" w:eastAsia="Arial" w:hAnsi="Arial" w:cs="Arial"/>
          <w:b/>
          <w:bCs/>
          <w:sz w:val="32"/>
          <w:szCs w:val="32"/>
        </w:rPr>
        <w:t>Disclaimer</w:t>
      </w:r>
    </w:p>
    <w:p w14:paraId="2E1C9484" w14:textId="06AB797C" w:rsidR="00604A87" w:rsidRDefault="00063B4C" w:rsidP="0E260372">
      <w:pPr>
        <w:spacing w:before="62"/>
        <w:ind w:right="96"/>
        <w:jc w:val="left"/>
        <w:rPr>
          <w:rFonts w:ascii="Arial" w:eastAsia="Arial" w:hAnsi="Arial" w:cs="Arial"/>
        </w:rPr>
      </w:pPr>
      <w:r w:rsidRPr="0E260372">
        <w:rPr>
          <w:rFonts w:ascii="Arial" w:eastAsia="Arial" w:hAnsi="Arial" w:cs="Arial"/>
        </w:rPr>
        <w:t xml:space="preserve">This document was correct at the time of publication. The Module Coordinator reserves the right to modify any </w:t>
      </w:r>
      <w:r w:rsidR="757B3770" w:rsidRPr="0E260372">
        <w:rPr>
          <w:rFonts w:ascii="Arial" w:eastAsia="Arial" w:hAnsi="Arial" w:cs="Arial"/>
        </w:rPr>
        <w:t>statement,</w:t>
      </w:r>
      <w:r w:rsidRPr="0E260372">
        <w:rPr>
          <w:rFonts w:ascii="Arial" w:eastAsia="Arial" w:hAnsi="Arial" w:cs="Arial"/>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E260372">
      <w:pPr>
        <w:jc w:val="left"/>
        <w:rPr>
          <w:rFonts w:eastAsia="Times New Roman" w:cs="Arial"/>
          <w:b/>
          <w:bCs/>
          <w:sz w:val="28"/>
          <w:szCs w:val="28"/>
        </w:rPr>
      </w:pPr>
    </w:p>
    <w:p w14:paraId="3492E4C4" w14:textId="45AA03BC" w:rsidR="00604A87" w:rsidRPr="0073280B" w:rsidRDefault="00604A87" w:rsidP="0E260372">
      <w:pPr>
        <w:jc w:val="left"/>
        <w:rPr>
          <w:rFonts w:ascii="Arial" w:eastAsia="Arial" w:hAnsi="Arial" w:cs="Arial"/>
          <w:b/>
          <w:bCs/>
          <w:sz w:val="32"/>
          <w:szCs w:val="32"/>
        </w:rPr>
      </w:pPr>
      <w:r w:rsidRPr="0E260372">
        <w:rPr>
          <w:rFonts w:ascii="Arial" w:eastAsia="Arial" w:hAnsi="Arial" w:cs="Arial"/>
          <w:b/>
          <w:bCs/>
          <w:sz w:val="32"/>
          <w:szCs w:val="32"/>
        </w:rPr>
        <w:t>DECLARATION</w:t>
      </w:r>
    </w:p>
    <w:p w14:paraId="113CAAED" w14:textId="2CC33593" w:rsidR="00604A87" w:rsidRPr="00604A87" w:rsidRDefault="00604A87" w:rsidP="0E260372">
      <w:pPr>
        <w:jc w:val="left"/>
        <w:rPr>
          <w:rFonts w:ascii="Arial" w:eastAsia="Arial" w:hAnsi="Arial" w:cs="Arial"/>
        </w:rPr>
      </w:pPr>
      <w:r w:rsidRPr="0E260372">
        <w:rPr>
          <w:rFonts w:ascii="Arial" w:eastAsia="Arial" w:hAnsi="Arial" w:cs="Arial"/>
        </w:rPr>
        <w:t>This work has not previously been accepted in substance for any degree and is not being concurrently submitted in candidature for any degree</w:t>
      </w:r>
    </w:p>
    <w:p w14:paraId="3EF51212" w14:textId="3095CEAD" w:rsidR="00604A87" w:rsidRPr="00604A87" w:rsidRDefault="00604A87" w:rsidP="0E260372">
      <w:pPr>
        <w:jc w:val="left"/>
        <w:rPr>
          <w:rFonts w:ascii="Arial" w:eastAsia="Arial" w:hAnsi="Arial" w:cs="Arial"/>
        </w:rPr>
      </w:pPr>
      <w:r w:rsidRPr="0E260372">
        <w:rPr>
          <w:rFonts w:ascii="Arial" w:eastAsia="Arial" w:hAnsi="Arial" w:cs="Arial"/>
        </w:rPr>
        <w:t>Signed</w:t>
      </w:r>
      <w:r w:rsidR="406FC6E1" w:rsidRPr="0E260372">
        <w:rPr>
          <w:rFonts w:ascii="Arial" w:eastAsia="Arial" w:hAnsi="Arial" w:cs="Arial"/>
        </w:rPr>
        <w:t xml:space="preserve"> Shahana Islam</w:t>
      </w:r>
      <w:r w:rsidRPr="0E260372">
        <w:rPr>
          <w:rFonts w:ascii="Arial" w:eastAsia="Arial" w:hAnsi="Arial" w:cs="Arial"/>
        </w:rPr>
        <w:t>……………………………………………</w:t>
      </w:r>
    </w:p>
    <w:p w14:paraId="16B6CB34" w14:textId="4804A421" w:rsidR="00604A87" w:rsidRPr="00604A87" w:rsidRDefault="00604A87" w:rsidP="0E260372">
      <w:pPr>
        <w:jc w:val="left"/>
        <w:rPr>
          <w:rFonts w:ascii="Arial" w:eastAsia="Arial" w:hAnsi="Arial" w:cs="Arial"/>
        </w:rPr>
      </w:pPr>
      <w:r w:rsidRPr="0E260372">
        <w:rPr>
          <w:rFonts w:ascii="Arial" w:eastAsia="Arial" w:hAnsi="Arial" w:cs="Arial"/>
        </w:rPr>
        <w:t>Date……</w:t>
      </w:r>
      <w:r w:rsidR="7CD88BB8" w:rsidRPr="0E260372">
        <w:rPr>
          <w:rFonts w:ascii="Arial" w:eastAsia="Arial" w:hAnsi="Arial" w:cs="Arial"/>
        </w:rPr>
        <w:t>12/11/2025</w:t>
      </w:r>
      <w:r w:rsidRPr="0E260372">
        <w:rPr>
          <w:rFonts w:ascii="Arial" w:eastAsia="Arial" w:hAnsi="Arial" w:cs="Arial"/>
        </w:rPr>
        <w:t>…………………………………………</w:t>
      </w:r>
    </w:p>
    <w:p w14:paraId="7D9E43A8" w14:textId="77777777" w:rsidR="00604A87" w:rsidRPr="00604A87" w:rsidRDefault="00604A87" w:rsidP="0E260372">
      <w:pPr>
        <w:jc w:val="left"/>
        <w:rPr>
          <w:rFonts w:ascii="Arial" w:eastAsia="Arial" w:hAnsi="Arial" w:cs="Arial"/>
          <w:kern w:val="32"/>
        </w:rPr>
      </w:pPr>
      <w:r w:rsidRPr="0E260372">
        <w:rPr>
          <w:rFonts w:ascii="Arial" w:eastAsia="Arial" w:hAnsi="Arial" w:cs="Arial"/>
          <w:b/>
          <w:bCs/>
        </w:rPr>
        <w:t xml:space="preserve">STATEMENT 1 </w:t>
      </w:r>
    </w:p>
    <w:p w14:paraId="189DE0A6" w14:textId="710F2765" w:rsidR="00604A87" w:rsidRPr="00604A87" w:rsidRDefault="00604A87" w:rsidP="0E260372">
      <w:pPr>
        <w:jc w:val="left"/>
        <w:rPr>
          <w:rFonts w:ascii="Arial" w:eastAsia="Arial" w:hAnsi="Arial" w:cs="Arial"/>
        </w:rPr>
      </w:pPr>
      <w:r w:rsidRPr="0E260372">
        <w:rPr>
          <w:rFonts w:ascii="Arial" w:eastAsia="Arial" w:hAnsi="Arial" w:cs="Arial"/>
        </w:rPr>
        <w:t>This dissertation is being submitted in partial fulfilment of the requirements for the degree of BSc.</w:t>
      </w:r>
    </w:p>
    <w:p w14:paraId="39F661A6" w14:textId="2A067456" w:rsidR="00604A87" w:rsidRPr="00604A87" w:rsidRDefault="00604A87" w:rsidP="0E260372">
      <w:pPr>
        <w:jc w:val="left"/>
        <w:rPr>
          <w:rFonts w:ascii="Arial" w:eastAsia="Arial" w:hAnsi="Arial" w:cs="Arial"/>
        </w:rPr>
      </w:pPr>
      <w:r w:rsidRPr="0E260372">
        <w:rPr>
          <w:rFonts w:ascii="Arial" w:eastAsia="Arial" w:hAnsi="Arial" w:cs="Arial"/>
        </w:rPr>
        <w:t>Signed…</w:t>
      </w:r>
      <w:r w:rsidR="4DBF7C0D" w:rsidRPr="0E260372">
        <w:rPr>
          <w:rFonts w:ascii="Arial" w:eastAsia="Arial" w:hAnsi="Arial" w:cs="Arial"/>
        </w:rPr>
        <w:t>Shahana Islam</w:t>
      </w:r>
      <w:r w:rsidRPr="0E260372">
        <w:rPr>
          <w:rFonts w:ascii="Arial" w:eastAsia="Arial" w:hAnsi="Arial" w:cs="Arial"/>
        </w:rPr>
        <w:t xml:space="preserve">…………………………………………. </w:t>
      </w:r>
    </w:p>
    <w:p w14:paraId="21F5E413" w14:textId="232987EA" w:rsidR="00604A87" w:rsidRPr="00604A87" w:rsidRDefault="00604A87" w:rsidP="0E260372">
      <w:pPr>
        <w:jc w:val="left"/>
        <w:rPr>
          <w:rFonts w:ascii="Arial" w:eastAsia="Arial" w:hAnsi="Arial" w:cs="Arial"/>
        </w:rPr>
      </w:pPr>
      <w:r w:rsidRPr="0E260372">
        <w:rPr>
          <w:rFonts w:ascii="Arial" w:eastAsia="Arial" w:hAnsi="Arial" w:cs="Arial"/>
        </w:rPr>
        <w:t>Date………</w:t>
      </w:r>
      <w:r w:rsidR="2B2D71CE" w:rsidRPr="0E260372">
        <w:rPr>
          <w:rFonts w:ascii="Arial" w:eastAsia="Arial" w:hAnsi="Arial" w:cs="Arial"/>
        </w:rPr>
        <w:t>12/11/2025</w:t>
      </w:r>
      <w:r w:rsidRPr="0E260372">
        <w:rPr>
          <w:rFonts w:ascii="Arial" w:eastAsia="Arial" w:hAnsi="Arial" w:cs="Arial"/>
        </w:rPr>
        <w:t>………………………………………</w:t>
      </w:r>
    </w:p>
    <w:p w14:paraId="713B64B9" w14:textId="77777777" w:rsidR="00604A87" w:rsidRPr="00604A87" w:rsidRDefault="00604A87" w:rsidP="0E260372">
      <w:pPr>
        <w:jc w:val="left"/>
        <w:rPr>
          <w:rFonts w:ascii="Arial" w:eastAsia="Arial" w:hAnsi="Arial" w:cs="Arial"/>
        </w:rPr>
      </w:pPr>
      <w:r w:rsidRPr="0E260372">
        <w:rPr>
          <w:rFonts w:ascii="Arial" w:eastAsia="Arial" w:hAnsi="Arial" w:cs="Arial"/>
          <w:b/>
          <w:bCs/>
        </w:rPr>
        <w:t>STATEMENT 2</w:t>
      </w:r>
    </w:p>
    <w:p w14:paraId="4AA5D04A" w14:textId="65BB11AC" w:rsidR="00604A87" w:rsidRPr="00604A87" w:rsidRDefault="00604A87" w:rsidP="0E260372">
      <w:pPr>
        <w:jc w:val="left"/>
        <w:rPr>
          <w:rFonts w:ascii="Arial" w:eastAsia="Arial" w:hAnsi="Arial" w:cs="Arial"/>
        </w:rPr>
      </w:pPr>
      <w:r w:rsidRPr="0E260372">
        <w:rPr>
          <w:rFonts w:ascii="Arial" w:eastAsia="Arial" w:hAnsi="Arial" w:cs="Arial"/>
        </w:rPr>
        <w:t>This dissertation is the result of my own independent work/investigation, except where otherwise stated. Other sources are acknowledged by footnotes giving explicit references.  A bibliography is appended.</w:t>
      </w:r>
    </w:p>
    <w:p w14:paraId="319A31E7" w14:textId="55DF7EB2" w:rsidR="00604A87" w:rsidRPr="00604A87" w:rsidRDefault="00604A87" w:rsidP="0E260372">
      <w:pPr>
        <w:jc w:val="left"/>
        <w:rPr>
          <w:rFonts w:ascii="Arial" w:eastAsia="Arial" w:hAnsi="Arial" w:cs="Arial"/>
        </w:rPr>
      </w:pPr>
      <w:r w:rsidRPr="0E260372">
        <w:rPr>
          <w:rFonts w:ascii="Arial" w:eastAsia="Arial" w:hAnsi="Arial" w:cs="Arial"/>
        </w:rPr>
        <w:t>Signed…</w:t>
      </w:r>
      <w:r w:rsidR="4D85BCB3" w:rsidRPr="0E260372">
        <w:rPr>
          <w:rFonts w:ascii="Arial" w:eastAsia="Arial" w:hAnsi="Arial" w:cs="Arial"/>
        </w:rPr>
        <w:t>Shahana Islam</w:t>
      </w:r>
      <w:r w:rsidRPr="0E260372">
        <w:rPr>
          <w:rFonts w:ascii="Arial" w:eastAsia="Arial" w:hAnsi="Arial" w:cs="Arial"/>
        </w:rPr>
        <w:t>…………………………………………</w:t>
      </w:r>
    </w:p>
    <w:p w14:paraId="1CB40FFB" w14:textId="2A6CC6A0" w:rsidR="00604A87" w:rsidRPr="00604A87" w:rsidRDefault="00604A87" w:rsidP="0E260372">
      <w:pPr>
        <w:jc w:val="left"/>
        <w:rPr>
          <w:rFonts w:ascii="Arial" w:eastAsia="Arial" w:hAnsi="Arial" w:cs="Arial"/>
        </w:rPr>
      </w:pPr>
      <w:r w:rsidRPr="0E260372">
        <w:rPr>
          <w:rFonts w:ascii="Arial" w:eastAsia="Arial" w:hAnsi="Arial" w:cs="Arial"/>
        </w:rPr>
        <w:t>Date……</w:t>
      </w:r>
      <w:r w:rsidR="0050366F" w:rsidRPr="0E260372">
        <w:rPr>
          <w:rFonts w:ascii="Arial" w:eastAsia="Arial" w:hAnsi="Arial" w:cs="Arial"/>
        </w:rPr>
        <w:t>12/11/2025</w:t>
      </w:r>
      <w:r w:rsidRPr="0E260372">
        <w:rPr>
          <w:rFonts w:ascii="Arial" w:eastAsia="Arial" w:hAnsi="Arial" w:cs="Arial"/>
        </w:rPr>
        <w:t xml:space="preserve">………………………………………… </w:t>
      </w:r>
    </w:p>
    <w:p w14:paraId="42D5D0C6" w14:textId="77777777" w:rsidR="00604A87" w:rsidRPr="00604A87" w:rsidRDefault="00604A87" w:rsidP="0E260372">
      <w:pPr>
        <w:jc w:val="left"/>
        <w:rPr>
          <w:rFonts w:ascii="Arial" w:eastAsia="Arial" w:hAnsi="Arial" w:cs="Arial"/>
        </w:rPr>
      </w:pPr>
      <w:r w:rsidRPr="0E260372">
        <w:rPr>
          <w:rFonts w:ascii="Arial" w:eastAsia="Arial" w:hAnsi="Arial" w:cs="Arial"/>
          <w:b/>
          <w:bCs/>
        </w:rPr>
        <w:t>STATEMENT 3</w:t>
      </w:r>
    </w:p>
    <w:p w14:paraId="4B58546E" w14:textId="61CCB29A" w:rsidR="00604A87" w:rsidRPr="00604A87" w:rsidRDefault="00604A87" w:rsidP="0E260372">
      <w:pPr>
        <w:jc w:val="left"/>
        <w:rPr>
          <w:rFonts w:ascii="Arial" w:eastAsia="Arial" w:hAnsi="Arial" w:cs="Arial"/>
        </w:rPr>
      </w:pPr>
      <w:r w:rsidRPr="0E260372">
        <w:rPr>
          <w:rFonts w:ascii="Arial" w:eastAsia="Arial" w:hAnsi="Arial" w:cs="Arial"/>
        </w:rPr>
        <w:lastRenderedPageBreak/>
        <w:t>I hereby give consent for my dissertation, if accepted, to be available for photocopying and for interlibrary loan, and for the title and summary to be made available to outside organisations.</w:t>
      </w:r>
    </w:p>
    <w:p w14:paraId="5C25443E" w14:textId="7208B65C" w:rsidR="00604A87" w:rsidRPr="00604A87" w:rsidRDefault="00604A87" w:rsidP="0E260372">
      <w:pPr>
        <w:jc w:val="left"/>
        <w:rPr>
          <w:rFonts w:ascii="Arial" w:eastAsia="Arial" w:hAnsi="Arial" w:cs="Arial"/>
        </w:rPr>
      </w:pPr>
      <w:r w:rsidRPr="0E260372">
        <w:rPr>
          <w:rFonts w:ascii="Arial" w:eastAsia="Arial" w:hAnsi="Arial" w:cs="Arial"/>
        </w:rPr>
        <w:t>Signed………</w:t>
      </w:r>
      <w:r w:rsidR="241CE402" w:rsidRPr="0E260372">
        <w:rPr>
          <w:rFonts w:ascii="Arial" w:eastAsia="Arial" w:hAnsi="Arial" w:cs="Arial"/>
        </w:rPr>
        <w:t>Shahana Islam</w:t>
      </w:r>
      <w:r w:rsidRPr="0E260372">
        <w:rPr>
          <w:rFonts w:ascii="Arial" w:eastAsia="Arial" w:hAnsi="Arial" w:cs="Arial"/>
        </w:rPr>
        <w:t>………………………………………</w:t>
      </w:r>
    </w:p>
    <w:p w14:paraId="021196D1" w14:textId="5A27DF81" w:rsidR="00604A87" w:rsidRPr="00604A87" w:rsidRDefault="00604A87" w:rsidP="0E2603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left"/>
        <w:rPr>
          <w:rFonts w:ascii="Arial" w:eastAsia="Arial" w:hAnsi="Arial" w:cs="Arial"/>
        </w:rPr>
      </w:pPr>
      <w:r w:rsidRPr="0E260372">
        <w:rPr>
          <w:rFonts w:ascii="Arial" w:eastAsia="Arial" w:hAnsi="Arial" w:cs="Arial"/>
        </w:rPr>
        <w:t>Date…………</w:t>
      </w:r>
      <w:r w:rsidR="58AD2B21" w:rsidRPr="0E260372">
        <w:rPr>
          <w:rFonts w:ascii="Arial" w:eastAsia="Arial" w:hAnsi="Arial" w:cs="Arial"/>
        </w:rPr>
        <w:t>12/11/2025</w:t>
      </w:r>
      <w:r w:rsidRPr="0E260372">
        <w:rPr>
          <w:rFonts w:ascii="Arial" w:eastAsia="Arial" w:hAnsi="Arial" w:cs="Arial"/>
        </w:rPr>
        <w:t>………………………………………</w:t>
      </w:r>
    </w:p>
    <w:p w14:paraId="77D38054" w14:textId="77777777" w:rsidR="00604A87" w:rsidRPr="00604A87" w:rsidRDefault="00604A87" w:rsidP="0E260372">
      <w:pPr>
        <w:jc w:val="left"/>
        <w:rPr>
          <w:rFonts w:ascii="Arial" w:eastAsia="Arial" w:hAnsi="Arial" w:cs="Arial"/>
          <w:b/>
          <w:bCs/>
        </w:rPr>
      </w:pPr>
      <w:r w:rsidRPr="0E260372">
        <w:rPr>
          <w:rFonts w:ascii="Arial" w:eastAsia="Arial" w:hAnsi="Arial" w:cs="Arial"/>
          <w:b/>
          <w:bCs/>
        </w:rPr>
        <w:t>STATEMENT 4</w:t>
      </w:r>
    </w:p>
    <w:p w14:paraId="0A15E499" w14:textId="1F9546C0" w:rsidR="00604A87" w:rsidRPr="00604A87" w:rsidRDefault="00604A87" w:rsidP="0E260372">
      <w:pPr>
        <w:jc w:val="left"/>
        <w:rPr>
          <w:rFonts w:ascii="Arial" w:eastAsia="Arial" w:hAnsi="Arial" w:cs="Arial"/>
        </w:rPr>
      </w:pPr>
      <w:r w:rsidRPr="0E260372">
        <w:rPr>
          <w:rFonts w:ascii="Arial" w:eastAsia="Arial" w:hAnsi="Arial" w:cs="Arial"/>
        </w:rPr>
        <w:t>I hereby give consent for my dissertation, if accepted, to be available on the university’s IT system to those who have consent to use the system.</w:t>
      </w:r>
    </w:p>
    <w:p w14:paraId="73D7762F" w14:textId="2746EF35" w:rsidR="00604A87" w:rsidRPr="00604A87" w:rsidRDefault="00604A87" w:rsidP="0E260372">
      <w:pPr>
        <w:jc w:val="left"/>
        <w:rPr>
          <w:rFonts w:ascii="Arial" w:eastAsia="Arial" w:hAnsi="Arial" w:cs="Arial"/>
        </w:rPr>
      </w:pPr>
      <w:r w:rsidRPr="0E260372">
        <w:rPr>
          <w:rFonts w:ascii="Arial" w:eastAsia="Arial" w:hAnsi="Arial" w:cs="Arial"/>
        </w:rPr>
        <w:t>Signed………</w:t>
      </w:r>
      <w:r w:rsidR="45A5044C" w:rsidRPr="0E260372">
        <w:rPr>
          <w:rFonts w:ascii="Arial" w:eastAsia="Arial" w:hAnsi="Arial" w:cs="Arial"/>
        </w:rPr>
        <w:t>Shahana Islam</w:t>
      </w:r>
      <w:r w:rsidRPr="0E260372">
        <w:rPr>
          <w:rFonts w:ascii="Arial" w:eastAsia="Arial" w:hAnsi="Arial" w:cs="Arial"/>
        </w:rPr>
        <w:t>………………………………………</w:t>
      </w:r>
    </w:p>
    <w:p w14:paraId="2BDDE109" w14:textId="284DC6E3" w:rsidR="00604A87" w:rsidRPr="00604A87" w:rsidRDefault="00604A87" w:rsidP="0E26037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left"/>
        <w:rPr>
          <w:rFonts w:ascii="Arial" w:eastAsia="Arial" w:hAnsi="Arial" w:cs="Arial"/>
        </w:rPr>
      </w:pPr>
      <w:r w:rsidRPr="0E260372">
        <w:rPr>
          <w:rFonts w:ascii="Arial" w:eastAsia="Arial" w:hAnsi="Arial" w:cs="Arial"/>
        </w:rPr>
        <w:t>Date…………</w:t>
      </w:r>
      <w:r w:rsidR="53F546A3" w:rsidRPr="0E260372">
        <w:rPr>
          <w:rFonts w:ascii="Arial" w:eastAsia="Arial" w:hAnsi="Arial" w:cs="Arial"/>
        </w:rPr>
        <w:t>12/11/2025</w:t>
      </w:r>
      <w:r w:rsidRPr="0E260372">
        <w:rPr>
          <w:rFonts w:ascii="Arial" w:eastAsia="Arial" w:hAnsi="Arial" w:cs="Arial"/>
        </w:rPr>
        <w:t>………………………………………</w:t>
      </w:r>
    </w:p>
    <w:p w14:paraId="7CE514EB" w14:textId="19CDA2D7" w:rsidR="00995444" w:rsidRDefault="00995444" w:rsidP="4725D2DA">
      <w:pPr>
        <w:jc w:val="left"/>
      </w:pPr>
    </w:p>
    <w:p w14:paraId="561D98FB" w14:textId="2DD38912" w:rsidR="0E260372" w:rsidRDefault="0E260372" w:rsidP="0E260372">
      <w:pPr>
        <w:jc w:val="left"/>
        <w:rPr>
          <w:rFonts w:eastAsia="Arial Unicode MS" w:cs="Arial"/>
          <w:b/>
          <w:bCs/>
          <w:sz w:val="56"/>
          <w:szCs w:val="56"/>
          <w:highlight w:val="yellow"/>
        </w:rPr>
      </w:pPr>
    </w:p>
    <w:p w14:paraId="0254C9D2" w14:textId="4F3506AE" w:rsidR="0E260372" w:rsidRDefault="0E260372" w:rsidP="0E260372">
      <w:pPr>
        <w:jc w:val="left"/>
        <w:rPr>
          <w:rFonts w:eastAsia="Arial Unicode MS" w:cs="Arial"/>
          <w:b/>
          <w:bCs/>
          <w:sz w:val="56"/>
          <w:szCs w:val="56"/>
          <w:highlight w:val="yellow"/>
        </w:rPr>
      </w:pPr>
    </w:p>
    <w:p w14:paraId="036666C8" w14:textId="0F94ED8B" w:rsidR="0E260372" w:rsidRDefault="0E260372" w:rsidP="0E260372">
      <w:pPr>
        <w:jc w:val="left"/>
        <w:rPr>
          <w:rFonts w:eastAsia="Arial Unicode MS" w:cs="Arial"/>
          <w:b/>
          <w:bCs/>
          <w:sz w:val="56"/>
          <w:szCs w:val="56"/>
          <w:highlight w:val="yellow"/>
        </w:rPr>
      </w:pPr>
    </w:p>
    <w:p w14:paraId="4B614D09" w14:textId="6947E6A5" w:rsidR="0E260372" w:rsidRDefault="0E260372" w:rsidP="0E260372">
      <w:pPr>
        <w:jc w:val="left"/>
        <w:rPr>
          <w:rFonts w:eastAsia="Arial Unicode MS" w:cs="Arial"/>
          <w:b/>
          <w:bCs/>
          <w:sz w:val="56"/>
          <w:szCs w:val="56"/>
          <w:highlight w:val="yellow"/>
        </w:rPr>
      </w:pPr>
    </w:p>
    <w:p w14:paraId="0576727E" w14:textId="49F1D5A1" w:rsidR="0E260372" w:rsidRDefault="0E260372" w:rsidP="0E260372">
      <w:pPr>
        <w:jc w:val="left"/>
        <w:rPr>
          <w:rFonts w:eastAsia="Arial Unicode MS" w:cs="Arial"/>
          <w:b/>
          <w:bCs/>
          <w:sz w:val="56"/>
          <w:szCs w:val="56"/>
          <w:highlight w:val="yellow"/>
        </w:rPr>
      </w:pPr>
    </w:p>
    <w:p w14:paraId="4061EBD3" w14:textId="4A0F2870" w:rsidR="0E260372" w:rsidRDefault="0E260372" w:rsidP="0E260372">
      <w:pPr>
        <w:jc w:val="left"/>
        <w:rPr>
          <w:rFonts w:eastAsia="Arial Unicode MS" w:cs="Arial"/>
          <w:b/>
          <w:bCs/>
          <w:sz w:val="56"/>
          <w:szCs w:val="56"/>
          <w:highlight w:val="yellow"/>
        </w:rPr>
      </w:pPr>
    </w:p>
    <w:p w14:paraId="26FCBFD8" w14:textId="314D2B7A" w:rsidR="0E260372" w:rsidRDefault="0E260372" w:rsidP="0E260372">
      <w:pPr>
        <w:keepNext/>
        <w:keepLines/>
        <w:rPr>
          <w:rFonts w:ascii="Arial" w:eastAsia="Arial" w:hAnsi="Arial" w:cs="Arial"/>
          <w:sz w:val="32"/>
          <w:szCs w:val="32"/>
        </w:rPr>
      </w:pPr>
    </w:p>
    <w:p w14:paraId="2CE83012" w14:textId="1072DE8B" w:rsidR="2E167740" w:rsidRDefault="2E167740" w:rsidP="0E260372">
      <w:pPr>
        <w:keepNext/>
        <w:keepLines/>
        <w:jc w:val="center"/>
        <w:rPr>
          <w:rFonts w:ascii="Arial" w:eastAsia="Arial" w:hAnsi="Arial" w:cs="Arial"/>
          <w:i/>
          <w:iCs/>
          <w:color w:val="000000" w:themeColor="text1"/>
          <w:sz w:val="32"/>
          <w:szCs w:val="32"/>
        </w:rPr>
      </w:pPr>
      <w:r w:rsidRPr="0E260372">
        <w:rPr>
          <w:rFonts w:ascii="Arial" w:eastAsia="Arial" w:hAnsi="Arial" w:cs="Arial"/>
          <w:sz w:val="32"/>
          <w:szCs w:val="32"/>
        </w:rPr>
        <w:t>The Impact of Substance Abuse on Adolescents Aged 13–18 in England</w:t>
      </w:r>
    </w:p>
    <w:p w14:paraId="7A70138F" w14:textId="044E8348" w:rsidR="00995444" w:rsidRPr="00277A9D" w:rsidRDefault="12066CC5" w:rsidP="0E2603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sz w:val="28"/>
          <w:szCs w:val="28"/>
        </w:rPr>
      </w:pPr>
      <w:r w:rsidRPr="0E260372">
        <w:rPr>
          <w:rFonts w:ascii="Arial" w:eastAsia="Arial" w:hAnsi="Arial" w:cs="Arial"/>
          <w:b/>
          <w:bCs/>
          <w:sz w:val="28"/>
          <w:szCs w:val="28"/>
        </w:rPr>
        <w:t xml:space="preserve">Student </w:t>
      </w:r>
      <w:r w:rsidR="00995444" w:rsidRPr="0E260372">
        <w:rPr>
          <w:rFonts w:ascii="Arial" w:eastAsia="Arial" w:hAnsi="Arial" w:cs="Arial"/>
          <w:b/>
          <w:bCs/>
          <w:sz w:val="28"/>
          <w:szCs w:val="28"/>
        </w:rPr>
        <w:t>Name</w:t>
      </w:r>
      <w:r w:rsidR="002D72D8" w:rsidRPr="0E260372">
        <w:rPr>
          <w:rFonts w:ascii="Arial" w:eastAsia="Arial" w:hAnsi="Arial" w:cs="Arial"/>
          <w:b/>
          <w:bCs/>
          <w:sz w:val="28"/>
          <w:szCs w:val="28"/>
        </w:rPr>
        <w:t xml:space="preserve">: </w:t>
      </w:r>
      <w:r w:rsidR="002D72D8" w:rsidRPr="0E260372">
        <w:rPr>
          <w:rFonts w:ascii="Arial" w:eastAsia="Arial" w:hAnsi="Arial" w:cs="Arial"/>
          <w:sz w:val="28"/>
          <w:szCs w:val="28"/>
        </w:rPr>
        <w:t>Shahana Islam</w:t>
      </w:r>
      <w:r w:rsidR="00995444" w:rsidRPr="0E260372">
        <w:rPr>
          <w:rFonts w:ascii="Arial" w:eastAsia="Arial" w:hAnsi="Arial" w:cs="Arial"/>
          <w:sz w:val="28"/>
          <w:szCs w:val="28"/>
        </w:rPr>
        <w:t xml:space="preserve"> </w:t>
      </w:r>
    </w:p>
    <w:p w14:paraId="6DB122B7" w14:textId="5DA3FFCA" w:rsidR="00995444" w:rsidRPr="00277A9D" w:rsidRDefault="00995444" w:rsidP="0E2603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sz w:val="28"/>
          <w:szCs w:val="28"/>
        </w:rPr>
      </w:pPr>
      <w:r w:rsidRPr="0E260372">
        <w:rPr>
          <w:rFonts w:ascii="Arial" w:eastAsia="Arial" w:hAnsi="Arial" w:cs="Arial"/>
          <w:b/>
          <w:bCs/>
          <w:sz w:val="28"/>
          <w:szCs w:val="28"/>
        </w:rPr>
        <w:t>Student Number</w:t>
      </w:r>
      <w:r w:rsidR="00277A9D" w:rsidRPr="0E260372">
        <w:rPr>
          <w:rFonts w:ascii="Arial" w:eastAsia="Arial" w:hAnsi="Arial" w:cs="Arial"/>
          <w:b/>
          <w:bCs/>
          <w:sz w:val="28"/>
          <w:szCs w:val="28"/>
        </w:rPr>
        <w:t xml:space="preserve">: </w:t>
      </w:r>
      <w:r w:rsidR="00277A9D" w:rsidRPr="0E260372">
        <w:rPr>
          <w:rFonts w:ascii="Arial" w:eastAsia="Arial" w:hAnsi="Arial" w:cs="Arial"/>
          <w:sz w:val="28"/>
          <w:szCs w:val="28"/>
        </w:rPr>
        <w:t>2209436</w:t>
      </w:r>
    </w:p>
    <w:p w14:paraId="2057C793" w14:textId="0CA02CC7" w:rsidR="00995444" w:rsidRPr="00995444" w:rsidRDefault="00995444" w:rsidP="0E2603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rPr>
      </w:pPr>
      <w:r w:rsidRPr="0E260372">
        <w:rPr>
          <w:rFonts w:ascii="Arial" w:eastAsia="Arial" w:hAnsi="Arial" w:cs="Arial"/>
        </w:rPr>
        <w:t>Dissertation submitted as part of the requirements for the award BSc (Hons) Health and Social Care</w:t>
      </w:r>
    </w:p>
    <w:p w14:paraId="0F4A849F" w14:textId="7A797269" w:rsidR="00995444" w:rsidRPr="0025020C" w:rsidRDefault="00995444" w:rsidP="0E260372">
      <w:r w:rsidRPr="0E260372">
        <w:rPr>
          <w:rFonts w:ascii="Arial" w:eastAsia="Arial" w:hAnsi="Arial" w:cs="Arial"/>
          <w:b/>
          <w:bCs/>
          <w:sz w:val="32"/>
          <w:szCs w:val="32"/>
        </w:rPr>
        <w:t xml:space="preserve">ACKNOWLEDGEMENTS </w:t>
      </w:r>
    </w:p>
    <w:p w14:paraId="68AC9340" w14:textId="57BFF926" w:rsidR="2E713240" w:rsidRDefault="2E713240" w:rsidP="0E260372">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rPr>
      </w:pPr>
      <w:r w:rsidRPr="0E260372">
        <w:rPr>
          <w:rFonts w:ascii="Arial" w:eastAsia="Arial" w:hAnsi="Arial" w:cs="Arial"/>
        </w:rPr>
        <w:t>I would like to express my heartfelt gratitude to my lecturer, Chloe Harris, for her continuous guidance, encouragement and valuable feedback throughout this research journey. My sincere thanks also go to Joanna Davis and Parese Ahmed for their support, advice and motivation, which greatly contributed to the completion of this dissertation.</w:t>
      </w:r>
    </w:p>
    <w:p w14:paraId="40523F0D" w14:textId="16BA538C" w:rsidR="2E713240" w:rsidRDefault="2E713240" w:rsidP="0E260372">
      <w:pPr>
        <w:tabs>
          <w:tab w:val="left" w:pos="1440"/>
          <w:tab w:val="left" w:pos="2160"/>
          <w:tab w:val="left" w:pos="2880"/>
          <w:tab w:val="left" w:pos="3600"/>
          <w:tab w:val="left" w:pos="4320"/>
          <w:tab w:val="left" w:pos="5040"/>
          <w:tab w:val="left" w:pos="5760"/>
          <w:tab w:val="left" w:pos="6480"/>
          <w:tab w:val="left" w:pos="7200"/>
          <w:tab w:val="left" w:pos="7920"/>
          <w:tab w:val="left" w:pos="8640"/>
        </w:tabs>
      </w:pPr>
      <w:r w:rsidRPr="0E260372">
        <w:rPr>
          <w:rFonts w:ascii="Arial" w:eastAsia="Arial" w:hAnsi="Arial" w:cs="Arial"/>
        </w:rPr>
        <w:t xml:space="preserve">I would also like to extend my appreciation to the library team, especially </w:t>
      </w:r>
      <w:proofErr w:type="spellStart"/>
      <w:r w:rsidRPr="0E260372">
        <w:rPr>
          <w:rFonts w:ascii="Arial" w:eastAsia="Arial" w:hAnsi="Arial" w:cs="Arial"/>
        </w:rPr>
        <w:t>Trandeep</w:t>
      </w:r>
      <w:proofErr w:type="spellEnd"/>
      <w:r w:rsidRPr="0E260372">
        <w:rPr>
          <w:rFonts w:ascii="Arial" w:eastAsia="Arial" w:hAnsi="Arial" w:cs="Arial"/>
        </w:rPr>
        <w:t xml:space="preserve"> Johal, for their assistance in Harvard referencing and accessing the materials I needed. </w:t>
      </w:r>
    </w:p>
    <w:p w14:paraId="74267272" w14:textId="7C39CEC9" w:rsidR="2E713240" w:rsidRDefault="2E713240" w:rsidP="0E260372">
      <w:pPr>
        <w:tabs>
          <w:tab w:val="left" w:pos="1440"/>
          <w:tab w:val="left" w:pos="2160"/>
          <w:tab w:val="left" w:pos="2880"/>
          <w:tab w:val="left" w:pos="3600"/>
          <w:tab w:val="left" w:pos="4320"/>
          <w:tab w:val="left" w:pos="5040"/>
          <w:tab w:val="left" w:pos="5760"/>
          <w:tab w:val="left" w:pos="6480"/>
          <w:tab w:val="left" w:pos="7200"/>
          <w:tab w:val="left" w:pos="7920"/>
          <w:tab w:val="left" w:pos="8640"/>
        </w:tabs>
      </w:pPr>
      <w:r w:rsidRPr="0E260372">
        <w:rPr>
          <w:rFonts w:ascii="Arial" w:eastAsia="Arial" w:hAnsi="Arial" w:cs="Arial"/>
        </w:rPr>
        <w:t>A special thank you to my friends Yasmin Akther and Tahira Aziz for their constant encouragement, understanding and positivity during challenging times.</w:t>
      </w:r>
    </w:p>
    <w:p w14:paraId="54D5616A" w14:textId="29EDA659" w:rsidR="2E713240" w:rsidRDefault="2E713240" w:rsidP="0E260372">
      <w:pPr>
        <w:tabs>
          <w:tab w:val="left" w:pos="1440"/>
          <w:tab w:val="left" w:pos="2160"/>
          <w:tab w:val="left" w:pos="2880"/>
          <w:tab w:val="left" w:pos="3600"/>
          <w:tab w:val="left" w:pos="4320"/>
          <w:tab w:val="left" w:pos="5040"/>
          <w:tab w:val="left" w:pos="5760"/>
          <w:tab w:val="left" w:pos="6480"/>
          <w:tab w:val="left" w:pos="7200"/>
          <w:tab w:val="left" w:pos="7920"/>
          <w:tab w:val="left" w:pos="8640"/>
        </w:tabs>
      </w:pPr>
      <w:r w:rsidRPr="0E260372">
        <w:rPr>
          <w:rFonts w:ascii="Arial" w:eastAsia="Arial" w:hAnsi="Arial" w:cs="Arial"/>
        </w:rPr>
        <w:t>Lastly, I would like to acknowledge myself for staying focused, dedicated and determined to see this project through to the end.</w:t>
      </w:r>
    </w:p>
    <w:p w14:paraId="40A3E6C2" w14:textId="77777777" w:rsidR="00995444" w:rsidRDefault="00995444" w:rsidP="0E260372">
      <w:pPr>
        <w:rPr>
          <w:highlight w:val="yellow"/>
        </w:rPr>
      </w:pPr>
    </w:p>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2682A8DF" w14:textId="2B0477EC" w:rsidR="4725D2DA" w:rsidRDefault="4725D2DA" w:rsidP="0E260372"/>
    <w:p w14:paraId="68249928" w14:textId="5B3929BC"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roofErr w:type="gramStart"/>
      <w:r w:rsidRPr="0025020C">
        <w:rPr>
          <w:rFonts w:eastAsia="Arial Unicode MS" w:cs="Arial"/>
          <w:b/>
          <w:sz w:val="28"/>
          <w:szCs w:val="28"/>
        </w:rPr>
        <w:lastRenderedPageBreak/>
        <w:t>ABSTRACT</w:t>
      </w:r>
      <w:r w:rsidRPr="0025020C">
        <w:rPr>
          <w:rFonts w:eastAsia="Arial Unicode MS" w:cs="Arial"/>
          <w:sz w:val="28"/>
          <w:szCs w:val="28"/>
        </w:rPr>
        <w:t xml:space="preserve"> </w:t>
      </w:r>
      <w:r w:rsidRPr="0025020C">
        <w:rPr>
          <w:rFonts w:eastAsia="Arial Unicode MS" w:cs="Arial"/>
          <w:i/>
        </w:rPr>
        <w:t xml:space="preserve"> </w:t>
      </w:r>
      <w:r w:rsidRPr="0025020C">
        <w:rPr>
          <w:rFonts w:eastAsia="Arial Unicode MS" w:cs="Arial"/>
        </w:rPr>
        <w:t>(</w:t>
      </w:r>
      <w:proofErr w:type="gramEnd"/>
      <w:r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6475D2E1" w14:textId="31028868" w:rsidR="0073280B" w:rsidRPr="0025020C" w:rsidRDefault="0073280B" w:rsidP="0073280B">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 xml:space="preserve">dissertation and is one of the final things you will </w:t>
      </w:r>
      <w:proofErr w:type="gramStart"/>
      <w:r w:rsidRPr="0025020C">
        <w:rPr>
          <w:rFonts w:eastAsia="Arial Unicode MS" w:cs="Arial"/>
        </w:rPr>
        <w:t>complete</w:t>
      </w:r>
      <w:r w:rsidR="00CE620E" w:rsidRPr="0025020C">
        <w:rPr>
          <w:rFonts w:eastAsia="Arial Unicode MS" w:cs="Arial"/>
        </w:rPr>
        <w:t>, yet</w:t>
      </w:r>
      <w:proofErr w:type="gramEnd"/>
      <w:r w:rsidR="00CE620E" w:rsidRPr="0025020C">
        <w:rPr>
          <w:rFonts w:eastAsia="Arial Unicode MS" w:cs="Arial"/>
        </w:rPr>
        <w:t xml:space="preserve"> is one of the first parts of your dissertation a reader will see, therefore, be specific and explicit in your approach.</w:t>
      </w:r>
      <w:r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1727F2E2" w14:textId="77777777" w:rsidR="0073280B" w:rsidRPr="0025020C"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729D8637" w14:textId="223914B9"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a)</w:t>
      </w:r>
      <w:r w:rsidRPr="0025020C">
        <w:rPr>
          <w:rFonts w:eastAsia="Arial Unicode MS" w:cs="Arial"/>
        </w:rPr>
        <w:tab/>
        <w:t>The overall</w:t>
      </w:r>
      <w:r w:rsidR="0025020C" w:rsidRPr="0025020C">
        <w:rPr>
          <w:rFonts w:eastAsia="Arial Unicode MS" w:cs="Arial"/>
        </w:rPr>
        <w:t xml:space="preserve"> purpose, aim and objectives. An explanation as to why this research is important in the context of health and social care. </w:t>
      </w:r>
    </w:p>
    <w:p w14:paraId="2032DC13" w14:textId="6D7D7A97"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b)</w:t>
      </w:r>
      <w:r w:rsidRPr="0025020C">
        <w:rPr>
          <w:rFonts w:eastAsia="Arial Unicode MS" w:cs="Arial"/>
        </w:rPr>
        <w:tab/>
        <w:t xml:space="preserve">A </w:t>
      </w:r>
      <w:r w:rsidR="0025020C" w:rsidRPr="0025020C">
        <w:rPr>
          <w:rFonts w:eastAsia="Arial Unicode MS" w:cs="Arial"/>
        </w:rPr>
        <w:t>summary</w:t>
      </w:r>
      <w:r w:rsidRPr="0025020C">
        <w:rPr>
          <w:rFonts w:eastAsia="Arial Unicode MS" w:cs="Arial"/>
        </w:rPr>
        <w:t xml:space="preserve"> of the methods used</w:t>
      </w:r>
      <w:r w:rsidR="0025020C" w:rsidRPr="0025020C">
        <w:rPr>
          <w:rFonts w:eastAsia="Arial Unicode MS" w:cs="Arial"/>
        </w:rPr>
        <w:t xml:space="preserve"> to complete your dissertation</w:t>
      </w:r>
      <w:r w:rsidRPr="0025020C">
        <w:rPr>
          <w:rFonts w:eastAsia="Arial Unicode MS" w:cs="Arial"/>
        </w:rPr>
        <w:t>.</w:t>
      </w:r>
      <w:r w:rsidR="0025020C" w:rsidRPr="0025020C">
        <w:rPr>
          <w:rFonts w:eastAsia="Arial Unicode MS" w:cs="Arial"/>
        </w:rPr>
        <w:t xml:space="preserve"> Outline the research approach (</w:t>
      </w:r>
      <w:r w:rsidR="00BD2909">
        <w:rPr>
          <w:rFonts w:eastAsia="Arial Unicode MS" w:cs="Arial"/>
        </w:rPr>
        <w:t>thematic</w:t>
      </w:r>
      <w:r w:rsidR="0025020C" w:rsidRPr="0025020C">
        <w:rPr>
          <w:rFonts w:eastAsia="Arial Unicode MS" w:cs="Arial"/>
        </w:rPr>
        <w:t xml:space="preserve"> </w:t>
      </w:r>
      <w:r w:rsidR="00BD2909">
        <w:rPr>
          <w:rFonts w:eastAsia="Arial Unicode MS" w:cs="Arial"/>
        </w:rPr>
        <w:t>analysis</w:t>
      </w:r>
      <w:r w:rsidR="0025020C" w:rsidRPr="0025020C">
        <w:rPr>
          <w:rFonts w:eastAsia="Arial Unicode MS" w:cs="Arial"/>
        </w:rPr>
        <w:t>) and indicate the focus on reviewing currently published literature.</w:t>
      </w:r>
    </w:p>
    <w:p w14:paraId="5A31948D" w14:textId="144B3B2A" w:rsidR="0073280B" w:rsidRPr="0025020C" w:rsidRDefault="0073280B" w:rsidP="0025020C">
      <w:pPr>
        <w:ind w:left="1440" w:hanging="720"/>
        <w:rPr>
          <w:rFonts w:eastAsia="Arial Unicode MS" w:cs="Times New Roman"/>
          <w:b/>
        </w:rPr>
      </w:pPr>
      <w:r w:rsidRPr="0025020C">
        <w:rPr>
          <w:rFonts w:eastAsia="Arial Unicode MS" w:cs="Arial"/>
          <w:b/>
        </w:rPr>
        <w:t>c)</w:t>
      </w:r>
      <w:r w:rsidRPr="0025020C">
        <w:rPr>
          <w:rFonts w:eastAsia="Arial Unicode MS" w:cs="Arial"/>
        </w:rPr>
        <w:tab/>
        <w:t>A summary of the main findings</w:t>
      </w:r>
      <w:r w:rsidR="0025020C" w:rsidRPr="0025020C">
        <w:rPr>
          <w:rFonts w:eastAsia="Arial Unicode MS" w:cs="Times New Roman"/>
          <w:bCs/>
        </w:rPr>
        <w:t>. Highlight the most significant insights, themes and patterns and the conclusions drawn.</w:t>
      </w:r>
      <w:r w:rsidR="0025020C">
        <w:rPr>
          <w:rFonts w:eastAsia="Arial Unicode MS" w:cs="Arial"/>
        </w:rPr>
        <w:tab/>
      </w:r>
    </w:p>
    <w:p w14:paraId="3B1CC249" w14:textId="3101DC5C"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d)</w:t>
      </w:r>
      <w:r w:rsidRPr="0025020C">
        <w:rPr>
          <w:rFonts w:eastAsia="Arial Unicode MS" w:cs="Arial"/>
        </w:rPr>
        <w:tab/>
        <w:t xml:space="preserve">A brief mention of the </w:t>
      </w:r>
      <w:r w:rsidR="0025020C">
        <w:rPr>
          <w:rFonts w:eastAsia="Arial Unicode MS" w:cs="Arial"/>
        </w:rPr>
        <w:t xml:space="preserve">limitations and barriers which you identified within your research and how this can be impactful in practice. </w:t>
      </w:r>
    </w:p>
    <w:p w14:paraId="101AA6A9" w14:textId="77777777" w:rsid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cs="Arial"/>
          <w:b/>
        </w:rPr>
        <w:t>e)</w:t>
      </w:r>
      <w:r w:rsidRPr="0025020C">
        <w:rPr>
          <w:rFonts w:eastAsia="Arial Unicode MS" w:cs="Arial"/>
        </w:rPr>
        <w:tab/>
      </w:r>
      <w:r w:rsidR="0025020C" w:rsidRPr="0025020C">
        <w:rPr>
          <w:rFonts w:eastAsia="Arial Unicode MS" w:cs="Times New Roman"/>
          <w:bCs/>
        </w:rPr>
        <w:t>Summarise the recommendations that you have drawn from your findings.  These should relate to future health and social care practice, policy, education and research.</w:t>
      </w:r>
      <w:r w:rsidR="0025020C">
        <w:rPr>
          <w:rFonts w:ascii="Times New Roman" w:eastAsia="Arial Unicode MS" w:hAnsi="Times New Roman" w:cs="Times New Roman"/>
          <w:b/>
          <w:sz w:val="24"/>
          <w:szCs w:val="24"/>
        </w:rPr>
        <w:t xml:space="preserve">   </w:t>
      </w:r>
      <w:r w:rsidR="0025020C"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0B86E677" w14:textId="409ED598" w:rsidR="4725D2DA" w:rsidRDefault="4725D2DA" w:rsidP="4725D2DA">
      <w:pPr>
        <w:pStyle w:val="Heading1"/>
        <w:ind w:left="0"/>
        <w:rPr>
          <w:rFonts w:ascii="Aptos" w:hAnsi="Aptos"/>
        </w:rPr>
      </w:pPr>
    </w:p>
    <w:p w14:paraId="35D33AA7" w14:textId="4D531C03" w:rsidR="4725D2DA" w:rsidRDefault="4725D2DA" w:rsidP="4725D2DA">
      <w:pPr>
        <w:pStyle w:val="Heading1"/>
        <w:ind w:left="0"/>
        <w:rPr>
          <w:rFonts w:ascii="Aptos" w:hAnsi="Aptos"/>
        </w:rPr>
      </w:pPr>
    </w:p>
    <w:p w14:paraId="5F12E03B" w14:textId="7A783277" w:rsidR="4725D2DA" w:rsidRDefault="4725D2DA" w:rsidP="4725D2DA">
      <w:pPr>
        <w:pStyle w:val="Heading1"/>
        <w:ind w:left="0"/>
        <w:rPr>
          <w:rFonts w:ascii="Aptos" w:hAnsi="Aptos"/>
        </w:rPr>
      </w:pPr>
    </w:p>
    <w:p w14:paraId="6C7410CE" w14:textId="6FBB8E1D" w:rsidR="4725D2DA" w:rsidRDefault="4725D2DA" w:rsidP="4725D2DA">
      <w:pPr>
        <w:pStyle w:val="Heading1"/>
        <w:ind w:left="0"/>
        <w:rPr>
          <w:rFonts w:ascii="Aptos" w:hAnsi="Aptos"/>
        </w:rPr>
      </w:pPr>
    </w:p>
    <w:p w14:paraId="1FAB626A" w14:textId="4BB9B552" w:rsidR="4725D2DA" w:rsidRDefault="4725D2DA" w:rsidP="4725D2DA">
      <w:pPr>
        <w:pStyle w:val="Heading1"/>
        <w:ind w:left="0"/>
        <w:rPr>
          <w:rFonts w:ascii="Aptos" w:hAnsi="Aptos"/>
        </w:rPr>
      </w:pPr>
    </w:p>
    <w:p w14:paraId="1BD15002" w14:textId="1722837B" w:rsidR="4725D2DA" w:rsidRDefault="4725D2DA" w:rsidP="4725D2DA">
      <w:pPr>
        <w:pStyle w:val="Heading1"/>
        <w:ind w:left="0"/>
        <w:rPr>
          <w:rFonts w:ascii="Aptos" w:hAnsi="Aptos"/>
        </w:rPr>
      </w:pPr>
    </w:p>
    <w:p w14:paraId="597AD6F4" w14:textId="60A03A20" w:rsidR="4725D2DA" w:rsidRDefault="4725D2DA" w:rsidP="4725D2DA">
      <w:pPr>
        <w:pStyle w:val="Heading1"/>
        <w:ind w:left="0"/>
        <w:rPr>
          <w:rFonts w:ascii="Aptos" w:hAnsi="Aptos"/>
        </w:rPr>
      </w:pPr>
    </w:p>
    <w:p w14:paraId="1FE0130C" w14:textId="334FD84A" w:rsidR="4725D2DA" w:rsidRDefault="4725D2DA" w:rsidP="4725D2DA">
      <w:pPr>
        <w:pStyle w:val="Heading1"/>
        <w:ind w:left="0"/>
        <w:rPr>
          <w:rFonts w:eastAsia="Arial" w:cs="Arial"/>
        </w:rPr>
      </w:pPr>
    </w:p>
    <w:p w14:paraId="398D5701" w14:textId="39C2FCF1" w:rsidR="0E260372" w:rsidRDefault="0E260372" w:rsidP="0E260372">
      <w:pPr>
        <w:pStyle w:val="Heading1"/>
        <w:spacing w:line="360" w:lineRule="auto"/>
        <w:ind w:left="0"/>
        <w:rPr>
          <w:rFonts w:eastAsia="Arial" w:cs="Arial"/>
        </w:rPr>
      </w:pPr>
    </w:p>
    <w:p w14:paraId="4863D3A1" w14:textId="0E3736C7" w:rsidR="0E260372" w:rsidRDefault="0E260372" w:rsidP="0E260372">
      <w:pPr>
        <w:jc w:val="left"/>
        <w:rPr>
          <w:rFonts w:ascii="Arial" w:eastAsia="Arial" w:hAnsi="Arial" w:cs="Arial"/>
          <w:b/>
          <w:bCs/>
          <w:sz w:val="32"/>
          <w:szCs w:val="32"/>
        </w:rPr>
      </w:pPr>
    </w:p>
    <w:p w14:paraId="15BFA27A" w14:textId="61DC4314" w:rsidR="00804B94" w:rsidRDefault="00804B94" w:rsidP="0E260372">
      <w:pPr>
        <w:jc w:val="left"/>
        <w:rPr>
          <w:rFonts w:ascii="Arial" w:eastAsia="Arial" w:hAnsi="Arial" w:cs="Arial"/>
          <w:b/>
          <w:bCs/>
          <w:sz w:val="32"/>
          <w:szCs w:val="32"/>
        </w:rPr>
      </w:pPr>
      <w:r w:rsidRPr="359E9537">
        <w:rPr>
          <w:rFonts w:ascii="Arial" w:eastAsia="Arial" w:hAnsi="Arial" w:cs="Arial"/>
          <w:b/>
          <w:bCs/>
          <w:sz w:val="32"/>
          <w:szCs w:val="32"/>
        </w:rPr>
        <w:lastRenderedPageBreak/>
        <w:t>Table of Contents</w:t>
      </w:r>
    </w:p>
    <w:p w14:paraId="4065F64D" w14:textId="77777777" w:rsidR="008E24DE" w:rsidRPr="00EF6341" w:rsidRDefault="008E24DE" w:rsidP="0E260372">
      <w:pPr>
        <w:jc w:val="left"/>
        <w:rPr>
          <w:rFonts w:ascii="Arial" w:eastAsia="Arial" w:hAnsi="Arial" w:cs="Arial"/>
          <w:b/>
          <w:bCs/>
          <w:sz w:val="32"/>
          <w:szCs w:val="32"/>
        </w:rPr>
      </w:pPr>
    </w:p>
    <w:p w14:paraId="756C3EE0" w14:textId="77777777" w:rsidR="00804B94" w:rsidRDefault="00804B94"/>
    <w:p w14:paraId="3EF52184" w14:textId="77777777" w:rsidR="00804B94" w:rsidRDefault="00804B94"/>
    <w:p w14:paraId="508781F0" w14:textId="02AEDC7D" w:rsidR="4725D2DA" w:rsidRDefault="4725D2DA"/>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2FF5C10C" w14:textId="77777777" w:rsidR="00804B94" w:rsidRDefault="00804B94"/>
    <w:p w14:paraId="2F856F58" w14:textId="77777777" w:rsidR="00804B94" w:rsidRDefault="00804B94"/>
    <w:p w14:paraId="70EE4511" w14:textId="77777777" w:rsidR="00804B94" w:rsidRDefault="00804B94"/>
    <w:p w14:paraId="4B6F1C81" w14:textId="77777777" w:rsidR="00804B94" w:rsidRDefault="00804B94"/>
    <w:p w14:paraId="609B93D2" w14:textId="77777777" w:rsidR="00804B94" w:rsidRDefault="00804B94"/>
    <w:p w14:paraId="612C6762" w14:textId="77777777" w:rsidR="00804B94" w:rsidRDefault="00804B94"/>
    <w:p w14:paraId="66BE3F66" w14:textId="77777777" w:rsidR="00730C3C" w:rsidRDefault="00730C3C" w:rsidP="00730C3C">
      <w:pPr>
        <w:pStyle w:val="Heading1"/>
        <w:ind w:left="0"/>
      </w:pPr>
    </w:p>
    <w:p w14:paraId="34D46009" w14:textId="35A0242E" w:rsidR="0E260372" w:rsidRDefault="0E260372" w:rsidP="0E260372">
      <w:pPr>
        <w:pStyle w:val="Heading1"/>
        <w:spacing w:line="360" w:lineRule="auto"/>
        <w:ind w:left="0"/>
        <w:jc w:val="both"/>
        <w:rPr>
          <w:rFonts w:eastAsia="Arial" w:cs="Arial"/>
        </w:rPr>
      </w:pPr>
    </w:p>
    <w:p w14:paraId="58452D18" w14:textId="74713743" w:rsidR="00730C3C" w:rsidRPr="00EF6341" w:rsidRDefault="00730C3C" w:rsidP="0E260372">
      <w:pPr>
        <w:pStyle w:val="Heading1"/>
        <w:spacing w:line="360" w:lineRule="auto"/>
        <w:ind w:left="0"/>
        <w:jc w:val="both"/>
        <w:rPr>
          <w:rFonts w:eastAsia="Arial" w:cs="Arial"/>
        </w:rPr>
      </w:pPr>
      <w:r w:rsidRPr="359E9537">
        <w:rPr>
          <w:rFonts w:eastAsia="Arial" w:cs="Arial"/>
        </w:rPr>
        <w:t>CHAPTER 1: Introduction</w:t>
      </w:r>
    </w:p>
    <w:p w14:paraId="69941E5D" w14:textId="77777777" w:rsidR="00EF6341" w:rsidRPr="00EF6341" w:rsidRDefault="00EF6341" w:rsidP="0E260372">
      <w:pPr>
        <w:pStyle w:val="BodyText"/>
        <w:spacing w:line="360" w:lineRule="auto"/>
        <w:jc w:val="both"/>
        <w:rPr>
          <w:rFonts w:ascii="Aptos" w:hAnsi="Aptos"/>
        </w:rPr>
      </w:pPr>
    </w:p>
    <w:p w14:paraId="7AAF15FD" w14:textId="57E3F1A8" w:rsidR="21B7C1B4" w:rsidRDefault="00BD2909" w:rsidP="00E34A7A">
      <w:pPr>
        <w:pStyle w:val="Heading2"/>
      </w:pPr>
      <w:r w:rsidRPr="359E9537">
        <w:rPr>
          <w:rStyle w:val="normaltextrun"/>
          <w:rFonts w:ascii="Arial" w:eastAsia="Arial" w:hAnsi="Arial" w:cs="Arial"/>
          <w:color w:val="auto"/>
        </w:rPr>
        <w:t>1.1 Introduction</w:t>
      </w:r>
    </w:p>
    <w:p w14:paraId="03011A4C" w14:textId="7EBDCE86" w:rsidR="21B7C1B4" w:rsidRDefault="21B7C1B4" w:rsidP="0E260372">
      <w:pPr>
        <w:pStyle w:val="paragraph"/>
        <w:spacing w:before="0" w:beforeAutospacing="0" w:after="0" w:afterAutospacing="0" w:line="360" w:lineRule="auto"/>
        <w:jc w:val="both"/>
        <w:rPr>
          <w:rFonts w:ascii="Arial" w:eastAsia="Arial" w:hAnsi="Arial" w:cs="Arial"/>
          <w:sz w:val="22"/>
          <w:szCs w:val="22"/>
        </w:rPr>
      </w:pPr>
      <w:r w:rsidRPr="0E260372">
        <w:rPr>
          <w:rFonts w:ascii="Arial" w:eastAsia="Arial" w:hAnsi="Arial" w:cs="Arial"/>
          <w:sz w:val="22"/>
          <w:szCs w:val="22"/>
        </w:rPr>
        <w:t>Adolescent substance misuse is a critical issue in England, affecting both public health and young people's development. Adolescence, defined as the period between the ages of 13 and 18, is a critical stage characterised by profound biological, emotional and social changes</w:t>
      </w:r>
      <w:r w:rsidR="6F52A29D" w:rsidRPr="0E260372">
        <w:rPr>
          <w:rFonts w:ascii="Arial" w:eastAsia="Arial" w:hAnsi="Arial" w:cs="Arial"/>
          <w:sz w:val="22"/>
          <w:szCs w:val="22"/>
        </w:rPr>
        <w:t xml:space="preserve"> </w:t>
      </w:r>
      <w:r w:rsidR="6F52A29D" w:rsidRPr="0E260372">
        <w:rPr>
          <w:rFonts w:ascii="Arial" w:eastAsia="Arial" w:hAnsi="Arial" w:cs="Arial"/>
          <w:color w:val="000000" w:themeColor="text1"/>
          <w:sz w:val="22"/>
          <w:szCs w:val="22"/>
        </w:rPr>
        <w:t xml:space="preserve">(Stockings </w:t>
      </w:r>
      <w:r w:rsidR="6F52A29D" w:rsidRPr="0E260372">
        <w:rPr>
          <w:rFonts w:ascii="Arial" w:eastAsia="Arial" w:hAnsi="Arial" w:cs="Arial"/>
          <w:i/>
          <w:iCs/>
          <w:color w:val="000000" w:themeColor="text1"/>
          <w:sz w:val="22"/>
          <w:szCs w:val="22"/>
        </w:rPr>
        <w:t>et al</w:t>
      </w:r>
      <w:r w:rsidR="6F52A29D" w:rsidRPr="0E260372">
        <w:rPr>
          <w:rFonts w:ascii="Arial" w:eastAsia="Arial" w:hAnsi="Arial" w:cs="Arial"/>
          <w:color w:val="000000" w:themeColor="text1"/>
          <w:sz w:val="22"/>
          <w:szCs w:val="22"/>
        </w:rPr>
        <w:t>., 2016)</w:t>
      </w:r>
      <w:r w:rsidRPr="0E260372">
        <w:rPr>
          <w:rFonts w:ascii="Arial" w:eastAsia="Arial" w:hAnsi="Arial" w:cs="Arial"/>
          <w:sz w:val="22"/>
          <w:szCs w:val="22"/>
        </w:rPr>
        <w:t>. These changes can make people more probable to engage in hazardous behaviours, such as abusing alcohol, cannabis and other illegal drugs. The implications of early substance abuse go beyond acute health dangers, frequently contributing to long-term physical, psychological, scholastic and social problems. Despite national preventative programs, current statistics show that substance abuse among young people remains chronic and, in some cases, rising, particularly in socioeconomically disadvantaged populations</w:t>
      </w:r>
      <w:r w:rsidR="63CCCC13" w:rsidRPr="0E260372">
        <w:rPr>
          <w:rFonts w:ascii="Arial" w:eastAsia="Arial" w:hAnsi="Arial" w:cs="Arial"/>
          <w:sz w:val="22"/>
          <w:szCs w:val="22"/>
        </w:rPr>
        <w:t xml:space="preserve"> </w:t>
      </w:r>
      <w:r w:rsidR="63CCCC13" w:rsidRPr="0E260372">
        <w:rPr>
          <w:rFonts w:ascii="Arial" w:eastAsia="Arial" w:hAnsi="Arial" w:cs="Arial"/>
          <w:color w:val="000000" w:themeColor="text1"/>
          <w:sz w:val="22"/>
          <w:szCs w:val="22"/>
        </w:rPr>
        <w:t>(Hernandez Sanchez, 2018).</w:t>
      </w:r>
    </w:p>
    <w:p w14:paraId="17E79B67" w14:textId="6C95DA45" w:rsidR="3294B585" w:rsidRDefault="3294B585" w:rsidP="0E260372">
      <w:pPr>
        <w:spacing w:after="0"/>
        <w:rPr>
          <w:rFonts w:ascii="Arial" w:eastAsia="Arial" w:hAnsi="Arial" w:cs="Arial"/>
        </w:rPr>
      </w:pPr>
    </w:p>
    <w:p w14:paraId="029B6DA2" w14:textId="5D0D8635" w:rsidR="7071E7A6" w:rsidRDefault="7071E7A6" w:rsidP="0E260372">
      <w:pPr>
        <w:spacing w:after="0"/>
        <w:rPr>
          <w:rFonts w:ascii="Arial" w:eastAsia="Arial" w:hAnsi="Arial" w:cs="Arial"/>
        </w:rPr>
      </w:pPr>
      <w:r w:rsidRPr="0E260372">
        <w:rPr>
          <w:rFonts w:ascii="Arial" w:eastAsia="Arial" w:hAnsi="Arial" w:cs="Arial"/>
        </w:rPr>
        <w:t>Historically, interventions have concentrated on educating and deterrence, but new research indicates a need for more nuanced, evidence-based methods that consider the complex interplay of individual, family-related and societal factors impacting youth behaviour</w:t>
      </w:r>
      <w:r w:rsidR="42681A9B" w:rsidRPr="0E260372">
        <w:rPr>
          <w:rFonts w:ascii="Arial" w:eastAsia="Arial" w:hAnsi="Arial" w:cs="Arial"/>
        </w:rPr>
        <w:t xml:space="preserve"> </w:t>
      </w:r>
      <w:r w:rsidR="42681A9B" w:rsidRPr="0E260372">
        <w:rPr>
          <w:rFonts w:ascii="Arial" w:eastAsia="Arial" w:hAnsi="Arial" w:cs="Arial"/>
          <w:color w:val="000000" w:themeColor="text1"/>
        </w:rPr>
        <w:t>(Judith Watson</w:t>
      </w:r>
      <w:r w:rsidR="42681A9B" w:rsidRPr="0E260372">
        <w:rPr>
          <w:rFonts w:ascii="Arial" w:eastAsia="Arial" w:hAnsi="Arial" w:cs="Arial"/>
          <w:i/>
          <w:iCs/>
          <w:color w:val="000000" w:themeColor="text1"/>
        </w:rPr>
        <w:t xml:space="preserve"> et al</w:t>
      </w:r>
      <w:r w:rsidR="42681A9B" w:rsidRPr="0E260372">
        <w:rPr>
          <w:rFonts w:ascii="Arial" w:eastAsia="Arial" w:hAnsi="Arial" w:cs="Arial"/>
          <w:color w:val="000000" w:themeColor="text1"/>
        </w:rPr>
        <w:t>., 2017).</w:t>
      </w:r>
      <w:r w:rsidRPr="0E260372">
        <w:rPr>
          <w:rFonts w:ascii="Arial" w:eastAsia="Arial" w:hAnsi="Arial" w:cs="Arial"/>
        </w:rPr>
        <w:t xml:space="preserve"> Furthermore, peer pressure, family relationships, mental health and the surrounding environment continue to influence adolescents' substance use behaviours.</w:t>
      </w:r>
    </w:p>
    <w:p w14:paraId="252FDAD4" w14:textId="632DADD8" w:rsidR="428BFE98" w:rsidRDefault="428BFE98" w:rsidP="0E260372">
      <w:pPr>
        <w:spacing w:after="0"/>
        <w:rPr>
          <w:rFonts w:ascii="Arial" w:eastAsia="Arial" w:hAnsi="Arial" w:cs="Arial"/>
        </w:rPr>
      </w:pPr>
      <w:r w:rsidRPr="0E260372">
        <w:rPr>
          <w:rFonts w:ascii="Arial" w:eastAsia="Arial" w:hAnsi="Arial" w:cs="Arial"/>
        </w:rPr>
        <w:t>The purpose of this dissertation is to investigate the prevalence, causes and consequences of substance usage among teenagers aged 13 to 18 in England. The project aims to investigate how substance abuse impacts people's physical health, emotional well-being, academic performance, and social conduct. Through secondary data analysis and thematic review, the research paper aims to generate evidence that can inform effective prevention strategies, early intervention programs and policy recommendations tailored to this vulnerable population, eventually contributing to more effective care for youth health and social care practices in England</w:t>
      </w:r>
      <w:r w:rsidR="69552AF0" w:rsidRPr="0E260372">
        <w:rPr>
          <w:rFonts w:ascii="Arial" w:eastAsia="Arial" w:hAnsi="Arial" w:cs="Arial"/>
        </w:rPr>
        <w:t xml:space="preserve"> </w:t>
      </w:r>
      <w:r w:rsidR="69552AF0" w:rsidRPr="0E260372">
        <w:rPr>
          <w:rFonts w:ascii="Arial" w:eastAsia="Arial" w:hAnsi="Arial" w:cs="Arial"/>
          <w:color w:val="000000" w:themeColor="text1"/>
        </w:rPr>
        <w:t>(Degenhardt</w:t>
      </w:r>
      <w:r w:rsidR="69552AF0" w:rsidRPr="0E260372">
        <w:rPr>
          <w:rFonts w:ascii="Arial" w:eastAsia="Arial" w:hAnsi="Arial" w:cs="Arial"/>
          <w:i/>
          <w:iCs/>
          <w:color w:val="000000" w:themeColor="text1"/>
        </w:rPr>
        <w:t xml:space="preserve"> et al</w:t>
      </w:r>
      <w:r w:rsidR="69552AF0" w:rsidRPr="0E260372">
        <w:rPr>
          <w:rFonts w:ascii="Arial" w:eastAsia="Arial" w:hAnsi="Arial" w:cs="Arial"/>
          <w:color w:val="000000" w:themeColor="text1"/>
        </w:rPr>
        <w:t>., 2016)</w:t>
      </w:r>
      <w:r w:rsidRPr="0E260372">
        <w:rPr>
          <w:rFonts w:ascii="Arial" w:eastAsia="Arial" w:hAnsi="Arial" w:cs="Arial"/>
        </w:rPr>
        <w:t>.</w:t>
      </w:r>
    </w:p>
    <w:p w14:paraId="18072CD8" w14:textId="2F410CC7" w:rsidR="00BD2909" w:rsidRPr="00BD2909" w:rsidRDefault="00BD2909" w:rsidP="0E260372">
      <w:pPr>
        <w:pStyle w:val="paragraph"/>
        <w:spacing w:before="0" w:beforeAutospacing="0" w:after="0" w:afterAutospacing="0" w:line="360" w:lineRule="auto"/>
        <w:ind w:left="1080"/>
        <w:jc w:val="both"/>
        <w:textAlignment w:val="baseline"/>
        <w:rPr>
          <w:rStyle w:val="eop"/>
          <w:rFonts w:ascii="Arial" w:eastAsia="Arial" w:hAnsi="Arial" w:cs="Arial"/>
          <w:b/>
          <w:bCs/>
          <w:sz w:val="22"/>
          <w:szCs w:val="22"/>
          <w:highlight w:val="yellow"/>
        </w:rPr>
      </w:pPr>
    </w:p>
    <w:p w14:paraId="66501BF4" w14:textId="6787CE5E" w:rsidR="00BD2909" w:rsidRPr="00BD2909" w:rsidRDefault="00BD2909" w:rsidP="00600038">
      <w:pPr>
        <w:pStyle w:val="Heading2"/>
        <w:rPr>
          <w:rStyle w:val="eop"/>
          <w:rFonts w:ascii="Arial" w:eastAsia="Arial" w:hAnsi="Arial" w:cs="Arial"/>
        </w:rPr>
      </w:pPr>
      <w:r w:rsidRPr="359E9537">
        <w:rPr>
          <w:rStyle w:val="normaltextrun"/>
          <w:rFonts w:ascii="Arial" w:eastAsia="Arial" w:hAnsi="Arial" w:cs="Arial"/>
          <w:color w:val="auto"/>
        </w:rPr>
        <w:t>1.2 Definitions and Terminology</w:t>
      </w:r>
    </w:p>
    <w:p w14:paraId="1057DB38" w14:textId="3F1F1605" w:rsidR="6D52A3D4" w:rsidRDefault="6D52A3D4" w:rsidP="0E260372">
      <w:pPr>
        <w:pStyle w:val="paragraph"/>
        <w:spacing w:before="0" w:beforeAutospacing="0" w:after="0" w:afterAutospacing="0" w:line="360" w:lineRule="auto"/>
        <w:jc w:val="both"/>
        <w:rPr>
          <w:rStyle w:val="eop"/>
          <w:rFonts w:ascii="Arial" w:eastAsia="Arial" w:hAnsi="Arial" w:cs="Arial"/>
        </w:rPr>
      </w:pPr>
      <w:r w:rsidRPr="0E260372">
        <w:rPr>
          <w:rStyle w:val="eop"/>
          <w:rFonts w:ascii="Arial" w:eastAsia="Arial" w:hAnsi="Arial" w:cs="Arial"/>
        </w:rPr>
        <w:t>Key Definitions</w:t>
      </w:r>
    </w:p>
    <w:p w14:paraId="545F7376" w14:textId="14D43477" w:rsidR="7A5F7377" w:rsidRDefault="7A5F7377" w:rsidP="0E260372">
      <w:pPr>
        <w:rPr>
          <w:rFonts w:ascii="Arial" w:eastAsia="Arial" w:hAnsi="Arial" w:cs="Arial"/>
        </w:rPr>
      </w:pPr>
      <w:r w:rsidRPr="0E260372">
        <w:rPr>
          <w:rFonts w:ascii="Arial" w:eastAsia="Arial" w:hAnsi="Arial" w:cs="Arial"/>
        </w:rPr>
        <w:lastRenderedPageBreak/>
        <w:t>A clear comprehension of important concepts is required for investigating substance abuse among adolescents aged 13 to 18 in England.</w:t>
      </w:r>
      <w:r w:rsidR="055C25BE" w:rsidRPr="0E260372">
        <w:rPr>
          <w:rFonts w:ascii="Arial" w:eastAsia="Arial" w:hAnsi="Arial" w:cs="Arial"/>
        </w:rPr>
        <w:t xml:space="preserve"> Consistent terminology use is critical to maintaining conceptual clarity throughout this research therefore, all significant terms are defined below in accordance with UK policy and academic standards.</w:t>
      </w:r>
      <w:r w:rsidRPr="0E260372">
        <w:rPr>
          <w:rFonts w:ascii="Arial" w:eastAsia="Arial" w:hAnsi="Arial" w:cs="Arial"/>
        </w:rPr>
        <w:t xml:space="preserve"> </w:t>
      </w:r>
      <w:r w:rsidR="1F6022F4" w:rsidRPr="0E260372">
        <w:rPr>
          <w:rFonts w:ascii="Arial" w:eastAsia="Arial" w:hAnsi="Arial" w:cs="Arial"/>
        </w:rPr>
        <w:t>The following terms are critical to the study of substance abuse among adolescents in England.</w:t>
      </w:r>
    </w:p>
    <w:p w14:paraId="6017ACDC" w14:textId="47A1159D" w:rsidR="153FB95C" w:rsidRDefault="153FB95C" w:rsidP="008F4555">
      <w:pPr>
        <w:pStyle w:val="ListParagraph"/>
        <w:numPr>
          <w:ilvl w:val="0"/>
          <w:numId w:val="2"/>
        </w:numPr>
        <w:spacing w:line="360" w:lineRule="auto"/>
        <w:jc w:val="both"/>
        <w:rPr>
          <w:rFonts w:ascii="Arial" w:eastAsia="Arial" w:hAnsi="Arial" w:cs="Arial"/>
        </w:rPr>
      </w:pPr>
      <w:r w:rsidRPr="0E260372">
        <w:rPr>
          <w:rFonts w:ascii="Arial" w:eastAsia="Arial" w:hAnsi="Arial" w:cs="Arial"/>
          <w:b/>
          <w:bCs/>
        </w:rPr>
        <w:t>Adolescents</w:t>
      </w:r>
      <w:r w:rsidRPr="0E260372">
        <w:rPr>
          <w:rFonts w:ascii="Arial" w:eastAsia="Arial" w:hAnsi="Arial" w:cs="Arial"/>
        </w:rPr>
        <w:t xml:space="preserve">: Individuals between the ages of 13 and 18 are referred to as adolescents, this developmental stage is characterised by changes in the body, mind and emotions. This age group is thought to be especially prone to risky behaviours, such as substance abuse </w:t>
      </w:r>
      <w:r w:rsidR="7DE1531A" w:rsidRPr="0E260372">
        <w:rPr>
          <w:rFonts w:ascii="Arial" w:eastAsia="Arial" w:hAnsi="Arial" w:cs="Arial"/>
        </w:rPr>
        <w:t>(Public Health England, 2015).</w:t>
      </w:r>
    </w:p>
    <w:p w14:paraId="7697EB8E" w14:textId="669772AD" w:rsidR="153FB95C" w:rsidRDefault="153FB95C" w:rsidP="008F4555">
      <w:pPr>
        <w:pStyle w:val="ListParagraph"/>
        <w:numPr>
          <w:ilvl w:val="0"/>
          <w:numId w:val="2"/>
        </w:numPr>
        <w:spacing w:line="360" w:lineRule="auto"/>
        <w:jc w:val="both"/>
        <w:rPr>
          <w:rFonts w:ascii="Arial" w:eastAsia="Arial" w:hAnsi="Arial" w:cs="Arial"/>
        </w:rPr>
      </w:pPr>
      <w:r w:rsidRPr="0E260372">
        <w:rPr>
          <w:rFonts w:ascii="Arial" w:eastAsia="Arial" w:hAnsi="Arial" w:cs="Arial"/>
          <w:b/>
          <w:bCs/>
        </w:rPr>
        <w:t>Substance Misuse:</w:t>
      </w:r>
      <w:r w:rsidRPr="0E260372">
        <w:rPr>
          <w:rFonts w:ascii="Arial" w:eastAsia="Arial" w:hAnsi="Arial" w:cs="Arial"/>
        </w:rPr>
        <w:t xml:space="preserve"> In the United Kingdom, substance abuse is described as the harmful or hazardous use of psychoactive substances such as alcohol, cannabis, prescription medicines and illicit substances. It encompasses both experimental and habitual usage that harms a person's health, education or social life</w:t>
      </w:r>
      <w:r w:rsidR="2472128E" w:rsidRPr="0E260372">
        <w:rPr>
          <w:rFonts w:ascii="Arial" w:eastAsia="Arial" w:hAnsi="Arial" w:cs="Arial"/>
          <w:b/>
          <w:bCs/>
        </w:rPr>
        <w:t xml:space="preserve"> </w:t>
      </w:r>
      <w:r w:rsidR="2472128E" w:rsidRPr="0E260372">
        <w:rPr>
          <w:rFonts w:ascii="Arial" w:eastAsia="Arial" w:hAnsi="Arial" w:cs="Arial"/>
        </w:rPr>
        <w:t>(Office for Health Improvement &amp; Disparities, 2024)</w:t>
      </w:r>
      <w:r w:rsidRPr="0E260372">
        <w:rPr>
          <w:rFonts w:ascii="Arial" w:eastAsia="Arial" w:hAnsi="Arial" w:cs="Arial"/>
        </w:rPr>
        <w:t>.</w:t>
      </w:r>
    </w:p>
    <w:p w14:paraId="22C4F86B" w14:textId="4A56A910" w:rsidR="33CF0A88" w:rsidRDefault="33CF0A88" w:rsidP="008F4555">
      <w:pPr>
        <w:pStyle w:val="ListParagraph"/>
        <w:numPr>
          <w:ilvl w:val="0"/>
          <w:numId w:val="2"/>
        </w:numPr>
        <w:spacing w:line="360" w:lineRule="auto"/>
        <w:jc w:val="both"/>
        <w:rPr>
          <w:rFonts w:ascii="Arial" w:eastAsia="Arial" w:hAnsi="Arial" w:cs="Arial"/>
        </w:rPr>
      </w:pPr>
      <w:r w:rsidRPr="0E260372">
        <w:rPr>
          <w:rFonts w:ascii="Arial" w:eastAsia="Arial" w:hAnsi="Arial" w:cs="Arial"/>
          <w:b/>
          <w:bCs/>
        </w:rPr>
        <w:t>Prevalence</w:t>
      </w:r>
      <w:r w:rsidRPr="0E260372">
        <w:rPr>
          <w:rFonts w:ascii="Arial" w:eastAsia="Arial" w:hAnsi="Arial" w:cs="Arial"/>
        </w:rPr>
        <w:t>:</w:t>
      </w:r>
      <w:r w:rsidR="7D3071B6" w:rsidRPr="0E260372">
        <w:rPr>
          <w:rFonts w:ascii="Arial" w:eastAsia="Arial" w:hAnsi="Arial" w:cs="Arial"/>
        </w:rPr>
        <w:t xml:space="preserve"> According to WHO,</w:t>
      </w:r>
      <w:r w:rsidRPr="0E260372">
        <w:rPr>
          <w:rFonts w:ascii="Arial" w:eastAsia="Arial" w:hAnsi="Arial" w:cs="Arial"/>
        </w:rPr>
        <w:t xml:space="preserve"> </w:t>
      </w:r>
      <w:r w:rsidR="5F6DF6AE" w:rsidRPr="0E260372">
        <w:rPr>
          <w:rFonts w:ascii="Arial" w:eastAsia="Arial" w:hAnsi="Arial" w:cs="Arial"/>
        </w:rPr>
        <w:t>t</w:t>
      </w:r>
      <w:r w:rsidRPr="0E260372">
        <w:rPr>
          <w:rFonts w:ascii="Arial" w:eastAsia="Arial" w:hAnsi="Arial" w:cs="Arial"/>
        </w:rPr>
        <w:t>his phrase refers to the percentage of a population that engages in a specific behaviour—in this case, substance abuse—over a given time. Understanding prevalence is critical for determining the scale of the problem among adolescents</w:t>
      </w:r>
      <w:r w:rsidR="5F571A68" w:rsidRPr="0E260372">
        <w:rPr>
          <w:rFonts w:ascii="Arial" w:eastAsia="Arial" w:hAnsi="Arial" w:cs="Arial"/>
        </w:rPr>
        <w:t xml:space="preserve"> (Aly et al., 2020)</w:t>
      </w:r>
      <w:r w:rsidRPr="0E260372">
        <w:rPr>
          <w:rFonts w:ascii="Arial" w:eastAsia="Arial" w:hAnsi="Arial" w:cs="Arial"/>
        </w:rPr>
        <w:t>.</w:t>
      </w:r>
    </w:p>
    <w:p w14:paraId="3190EBEA" w14:textId="4F4B7566" w:rsidR="33CF0A88" w:rsidRDefault="33CF0A88" w:rsidP="008F4555">
      <w:pPr>
        <w:pStyle w:val="ListParagraph"/>
        <w:numPr>
          <w:ilvl w:val="0"/>
          <w:numId w:val="2"/>
        </w:numPr>
        <w:spacing w:line="360" w:lineRule="auto"/>
        <w:jc w:val="both"/>
        <w:rPr>
          <w:rFonts w:ascii="Arial" w:eastAsia="Arial" w:hAnsi="Arial" w:cs="Arial"/>
        </w:rPr>
      </w:pPr>
      <w:r w:rsidRPr="0E260372">
        <w:rPr>
          <w:rFonts w:ascii="Arial" w:eastAsia="Arial" w:hAnsi="Arial" w:cs="Arial"/>
          <w:b/>
          <w:bCs/>
        </w:rPr>
        <w:t>Risk Factors</w:t>
      </w:r>
      <w:r w:rsidRPr="0E260372">
        <w:rPr>
          <w:rFonts w:ascii="Arial" w:eastAsia="Arial" w:hAnsi="Arial" w:cs="Arial"/>
        </w:rPr>
        <w:t xml:space="preserve">: </w:t>
      </w:r>
      <w:r w:rsidR="3FBACBF3" w:rsidRPr="0E260372">
        <w:rPr>
          <w:rFonts w:ascii="Arial" w:eastAsia="Arial" w:hAnsi="Arial" w:cs="Arial"/>
        </w:rPr>
        <w:t xml:space="preserve">Risk factors are </w:t>
      </w:r>
      <w:r w:rsidR="5F0066A6" w:rsidRPr="0E260372">
        <w:rPr>
          <w:rFonts w:ascii="Arial" w:eastAsia="Arial" w:hAnsi="Arial" w:cs="Arial"/>
        </w:rPr>
        <w:t>circumstances</w:t>
      </w:r>
      <w:r w:rsidR="3FBACBF3" w:rsidRPr="0E260372">
        <w:rPr>
          <w:rFonts w:ascii="Arial" w:eastAsia="Arial" w:hAnsi="Arial" w:cs="Arial"/>
        </w:rPr>
        <w:t xml:space="preserve"> or variable that raises a person’s </w:t>
      </w:r>
      <w:r w:rsidR="42CBD391" w:rsidRPr="0E260372">
        <w:rPr>
          <w:rFonts w:ascii="Arial" w:eastAsia="Arial" w:hAnsi="Arial" w:cs="Arial"/>
        </w:rPr>
        <w:t xml:space="preserve">tendency of </w:t>
      </w:r>
      <w:r w:rsidR="6961C5B1" w:rsidRPr="0E260372">
        <w:rPr>
          <w:rFonts w:ascii="Arial" w:eastAsia="Arial" w:hAnsi="Arial" w:cs="Arial"/>
        </w:rPr>
        <w:t>substance</w:t>
      </w:r>
      <w:r w:rsidR="42CBD391" w:rsidRPr="0E260372">
        <w:rPr>
          <w:rFonts w:ascii="Arial" w:eastAsia="Arial" w:hAnsi="Arial" w:cs="Arial"/>
        </w:rPr>
        <w:t xml:space="preserve"> misuse</w:t>
      </w:r>
      <w:r w:rsidRPr="0E260372">
        <w:rPr>
          <w:rFonts w:ascii="Arial" w:eastAsia="Arial" w:hAnsi="Arial" w:cs="Arial"/>
        </w:rPr>
        <w:t>. Peer pressure, family breakup, mental health issues, and socioeconomic deprivation are all common risk factors</w:t>
      </w:r>
      <w:r w:rsidR="20BD290A" w:rsidRPr="0E260372">
        <w:rPr>
          <w:rFonts w:ascii="Arial" w:eastAsia="Arial" w:hAnsi="Arial" w:cs="Arial"/>
        </w:rPr>
        <w:t xml:space="preserve"> </w:t>
      </w:r>
      <w:r w:rsidR="20BD290A" w:rsidRPr="0E260372">
        <w:rPr>
          <w:rFonts w:ascii="Arial" w:eastAsia="Arial" w:hAnsi="Arial" w:cs="Arial"/>
          <w:color w:val="000000" w:themeColor="text1"/>
        </w:rPr>
        <w:t>(Steele</w:t>
      </w:r>
      <w:r w:rsidR="20BD290A" w:rsidRPr="0E260372">
        <w:rPr>
          <w:rFonts w:ascii="Arial" w:eastAsia="Arial" w:hAnsi="Arial" w:cs="Arial"/>
          <w:i/>
          <w:iCs/>
          <w:color w:val="000000" w:themeColor="text1"/>
        </w:rPr>
        <w:t xml:space="preserve"> et al</w:t>
      </w:r>
      <w:r w:rsidR="20BD290A" w:rsidRPr="0E260372">
        <w:rPr>
          <w:rFonts w:ascii="Arial" w:eastAsia="Arial" w:hAnsi="Arial" w:cs="Arial"/>
          <w:color w:val="000000" w:themeColor="text1"/>
        </w:rPr>
        <w:t>., 2020)</w:t>
      </w:r>
      <w:r w:rsidRPr="0E260372">
        <w:rPr>
          <w:rFonts w:ascii="Arial" w:eastAsia="Arial" w:hAnsi="Arial" w:cs="Arial"/>
        </w:rPr>
        <w:t>.</w:t>
      </w:r>
    </w:p>
    <w:p w14:paraId="218AF1FF" w14:textId="1AB1E53B" w:rsidR="33CF0A88" w:rsidRDefault="33CF0A88" w:rsidP="008F4555">
      <w:pPr>
        <w:pStyle w:val="ListParagraph"/>
        <w:numPr>
          <w:ilvl w:val="0"/>
          <w:numId w:val="2"/>
        </w:numPr>
        <w:spacing w:line="360" w:lineRule="auto"/>
        <w:jc w:val="both"/>
        <w:rPr>
          <w:rFonts w:ascii="Arial" w:eastAsia="Arial" w:hAnsi="Arial" w:cs="Arial"/>
        </w:rPr>
      </w:pPr>
      <w:r w:rsidRPr="0E260372">
        <w:rPr>
          <w:rFonts w:ascii="Arial" w:eastAsia="Arial" w:hAnsi="Arial" w:cs="Arial"/>
        </w:rPr>
        <w:t xml:space="preserve">  </w:t>
      </w:r>
      <w:r w:rsidRPr="0E260372">
        <w:rPr>
          <w:rFonts w:ascii="Arial" w:eastAsia="Arial" w:hAnsi="Arial" w:cs="Arial"/>
          <w:b/>
          <w:bCs/>
        </w:rPr>
        <w:t>Thematic Analysis</w:t>
      </w:r>
      <w:r w:rsidRPr="0E260372">
        <w:rPr>
          <w:rFonts w:ascii="Arial" w:eastAsia="Arial" w:hAnsi="Arial" w:cs="Arial"/>
        </w:rPr>
        <w:t>: Thematic Analysis is a qualitative research method for identifying, analysing, and interpreting reoccurring patterns or themes in textual data. This strategy is commonly used in social and behavioural research</w:t>
      </w:r>
      <w:r w:rsidR="2FD2515A" w:rsidRPr="0E260372">
        <w:rPr>
          <w:rFonts w:ascii="Arial" w:eastAsia="Arial" w:hAnsi="Arial" w:cs="Arial"/>
        </w:rPr>
        <w:t xml:space="preserve"> (Sabharwal and Miah, 2021).</w:t>
      </w:r>
    </w:p>
    <w:p w14:paraId="1C096159" w14:textId="77777777" w:rsidR="00BD2909" w:rsidRPr="00BD2909" w:rsidRDefault="00BD2909" w:rsidP="008F4555">
      <w:pPr>
        <w:pStyle w:val="paragraph"/>
        <w:numPr>
          <w:ilvl w:val="0"/>
          <w:numId w:val="3"/>
        </w:numPr>
        <w:tabs>
          <w:tab w:val="clear" w:pos="720"/>
        </w:tabs>
        <w:spacing w:before="0" w:beforeAutospacing="0" w:after="0" w:afterAutospacing="0" w:line="360" w:lineRule="auto"/>
        <w:ind w:left="0" w:firstLine="0"/>
        <w:jc w:val="both"/>
        <w:textAlignment w:val="baseline"/>
        <w:rPr>
          <w:rFonts w:ascii="Aptos" w:hAnsi="Aptos" w:cs="Arial"/>
          <w:sz w:val="22"/>
          <w:szCs w:val="22"/>
        </w:rPr>
      </w:pPr>
      <w:r w:rsidRPr="0559B97C">
        <w:rPr>
          <w:rStyle w:val="normaltextrun"/>
          <w:rFonts w:ascii="Aptos" w:hAnsi="Aptos" w:cs="Arial"/>
          <w:b/>
          <w:bCs/>
          <w:sz w:val="22"/>
          <w:szCs w:val="22"/>
        </w:rPr>
        <w:t>Acronyms and Abbreviations:</w:t>
      </w:r>
      <w:r w:rsidRPr="0559B97C">
        <w:rPr>
          <w:rStyle w:val="eop"/>
          <w:rFonts w:ascii="Aptos" w:hAnsi="Aptos" w:cs="Arial"/>
          <w:sz w:val="22"/>
          <w:szCs w:val="22"/>
        </w:rPr>
        <w:t> </w:t>
      </w:r>
    </w:p>
    <w:p w14:paraId="068093CF" w14:textId="1A5F5BDD" w:rsidR="5BBD12AF" w:rsidRDefault="5BBD12AF" w:rsidP="0559B97C">
      <w:pPr>
        <w:pStyle w:val="paragraph"/>
        <w:spacing w:before="0" w:beforeAutospacing="0" w:after="0" w:afterAutospacing="0" w:line="360" w:lineRule="auto"/>
        <w:jc w:val="both"/>
        <w:rPr>
          <w:rFonts w:ascii="Arial" w:eastAsia="Arial" w:hAnsi="Arial" w:cs="Arial"/>
          <w:sz w:val="22"/>
          <w:szCs w:val="22"/>
        </w:rPr>
      </w:pPr>
      <w:r w:rsidRPr="0559B97C">
        <w:rPr>
          <w:rFonts w:ascii="Arial" w:eastAsia="Arial" w:hAnsi="Arial" w:cs="Arial"/>
          <w:sz w:val="22"/>
          <w:szCs w:val="22"/>
        </w:rPr>
        <w:t>To enhance reading, the following often utilised acronyms are provided below.</w:t>
      </w:r>
    </w:p>
    <w:p w14:paraId="091B2473" w14:textId="7DBD4498" w:rsidR="5BBD12AF" w:rsidRDefault="5BBD12AF" w:rsidP="008F4555">
      <w:pPr>
        <w:pStyle w:val="ListParagraph"/>
        <w:numPr>
          <w:ilvl w:val="0"/>
          <w:numId w:val="2"/>
        </w:numPr>
        <w:spacing w:before="240" w:after="240"/>
        <w:jc w:val="both"/>
        <w:rPr>
          <w:rFonts w:ascii="Arial" w:eastAsia="Arial" w:hAnsi="Arial" w:cs="Arial"/>
        </w:rPr>
      </w:pPr>
      <w:r w:rsidRPr="0559B97C">
        <w:rPr>
          <w:rFonts w:ascii="Arial" w:eastAsia="Arial" w:hAnsi="Arial" w:cs="Arial"/>
        </w:rPr>
        <w:t>NHS – National Health Service</w:t>
      </w:r>
    </w:p>
    <w:p w14:paraId="1CE20829" w14:textId="1BD6BFC3" w:rsidR="5BBD12AF" w:rsidRDefault="5BBD12AF" w:rsidP="008F4555">
      <w:pPr>
        <w:pStyle w:val="ListParagraph"/>
        <w:numPr>
          <w:ilvl w:val="0"/>
          <w:numId w:val="2"/>
        </w:numPr>
        <w:spacing w:before="240" w:after="240"/>
        <w:jc w:val="both"/>
        <w:rPr>
          <w:rFonts w:ascii="Arial" w:eastAsia="Arial" w:hAnsi="Arial" w:cs="Arial"/>
        </w:rPr>
      </w:pPr>
      <w:r w:rsidRPr="0559B97C">
        <w:rPr>
          <w:rFonts w:ascii="Arial" w:eastAsia="Arial" w:hAnsi="Arial" w:cs="Arial"/>
        </w:rPr>
        <w:t>PHE – Public Health England</w:t>
      </w:r>
    </w:p>
    <w:p w14:paraId="45C79ADA" w14:textId="654B8EF4" w:rsidR="5BBD12AF" w:rsidRDefault="5BBD12AF" w:rsidP="008F4555">
      <w:pPr>
        <w:pStyle w:val="ListParagraph"/>
        <w:numPr>
          <w:ilvl w:val="0"/>
          <w:numId w:val="2"/>
        </w:numPr>
        <w:spacing w:before="240" w:after="240"/>
        <w:jc w:val="both"/>
        <w:rPr>
          <w:rFonts w:ascii="Arial" w:eastAsia="Arial" w:hAnsi="Arial" w:cs="Arial"/>
        </w:rPr>
      </w:pPr>
      <w:r w:rsidRPr="0559B97C">
        <w:rPr>
          <w:rFonts w:ascii="Arial" w:eastAsia="Arial" w:hAnsi="Arial" w:cs="Arial"/>
        </w:rPr>
        <w:t>UK – United Kingdom</w:t>
      </w:r>
    </w:p>
    <w:p w14:paraId="1EFD7152" w14:textId="1E8E60A8" w:rsidR="5BBD12AF" w:rsidRDefault="5BBD12AF" w:rsidP="008F4555">
      <w:pPr>
        <w:pStyle w:val="ListParagraph"/>
        <w:numPr>
          <w:ilvl w:val="0"/>
          <w:numId w:val="2"/>
        </w:numPr>
        <w:spacing w:before="240" w:after="240"/>
        <w:jc w:val="both"/>
        <w:rPr>
          <w:rFonts w:ascii="Arial" w:eastAsia="Arial" w:hAnsi="Arial" w:cs="Arial"/>
        </w:rPr>
      </w:pPr>
      <w:r w:rsidRPr="0559B97C">
        <w:rPr>
          <w:rFonts w:ascii="Arial" w:eastAsia="Arial" w:hAnsi="Arial" w:cs="Arial"/>
        </w:rPr>
        <w:t>WHO – World Health Organization</w:t>
      </w:r>
    </w:p>
    <w:p w14:paraId="3C856F0F" w14:textId="2430BA8E" w:rsidR="0559B97C" w:rsidRDefault="0559B97C" w:rsidP="0E260372">
      <w:pPr>
        <w:pStyle w:val="paragraph"/>
        <w:spacing w:before="0" w:beforeAutospacing="0" w:after="0" w:afterAutospacing="0" w:line="360" w:lineRule="auto"/>
        <w:jc w:val="both"/>
        <w:rPr>
          <w:rFonts w:ascii="Arial" w:eastAsia="Arial" w:hAnsi="Arial" w:cs="Arial"/>
          <w:sz w:val="22"/>
          <w:szCs w:val="22"/>
        </w:rPr>
      </w:pPr>
    </w:p>
    <w:p w14:paraId="4BC66D2F" w14:textId="5B317F6B" w:rsidR="00BD2909" w:rsidRPr="00BD2909" w:rsidRDefault="00BD2909" w:rsidP="0E260372">
      <w:pPr>
        <w:pStyle w:val="paragraph"/>
        <w:spacing w:before="0" w:beforeAutospacing="0" w:after="0" w:afterAutospacing="0" w:line="360" w:lineRule="auto"/>
        <w:ind w:left="1080"/>
        <w:jc w:val="both"/>
        <w:textAlignment w:val="baseline"/>
        <w:rPr>
          <w:rFonts w:ascii="Aptos" w:hAnsi="Aptos" w:cs="Segoe UI"/>
          <w:sz w:val="16"/>
          <w:szCs w:val="16"/>
        </w:rPr>
      </w:pPr>
      <w:r w:rsidRPr="0E260372">
        <w:rPr>
          <w:rStyle w:val="eop"/>
          <w:rFonts w:ascii="Aptos" w:hAnsi="Aptos" w:cs="Arial"/>
          <w:sz w:val="22"/>
          <w:szCs w:val="22"/>
        </w:rPr>
        <w:t>  </w:t>
      </w:r>
    </w:p>
    <w:p w14:paraId="165773A7" w14:textId="78DEA065" w:rsidR="00BD2909" w:rsidRPr="00BD2909" w:rsidRDefault="00BD2909" w:rsidP="00600038">
      <w:pPr>
        <w:pStyle w:val="Heading2"/>
        <w:rPr>
          <w:rStyle w:val="eop"/>
          <w:rFonts w:ascii="Arial" w:eastAsia="Arial" w:hAnsi="Arial" w:cs="Arial"/>
        </w:rPr>
      </w:pPr>
      <w:r w:rsidRPr="359E9537">
        <w:rPr>
          <w:rStyle w:val="normaltextrun"/>
          <w:rFonts w:ascii="Arial" w:eastAsia="Arial" w:hAnsi="Arial" w:cs="Arial"/>
          <w:color w:val="auto"/>
        </w:rPr>
        <w:lastRenderedPageBreak/>
        <w:t xml:space="preserve">1.3 Rationale for Research </w:t>
      </w:r>
    </w:p>
    <w:p w14:paraId="33FC7D66" w14:textId="77777777" w:rsidR="00BD2909" w:rsidRPr="00BD2909" w:rsidRDefault="00BD2909" w:rsidP="008F4555">
      <w:pPr>
        <w:pStyle w:val="paragraph"/>
        <w:numPr>
          <w:ilvl w:val="0"/>
          <w:numId w:val="4"/>
        </w:numPr>
        <w:tabs>
          <w:tab w:val="clear" w:pos="720"/>
        </w:tabs>
        <w:spacing w:before="0" w:beforeAutospacing="0" w:after="0" w:afterAutospacing="0" w:line="360" w:lineRule="auto"/>
        <w:ind w:left="0" w:firstLine="0"/>
        <w:jc w:val="both"/>
        <w:textAlignment w:val="baseline"/>
        <w:rPr>
          <w:rFonts w:ascii="Arial" w:eastAsia="Arial" w:hAnsi="Arial" w:cs="Arial"/>
          <w:sz w:val="22"/>
          <w:szCs w:val="22"/>
        </w:rPr>
      </w:pPr>
      <w:r w:rsidRPr="0E260372">
        <w:rPr>
          <w:rStyle w:val="normaltextrun"/>
          <w:rFonts w:ascii="Arial" w:eastAsia="Arial" w:hAnsi="Arial" w:cs="Arial"/>
          <w:sz w:val="22"/>
          <w:szCs w:val="22"/>
        </w:rPr>
        <w:t>Purpose of the Research</w:t>
      </w:r>
      <w:r w:rsidRPr="0E260372">
        <w:rPr>
          <w:rStyle w:val="normaltextrun"/>
          <w:rFonts w:ascii="Arial" w:eastAsia="Arial" w:hAnsi="Arial" w:cs="Arial"/>
          <w:b/>
          <w:bCs/>
          <w:sz w:val="22"/>
          <w:szCs w:val="22"/>
        </w:rPr>
        <w:t>:</w:t>
      </w:r>
      <w:r w:rsidRPr="0E260372">
        <w:rPr>
          <w:rStyle w:val="eop"/>
          <w:rFonts w:ascii="Arial" w:eastAsia="Arial" w:hAnsi="Arial" w:cs="Arial"/>
          <w:sz w:val="22"/>
          <w:szCs w:val="22"/>
        </w:rPr>
        <w:t> </w:t>
      </w:r>
    </w:p>
    <w:p w14:paraId="2248FE0F" w14:textId="697935EB" w:rsidR="00BD2909" w:rsidRPr="00BD2909" w:rsidRDefault="496823C5" w:rsidP="0E260372">
      <w:pPr>
        <w:spacing w:after="0"/>
        <w:textAlignment w:val="baseline"/>
        <w:rPr>
          <w:rFonts w:ascii="Arial" w:eastAsia="Arial" w:hAnsi="Arial" w:cs="Arial"/>
        </w:rPr>
      </w:pPr>
      <w:r w:rsidRPr="0E260372">
        <w:rPr>
          <w:rFonts w:ascii="Arial" w:eastAsia="Arial" w:hAnsi="Arial" w:cs="Arial"/>
        </w:rPr>
        <w:t>Substance misuse among adolescents in England remains a serious concern, with official data demonstrating its far-reaching consequences for public health, education, and social results. While overall substance use has apparently dropped over the last decade, current studies show that a significant proportion of young people, particularly those aged 13 to 18, continue to participate in risky alcohol and cannabis use (Public Health England, 2018). Adolescence is a vital developmental era in which the brain is still changing, and exposure to psychoactive substances during this time can result in long-term cognitive, emotional and behavioural problems.</w:t>
      </w:r>
    </w:p>
    <w:p w14:paraId="636A08D3" w14:textId="780A2475" w:rsidR="00BD2909" w:rsidRPr="00BD2909" w:rsidRDefault="450C5DC1" w:rsidP="0E260372">
      <w:pPr>
        <w:spacing w:after="0"/>
        <w:textAlignment w:val="baseline"/>
        <w:rPr>
          <w:rFonts w:ascii="Arial" w:eastAsia="Arial" w:hAnsi="Arial" w:cs="Arial"/>
        </w:rPr>
      </w:pPr>
      <w:r w:rsidRPr="0E260372">
        <w:rPr>
          <w:rFonts w:ascii="Arial" w:eastAsia="Arial" w:hAnsi="Arial" w:cs="Arial"/>
        </w:rPr>
        <w:t xml:space="preserve"> </w:t>
      </w:r>
      <w:r w:rsidR="54E53492" w:rsidRPr="0E260372">
        <w:rPr>
          <w:rFonts w:ascii="Arial" w:eastAsia="Arial" w:hAnsi="Arial" w:cs="Arial"/>
        </w:rPr>
        <w:t>Despite ongoing national initiatives such as the UK Government's 10-Year Drug Strategy (2021) and Public Health England's youth wellbeing frameworks, there are substantial gaps in understanding how these policies translate into practical outcomes for marginalised adolescents. Limited qualitative understanding of lived experiences and structural disparities impacting substance use impedes the creation of effective, tailored therapies. Addressing these gaps ensures that prevention programs are not just evidence-based, but also socially and culturally responsive to the different circumstances of young people. (Valdez et al., 2019; Bonell et al., 2015).</w:t>
      </w:r>
    </w:p>
    <w:p w14:paraId="66D95488" w14:textId="326438E9" w:rsidR="62D283A4" w:rsidRDefault="62D283A4" w:rsidP="0E260372">
      <w:pPr>
        <w:spacing w:after="0"/>
        <w:rPr>
          <w:rFonts w:ascii="Arial" w:eastAsia="Arial" w:hAnsi="Arial" w:cs="Arial"/>
        </w:rPr>
      </w:pPr>
      <w:r w:rsidRPr="0E260372">
        <w:rPr>
          <w:rFonts w:ascii="Arial" w:eastAsia="Arial" w:hAnsi="Arial" w:cs="Arial"/>
        </w:rPr>
        <w:t>Although extensive research has been conducted on the general patterns of youth substance use, the current literature frequently lacks specificity regarding the nuanced social, psychological, and structural factors that underpin this behaviour—particularly among vulnerable groups such as care leavers, school-excluded youth, and those living in economically disadvantaged areas (Valdez et al., 2019). This study attempts to address these constraints by investigating not just the consequences, but also the contributing risk factors and societal implications of substance misuse. The research, which focusses on England, aims to inform youth-focused public health activities, educational interventions and family support mechanisms, resulting in more effective preventative and early intervention tactic</w:t>
      </w:r>
      <w:r w:rsidR="0D91A72F" w:rsidRPr="0E260372">
        <w:rPr>
          <w:rFonts w:ascii="Arial" w:eastAsia="Arial" w:hAnsi="Arial" w:cs="Arial"/>
        </w:rPr>
        <w:t xml:space="preserve"> (</w:t>
      </w:r>
      <w:proofErr w:type="spellStart"/>
      <w:r w:rsidR="0D91A72F" w:rsidRPr="0E260372">
        <w:rPr>
          <w:rFonts w:ascii="Arial" w:eastAsia="Arial" w:hAnsi="Arial" w:cs="Arial"/>
        </w:rPr>
        <w:t>Alhammad</w:t>
      </w:r>
      <w:proofErr w:type="spellEnd"/>
      <w:r w:rsidR="0D91A72F" w:rsidRPr="0E260372">
        <w:rPr>
          <w:rFonts w:ascii="Arial" w:eastAsia="Arial" w:hAnsi="Arial" w:cs="Arial"/>
        </w:rPr>
        <w:t xml:space="preserve"> </w:t>
      </w:r>
      <w:r w:rsidR="0D91A72F" w:rsidRPr="0E260372">
        <w:rPr>
          <w:rFonts w:ascii="Arial" w:eastAsia="Arial" w:hAnsi="Arial" w:cs="Arial"/>
          <w:i/>
          <w:iCs/>
        </w:rPr>
        <w:t xml:space="preserve">et al., </w:t>
      </w:r>
      <w:r w:rsidR="0D91A72F" w:rsidRPr="0E260372">
        <w:rPr>
          <w:rFonts w:ascii="Arial" w:eastAsia="Arial" w:hAnsi="Arial" w:cs="Arial"/>
        </w:rPr>
        <w:t>2022).</w:t>
      </w:r>
    </w:p>
    <w:p w14:paraId="75E17D56" w14:textId="77777777" w:rsidR="00BD2909" w:rsidRPr="00BD2909" w:rsidRDefault="00BD2909" w:rsidP="0E260372">
      <w:pPr>
        <w:pStyle w:val="paragraph"/>
        <w:spacing w:before="0" w:beforeAutospacing="0" w:after="0" w:afterAutospacing="0" w:line="360" w:lineRule="auto"/>
        <w:ind w:left="1080"/>
        <w:jc w:val="both"/>
        <w:textAlignment w:val="baseline"/>
        <w:rPr>
          <w:rFonts w:ascii="Aptos" w:hAnsi="Aptos" w:cs="Segoe UI"/>
          <w:sz w:val="16"/>
          <w:szCs w:val="16"/>
        </w:rPr>
      </w:pPr>
      <w:r w:rsidRPr="0E260372">
        <w:rPr>
          <w:rStyle w:val="eop"/>
          <w:rFonts w:ascii="Aptos" w:hAnsi="Aptos" w:cs="Arial"/>
          <w:sz w:val="22"/>
          <w:szCs w:val="22"/>
        </w:rPr>
        <w:t> </w:t>
      </w:r>
    </w:p>
    <w:p w14:paraId="669241A7" w14:textId="1993E16C" w:rsidR="00BD2909" w:rsidRPr="00BD2909" w:rsidRDefault="00BD2909" w:rsidP="00600038">
      <w:pPr>
        <w:pStyle w:val="Heading2"/>
        <w:rPr>
          <w:rStyle w:val="eop"/>
          <w:rFonts w:cs="Arial"/>
          <w:color w:val="0F4761"/>
        </w:rPr>
      </w:pPr>
      <w:r w:rsidRPr="359E9537">
        <w:rPr>
          <w:rStyle w:val="normaltextrun"/>
          <w:rFonts w:ascii="Arial" w:eastAsia="Arial" w:hAnsi="Arial" w:cs="Arial"/>
          <w:color w:val="auto"/>
        </w:rPr>
        <w:t>1.4 Aim and Objectives</w:t>
      </w:r>
      <w:r w:rsidRPr="359E9537">
        <w:rPr>
          <w:rStyle w:val="normaltextrun"/>
          <w:rFonts w:cs="Arial"/>
          <w:color w:val="0F4761"/>
        </w:rPr>
        <w:t xml:space="preserve"> </w:t>
      </w:r>
    </w:p>
    <w:p w14:paraId="3FDBEDEF" w14:textId="02ACD839" w:rsidR="4C3AA1EE" w:rsidRDefault="4C3AA1EE" w:rsidP="0E260372">
      <w:pPr>
        <w:pStyle w:val="paragraph"/>
        <w:tabs>
          <w:tab w:val="num" w:pos="360"/>
        </w:tabs>
        <w:spacing w:before="0" w:beforeAutospacing="0" w:after="0" w:afterAutospacing="0" w:line="360" w:lineRule="auto"/>
        <w:ind w:left="720"/>
        <w:jc w:val="both"/>
        <w:rPr>
          <w:rFonts w:ascii="Arial" w:eastAsia="Arial" w:hAnsi="Arial" w:cs="Arial"/>
          <w:sz w:val="22"/>
          <w:szCs w:val="22"/>
        </w:rPr>
      </w:pPr>
      <w:r w:rsidRPr="0E260372">
        <w:rPr>
          <w:rFonts w:ascii="Arial" w:eastAsia="Arial" w:hAnsi="Arial" w:cs="Arial"/>
          <w:b/>
          <w:bCs/>
          <w:sz w:val="22"/>
          <w:szCs w:val="22"/>
        </w:rPr>
        <w:t>Research Aim</w:t>
      </w:r>
      <w:r w:rsidRPr="0E260372">
        <w:rPr>
          <w:rFonts w:ascii="Arial" w:eastAsia="Arial" w:hAnsi="Arial" w:cs="Arial"/>
          <w:sz w:val="22"/>
          <w:szCs w:val="22"/>
        </w:rPr>
        <w:t xml:space="preserve">: This study's main goal is to critically analyse how substance abuse affects young adults in England, paying special emphasis to the structural, social and psychological elements that affect adolescent substance use. This study seeks to go beyond generic statistics by focussing on vulnerable populations such as care leavers, school-excluded individuals and economically disadvantaged youths—who are at a higher risk of substance abuse. The study also aims to investigate the ways in which </w:t>
      </w:r>
      <w:r w:rsidRPr="0E260372">
        <w:rPr>
          <w:rFonts w:ascii="Arial" w:eastAsia="Arial" w:hAnsi="Arial" w:cs="Arial"/>
          <w:sz w:val="22"/>
          <w:szCs w:val="22"/>
        </w:rPr>
        <w:lastRenderedPageBreak/>
        <w:t xml:space="preserve">substance abuse affects academic achievement, criminal activity, social integration and long-term mental and physical health issues. The </w:t>
      </w:r>
      <w:proofErr w:type="gramStart"/>
      <w:r w:rsidRPr="0E260372">
        <w:rPr>
          <w:rFonts w:ascii="Arial" w:eastAsia="Arial" w:hAnsi="Arial" w:cs="Arial"/>
          <w:sz w:val="22"/>
          <w:szCs w:val="22"/>
        </w:rPr>
        <w:t>ultimate goal</w:t>
      </w:r>
      <w:proofErr w:type="gramEnd"/>
      <w:r w:rsidRPr="0E260372">
        <w:rPr>
          <w:rFonts w:ascii="Arial" w:eastAsia="Arial" w:hAnsi="Arial" w:cs="Arial"/>
          <w:sz w:val="22"/>
          <w:szCs w:val="22"/>
        </w:rPr>
        <w:t xml:space="preserve"> of this research is to contribute to evidence-based practices that lessen teen substance abuse and lessen the long-term effects it has on both individuals and society</w:t>
      </w:r>
      <w:r w:rsidR="76C95509" w:rsidRPr="0E260372">
        <w:rPr>
          <w:rFonts w:ascii="Arial" w:eastAsia="Arial" w:hAnsi="Arial" w:cs="Arial"/>
          <w:sz w:val="22"/>
          <w:szCs w:val="22"/>
        </w:rPr>
        <w:t xml:space="preserve"> (Gakh et al., 2019)</w:t>
      </w:r>
      <w:r w:rsidRPr="0E260372">
        <w:rPr>
          <w:rFonts w:ascii="Arial" w:eastAsia="Arial" w:hAnsi="Arial" w:cs="Arial"/>
          <w:sz w:val="22"/>
          <w:szCs w:val="22"/>
        </w:rPr>
        <w:t>.</w:t>
      </w:r>
    </w:p>
    <w:p w14:paraId="1C980C00" w14:textId="4EB1991A" w:rsidR="00BD2909" w:rsidRPr="00BD2909" w:rsidRDefault="00BD2909" w:rsidP="0E260372">
      <w:pPr>
        <w:pStyle w:val="paragraph"/>
        <w:tabs>
          <w:tab w:val="num" w:pos="360"/>
        </w:tabs>
        <w:spacing w:before="0" w:beforeAutospacing="0" w:after="0" w:afterAutospacing="0" w:line="360" w:lineRule="auto"/>
        <w:ind w:left="720"/>
        <w:jc w:val="both"/>
        <w:textAlignment w:val="baseline"/>
        <w:rPr>
          <w:rFonts w:ascii="Aptos" w:hAnsi="Aptos" w:cs="Arial"/>
          <w:sz w:val="22"/>
          <w:szCs w:val="22"/>
        </w:rPr>
      </w:pPr>
      <w:r w:rsidRPr="0E260372">
        <w:rPr>
          <w:rStyle w:val="eop"/>
          <w:rFonts w:ascii="Aptos" w:hAnsi="Aptos" w:cs="Arial"/>
          <w:sz w:val="22"/>
          <w:szCs w:val="22"/>
        </w:rPr>
        <w:t> </w:t>
      </w:r>
    </w:p>
    <w:p w14:paraId="60ABAA76" w14:textId="2008FA4E" w:rsidR="4725D2DA" w:rsidRDefault="4725D2DA" w:rsidP="0E260372">
      <w:pPr>
        <w:pStyle w:val="paragraph"/>
        <w:tabs>
          <w:tab w:val="num" w:pos="360"/>
        </w:tabs>
        <w:spacing w:before="0" w:beforeAutospacing="0" w:after="0" w:afterAutospacing="0" w:line="360" w:lineRule="auto"/>
        <w:jc w:val="both"/>
        <w:rPr>
          <w:rStyle w:val="normaltextrun"/>
          <w:rFonts w:ascii="Aptos" w:hAnsi="Aptos" w:cs="Arial"/>
          <w:b/>
          <w:bCs/>
          <w:sz w:val="22"/>
          <w:szCs w:val="22"/>
        </w:rPr>
      </w:pPr>
    </w:p>
    <w:p w14:paraId="10111686" w14:textId="77777777" w:rsidR="00BD2909" w:rsidRPr="00BD2909" w:rsidRDefault="00BD2909" w:rsidP="0E260372">
      <w:pPr>
        <w:pStyle w:val="paragraph"/>
        <w:tabs>
          <w:tab w:val="num" w:pos="360"/>
        </w:tabs>
        <w:spacing w:before="0" w:beforeAutospacing="0" w:after="0" w:afterAutospacing="0" w:line="360" w:lineRule="auto"/>
        <w:jc w:val="both"/>
        <w:textAlignment w:val="baseline"/>
        <w:rPr>
          <w:rFonts w:ascii="Arial" w:eastAsia="Arial" w:hAnsi="Arial" w:cs="Arial"/>
        </w:rPr>
      </w:pPr>
      <w:r w:rsidRPr="0E260372">
        <w:rPr>
          <w:rStyle w:val="normaltextrun"/>
          <w:rFonts w:ascii="Arial" w:eastAsia="Arial" w:hAnsi="Arial" w:cs="Arial"/>
        </w:rPr>
        <w:t>Research Objectives:</w:t>
      </w:r>
      <w:r w:rsidRPr="0E260372">
        <w:rPr>
          <w:rStyle w:val="eop"/>
          <w:rFonts w:ascii="Arial" w:eastAsia="Arial" w:hAnsi="Arial" w:cs="Arial"/>
        </w:rPr>
        <w:t> </w:t>
      </w:r>
    </w:p>
    <w:p w14:paraId="55B24979" w14:textId="71073A5A" w:rsidR="59F7ACED" w:rsidRDefault="59F7ACED" w:rsidP="008F4555">
      <w:pPr>
        <w:pStyle w:val="paragraph"/>
        <w:widowControl w:val="0"/>
        <w:numPr>
          <w:ilvl w:val="0"/>
          <w:numId w:val="5"/>
        </w:numPr>
        <w:tabs>
          <w:tab w:val="clear" w:pos="720"/>
          <w:tab w:val="num" w:pos="360"/>
        </w:tabs>
        <w:spacing w:before="0" w:beforeAutospacing="0" w:after="0" w:afterAutospacing="0" w:line="360" w:lineRule="auto"/>
        <w:jc w:val="both"/>
        <w:rPr>
          <w:rFonts w:ascii="Arial" w:eastAsia="Arial" w:hAnsi="Arial" w:cs="Arial"/>
          <w:sz w:val="22"/>
          <w:szCs w:val="22"/>
        </w:rPr>
      </w:pPr>
      <w:r w:rsidRPr="0559B97C">
        <w:rPr>
          <w:rFonts w:ascii="Arial" w:eastAsia="Arial" w:hAnsi="Arial" w:cs="Arial"/>
          <w:sz w:val="22"/>
          <w:szCs w:val="22"/>
        </w:rPr>
        <w:t>Objective 1: Examine the momentary and long-term impacts of substance abuse, with a particular emphasis on alcohol and cannabis use, on the physical and mental health of teenagers in England.</w:t>
      </w:r>
    </w:p>
    <w:p w14:paraId="030ACEC1" w14:textId="3310493B" w:rsidR="0559B97C" w:rsidRDefault="0559B97C" w:rsidP="0559B97C">
      <w:pPr>
        <w:pStyle w:val="ListParagraph"/>
        <w:spacing w:line="360" w:lineRule="auto"/>
        <w:ind w:left="720"/>
        <w:jc w:val="both"/>
        <w:rPr>
          <w:rFonts w:ascii="Arial" w:eastAsia="Arial" w:hAnsi="Arial" w:cs="Arial"/>
        </w:rPr>
      </w:pPr>
    </w:p>
    <w:p w14:paraId="4A9DF374" w14:textId="6B99CD10" w:rsidR="59F7ACED" w:rsidRDefault="59F7ACED" w:rsidP="008F4555">
      <w:pPr>
        <w:pStyle w:val="ListParagraph"/>
        <w:numPr>
          <w:ilvl w:val="0"/>
          <w:numId w:val="5"/>
        </w:numPr>
        <w:spacing w:line="360" w:lineRule="auto"/>
        <w:jc w:val="both"/>
        <w:rPr>
          <w:rFonts w:ascii="Arial" w:eastAsia="Arial" w:hAnsi="Arial" w:cs="Arial"/>
        </w:rPr>
      </w:pPr>
      <w:r w:rsidRPr="1EC678D9">
        <w:rPr>
          <w:rFonts w:ascii="Arial" w:eastAsia="Arial" w:hAnsi="Arial" w:cs="Arial"/>
        </w:rPr>
        <w:t xml:space="preserve"> Objective 2: Investigate the environmental, psychological and social risk factors</w:t>
      </w:r>
      <w:r w:rsidR="4693DD6C" w:rsidRPr="1EC678D9">
        <w:rPr>
          <w:rFonts w:ascii="Arial" w:eastAsia="Arial" w:hAnsi="Arial" w:cs="Arial"/>
        </w:rPr>
        <w:t xml:space="preserve"> </w:t>
      </w:r>
      <w:r w:rsidRPr="1EC678D9">
        <w:rPr>
          <w:rFonts w:ascii="Arial" w:eastAsia="Arial" w:hAnsi="Arial" w:cs="Arial"/>
        </w:rPr>
        <w:t>such as peer pressure, trauma, unstable families and socioeconomic deprivation</w:t>
      </w:r>
      <w:r w:rsidR="0C5E6CDA" w:rsidRPr="1EC678D9">
        <w:rPr>
          <w:rFonts w:ascii="Arial" w:eastAsia="Arial" w:hAnsi="Arial" w:cs="Arial"/>
        </w:rPr>
        <w:t xml:space="preserve"> </w:t>
      </w:r>
      <w:r w:rsidRPr="1EC678D9">
        <w:rPr>
          <w:rFonts w:ascii="Arial" w:eastAsia="Arial" w:hAnsi="Arial" w:cs="Arial"/>
        </w:rPr>
        <w:t xml:space="preserve">that </w:t>
      </w:r>
      <w:r w:rsidR="5F54D2D3" w:rsidRPr="1EC678D9">
        <w:rPr>
          <w:rFonts w:ascii="Arial" w:eastAsia="Arial" w:hAnsi="Arial" w:cs="Arial"/>
        </w:rPr>
        <w:t>led</w:t>
      </w:r>
      <w:r w:rsidRPr="1EC678D9">
        <w:rPr>
          <w:rFonts w:ascii="Arial" w:eastAsia="Arial" w:hAnsi="Arial" w:cs="Arial"/>
        </w:rPr>
        <w:t xml:space="preserve"> to substance abuse.</w:t>
      </w:r>
    </w:p>
    <w:p w14:paraId="5522726E" w14:textId="019ED6A9" w:rsidR="0559B97C" w:rsidRDefault="0559B97C" w:rsidP="0559B97C">
      <w:pPr>
        <w:pStyle w:val="ListParagraph"/>
        <w:spacing w:line="360" w:lineRule="auto"/>
        <w:ind w:left="720"/>
        <w:jc w:val="both"/>
        <w:rPr>
          <w:rFonts w:ascii="Arial" w:eastAsia="Arial" w:hAnsi="Arial" w:cs="Arial"/>
        </w:rPr>
      </w:pPr>
    </w:p>
    <w:p w14:paraId="2B7DC11B" w14:textId="120A30FB" w:rsidR="59F7ACED" w:rsidRDefault="59F7ACED" w:rsidP="008F4555">
      <w:pPr>
        <w:pStyle w:val="ListParagraph"/>
        <w:numPr>
          <w:ilvl w:val="0"/>
          <w:numId w:val="5"/>
        </w:numPr>
        <w:spacing w:line="360" w:lineRule="auto"/>
        <w:jc w:val="both"/>
        <w:rPr>
          <w:rFonts w:ascii="Arial" w:eastAsia="Arial" w:hAnsi="Arial" w:cs="Arial"/>
        </w:rPr>
      </w:pPr>
      <w:r w:rsidRPr="0559B97C">
        <w:rPr>
          <w:rFonts w:ascii="Arial" w:eastAsia="Arial" w:hAnsi="Arial" w:cs="Arial"/>
        </w:rPr>
        <w:t xml:space="preserve"> Objective 3: To evaluate the frequency and frequently concealed character of substance abuse among young people who are at risk, such as those who are in foster care, are not enrolled in school, or reside in underprivileged communities.</w:t>
      </w:r>
    </w:p>
    <w:p w14:paraId="2CDFD21F" w14:textId="08CC6C6D" w:rsidR="0559B97C" w:rsidRDefault="0559B97C" w:rsidP="0559B97C">
      <w:pPr>
        <w:pStyle w:val="ListParagraph"/>
        <w:spacing w:line="360" w:lineRule="auto"/>
        <w:ind w:left="720"/>
        <w:jc w:val="both"/>
        <w:rPr>
          <w:rFonts w:ascii="Arial" w:eastAsia="Arial" w:hAnsi="Arial" w:cs="Arial"/>
        </w:rPr>
      </w:pPr>
    </w:p>
    <w:p w14:paraId="3BAFE21A" w14:textId="73F83224" w:rsidR="59F7ACED" w:rsidRDefault="59F7ACED" w:rsidP="008F4555">
      <w:pPr>
        <w:pStyle w:val="ListParagraph"/>
        <w:numPr>
          <w:ilvl w:val="0"/>
          <w:numId w:val="5"/>
        </w:numPr>
        <w:spacing w:line="360" w:lineRule="auto"/>
        <w:jc w:val="both"/>
        <w:rPr>
          <w:rFonts w:ascii="Arial" w:eastAsia="Arial" w:hAnsi="Arial" w:cs="Arial"/>
        </w:rPr>
      </w:pPr>
      <w:r w:rsidRPr="0559B97C">
        <w:rPr>
          <w:rFonts w:ascii="Arial" w:eastAsia="Arial" w:hAnsi="Arial" w:cs="Arial"/>
        </w:rPr>
        <w:t xml:space="preserve"> Objective 4: Assess the effectiveness of current public health policies and intervention programs for addressing teen substance abuse and offer practical suggestions for enhancement based on gaps found.</w:t>
      </w:r>
    </w:p>
    <w:p w14:paraId="7FA3F3C5" w14:textId="77777777" w:rsidR="00BD2909" w:rsidRPr="00BD2909" w:rsidRDefault="00BD2909" w:rsidP="0E260372">
      <w:pPr>
        <w:pStyle w:val="paragraph"/>
        <w:spacing w:before="0" w:beforeAutospacing="0" w:after="0" w:afterAutospacing="0" w:line="360" w:lineRule="auto"/>
        <w:jc w:val="both"/>
        <w:textAlignment w:val="baseline"/>
        <w:rPr>
          <w:rFonts w:ascii="Aptos" w:hAnsi="Aptos" w:cs="Segoe UI"/>
          <w:sz w:val="16"/>
          <w:szCs w:val="16"/>
        </w:rPr>
      </w:pPr>
      <w:r w:rsidRPr="0E260372">
        <w:rPr>
          <w:rStyle w:val="eop"/>
          <w:rFonts w:ascii="Aptos" w:hAnsi="Aptos" w:cs="Arial"/>
          <w:sz w:val="22"/>
          <w:szCs w:val="22"/>
        </w:rPr>
        <w:t> </w:t>
      </w:r>
    </w:p>
    <w:p w14:paraId="4FCBBEC2" w14:textId="56A302E2" w:rsidR="00BD2909" w:rsidRPr="00BD2909" w:rsidRDefault="00BD2909" w:rsidP="00006CA2">
      <w:pPr>
        <w:pStyle w:val="Heading2"/>
        <w:rPr>
          <w:rStyle w:val="eop"/>
          <w:rFonts w:ascii="Arial" w:eastAsia="Arial" w:hAnsi="Arial" w:cs="Arial"/>
          <w:b/>
          <w:bCs/>
        </w:rPr>
      </w:pPr>
      <w:r w:rsidRPr="359E9537">
        <w:rPr>
          <w:rStyle w:val="normaltextrun"/>
          <w:rFonts w:ascii="Arial" w:eastAsia="Arial" w:hAnsi="Arial" w:cs="Arial"/>
          <w:color w:val="auto"/>
        </w:rPr>
        <w:t>1.5 Conclusion</w:t>
      </w:r>
      <w:r w:rsidRPr="359E9537">
        <w:rPr>
          <w:rStyle w:val="normaltextrun"/>
          <w:rFonts w:ascii="Arial" w:eastAsia="Arial" w:hAnsi="Arial" w:cs="Arial"/>
          <w:b/>
          <w:bCs/>
          <w:color w:val="auto"/>
        </w:rPr>
        <w:t xml:space="preserve"> </w:t>
      </w:r>
    </w:p>
    <w:p w14:paraId="5661EB6C" w14:textId="77777777" w:rsidR="00BD2909" w:rsidRPr="00BD2909" w:rsidRDefault="00BD2909" w:rsidP="008F4555">
      <w:pPr>
        <w:pStyle w:val="paragraph"/>
        <w:numPr>
          <w:ilvl w:val="0"/>
          <w:numId w:val="6"/>
        </w:numPr>
        <w:tabs>
          <w:tab w:val="clear" w:pos="720"/>
        </w:tabs>
        <w:spacing w:before="0" w:beforeAutospacing="0" w:after="0" w:afterAutospacing="0" w:line="360" w:lineRule="auto"/>
        <w:ind w:left="0" w:firstLine="0"/>
        <w:jc w:val="both"/>
        <w:textAlignment w:val="baseline"/>
        <w:rPr>
          <w:rFonts w:ascii="Arial" w:eastAsia="Arial" w:hAnsi="Arial" w:cs="Arial"/>
          <w:sz w:val="22"/>
          <w:szCs w:val="22"/>
        </w:rPr>
      </w:pPr>
      <w:r w:rsidRPr="0E260372">
        <w:rPr>
          <w:rStyle w:val="normaltextrun"/>
          <w:rFonts w:ascii="Arial" w:eastAsia="Arial" w:hAnsi="Arial" w:cs="Arial"/>
          <w:sz w:val="22"/>
          <w:szCs w:val="22"/>
        </w:rPr>
        <w:t>Summary of Chapter 1:</w:t>
      </w:r>
      <w:r w:rsidRPr="0E260372">
        <w:rPr>
          <w:rStyle w:val="eop"/>
          <w:rFonts w:ascii="Arial" w:eastAsia="Arial" w:hAnsi="Arial" w:cs="Arial"/>
          <w:sz w:val="22"/>
          <w:szCs w:val="22"/>
        </w:rPr>
        <w:t> </w:t>
      </w:r>
    </w:p>
    <w:p w14:paraId="36C28D88" w14:textId="6560B794" w:rsidR="00BD2909" w:rsidRPr="00BD2909" w:rsidRDefault="36D5AF6A" w:rsidP="0E260372">
      <w:pPr>
        <w:spacing w:after="0"/>
        <w:ind w:left="720"/>
        <w:textAlignment w:val="baseline"/>
        <w:rPr>
          <w:rFonts w:cs="Arial"/>
        </w:rPr>
      </w:pPr>
      <w:r w:rsidRPr="0E260372">
        <w:rPr>
          <w:rFonts w:ascii="Arial" w:eastAsia="Arial" w:hAnsi="Arial" w:cs="Arial"/>
        </w:rPr>
        <w:t>This chapter has addressed the research's core issues, motivation and direction, with an emphasis on the effects of substance usage among young people in England. In addition to discussing the wider social and structural ramifications, it started by defining substance abuse and examining its substantial effects on teenage physical and mental health. The justification explained</w:t>
      </w:r>
      <w:r w:rsidR="3E30E254" w:rsidRPr="0E260372">
        <w:rPr>
          <w:rFonts w:ascii="Arial" w:eastAsia="Arial" w:hAnsi="Arial" w:cs="Arial"/>
        </w:rPr>
        <w:t xml:space="preserve"> by (Hernandez Sanchez, 2018, Judith Watson et al., 2017)</w:t>
      </w:r>
      <w:r w:rsidR="1C3BDDDE" w:rsidRPr="0E260372">
        <w:rPr>
          <w:rFonts w:ascii="Arial" w:eastAsia="Arial" w:hAnsi="Arial" w:cs="Arial"/>
        </w:rPr>
        <w:t xml:space="preserve"> explains</w:t>
      </w:r>
      <w:r w:rsidRPr="0E260372">
        <w:rPr>
          <w:rFonts w:ascii="Arial" w:eastAsia="Arial" w:hAnsi="Arial" w:cs="Arial"/>
        </w:rPr>
        <w:t xml:space="preserve"> why this subject is still very important, especially for young people who are at risk. The necessity for more research was justified by the identification of gaps in the existing literature and restrictions in national data. The research goal and four objectives were offered to lead the investigation and provide realistic, evidence-based remedies to this public health concern. </w:t>
      </w:r>
      <w:r w:rsidR="00BD2909" w:rsidRPr="0E260372">
        <w:rPr>
          <w:rStyle w:val="normaltextrun"/>
          <w:rFonts w:ascii="Arial" w:eastAsia="Arial" w:hAnsi="Arial" w:cs="Arial"/>
        </w:rPr>
        <w:t> </w:t>
      </w:r>
      <w:r w:rsidR="00BD2909" w:rsidRPr="0E260372">
        <w:rPr>
          <w:rStyle w:val="eop"/>
          <w:rFonts w:cs="Arial"/>
        </w:rPr>
        <w:t> </w:t>
      </w:r>
    </w:p>
    <w:p w14:paraId="60BC6C87" w14:textId="77777777" w:rsidR="00BD2909" w:rsidRPr="00BD2909" w:rsidRDefault="00BD2909" w:rsidP="008F4555">
      <w:pPr>
        <w:pStyle w:val="paragraph"/>
        <w:numPr>
          <w:ilvl w:val="0"/>
          <w:numId w:val="7"/>
        </w:numPr>
        <w:tabs>
          <w:tab w:val="clear" w:pos="720"/>
        </w:tabs>
        <w:spacing w:before="0" w:beforeAutospacing="0" w:after="0" w:afterAutospacing="0" w:line="360" w:lineRule="auto"/>
        <w:ind w:left="0" w:firstLine="0"/>
        <w:jc w:val="both"/>
        <w:textAlignment w:val="baseline"/>
        <w:rPr>
          <w:rFonts w:ascii="Arial" w:eastAsia="Arial" w:hAnsi="Arial" w:cs="Arial"/>
          <w:sz w:val="22"/>
          <w:szCs w:val="22"/>
        </w:rPr>
      </w:pPr>
      <w:r w:rsidRPr="0E260372">
        <w:rPr>
          <w:rStyle w:val="normaltextrun"/>
          <w:rFonts w:ascii="Arial" w:eastAsia="Arial" w:hAnsi="Arial" w:cs="Arial"/>
          <w:sz w:val="22"/>
          <w:szCs w:val="22"/>
        </w:rPr>
        <w:t>Signposting to Chapter 2:</w:t>
      </w:r>
      <w:r w:rsidRPr="0E260372">
        <w:rPr>
          <w:rStyle w:val="eop"/>
          <w:rFonts w:ascii="Arial" w:eastAsia="Arial" w:hAnsi="Arial" w:cs="Arial"/>
          <w:sz w:val="22"/>
          <w:szCs w:val="22"/>
        </w:rPr>
        <w:t> </w:t>
      </w:r>
    </w:p>
    <w:p w14:paraId="5280C58B" w14:textId="7441C84E" w:rsidR="7FA64B03" w:rsidRDefault="7FA64B03" w:rsidP="0E260372">
      <w:pPr>
        <w:pStyle w:val="paragraph"/>
        <w:spacing w:before="0" w:beforeAutospacing="0" w:after="0" w:afterAutospacing="0" w:line="360" w:lineRule="auto"/>
        <w:jc w:val="both"/>
        <w:rPr>
          <w:rFonts w:ascii="Arial" w:eastAsia="Arial" w:hAnsi="Arial" w:cs="Arial"/>
          <w:sz w:val="22"/>
          <w:szCs w:val="22"/>
        </w:rPr>
      </w:pPr>
      <w:r w:rsidRPr="0E260372">
        <w:rPr>
          <w:rFonts w:ascii="Arial" w:eastAsia="Arial" w:hAnsi="Arial" w:cs="Arial"/>
          <w:sz w:val="22"/>
          <w:szCs w:val="22"/>
        </w:rPr>
        <w:lastRenderedPageBreak/>
        <w:t>The following chapter, Chapter 2: Background Information and Analysis, will give more context by investigating the historical, social and policy contexts of substance abuse among young people. The development of the research argument will be supported by an analysis of important trends and issues.</w:t>
      </w:r>
    </w:p>
    <w:p w14:paraId="034ABA9B" w14:textId="77777777" w:rsidR="00BD2909" w:rsidRPr="00BD2909" w:rsidRDefault="00BD2909" w:rsidP="0E260372">
      <w:pPr>
        <w:pStyle w:val="paragraph"/>
        <w:spacing w:before="0" w:beforeAutospacing="0" w:after="0" w:afterAutospacing="0" w:line="360" w:lineRule="auto"/>
        <w:jc w:val="both"/>
        <w:textAlignment w:val="baseline"/>
        <w:rPr>
          <w:rFonts w:ascii="Aptos" w:hAnsi="Aptos" w:cs="Segoe UI"/>
          <w:sz w:val="16"/>
          <w:szCs w:val="16"/>
        </w:rPr>
      </w:pPr>
      <w:r w:rsidRPr="0E260372">
        <w:rPr>
          <w:rStyle w:val="eop"/>
          <w:rFonts w:ascii="Aptos" w:hAnsi="Aptos" w:cs="Arial"/>
          <w:sz w:val="22"/>
          <w:szCs w:val="22"/>
        </w:rPr>
        <w:t> </w:t>
      </w:r>
    </w:p>
    <w:p w14:paraId="4A886E55" w14:textId="77777777" w:rsidR="00730C3C" w:rsidRDefault="00730C3C" w:rsidP="0E260372"/>
    <w:p w14:paraId="115C9163" w14:textId="77777777" w:rsidR="00730C3C" w:rsidRDefault="00730C3C" w:rsidP="0E260372"/>
    <w:p w14:paraId="093E8F53" w14:textId="1AB1D960" w:rsidR="00730C3C" w:rsidRDefault="00730C3C" w:rsidP="0E260372"/>
    <w:p w14:paraId="283455A7" w14:textId="77777777" w:rsidR="00525FCB" w:rsidRDefault="00525FCB" w:rsidP="0E260372">
      <w:pPr>
        <w:pStyle w:val="Heading1"/>
        <w:ind w:left="0"/>
        <w:jc w:val="both"/>
        <w:textAlignment w:val="baseline"/>
        <w:rPr>
          <w:rFonts w:eastAsia="Arial" w:cs="Arial"/>
        </w:rPr>
      </w:pPr>
    </w:p>
    <w:p w14:paraId="34B87862" w14:textId="77777777" w:rsidR="00525FCB" w:rsidRDefault="00525FCB" w:rsidP="0E260372">
      <w:pPr>
        <w:pStyle w:val="Heading1"/>
        <w:ind w:left="0"/>
        <w:jc w:val="both"/>
        <w:textAlignment w:val="baseline"/>
        <w:rPr>
          <w:rFonts w:eastAsia="Arial" w:cs="Arial"/>
        </w:rPr>
      </w:pPr>
    </w:p>
    <w:p w14:paraId="28053C2C" w14:textId="77777777" w:rsidR="00525FCB" w:rsidRDefault="00525FCB" w:rsidP="0E260372">
      <w:pPr>
        <w:pStyle w:val="Heading1"/>
        <w:ind w:left="0"/>
        <w:jc w:val="both"/>
        <w:textAlignment w:val="baseline"/>
        <w:rPr>
          <w:rFonts w:eastAsia="Arial" w:cs="Arial"/>
        </w:rPr>
      </w:pPr>
    </w:p>
    <w:p w14:paraId="5FAFED3D" w14:textId="77777777" w:rsidR="00525FCB" w:rsidRDefault="00525FCB" w:rsidP="0E260372">
      <w:pPr>
        <w:pStyle w:val="Heading1"/>
        <w:ind w:left="0"/>
        <w:jc w:val="both"/>
        <w:textAlignment w:val="baseline"/>
        <w:rPr>
          <w:rFonts w:eastAsia="Arial" w:cs="Arial"/>
        </w:rPr>
      </w:pPr>
    </w:p>
    <w:p w14:paraId="0EE60980" w14:textId="77777777" w:rsidR="00525FCB" w:rsidRDefault="00525FCB" w:rsidP="0E260372">
      <w:pPr>
        <w:pStyle w:val="Heading1"/>
        <w:ind w:left="0"/>
        <w:jc w:val="both"/>
        <w:textAlignment w:val="baseline"/>
        <w:rPr>
          <w:rFonts w:eastAsia="Arial" w:cs="Arial"/>
        </w:rPr>
      </w:pPr>
    </w:p>
    <w:p w14:paraId="6E21A57E" w14:textId="77777777" w:rsidR="00525FCB" w:rsidRDefault="00525FCB" w:rsidP="0E260372">
      <w:pPr>
        <w:pStyle w:val="Heading1"/>
        <w:ind w:left="0"/>
        <w:jc w:val="both"/>
        <w:textAlignment w:val="baseline"/>
        <w:rPr>
          <w:rFonts w:eastAsia="Arial" w:cs="Arial"/>
        </w:rPr>
      </w:pPr>
    </w:p>
    <w:p w14:paraId="183DF70A" w14:textId="77777777" w:rsidR="00525FCB" w:rsidRDefault="00525FCB" w:rsidP="0E260372">
      <w:pPr>
        <w:pStyle w:val="Heading1"/>
        <w:ind w:left="0"/>
        <w:jc w:val="both"/>
        <w:textAlignment w:val="baseline"/>
        <w:rPr>
          <w:rFonts w:eastAsia="Arial" w:cs="Arial"/>
        </w:rPr>
      </w:pPr>
    </w:p>
    <w:p w14:paraId="66E0FE71" w14:textId="65CA690F" w:rsidR="4F26DC6A" w:rsidRDefault="4F26DC6A" w:rsidP="4F26DC6A">
      <w:pPr>
        <w:pStyle w:val="Heading1"/>
        <w:ind w:left="0"/>
        <w:jc w:val="both"/>
        <w:rPr>
          <w:rFonts w:eastAsia="Arial" w:cs="Arial"/>
        </w:rPr>
      </w:pPr>
    </w:p>
    <w:p w14:paraId="51250A69" w14:textId="60A0764B" w:rsidR="4F26DC6A" w:rsidRDefault="4F26DC6A" w:rsidP="4F26DC6A">
      <w:pPr>
        <w:pStyle w:val="Heading1"/>
        <w:ind w:left="0"/>
        <w:jc w:val="both"/>
        <w:rPr>
          <w:rFonts w:eastAsia="Arial" w:cs="Arial"/>
        </w:rPr>
      </w:pPr>
    </w:p>
    <w:p w14:paraId="525CA689" w14:textId="34E6EB89" w:rsidR="4F26DC6A" w:rsidRDefault="4F26DC6A" w:rsidP="4F26DC6A">
      <w:pPr>
        <w:pStyle w:val="Heading1"/>
        <w:ind w:left="0"/>
        <w:jc w:val="both"/>
        <w:rPr>
          <w:rFonts w:eastAsia="Arial" w:cs="Arial"/>
        </w:rPr>
      </w:pPr>
    </w:p>
    <w:p w14:paraId="29679B0F" w14:textId="1F458FA6" w:rsidR="4F26DC6A" w:rsidRDefault="4F26DC6A" w:rsidP="4F26DC6A">
      <w:pPr>
        <w:pStyle w:val="Heading1"/>
        <w:ind w:left="0"/>
        <w:jc w:val="both"/>
        <w:rPr>
          <w:rFonts w:eastAsia="Arial" w:cs="Arial"/>
        </w:rPr>
      </w:pPr>
    </w:p>
    <w:p w14:paraId="39B50C7A" w14:textId="57C60CC7" w:rsidR="4F26DC6A" w:rsidRDefault="4F26DC6A" w:rsidP="4F26DC6A">
      <w:pPr>
        <w:pStyle w:val="Heading1"/>
        <w:ind w:left="0"/>
        <w:jc w:val="both"/>
        <w:rPr>
          <w:rFonts w:eastAsia="Arial" w:cs="Arial"/>
        </w:rPr>
      </w:pPr>
    </w:p>
    <w:p w14:paraId="450C5D35" w14:textId="13C48C50" w:rsidR="4F26DC6A" w:rsidRDefault="4F26DC6A" w:rsidP="4F26DC6A">
      <w:pPr>
        <w:pStyle w:val="Heading1"/>
        <w:ind w:left="0"/>
        <w:jc w:val="both"/>
        <w:rPr>
          <w:rFonts w:eastAsia="Arial" w:cs="Arial"/>
        </w:rPr>
      </w:pPr>
    </w:p>
    <w:p w14:paraId="71EBA8E4" w14:textId="3AD3EA26" w:rsidR="4F26DC6A" w:rsidRDefault="4F26DC6A" w:rsidP="4F26DC6A">
      <w:pPr>
        <w:pStyle w:val="Heading1"/>
        <w:ind w:left="0"/>
        <w:jc w:val="both"/>
        <w:rPr>
          <w:rFonts w:eastAsia="Arial" w:cs="Arial"/>
        </w:rPr>
      </w:pPr>
    </w:p>
    <w:p w14:paraId="25491030" w14:textId="708350E4" w:rsidR="4F26DC6A" w:rsidRDefault="4F26DC6A" w:rsidP="4F26DC6A">
      <w:pPr>
        <w:pStyle w:val="Heading1"/>
        <w:ind w:left="0"/>
        <w:jc w:val="both"/>
        <w:rPr>
          <w:rFonts w:eastAsia="Arial" w:cs="Arial"/>
        </w:rPr>
      </w:pPr>
    </w:p>
    <w:p w14:paraId="52BA4400" w14:textId="3C22A78E" w:rsidR="4F26DC6A" w:rsidRDefault="4F26DC6A" w:rsidP="4F26DC6A">
      <w:pPr>
        <w:pStyle w:val="Heading1"/>
        <w:ind w:left="0"/>
        <w:jc w:val="both"/>
        <w:rPr>
          <w:rFonts w:eastAsia="Arial" w:cs="Arial"/>
        </w:rPr>
      </w:pPr>
    </w:p>
    <w:p w14:paraId="1B19E51A" w14:textId="7B3437F5" w:rsidR="4F26DC6A" w:rsidRDefault="4F26DC6A" w:rsidP="4F26DC6A">
      <w:pPr>
        <w:pStyle w:val="Heading1"/>
        <w:ind w:left="0"/>
        <w:jc w:val="both"/>
        <w:rPr>
          <w:rFonts w:eastAsia="Arial" w:cs="Arial"/>
        </w:rPr>
      </w:pPr>
    </w:p>
    <w:p w14:paraId="679ECF9D" w14:textId="3ACA6015" w:rsidR="4F26DC6A" w:rsidRDefault="4F26DC6A" w:rsidP="4F26DC6A">
      <w:pPr>
        <w:pStyle w:val="Heading1"/>
        <w:ind w:left="0"/>
        <w:jc w:val="both"/>
        <w:rPr>
          <w:rFonts w:eastAsia="Arial" w:cs="Arial"/>
        </w:rPr>
      </w:pPr>
    </w:p>
    <w:p w14:paraId="6BA7DF87" w14:textId="6A813CBC" w:rsidR="00BD2909" w:rsidRDefault="000D0641" w:rsidP="0E260372">
      <w:pPr>
        <w:pStyle w:val="Heading1"/>
        <w:ind w:left="0"/>
        <w:jc w:val="both"/>
        <w:textAlignment w:val="baseline"/>
        <w:rPr>
          <w:rFonts w:ascii="Segoe UI" w:hAnsi="Segoe UI" w:cs="Segoe UI"/>
          <w:color w:val="0F4761"/>
          <w:sz w:val="18"/>
          <w:szCs w:val="18"/>
        </w:rPr>
      </w:pPr>
      <w:r w:rsidRPr="359E9537">
        <w:rPr>
          <w:rFonts w:eastAsia="Arial" w:cs="Arial"/>
        </w:rPr>
        <w:t xml:space="preserve">CHAPTER 2 – </w:t>
      </w:r>
      <w:r w:rsidR="00BD2909" w:rsidRPr="359E9537">
        <w:rPr>
          <w:rFonts w:eastAsia="Arial" w:cs="Arial"/>
        </w:rPr>
        <w:t xml:space="preserve">Background </w:t>
      </w:r>
      <w:r w:rsidR="00F44833" w:rsidRPr="359E9537">
        <w:rPr>
          <w:rFonts w:eastAsia="Arial" w:cs="Arial"/>
        </w:rPr>
        <w:t xml:space="preserve">Information and </w:t>
      </w:r>
      <w:r w:rsidR="00BD2909" w:rsidRPr="359E9537">
        <w:rPr>
          <w:rFonts w:eastAsia="Arial" w:cs="Arial"/>
        </w:rPr>
        <w:t>Analysis</w:t>
      </w:r>
      <w:r w:rsidRPr="359E9537">
        <w:rPr>
          <w:rFonts w:eastAsia="Arial" w:cs="Arial"/>
        </w:rPr>
        <w:t xml:space="preserve"> </w:t>
      </w:r>
      <w:r w:rsidR="00BD2909" w:rsidRPr="359E9537">
        <w:rPr>
          <w:rStyle w:val="eop"/>
          <w:rFonts w:cs="Arial"/>
          <w:color w:val="0F4761"/>
          <w:sz w:val="40"/>
          <w:szCs w:val="40"/>
        </w:rPr>
        <w:t> </w:t>
      </w:r>
    </w:p>
    <w:p w14:paraId="0361899C" w14:textId="5065F27A" w:rsidR="1EC678D9" w:rsidRDefault="1EC678D9" w:rsidP="0E260372">
      <w:pPr>
        <w:pStyle w:val="paragraph"/>
        <w:spacing w:before="0" w:beforeAutospacing="0" w:after="0" w:afterAutospacing="0" w:line="360" w:lineRule="auto"/>
        <w:jc w:val="both"/>
        <w:rPr>
          <w:rStyle w:val="normaltextrun"/>
          <w:rFonts w:ascii="Aptos" w:hAnsi="Aptos" w:cs="Arial"/>
          <w:color w:val="0F4761"/>
        </w:rPr>
      </w:pPr>
    </w:p>
    <w:p w14:paraId="223734F5" w14:textId="6BD26380" w:rsidR="00BD2909" w:rsidRPr="00F44833" w:rsidRDefault="00BD2909" w:rsidP="4F26DC6A">
      <w:pPr>
        <w:rPr>
          <w:rFonts w:cs="Segoe UI"/>
          <w:color w:val="0F4761"/>
          <w:sz w:val="16"/>
          <w:szCs w:val="16"/>
        </w:rPr>
      </w:pPr>
      <w:r w:rsidRPr="4F26DC6A">
        <w:rPr>
          <w:rFonts w:ascii="Arial" w:eastAsia="Arial" w:hAnsi="Arial" w:cs="Arial"/>
          <w:sz w:val="24"/>
          <w:szCs w:val="24"/>
        </w:rPr>
        <w:t>2.1 Introduction</w:t>
      </w:r>
      <w:r w:rsidRPr="359E9537">
        <w:rPr>
          <w:rStyle w:val="normaltextrun"/>
          <w:rFonts w:cs="Arial"/>
          <w:color w:val="0F4761"/>
        </w:rPr>
        <w:t xml:space="preserve"> </w:t>
      </w:r>
      <w:r w:rsidRPr="359E9537">
        <w:rPr>
          <w:rStyle w:val="eop"/>
          <w:rFonts w:eastAsia="Calibri Light" w:cs="Arial"/>
          <w:color w:val="0F4761"/>
        </w:rPr>
        <w:t> </w:t>
      </w:r>
    </w:p>
    <w:p w14:paraId="4C7BF331" w14:textId="05EFEF62" w:rsidR="0F7C0229" w:rsidRDefault="0F7C0229" w:rsidP="0E260372">
      <w:pPr>
        <w:spacing w:after="0"/>
        <w:rPr>
          <w:rFonts w:ascii="Arial" w:eastAsia="Arial" w:hAnsi="Arial" w:cs="Arial"/>
        </w:rPr>
      </w:pPr>
      <w:r w:rsidRPr="0E260372">
        <w:rPr>
          <w:rFonts w:ascii="Arial" w:eastAsia="Arial" w:hAnsi="Arial" w:cs="Arial"/>
        </w:rPr>
        <w:t>This chapter gives the necessary background information and contextual framework for understanding teenage substance abuse in England. It seeks to investigate the larger historical, societal and legislative changes that have influenced present patterns of substance use among young people. This chapter will assist contextualise the findings within a larger sociopolitical and cultural landscape by highlighting major societal developments, public health objectives and changing attitudes towards drug and alcohol consumption.</w:t>
      </w:r>
    </w:p>
    <w:p w14:paraId="3D19EF6D" w14:textId="69ABD626" w:rsidR="03E81E05" w:rsidRDefault="03E81E05" w:rsidP="0E260372">
      <w:pPr>
        <w:spacing w:after="0"/>
        <w:rPr>
          <w:rFonts w:ascii="Arial" w:eastAsia="Arial" w:hAnsi="Arial" w:cs="Arial"/>
        </w:rPr>
      </w:pPr>
    </w:p>
    <w:p w14:paraId="2F185578" w14:textId="6275D9B9" w:rsidR="29A079A9" w:rsidRDefault="29A079A9" w:rsidP="0E260372">
      <w:pPr>
        <w:spacing w:after="0"/>
      </w:pPr>
      <w:r w:rsidRPr="0E260372">
        <w:rPr>
          <w:rFonts w:ascii="Arial" w:eastAsia="Arial" w:hAnsi="Arial" w:cs="Arial"/>
        </w:rPr>
        <w:t>Additionally, this section will look at how England has viewed and dealt with child substance abuse across time, with an emphasis on national initiatives, legislative frameworks and the roles of families, schools and health services. This foundation is critical for comprehending the difficulties involved in addressing this issue today. The chapter offers a structured overview to facilitate subsequent analysis in Chapter 4, where the findings will be thematically interpreted, rather than conducting data analysis or drawing theme conclusions.</w:t>
      </w:r>
    </w:p>
    <w:p w14:paraId="3AF758AC" w14:textId="77777777" w:rsidR="00BD2909" w:rsidRPr="00F44833" w:rsidRDefault="00BD2909" w:rsidP="0E260372">
      <w:pPr>
        <w:pStyle w:val="paragraph"/>
        <w:spacing w:before="0" w:beforeAutospacing="0" w:after="0" w:afterAutospacing="0" w:line="360" w:lineRule="auto"/>
        <w:jc w:val="both"/>
        <w:textAlignment w:val="baseline"/>
        <w:rPr>
          <w:rFonts w:ascii="Aptos" w:hAnsi="Aptos" w:cs="Segoe UI"/>
          <w:sz w:val="16"/>
          <w:szCs w:val="16"/>
        </w:rPr>
      </w:pPr>
      <w:r w:rsidRPr="0E260372">
        <w:rPr>
          <w:rStyle w:val="eop"/>
          <w:rFonts w:ascii="Aptos" w:eastAsia="Calibri Light" w:hAnsi="Aptos" w:cs="Arial"/>
          <w:sz w:val="22"/>
          <w:szCs w:val="22"/>
        </w:rPr>
        <w:t> </w:t>
      </w:r>
    </w:p>
    <w:p w14:paraId="1ADF7C27" w14:textId="77777777" w:rsidR="00BD2909" w:rsidRPr="00F44833" w:rsidRDefault="00BD2909" w:rsidP="0E260372">
      <w:pPr>
        <w:pStyle w:val="paragraph"/>
        <w:spacing w:before="0" w:beforeAutospacing="0" w:after="0" w:afterAutospacing="0" w:line="360" w:lineRule="auto"/>
        <w:ind w:left="1080"/>
        <w:jc w:val="both"/>
        <w:textAlignment w:val="baseline"/>
        <w:rPr>
          <w:rFonts w:ascii="Aptos" w:hAnsi="Aptos" w:cs="Segoe UI"/>
          <w:sz w:val="16"/>
          <w:szCs w:val="16"/>
        </w:rPr>
      </w:pPr>
      <w:r w:rsidRPr="0E260372">
        <w:rPr>
          <w:rStyle w:val="eop"/>
          <w:rFonts w:ascii="Aptos" w:eastAsia="Calibri Light" w:hAnsi="Aptos" w:cs="Arial"/>
          <w:sz w:val="22"/>
          <w:szCs w:val="22"/>
        </w:rPr>
        <w:t> </w:t>
      </w:r>
    </w:p>
    <w:p w14:paraId="4F8C1598" w14:textId="41453C85" w:rsidR="03E81E05" w:rsidRDefault="03E81E05" w:rsidP="0E260372">
      <w:pPr>
        <w:pStyle w:val="paragraph"/>
        <w:spacing w:before="0" w:beforeAutospacing="0" w:after="0" w:afterAutospacing="0" w:line="360" w:lineRule="auto"/>
        <w:jc w:val="both"/>
        <w:rPr>
          <w:rStyle w:val="normaltextrun"/>
          <w:rFonts w:ascii="Aptos" w:hAnsi="Aptos" w:cs="Arial"/>
          <w:color w:val="0F4761"/>
        </w:rPr>
      </w:pPr>
    </w:p>
    <w:p w14:paraId="0AAAB744" w14:textId="1D98A306" w:rsidR="00BD2909" w:rsidRPr="00F44833" w:rsidRDefault="00BD2909" w:rsidP="00A657F5">
      <w:pPr>
        <w:pStyle w:val="Heading2"/>
        <w:rPr>
          <w:rStyle w:val="eop"/>
          <w:rFonts w:ascii="Arial" w:eastAsia="Arial" w:hAnsi="Arial" w:cs="Arial"/>
          <w:color w:val="0F4761"/>
        </w:rPr>
      </w:pPr>
      <w:r w:rsidRPr="359E9537">
        <w:rPr>
          <w:rStyle w:val="normaltextrun"/>
          <w:rFonts w:ascii="Arial" w:eastAsia="Arial" w:hAnsi="Arial" w:cs="Arial"/>
        </w:rPr>
        <w:t>2.2 Historical Background</w:t>
      </w:r>
      <w:r w:rsidRPr="359E9537">
        <w:rPr>
          <w:rStyle w:val="normaltextrun"/>
          <w:rFonts w:ascii="Arial" w:eastAsia="Arial" w:hAnsi="Arial" w:cs="Arial"/>
          <w:color w:val="0F4761"/>
        </w:rPr>
        <w:t xml:space="preserve"> </w:t>
      </w:r>
    </w:p>
    <w:p w14:paraId="5E712F31" w14:textId="689A7BBB" w:rsidR="438E93C9" w:rsidRDefault="438E93C9" w:rsidP="0E260372">
      <w:pPr>
        <w:spacing w:after="0"/>
        <w:rPr>
          <w:rFonts w:ascii="Arial" w:eastAsia="Arial" w:hAnsi="Arial" w:cs="Arial"/>
        </w:rPr>
      </w:pPr>
      <w:r w:rsidRPr="0E260372">
        <w:rPr>
          <w:rFonts w:ascii="Arial" w:eastAsia="Arial" w:hAnsi="Arial" w:cs="Arial"/>
        </w:rPr>
        <w:t>The issue of adolescent substance abuse in England has evolved dramatically over time, impacted by changing societal views, governmental actions and public health perspectives.</w:t>
      </w:r>
      <w:r w:rsidR="1C22D624" w:rsidRPr="0E260372">
        <w:rPr>
          <w:rFonts w:ascii="Arial" w:eastAsia="Arial" w:hAnsi="Arial" w:cs="Arial"/>
        </w:rPr>
        <w:t xml:space="preserve"> A study by (Mold, 2019) stated that</w:t>
      </w:r>
      <w:r w:rsidRPr="0E260372">
        <w:rPr>
          <w:rFonts w:ascii="Arial" w:eastAsia="Arial" w:hAnsi="Arial" w:cs="Arial"/>
        </w:rPr>
        <w:t xml:space="preserve"> </w:t>
      </w:r>
      <w:r w:rsidR="4259FF76" w:rsidRPr="0E260372">
        <w:rPr>
          <w:rFonts w:ascii="Arial" w:eastAsia="Arial" w:hAnsi="Arial" w:cs="Arial"/>
        </w:rPr>
        <w:t>in</w:t>
      </w:r>
      <w:r w:rsidRPr="0E260372">
        <w:rPr>
          <w:rFonts w:ascii="Arial" w:eastAsia="Arial" w:hAnsi="Arial" w:cs="Arial"/>
        </w:rPr>
        <w:t xml:space="preserve"> previous decades, substance use among young people was mostly ignored or seen through a moral lens and was frequently dismissed as delinquent behaviour rather than a public health issue. However, as urbanisation, young identity and recreational conduct began to evolve in the mid-twentieth century, correspondingly increased awareness of adolescent drug and alcohol use</w:t>
      </w:r>
      <w:r w:rsidR="71A2AAEE" w:rsidRPr="0E260372">
        <w:rPr>
          <w:rFonts w:ascii="Arial" w:eastAsia="Arial" w:hAnsi="Arial" w:cs="Arial"/>
        </w:rPr>
        <w:t xml:space="preserve"> (Sutherland, 2012)</w:t>
      </w:r>
      <w:r w:rsidRPr="0E260372">
        <w:rPr>
          <w:rFonts w:ascii="Arial" w:eastAsia="Arial" w:hAnsi="Arial" w:cs="Arial"/>
        </w:rPr>
        <w:t>.</w:t>
      </w:r>
    </w:p>
    <w:p w14:paraId="52457009" w14:textId="1C9D4AB9" w:rsidR="00BD2909" w:rsidRPr="00F44833" w:rsidRDefault="00BD2909" w:rsidP="0E260372">
      <w:pPr>
        <w:pStyle w:val="paragraph"/>
        <w:spacing w:before="0" w:beforeAutospacing="0" w:after="0" w:afterAutospacing="0" w:line="360" w:lineRule="auto"/>
        <w:jc w:val="both"/>
        <w:textAlignment w:val="baseline"/>
        <w:rPr>
          <w:rFonts w:ascii="Arial" w:eastAsia="Arial" w:hAnsi="Arial" w:cs="Arial"/>
          <w:sz w:val="22"/>
          <w:szCs w:val="22"/>
        </w:rPr>
      </w:pPr>
      <w:r w:rsidRPr="0E260372">
        <w:rPr>
          <w:rStyle w:val="eop"/>
          <w:rFonts w:ascii="Aptos" w:eastAsia="Calibri Light" w:hAnsi="Aptos" w:cs="Arial"/>
          <w:sz w:val="22"/>
          <w:szCs w:val="22"/>
        </w:rPr>
        <w:t> </w:t>
      </w:r>
      <w:r w:rsidR="033066C3" w:rsidRPr="0E260372">
        <w:rPr>
          <w:rFonts w:ascii="Arial" w:eastAsia="Arial" w:hAnsi="Arial" w:cs="Arial"/>
          <w:sz w:val="22"/>
          <w:szCs w:val="22"/>
        </w:rPr>
        <w:t xml:space="preserve"> The post-war period constituted a turning point in the public and government responses to teenage substance abuse. The rise of various adolescent subcultures, particularly in the 1960s and 1970s, resulted in increasing experimentation with alcohol, cannabis and other psychoactive drugs</w:t>
      </w:r>
      <w:r w:rsidR="1683DA55" w:rsidRPr="0E260372">
        <w:rPr>
          <w:rFonts w:ascii="Arial" w:eastAsia="Arial" w:hAnsi="Arial" w:cs="Arial"/>
          <w:sz w:val="22"/>
          <w:szCs w:val="22"/>
        </w:rPr>
        <w:t xml:space="preserve"> (Yates, 2002)</w:t>
      </w:r>
      <w:r w:rsidR="033066C3" w:rsidRPr="0E260372">
        <w:rPr>
          <w:rFonts w:ascii="Arial" w:eastAsia="Arial" w:hAnsi="Arial" w:cs="Arial"/>
          <w:sz w:val="22"/>
          <w:szCs w:val="22"/>
        </w:rPr>
        <w:t xml:space="preserve">. </w:t>
      </w:r>
      <w:r w:rsidR="40E26CE9" w:rsidRPr="0E260372">
        <w:rPr>
          <w:rFonts w:ascii="Arial" w:eastAsia="Arial" w:hAnsi="Arial" w:cs="Arial"/>
          <w:sz w:val="22"/>
          <w:szCs w:val="22"/>
        </w:rPr>
        <w:t>(Flacks ,2018) found that t</w:t>
      </w:r>
      <w:r w:rsidR="033066C3" w:rsidRPr="0E260372">
        <w:rPr>
          <w:rFonts w:ascii="Arial" w:eastAsia="Arial" w:hAnsi="Arial" w:cs="Arial"/>
          <w:sz w:val="22"/>
          <w:szCs w:val="22"/>
        </w:rPr>
        <w:t xml:space="preserve">his period saw the passage of the Misuse of Drugs Act, which established the legislative framework that is being used to regulate restricted narcotics today. The legislation reflected an increasing governmental effort to combat drug-related </w:t>
      </w:r>
      <w:proofErr w:type="gramStart"/>
      <w:r w:rsidR="033066C3" w:rsidRPr="0E260372">
        <w:rPr>
          <w:rFonts w:ascii="Arial" w:eastAsia="Arial" w:hAnsi="Arial" w:cs="Arial"/>
          <w:sz w:val="22"/>
          <w:szCs w:val="22"/>
        </w:rPr>
        <w:t>behaviours,</w:t>
      </w:r>
      <w:proofErr w:type="gramEnd"/>
      <w:r w:rsidR="033066C3" w:rsidRPr="0E260372">
        <w:rPr>
          <w:rFonts w:ascii="Arial" w:eastAsia="Arial" w:hAnsi="Arial" w:cs="Arial"/>
          <w:sz w:val="22"/>
          <w:szCs w:val="22"/>
        </w:rPr>
        <w:t xml:space="preserve"> however it frequently stressed criminal justice measures over health-focused strategies.</w:t>
      </w:r>
    </w:p>
    <w:p w14:paraId="6359BE4C" w14:textId="1FD101FF" w:rsidR="03E81E05" w:rsidRDefault="03E81E05" w:rsidP="0E260372">
      <w:pPr>
        <w:pStyle w:val="paragraph"/>
        <w:spacing w:before="0" w:beforeAutospacing="0" w:after="0" w:afterAutospacing="0" w:line="360" w:lineRule="auto"/>
        <w:jc w:val="both"/>
        <w:rPr>
          <w:rFonts w:ascii="Arial" w:eastAsia="Arial" w:hAnsi="Arial" w:cs="Arial"/>
          <w:sz w:val="22"/>
          <w:szCs w:val="22"/>
        </w:rPr>
      </w:pPr>
    </w:p>
    <w:p w14:paraId="7C767565" w14:textId="1D1BB908" w:rsidR="05900560" w:rsidRDefault="05900560" w:rsidP="0E260372">
      <w:pPr>
        <w:spacing w:after="0"/>
        <w:rPr>
          <w:rFonts w:ascii="Arial" w:eastAsia="Arial" w:hAnsi="Arial" w:cs="Arial"/>
        </w:rPr>
      </w:pPr>
      <w:r w:rsidRPr="0E260372">
        <w:rPr>
          <w:rFonts w:ascii="Arial" w:eastAsia="Arial" w:hAnsi="Arial" w:cs="Arial"/>
        </w:rPr>
        <w:t>Since the 1980s, academics and policymakers have begun to explore the larger social and economic circumstances of adolescent substance abuse. Family instability, poverty and educational exclusion are among those identified as factors that influence young people's risky behaviour. As understanding expanded, preventative and intervention programs became more extensive, incorporating help from schools, social services and health experts</w:t>
      </w:r>
      <w:r w:rsidR="69E42DBE" w:rsidRPr="0E260372">
        <w:rPr>
          <w:rFonts w:ascii="Arial" w:eastAsia="Arial" w:hAnsi="Arial" w:cs="Arial"/>
        </w:rPr>
        <w:t xml:space="preserve"> (Aldridge, 2013)</w:t>
      </w:r>
      <w:r w:rsidR="58AFE2B1" w:rsidRPr="0E260372">
        <w:rPr>
          <w:rFonts w:ascii="Arial" w:eastAsia="Arial" w:hAnsi="Arial" w:cs="Arial"/>
        </w:rPr>
        <w:t>.</w:t>
      </w:r>
    </w:p>
    <w:p w14:paraId="50B5B06B" w14:textId="147F0CE2" w:rsidR="577BB9D6" w:rsidRDefault="577BB9D6" w:rsidP="0E260372">
      <w:pPr>
        <w:spacing w:after="0"/>
        <w:rPr>
          <w:rFonts w:ascii="Arial" w:eastAsia="Arial" w:hAnsi="Arial" w:cs="Arial"/>
        </w:rPr>
      </w:pPr>
      <w:r w:rsidRPr="0E260372">
        <w:rPr>
          <w:rFonts w:ascii="Arial" w:eastAsia="Arial" w:hAnsi="Arial" w:cs="Arial"/>
        </w:rPr>
        <w:t xml:space="preserve">By the late 1990s and early 2000s, harm reduction techniques had gained traction, shifting the focus away from abstinence-based messages and towards lowering the hazards associated with drug and alcohol use. </w:t>
      </w:r>
      <w:r w:rsidR="08A21EFE" w:rsidRPr="0E260372">
        <w:rPr>
          <w:rFonts w:ascii="Arial" w:eastAsia="Arial" w:hAnsi="Arial" w:cs="Arial"/>
        </w:rPr>
        <w:t xml:space="preserve"> As stated by (Johnston et al., 2019) t</w:t>
      </w:r>
      <w:r w:rsidRPr="0E260372">
        <w:rPr>
          <w:rFonts w:ascii="Arial" w:eastAsia="Arial" w:hAnsi="Arial" w:cs="Arial"/>
        </w:rPr>
        <w:t xml:space="preserve">hese approaches </w:t>
      </w:r>
      <w:r w:rsidRPr="0E260372">
        <w:rPr>
          <w:rFonts w:ascii="Arial" w:eastAsia="Arial" w:hAnsi="Arial" w:cs="Arial"/>
        </w:rPr>
        <w:lastRenderedPageBreak/>
        <w:t>accepted that some level of experimenting was inevitable and attempted to provide young people with knowledge and resources to reduce possible harm.</w:t>
      </w:r>
    </w:p>
    <w:p w14:paraId="46DEEC1D" w14:textId="77D8A6BA" w:rsidR="03E81E05" w:rsidRDefault="03E81E05" w:rsidP="0E260372">
      <w:pPr>
        <w:spacing w:after="0"/>
        <w:rPr>
          <w:rFonts w:ascii="Arial" w:eastAsia="Arial" w:hAnsi="Arial" w:cs="Arial"/>
        </w:rPr>
      </w:pPr>
    </w:p>
    <w:p w14:paraId="546A1E05" w14:textId="1D63170C" w:rsidR="261E8BA8" w:rsidRDefault="261E8BA8" w:rsidP="0E260372">
      <w:r w:rsidRPr="0E260372">
        <w:rPr>
          <w:rFonts w:ascii="Arial" w:eastAsia="Arial" w:hAnsi="Arial" w:cs="Arial"/>
        </w:rPr>
        <w:t xml:space="preserve">In recent years, youth-targeted public health </w:t>
      </w:r>
      <w:r w:rsidR="37F241AC" w:rsidRPr="0E260372">
        <w:rPr>
          <w:rFonts w:ascii="Arial" w:eastAsia="Arial" w:hAnsi="Arial" w:cs="Arial"/>
        </w:rPr>
        <w:t>programs (</w:t>
      </w:r>
      <w:r w:rsidRPr="0E260372">
        <w:rPr>
          <w:rFonts w:ascii="Arial" w:eastAsia="Arial" w:hAnsi="Arial" w:cs="Arial"/>
        </w:rPr>
        <w:t>YTHP) and increased emphasis on mental health services have played critical roles in combating substance abuse. Organisations and advisory bodies have advocated for integrated, evidence-based policies that see substance abuse through the perspective of child development and safety, rather than solely enforcement</w:t>
      </w:r>
      <w:r w:rsidR="2F34A0BE" w:rsidRPr="0E260372">
        <w:rPr>
          <w:rFonts w:ascii="Arial" w:eastAsia="Arial" w:hAnsi="Arial" w:cs="Arial"/>
        </w:rPr>
        <w:t xml:space="preserve"> (Dunne et al., 2017)</w:t>
      </w:r>
      <w:r w:rsidRPr="0E260372">
        <w:rPr>
          <w:rFonts w:ascii="Arial" w:eastAsia="Arial" w:hAnsi="Arial" w:cs="Arial"/>
        </w:rPr>
        <w:t>.</w:t>
      </w:r>
    </w:p>
    <w:p w14:paraId="192B503C" w14:textId="09398159" w:rsidR="03E81E05" w:rsidRDefault="03E81E05" w:rsidP="0E260372"/>
    <w:p w14:paraId="524AFB04" w14:textId="1DEF3A34" w:rsidR="261E8BA8" w:rsidRDefault="261E8BA8" w:rsidP="0E260372">
      <w:pPr>
        <w:spacing w:after="0"/>
        <w:rPr>
          <w:rFonts w:ascii="Arial" w:eastAsia="Arial" w:hAnsi="Arial" w:cs="Arial"/>
        </w:rPr>
      </w:pPr>
      <w:r w:rsidRPr="0E260372">
        <w:rPr>
          <w:rFonts w:ascii="Arial" w:eastAsia="Arial" w:hAnsi="Arial" w:cs="Arial"/>
        </w:rPr>
        <w:t xml:space="preserve">  Furthermore, key personalities and institutions have shaped these advances, contributing to a growing understanding of teenage substance use as a complicated problem that necessitates comprehensive solutions. Their findings have emphasised the need for treatments that address the structural disparities and psychological vulnerabilities that support teenage substance abuse, setting the groundwork for future study and more targeted preventive initiatives</w:t>
      </w:r>
      <w:r w:rsidR="128D0A3D" w:rsidRPr="0E260372">
        <w:rPr>
          <w:rFonts w:ascii="Arial" w:eastAsia="Arial" w:hAnsi="Arial" w:cs="Arial"/>
        </w:rPr>
        <w:t xml:space="preserve"> (Sussman et al., 2004</w:t>
      </w:r>
      <w:r w:rsidR="7406CE9D" w:rsidRPr="0E260372">
        <w:rPr>
          <w:rFonts w:ascii="Arial" w:eastAsia="Arial" w:hAnsi="Arial" w:cs="Arial"/>
        </w:rPr>
        <w:t>, Simonton, Young and Johnson, 2018)</w:t>
      </w:r>
      <w:r w:rsidRPr="0E260372">
        <w:rPr>
          <w:rFonts w:ascii="Arial" w:eastAsia="Arial" w:hAnsi="Arial" w:cs="Arial"/>
        </w:rPr>
        <w:t>.</w:t>
      </w:r>
    </w:p>
    <w:p w14:paraId="275B3427" w14:textId="4A6B3F2B" w:rsidR="1FE55523" w:rsidRDefault="1FE55523" w:rsidP="0E260372">
      <w:pPr>
        <w:spacing w:after="0"/>
        <w:rPr>
          <w:rFonts w:ascii="Arial" w:eastAsia="Arial" w:hAnsi="Arial" w:cs="Arial"/>
        </w:rPr>
      </w:pPr>
    </w:p>
    <w:p w14:paraId="7C999A2B" w14:textId="746C23F9" w:rsidR="4C233373" w:rsidRDefault="4C233373" w:rsidP="0E260372">
      <w:pPr>
        <w:spacing w:after="0"/>
      </w:pPr>
      <w:r w:rsidRPr="0E260372">
        <w:rPr>
          <w:rFonts w:ascii="Arial" w:eastAsia="Arial" w:hAnsi="Arial" w:cs="Arial"/>
        </w:rPr>
        <w:t>This historical development demonstrates how policy and public opinion have shifted from punitive methods to more health-focused frameworks. Understanding this transition is crucial because it illustrates the ongoing tension between enforcement and prevention that shapes England's current response to teenage substance usage (Johnston et al., 2019).</w:t>
      </w:r>
    </w:p>
    <w:p w14:paraId="4D42201B" w14:textId="0721E3FD" w:rsidR="00BD2909" w:rsidRPr="00F44833" w:rsidRDefault="00BD2909" w:rsidP="0E260372">
      <w:pPr>
        <w:pStyle w:val="paragraph"/>
        <w:spacing w:before="0" w:beforeAutospacing="0" w:after="0" w:afterAutospacing="0" w:line="360" w:lineRule="auto"/>
        <w:ind w:left="1440"/>
        <w:jc w:val="both"/>
        <w:textAlignment w:val="baseline"/>
        <w:rPr>
          <w:rFonts w:ascii="Aptos" w:hAnsi="Aptos" w:cs="Segoe UI"/>
          <w:sz w:val="16"/>
          <w:szCs w:val="16"/>
        </w:rPr>
      </w:pPr>
      <w:r w:rsidRPr="0E260372">
        <w:rPr>
          <w:rStyle w:val="eop"/>
          <w:rFonts w:ascii="Aptos" w:eastAsia="Calibri Light" w:hAnsi="Aptos" w:cs="Arial"/>
          <w:sz w:val="22"/>
          <w:szCs w:val="22"/>
        </w:rPr>
        <w:t>  </w:t>
      </w:r>
    </w:p>
    <w:p w14:paraId="17940804" w14:textId="08570CFF" w:rsidR="5C95741F" w:rsidRDefault="5C95741F" w:rsidP="0E260372">
      <w:pPr>
        <w:pStyle w:val="paragraph"/>
        <w:spacing w:before="0" w:beforeAutospacing="0" w:after="0" w:afterAutospacing="0" w:line="360" w:lineRule="auto"/>
        <w:jc w:val="both"/>
        <w:rPr>
          <w:rStyle w:val="normaltextrun"/>
          <w:rFonts w:ascii="Aptos" w:hAnsi="Aptos" w:cs="Arial"/>
          <w:color w:val="0F4761"/>
        </w:rPr>
      </w:pPr>
    </w:p>
    <w:p w14:paraId="7CD6820C" w14:textId="4D3CDBB2" w:rsidR="00BD2909" w:rsidRPr="00F44833" w:rsidRDefault="00BD2909" w:rsidP="4F26DC6A">
      <w:pPr>
        <w:rPr>
          <w:rStyle w:val="eop"/>
          <w:rFonts w:ascii="Arial" w:eastAsia="Arial" w:hAnsi="Arial" w:cs="Arial"/>
          <w:color w:val="0F4761"/>
        </w:rPr>
      </w:pPr>
      <w:r w:rsidRPr="4F26DC6A">
        <w:rPr>
          <w:rFonts w:ascii="Arial" w:eastAsia="Arial" w:hAnsi="Arial" w:cs="Arial"/>
          <w:sz w:val="24"/>
          <w:szCs w:val="24"/>
        </w:rPr>
        <w:t>2.3 Theoretical Background</w:t>
      </w:r>
      <w:r w:rsidRPr="359E9537">
        <w:rPr>
          <w:rStyle w:val="normaltextrun"/>
          <w:rFonts w:ascii="Arial" w:eastAsia="Arial" w:hAnsi="Arial" w:cs="Arial"/>
          <w:color w:val="0F4761"/>
        </w:rPr>
        <w:t xml:space="preserve"> </w:t>
      </w:r>
    </w:p>
    <w:p w14:paraId="4B3D4B97" w14:textId="41DA4E4A" w:rsidR="49132DC8" w:rsidRDefault="49132DC8" w:rsidP="0E260372">
      <w:pPr>
        <w:spacing w:after="0"/>
        <w:rPr>
          <w:rFonts w:ascii="Arial" w:eastAsia="Arial" w:hAnsi="Arial" w:cs="Arial"/>
        </w:rPr>
      </w:pPr>
      <w:r w:rsidRPr="0E260372">
        <w:rPr>
          <w:rFonts w:ascii="Arial" w:eastAsia="Arial" w:hAnsi="Arial" w:cs="Arial"/>
        </w:rPr>
        <w:t xml:space="preserve">Understanding adolescent substance addiction necessitates a broad, multidisciplinary theoretical approach that takes into consideration the intricate interactions of psychological development, social factors and structural disparities. </w:t>
      </w:r>
      <w:r w:rsidR="7DDDDFD7" w:rsidRPr="0E260372">
        <w:rPr>
          <w:rFonts w:ascii="Arial" w:eastAsia="Arial" w:hAnsi="Arial" w:cs="Arial"/>
        </w:rPr>
        <w:t>It is argued by (Bonell et al., 2016), t</w:t>
      </w:r>
      <w:r w:rsidRPr="0E260372">
        <w:rPr>
          <w:rFonts w:ascii="Arial" w:eastAsia="Arial" w:hAnsi="Arial" w:cs="Arial"/>
        </w:rPr>
        <w:t>his subject cannot be studied in isolation, as peer dynamics, parental ties, socioeconomic conditions and community surroundings all influence youth behaviour. Foundational theoretical notions provide an important framework for understanding these factors, providing useful insights into the motives for substance use and driving more effective prevention and intervention measures.</w:t>
      </w:r>
      <w:r w:rsidR="5BED84F2" w:rsidRPr="0E260372">
        <w:rPr>
          <w:rFonts w:ascii="Arial" w:eastAsia="Arial" w:hAnsi="Arial" w:cs="Arial"/>
        </w:rPr>
        <w:t xml:space="preserve"> The main theoretical frameworks supporting teen substance use are described in this part, along with an examination of their application in research.</w:t>
      </w:r>
    </w:p>
    <w:p w14:paraId="600193E5" w14:textId="636C6517" w:rsidR="59AE6312" w:rsidRDefault="59AE6312" w:rsidP="0E260372">
      <w:pPr>
        <w:spacing w:after="0"/>
        <w:rPr>
          <w:rFonts w:ascii="Arial" w:eastAsia="Arial" w:hAnsi="Arial" w:cs="Arial"/>
        </w:rPr>
      </w:pPr>
    </w:p>
    <w:p w14:paraId="1E0A80F5" w14:textId="5FF08346" w:rsidR="49132DC8" w:rsidRDefault="49132DC8" w:rsidP="0E260372">
      <w:pPr>
        <w:spacing w:after="0"/>
        <w:rPr>
          <w:rFonts w:ascii="Arial" w:eastAsia="Arial" w:hAnsi="Arial" w:cs="Arial"/>
        </w:rPr>
      </w:pPr>
      <w:r w:rsidRPr="0E260372">
        <w:rPr>
          <w:rFonts w:ascii="Arial" w:eastAsia="Arial" w:hAnsi="Arial" w:cs="Arial"/>
        </w:rPr>
        <w:t xml:space="preserve"> </w:t>
      </w:r>
      <w:r w:rsidR="7ABDCDD3" w:rsidRPr="0E260372">
        <w:rPr>
          <w:rFonts w:ascii="Arial" w:eastAsia="Arial" w:hAnsi="Arial" w:cs="Arial"/>
          <w:sz w:val="24"/>
          <w:szCs w:val="24"/>
        </w:rPr>
        <w:t>Social Learning Theory</w:t>
      </w:r>
    </w:p>
    <w:p w14:paraId="483127A9" w14:textId="5C90827E" w:rsidR="2BC979D4" w:rsidRDefault="2BC979D4" w:rsidP="0E260372">
      <w:pPr>
        <w:spacing w:after="0"/>
      </w:pPr>
      <w:r w:rsidRPr="0E260372">
        <w:rPr>
          <w:rFonts w:ascii="Arial" w:eastAsia="Arial" w:hAnsi="Arial" w:cs="Arial"/>
        </w:rPr>
        <w:lastRenderedPageBreak/>
        <w:t>One of the most influential theories in this field is the Social Learning Theory, which argues that people learn behaviours through observation, imitation and reinforcement. In the context of teenage substance use, this hypothesis proposes that young people are more inclined to consume alcohol or drugs if they are exposed to peers, family members, or media characters who model such behaviour</w:t>
      </w:r>
      <w:r w:rsidR="0FB9B0DA" w:rsidRPr="0E260372">
        <w:rPr>
          <w:rFonts w:ascii="Arial" w:eastAsia="Arial" w:hAnsi="Arial" w:cs="Arial"/>
        </w:rPr>
        <w:t>s</w:t>
      </w:r>
      <w:r w:rsidR="7B9F21A4" w:rsidRPr="0E260372">
        <w:rPr>
          <w:rFonts w:ascii="Arial" w:eastAsia="Arial" w:hAnsi="Arial" w:cs="Arial"/>
        </w:rPr>
        <w:t xml:space="preserve"> (Kruis, Seo and Kim, 2019)</w:t>
      </w:r>
      <w:r w:rsidRPr="0E260372">
        <w:rPr>
          <w:rFonts w:ascii="Arial" w:eastAsia="Arial" w:hAnsi="Arial" w:cs="Arial"/>
        </w:rPr>
        <w:t xml:space="preserve">. </w:t>
      </w:r>
      <w:r w:rsidR="06CE707A" w:rsidRPr="0E260372">
        <w:rPr>
          <w:rFonts w:ascii="Arial" w:eastAsia="Arial" w:hAnsi="Arial" w:cs="Arial"/>
        </w:rPr>
        <w:t>Research by (</w:t>
      </w:r>
      <w:r w:rsidR="06CE707A" w:rsidRPr="0E260372">
        <w:rPr>
          <w:rFonts w:ascii="Arial" w:eastAsia="Arial" w:hAnsi="Arial" w:cs="Arial"/>
          <w:color w:val="222222"/>
        </w:rPr>
        <w:t>Wilkhu, 2</w:t>
      </w:r>
      <w:r w:rsidR="11A8FF5B" w:rsidRPr="0E260372">
        <w:rPr>
          <w:rFonts w:ascii="Arial" w:eastAsia="Arial" w:hAnsi="Arial" w:cs="Arial"/>
          <w:color w:val="222222"/>
        </w:rPr>
        <w:t>0</w:t>
      </w:r>
      <w:r w:rsidR="06CE707A" w:rsidRPr="0E260372">
        <w:rPr>
          <w:rFonts w:ascii="Arial" w:eastAsia="Arial" w:hAnsi="Arial" w:cs="Arial"/>
          <w:color w:val="222222"/>
        </w:rPr>
        <w:t>22)</w:t>
      </w:r>
      <w:r w:rsidR="06CE707A" w:rsidRPr="0E260372">
        <w:rPr>
          <w:rFonts w:ascii="Arial" w:eastAsia="Arial" w:hAnsi="Arial" w:cs="Arial"/>
        </w:rPr>
        <w:t xml:space="preserve"> found that i</w:t>
      </w:r>
      <w:r w:rsidRPr="0E260372">
        <w:rPr>
          <w:rFonts w:ascii="Arial" w:eastAsia="Arial" w:hAnsi="Arial" w:cs="Arial"/>
        </w:rPr>
        <w:t>n the United Kingdom, peer influence has regularly been acknowledged as a prominent element in youth substance experimentation. This theory also explains how substance use can be normalised in certain social groupings, notably in areas of economic distress or social isolation.</w:t>
      </w:r>
    </w:p>
    <w:p w14:paraId="1EE66A88" w14:textId="1A066DDA" w:rsidR="59AE6312" w:rsidRDefault="59AE6312" w:rsidP="0E260372">
      <w:pPr>
        <w:spacing w:after="0"/>
        <w:rPr>
          <w:rFonts w:ascii="Arial" w:eastAsia="Arial" w:hAnsi="Arial" w:cs="Arial"/>
          <w:sz w:val="24"/>
          <w:szCs w:val="24"/>
        </w:rPr>
      </w:pPr>
    </w:p>
    <w:p w14:paraId="22373AA7" w14:textId="1FBF629A" w:rsidR="2D73A3C6" w:rsidRDefault="2D73A3C6" w:rsidP="0E260372">
      <w:pPr>
        <w:spacing w:after="0"/>
        <w:rPr>
          <w:rFonts w:ascii="Arial" w:eastAsia="Arial" w:hAnsi="Arial" w:cs="Arial"/>
          <w:sz w:val="24"/>
          <w:szCs w:val="24"/>
        </w:rPr>
      </w:pPr>
      <w:r w:rsidRPr="0E260372">
        <w:rPr>
          <w:rFonts w:ascii="Arial" w:eastAsia="Arial" w:hAnsi="Arial" w:cs="Arial"/>
          <w:sz w:val="24"/>
          <w:szCs w:val="24"/>
        </w:rPr>
        <w:t>Ecological System Theory</w:t>
      </w:r>
    </w:p>
    <w:p w14:paraId="37FEB720" w14:textId="456D7706" w:rsidR="26E6376D" w:rsidRDefault="26E6376D" w:rsidP="0E260372">
      <w:pPr>
        <w:spacing w:after="0"/>
      </w:pPr>
      <w:r w:rsidRPr="0E260372">
        <w:rPr>
          <w:rFonts w:ascii="Arial" w:eastAsia="Arial" w:hAnsi="Arial" w:cs="Arial"/>
        </w:rPr>
        <w:t xml:space="preserve">Ecological Systems Theory, which was designed to better comprehend human development within nested environmental systems, is another useful framework. This theory examines how a young person's local environment (family, school and peers) interacts with larger societal institutions </w:t>
      </w:r>
      <w:r w:rsidR="73518B1C" w:rsidRPr="0E260372">
        <w:rPr>
          <w:rFonts w:ascii="Arial" w:eastAsia="Arial" w:hAnsi="Arial" w:cs="Arial"/>
        </w:rPr>
        <w:t xml:space="preserve">such as </w:t>
      </w:r>
      <w:r w:rsidRPr="0E260372">
        <w:rPr>
          <w:rFonts w:ascii="Arial" w:eastAsia="Arial" w:hAnsi="Arial" w:cs="Arial"/>
        </w:rPr>
        <w:t>community, media and policy</w:t>
      </w:r>
      <w:r w:rsidR="67217185" w:rsidRPr="0E260372">
        <w:rPr>
          <w:rFonts w:ascii="Arial" w:eastAsia="Arial" w:hAnsi="Arial" w:cs="Arial"/>
        </w:rPr>
        <w:t xml:space="preserve"> (</w:t>
      </w:r>
      <w:proofErr w:type="spellStart"/>
      <w:r w:rsidR="67217185" w:rsidRPr="0E260372">
        <w:rPr>
          <w:rFonts w:ascii="Arial" w:eastAsia="Arial" w:hAnsi="Arial" w:cs="Arial"/>
        </w:rPr>
        <w:t>Aytur</w:t>
      </w:r>
      <w:proofErr w:type="spellEnd"/>
      <w:r w:rsidR="67217185" w:rsidRPr="0E260372">
        <w:rPr>
          <w:rFonts w:ascii="Arial" w:eastAsia="Arial" w:hAnsi="Arial" w:cs="Arial"/>
        </w:rPr>
        <w:t xml:space="preserve"> et al., 2021)</w:t>
      </w:r>
      <w:r w:rsidRPr="0E260372">
        <w:rPr>
          <w:rFonts w:ascii="Arial" w:eastAsia="Arial" w:hAnsi="Arial" w:cs="Arial"/>
        </w:rPr>
        <w:t xml:space="preserve">. It is especially beneficial </w:t>
      </w:r>
      <w:r w:rsidR="6D64E20B" w:rsidRPr="0E260372">
        <w:rPr>
          <w:rFonts w:ascii="Arial" w:eastAsia="Arial" w:hAnsi="Arial" w:cs="Arial"/>
        </w:rPr>
        <w:t>in the UK context</w:t>
      </w:r>
      <w:r w:rsidRPr="0E260372">
        <w:rPr>
          <w:rFonts w:ascii="Arial" w:eastAsia="Arial" w:hAnsi="Arial" w:cs="Arial"/>
        </w:rPr>
        <w:t>, where gaps in access to education, healthcare and social services exist between regions. The</w:t>
      </w:r>
      <w:r w:rsidR="78F6A2A7" w:rsidRPr="0E260372">
        <w:rPr>
          <w:rFonts w:ascii="Arial" w:eastAsia="Arial" w:hAnsi="Arial" w:cs="Arial"/>
        </w:rPr>
        <w:t xml:space="preserve"> </w:t>
      </w:r>
      <w:r w:rsidRPr="0E260372">
        <w:rPr>
          <w:rFonts w:ascii="Arial" w:eastAsia="Arial" w:hAnsi="Arial" w:cs="Arial"/>
        </w:rPr>
        <w:t>idea enables researchers to analyse how socioeconomic hardship, unstable family dynamics, or criminal exposure might all contribute to an increased risk of substance abuse</w:t>
      </w:r>
      <w:r w:rsidR="6B97EB3A" w:rsidRPr="0E260372">
        <w:rPr>
          <w:rFonts w:ascii="Arial" w:eastAsia="Arial" w:hAnsi="Arial" w:cs="Arial"/>
        </w:rPr>
        <w:t xml:space="preserve"> (Joaquín Rodríguez-Ruiz et al., 2023)</w:t>
      </w:r>
      <w:r w:rsidRPr="0E260372">
        <w:rPr>
          <w:rFonts w:ascii="Arial" w:eastAsia="Arial" w:hAnsi="Arial" w:cs="Arial"/>
        </w:rPr>
        <w:t>.</w:t>
      </w:r>
    </w:p>
    <w:p w14:paraId="3D7E039C" w14:textId="68185D1B" w:rsidR="79F4C477" w:rsidRDefault="79F4C477" w:rsidP="0E260372">
      <w:pPr>
        <w:spacing w:after="0"/>
        <w:rPr>
          <w:rFonts w:ascii="Arial" w:eastAsia="Arial" w:hAnsi="Arial" w:cs="Arial"/>
          <w:sz w:val="24"/>
          <w:szCs w:val="24"/>
        </w:rPr>
      </w:pPr>
      <w:r w:rsidRPr="0E260372">
        <w:rPr>
          <w:rFonts w:ascii="Arial" w:eastAsia="Arial" w:hAnsi="Arial" w:cs="Arial"/>
          <w:sz w:val="24"/>
          <w:szCs w:val="24"/>
        </w:rPr>
        <w:t>Strain Theory</w:t>
      </w:r>
    </w:p>
    <w:p w14:paraId="79AD1FD7" w14:textId="775DD099" w:rsidR="6C34584F" w:rsidRDefault="6C34584F" w:rsidP="0E260372">
      <w:pPr>
        <w:spacing w:after="0"/>
      </w:pPr>
      <w:r w:rsidRPr="0E260372">
        <w:rPr>
          <w:rFonts w:ascii="Arial" w:eastAsia="Arial" w:hAnsi="Arial" w:cs="Arial"/>
        </w:rPr>
        <w:t>An additional perspective is provided by the criminology-based strain theory. It contends that individuals who sense a mismatch between social goals and the tools available to attain them may engage in deviant behaviour, such as substance abuse, as a coping mechanism. In England, kids from low-income households or marginalised backgrounds may see school and economic opportunities as unreachable, boosting the attractiveness of substance abuse as a form of escape or self-medication</w:t>
      </w:r>
      <w:r w:rsidR="4D86A1A5" w:rsidRPr="0E260372">
        <w:rPr>
          <w:rFonts w:ascii="Arial" w:eastAsia="Arial" w:hAnsi="Arial" w:cs="Arial"/>
        </w:rPr>
        <w:t xml:space="preserve"> (Carson et al., 2008)</w:t>
      </w:r>
      <w:r w:rsidRPr="0E260372">
        <w:rPr>
          <w:rFonts w:ascii="Arial" w:eastAsia="Arial" w:hAnsi="Arial" w:cs="Arial"/>
        </w:rPr>
        <w:t>.</w:t>
      </w:r>
    </w:p>
    <w:p w14:paraId="71E24B95" w14:textId="0CAAA98D" w:rsidR="6C34584F" w:rsidRDefault="6C34584F" w:rsidP="0E260372">
      <w:pPr>
        <w:spacing w:after="0"/>
      </w:pPr>
      <w:r w:rsidRPr="0E260372">
        <w:rPr>
          <w:rFonts w:ascii="Arial" w:eastAsia="Arial" w:hAnsi="Arial" w:cs="Arial"/>
        </w:rPr>
        <w:t>These theories have been widely used in UK-based studies on teenage health and behaviour. Researchers</w:t>
      </w:r>
      <w:r w:rsidR="2E5BF246" w:rsidRPr="0E260372">
        <w:rPr>
          <w:rFonts w:ascii="Arial" w:eastAsia="Arial" w:hAnsi="Arial" w:cs="Arial"/>
        </w:rPr>
        <w:t xml:space="preserve"> (Tinner et al., 2021)</w:t>
      </w:r>
      <w:r w:rsidRPr="0E260372">
        <w:rPr>
          <w:rFonts w:ascii="Arial" w:eastAsia="Arial" w:hAnsi="Arial" w:cs="Arial"/>
        </w:rPr>
        <w:t xml:space="preserve"> have used Social Learning Theory to better understand how substance use spreads in schools, whereas Ecological Systems Theory has been used in public health studies to advocate for multi-agency solutions. Strain Theory has influenced sociological studies of young disenfranchisement and its association with dangerous actions</w:t>
      </w:r>
      <w:r w:rsidR="2E9E9297" w:rsidRPr="0E260372">
        <w:rPr>
          <w:rFonts w:ascii="Arial" w:eastAsia="Arial" w:hAnsi="Arial" w:cs="Arial"/>
        </w:rPr>
        <w:t xml:space="preserve"> (McCrystal, Percy and Higgins, 2007</w:t>
      </w:r>
      <w:r w:rsidR="0F0697E0" w:rsidRPr="0E260372">
        <w:rPr>
          <w:rFonts w:ascii="Arial" w:eastAsia="Arial" w:hAnsi="Arial" w:cs="Arial"/>
        </w:rPr>
        <w:t>, Valentine, Bauld and Walter, 2016)</w:t>
      </w:r>
      <w:r w:rsidRPr="0E260372">
        <w:rPr>
          <w:rFonts w:ascii="Arial" w:eastAsia="Arial" w:hAnsi="Arial" w:cs="Arial"/>
        </w:rPr>
        <w:t>.</w:t>
      </w:r>
    </w:p>
    <w:p w14:paraId="558DF305" w14:textId="333A4F47" w:rsidR="59AE6312" w:rsidRDefault="59AE6312" w:rsidP="0E260372">
      <w:pPr>
        <w:spacing w:after="0"/>
        <w:rPr>
          <w:rFonts w:ascii="Arial" w:eastAsia="Arial" w:hAnsi="Arial" w:cs="Arial"/>
        </w:rPr>
      </w:pPr>
    </w:p>
    <w:p w14:paraId="5FE0219B" w14:textId="6BACD045" w:rsidR="2A90796C" w:rsidRDefault="2A90796C" w:rsidP="0E260372">
      <w:pPr>
        <w:rPr>
          <w:rFonts w:ascii="Arial" w:eastAsia="Arial" w:hAnsi="Arial" w:cs="Arial"/>
        </w:rPr>
      </w:pPr>
      <w:r w:rsidRPr="0E260372">
        <w:rPr>
          <w:rFonts w:ascii="Arial" w:eastAsia="Arial" w:hAnsi="Arial" w:cs="Arial"/>
        </w:rPr>
        <w:t>Critical Analysis: Nonetheless, each of these hypotheses possesses drawbacks.</w:t>
      </w:r>
      <w:r w:rsidR="3C6DA5DA" w:rsidRPr="0E260372">
        <w:rPr>
          <w:rFonts w:ascii="Arial" w:eastAsia="Arial" w:hAnsi="Arial" w:cs="Arial"/>
        </w:rPr>
        <w:t xml:space="preserve"> While Social Learning Theory can assist explain behavioural transmission, it may overlook structural issues like poverty or trauma. Ecological Systems Theory has been attacked for its complexity, which </w:t>
      </w:r>
      <w:r w:rsidR="3C6DA5DA" w:rsidRPr="0E260372">
        <w:rPr>
          <w:rFonts w:ascii="Arial" w:eastAsia="Arial" w:hAnsi="Arial" w:cs="Arial"/>
        </w:rPr>
        <w:lastRenderedPageBreak/>
        <w:t>makes it difficult to operationalise in empirical investigations. Strain Theory has been criticised of generalising the motivations for deviance, potentially missing psychological and emotional nuances.</w:t>
      </w:r>
    </w:p>
    <w:p w14:paraId="132DEABF" w14:textId="06FB3EE7" w:rsidR="3C6DA5DA" w:rsidRDefault="3C6DA5DA" w:rsidP="0E260372">
      <w:pPr>
        <w:spacing w:after="0"/>
      </w:pPr>
      <w:r w:rsidRPr="0E260372">
        <w:rPr>
          <w:rFonts w:ascii="Arial" w:eastAsia="Arial" w:hAnsi="Arial" w:cs="Arial"/>
        </w:rPr>
        <w:t xml:space="preserve"> </w:t>
      </w:r>
      <w:r w:rsidR="548A454C" w:rsidRPr="0E260372">
        <w:rPr>
          <w:rFonts w:ascii="Arial" w:eastAsia="Arial" w:hAnsi="Arial" w:cs="Arial"/>
        </w:rPr>
        <w:t>As stated by (Lander, Howsare and Byrne, 2023), t</w:t>
      </w:r>
      <w:r w:rsidRPr="0E260372">
        <w:rPr>
          <w:rFonts w:ascii="Arial" w:eastAsia="Arial" w:hAnsi="Arial" w:cs="Arial"/>
        </w:rPr>
        <w:t>here is continuous disagreement regarding how well these theories account for the cultural, gendered</w:t>
      </w:r>
      <w:r w:rsidR="417E09F3" w:rsidRPr="0E260372">
        <w:rPr>
          <w:rFonts w:ascii="Arial" w:eastAsia="Arial" w:hAnsi="Arial" w:cs="Arial"/>
        </w:rPr>
        <w:t xml:space="preserve"> </w:t>
      </w:r>
      <w:r w:rsidRPr="0E260372">
        <w:rPr>
          <w:rFonts w:ascii="Arial" w:eastAsia="Arial" w:hAnsi="Arial" w:cs="Arial"/>
        </w:rPr>
        <w:t>and intersectional aspects of substance abuse. Nonetheless, their combined use provides a comprehensive and nuanced understanding of teenage substance misuse, laying the groundwork for the current study's analytical methodology.</w:t>
      </w:r>
    </w:p>
    <w:p w14:paraId="5F8344AD" w14:textId="6D35BBAD" w:rsidR="1FE55523" w:rsidRDefault="1FE55523" w:rsidP="0E260372">
      <w:pPr>
        <w:spacing w:after="0"/>
        <w:rPr>
          <w:rFonts w:ascii="Arial" w:eastAsia="Arial" w:hAnsi="Arial" w:cs="Arial"/>
        </w:rPr>
      </w:pPr>
    </w:p>
    <w:p w14:paraId="1865B23D" w14:textId="51569D44" w:rsidR="1A5995A3" w:rsidRDefault="1A5995A3" w:rsidP="0E260372">
      <w:pPr>
        <w:spacing w:after="0"/>
      </w:pPr>
      <w:r w:rsidRPr="0E260372">
        <w:rPr>
          <w:rFonts w:ascii="Arial" w:eastAsia="Arial" w:hAnsi="Arial" w:cs="Arial"/>
        </w:rPr>
        <w:t>In addition to these psychological and sociological frameworks, this study employs the Social Determinants of Health approach, which acknowledges that factors such as housing stability, education, income and neighbourhood safety have a significant impact on adolescent wellbeing. This lens builds on prior ideas by stressing structural inequality as a major determinant of youth substance abuse in England.</w:t>
      </w:r>
    </w:p>
    <w:p w14:paraId="191B0651" w14:textId="5B902117" w:rsidR="20CECBF3" w:rsidRDefault="20CECBF3" w:rsidP="0E260372">
      <w:pPr>
        <w:pStyle w:val="paragraph"/>
        <w:spacing w:before="0" w:beforeAutospacing="0" w:after="0" w:afterAutospacing="0" w:line="360" w:lineRule="auto"/>
        <w:jc w:val="both"/>
        <w:rPr>
          <w:rStyle w:val="eop"/>
          <w:rFonts w:ascii="Aptos" w:eastAsia="Calibri Light" w:hAnsi="Aptos" w:cs="Arial"/>
          <w:sz w:val="22"/>
          <w:szCs w:val="22"/>
        </w:rPr>
      </w:pPr>
    </w:p>
    <w:p w14:paraId="529565AC" w14:textId="346C883D" w:rsidR="00BD2909" w:rsidRPr="00F44833" w:rsidRDefault="00BD2909" w:rsidP="4F26DC6A">
      <w:pPr>
        <w:rPr>
          <w:rStyle w:val="eop"/>
          <w:rFonts w:eastAsia="Calibri Light" w:cs="Arial"/>
          <w:color w:val="0F4761"/>
        </w:rPr>
      </w:pPr>
      <w:r w:rsidRPr="4F26DC6A">
        <w:rPr>
          <w:rFonts w:ascii="Arial" w:eastAsia="Arial" w:hAnsi="Arial" w:cs="Arial"/>
          <w:sz w:val="24"/>
          <w:szCs w:val="24"/>
        </w:rPr>
        <w:t>2.4 International Context</w:t>
      </w:r>
      <w:r w:rsidRPr="359E9537">
        <w:rPr>
          <w:rStyle w:val="normaltextrun"/>
          <w:rFonts w:cs="Arial"/>
          <w:color w:val="0F4761"/>
        </w:rPr>
        <w:t xml:space="preserve"> </w:t>
      </w:r>
    </w:p>
    <w:p w14:paraId="5DB5B444" w14:textId="6F999816" w:rsidR="00BD2909" w:rsidRPr="00F44833" w:rsidRDefault="0D05A2B3" w:rsidP="0E260372">
      <w:pPr>
        <w:spacing w:after="0"/>
        <w:textAlignment w:val="baseline"/>
        <w:rPr>
          <w:rFonts w:ascii="Arial" w:eastAsia="Arial" w:hAnsi="Arial" w:cs="Arial"/>
        </w:rPr>
      </w:pPr>
      <w:r w:rsidRPr="0E260372">
        <w:rPr>
          <w:rFonts w:ascii="Arial" w:eastAsia="Arial" w:hAnsi="Arial" w:cs="Arial"/>
        </w:rPr>
        <w:t xml:space="preserve">Adolescent substance abuse is a global problem, with countries coping with the complicated social, psychological and physiological consequences it has on young people. While the </w:t>
      </w:r>
      <w:r w:rsidR="29410AD9" w:rsidRPr="0E260372">
        <w:rPr>
          <w:rFonts w:ascii="Arial" w:eastAsia="Arial" w:hAnsi="Arial" w:cs="Arial"/>
        </w:rPr>
        <w:t>patterns</w:t>
      </w:r>
      <w:r w:rsidRPr="0E260372">
        <w:rPr>
          <w:rFonts w:ascii="Arial" w:eastAsia="Arial" w:hAnsi="Arial" w:cs="Arial"/>
        </w:rPr>
        <w:t xml:space="preserve"> and substances used differ by country, adolescence is widely recognised as a vulnerable developmental stage in which exposure to drugs and alcohol can have long-term implications. Different countries have taken different methods to prevention, intervention and harm reduction, reflecting a diversity of cultural values, healthcare infrastructures and social policies</w:t>
      </w:r>
      <w:r w:rsidR="6925C2A5" w:rsidRPr="0E260372">
        <w:rPr>
          <w:rFonts w:ascii="Arial" w:eastAsia="Arial" w:hAnsi="Arial" w:cs="Arial"/>
        </w:rPr>
        <w:t xml:space="preserve"> (Das et al., 2019)</w:t>
      </w:r>
      <w:r w:rsidRPr="0E260372">
        <w:rPr>
          <w:rFonts w:ascii="Arial" w:eastAsia="Arial" w:hAnsi="Arial" w:cs="Arial"/>
        </w:rPr>
        <w:t>.</w:t>
      </w:r>
    </w:p>
    <w:p w14:paraId="124A8A2D" w14:textId="3573194A" w:rsidR="00BD2909" w:rsidRPr="00F44833" w:rsidRDefault="607D91CC" w:rsidP="0E260372">
      <w:pPr>
        <w:spacing w:after="0"/>
        <w:textAlignment w:val="baseline"/>
        <w:rPr>
          <w:rFonts w:ascii="Arial" w:eastAsia="Arial" w:hAnsi="Arial" w:cs="Arial"/>
          <w:sz w:val="24"/>
          <w:szCs w:val="24"/>
        </w:rPr>
      </w:pPr>
      <w:r w:rsidRPr="0E260372">
        <w:rPr>
          <w:rFonts w:ascii="Arial" w:eastAsia="Arial" w:hAnsi="Arial" w:cs="Arial"/>
          <w:sz w:val="24"/>
          <w:szCs w:val="24"/>
        </w:rPr>
        <w:t>Global Perspectives</w:t>
      </w:r>
    </w:p>
    <w:p w14:paraId="1874D749" w14:textId="03A29506" w:rsidR="00BD2909" w:rsidRPr="00F44833" w:rsidRDefault="607D91CC" w:rsidP="0E260372">
      <w:pPr>
        <w:spacing w:after="0"/>
        <w:textAlignment w:val="baseline"/>
      </w:pPr>
      <w:r w:rsidRPr="0E260372">
        <w:rPr>
          <w:rFonts w:ascii="Arial" w:eastAsia="Arial" w:hAnsi="Arial" w:cs="Arial"/>
        </w:rPr>
        <w:t xml:space="preserve">Adolescent substance abuse is a serious global issue, with different prevalence, cultural attitudes and intervention options depending on the region. </w:t>
      </w:r>
      <w:r w:rsidR="1B02C649" w:rsidRPr="0E260372">
        <w:rPr>
          <w:rFonts w:ascii="Arial" w:eastAsia="Arial" w:hAnsi="Arial" w:cs="Arial"/>
        </w:rPr>
        <w:t>As reported by (Hall et al., 2016)</w:t>
      </w:r>
      <w:r w:rsidRPr="0E260372">
        <w:rPr>
          <w:rFonts w:ascii="Arial" w:eastAsia="Arial" w:hAnsi="Arial" w:cs="Arial"/>
        </w:rPr>
        <w:t xml:space="preserve"> the sorts of substances used by young people—such as alcohol, cannabis and prescription drugs</w:t>
      </w:r>
      <w:r w:rsidR="351CF0F0" w:rsidRPr="0E260372">
        <w:rPr>
          <w:rFonts w:ascii="Arial" w:eastAsia="Arial" w:hAnsi="Arial" w:cs="Arial"/>
        </w:rPr>
        <w:t xml:space="preserve"> </w:t>
      </w:r>
      <w:r w:rsidRPr="0E260372">
        <w:rPr>
          <w:rFonts w:ascii="Arial" w:eastAsia="Arial" w:hAnsi="Arial" w:cs="Arial"/>
        </w:rPr>
        <w:t>are frequently comparable across borders, the prevalence and management of substance use differ depending on national legislation, socioeconomic conditions and healthcare infrastructure. In North America, for example, the opioid epidemic and cannabis legalisation have influenced adolescent use habits, resulting in expanded availability and innovative harm-reduction methods</w:t>
      </w:r>
      <w:r w:rsidR="73E93AA1" w:rsidRPr="0E260372">
        <w:rPr>
          <w:rFonts w:ascii="Arial" w:eastAsia="Arial" w:hAnsi="Arial" w:cs="Arial"/>
        </w:rPr>
        <w:t xml:space="preserve"> (Lowe et al., 2012)</w:t>
      </w:r>
      <w:r w:rsidRPr="0E260372">
        <w:rPr>
          <w:rFonts w:ascii="Arial" w:eastAsia="Arial" w:hAnsi="Arial" w:cs="Arial"/>
        </w:rPr>
        <w:t>. In contrast, several Scandinavian countries adopt comprehensive, welfare-based methods that view adolescent drug use as a social and public health issue rather than a criminal one.</w:t>
      </w:r>
    </w:p>
    <w:p w14:paraId="3510296F" w14:textId="7E4BCAFF" w:rsidR="00BD2909" w:rsidRPr="00F44833" w:rsidRDefault="00BD2909" w:rsidP="0E260372">
      <w:pPr>
        <w:spacing w:after="0"/>
        <w:textAlignment w:val="baseline"/>
        <w:rPr>
          <w:rFonts w:ascii="Arial" w:eastAsia="Arial" w:hAnsi="Arial" w:cs="Arial"/>
        </w:rPr>
      </w:pPr>
    </w:p>
    <w:p w14:paraId="40398E3D" w14:textId="20EE44C5" w:rsidR="00BD2909" w:rsidRPr="00F44833" w:rsidRDefault="50C40BD4" w:rsidP="0E260372">
      <w:pPr>
        <w:spacing w:after="0"/>
        <w:textAlignment w:val="baseline"/>
        <w:rPr>
          <w:rFonts w:ascii="Arial" w:eastAsia="Arial" w:hAnsi="Arial" w:cs="Arial"/>
          <w:sz w:val="24"/>
          <w:szCs w:val="24"/>
        </w:rPr>
      </w:pPr>
      <w:r w:rsidRPr="0E260372">
        <w:rPr>
          <w:rFonts w:ascii="Arial" w:eastAsia="Arial" w:hAnsi="Arial" w:cs="Arial"/>
          <w:sz w:val="24"/>
          <w:szCs w:val="24"/>
        </w:rPr>
        <w:lastRenderedPageBreak/>
        <w:t xml:space="preserve">Comparative Methods </w:t>
      </w:r>
    </w:p>
    <w:p w14:paraId="465F694C" w14:textId="4D839F06" w:rsidR="00BD2909" w:rsidRPr="00F44833" w:rsidRDefault="3E9FD1CD" w:rsidP="0E260372">
      <w:pPr>
        <w:spacing w:after="0"/>
        <w:textAlignment w:val="baseline"/>
      </w:pPr>
      <w:r w:rsidRPr="0E260372">
        <w:rPr>
          <w:rFonts w:ascii="Arial" w:eastAsia="Arial" w:hAnsi="Arial" w:cs="Arial"/>
        </w:rPr>
        <w:t>In the United States, school-based preventive initiatives such as Project ALERT and DARE, which emphasise strengthening decision-making skills and rejecting social pressure, are widely utilised to combat the problem</w:t>
      </w:r>
      <w:r w:rsidR="6E1665BA" w:rsidRPr="0E260372">
        <w:rPr>
          <w:rFonts w:ascii="Arial" w:eastAsia="Arial" w:hAnsi="Arial" w:cs="Arial"/>
        </w:rPr>
        <w:t xml:space="preserve"> (Stuever, 2024)</w:t>
      </w:r>
      <w:r w:rsidRPr="0E260372">
        <w:rPr>
          <w:rFonts w:ascii="Arial" w:eastAsia="Arial" w:hAnsi="Arial" w:cs="Arial"/>
        </w:rPr>
        <w:t>. However, evidence demonstrates that they have little long-term effectiveness unless supplemented with larger networks of family and community support</w:t>
      </w:r>
      <w:r w:rsidR="4B4C48E2" w:rsidRPr="0E260372">
        <w:rPr>
          <w:rFonts w:ascii="Arial" w:eastAsia="Arial" w:hAnsi="Arial" w:cs="Arial"/>
        </w:rPr>
        <w:t xml:space="preserve"> (Perry et al., 2000)</w:t>
      </w:r>
      <w:r w:rsidRPr="0E260372">
        <w:rPr>
          <w:rFonts w:ascii="Arial" w:eastAsia="Arial" w:hAnsi="Arial" w:cs="Arial"/>
        </w:rPr>
        <w:t xml:space="preserve">. Scandinavian countries, particularly Sweden and Norway, implement more comprehensive policies that involve early intervention, social aid and strong collaboration among families, schools and healthcare providers. </w:t>
      </w:r>
      <w:r w:rsidR="2F1351E6" w:rsidRPr="0E260372">
        <w:rPr>
          <w:rFonts w:ascii="Arial" w:eastAsia="Arial" w:hAnsi="Arial" w:cs="Arial"/>
        </w:rPr>
        <w:t>According to (Klingemann, 2020) these</w:t>
      </w:r>
      <w:r w:rsidRPr="0E260372">
        <w:rPr>
          <w:rFonts w:ascii="Arial" w:eastAsia="Arial" w:hAnsi="Arial" w:cs="Arial"/>
        </w:rPr>
        <w:t xml:space="preserve"> policies frequently address the familial and structural variables that contribute to substance misuse, such as family relationships, educational disparities and mental health difficulties.</w:t>
      </w:r>
    </w:p>
    <w:p w14:paraId="6197A1B0" w14:textId="404EDC1B" w:rsidR="00BD2909" w:rsidRPr="00F44833" w:rsidRDefault="00BD2909" w:rsidP="0E260372">
      <w:pPr>
        <w:spacing w:after="0"/>
        <w:textAlignment w:val="baseline"/>
        <w:rPr>
          <w:rFonts w:ascii="Arial" w:eastAsia="Arial" w:hAnsi="Arial" w:cs="Arial"/>
        </w:rPr>
      </w:pPr>
    </w:p>
    <w:p w14:paraId="29DE27B4" w14:textId="163C1BB1" w:rsidR="00BD2909" w:rsidRPr="00F44833" w:rsidRDefault="68C543C3" w:rsidP="0E260372">
      <w:pPr>
        <w:spacing w:after="0"/>
        <w:textAlignment w:val="baseline"/>
        <w:rPr>
          <w:rFonts w:ascii="Arial" w:eastAsia="Arial" w:hAnsi="Arial" w:cs="Arial"/>
          <w:sz w:val="24"/>
          <w:szCs w:val="24"/>
        </w:rPr>
      </w:pPr>
      <w:r w:rsidRPr="0E260372">
        <w:rPr>
          <w:rFonts w:ascii="Arial" w:eastAsia="Arial" w:hAnsi="Arial" w:cs="Arial"/>
          <w:sz w:val="24"/>
          <w:szCs w:val="24"/>
        </w:rPr>
        <w:t>Global Policy Models and Initiatives</w:t>
      </w:r>
    </w:p>
    <w:p w14:paraId="710E7509" w14:textId="7A5FEC82" w:rsidR="00BD2909" w:rsidRPr="00F44833" w:rsidRDefault="68C543C3" w:rsidP="0E260372">
      <w:pPr>
        <w:spacing w:after="0"/>
        <w:textAlignment w:val="baseline"/>
        <w:rPr>
          <w:rFonts w:ascii="Arial" w:eastAsia="Arial" w:hAnsi="Arial" w:cs="Arial"/>
        </w:rPr>
      </w:pPr>
      <w:r w:rsidRPr="0E260372">
        <w:rPr>
          <w:rFonts w:ascii="Arial" w:eastAsia="Arial" w:hAnsi="Arial" w:cs="Arial"/>
        </w:rPr>
        <w:t xml:space="preserve"> Portugal's 2001 decriminalisation model altered drug policy away from punishment and towards public health, emphasising treatment over prosecution. Though intended at adults, it promoted early intervention approaches that assist kids, resulting in fewer drug-related deaths and adolescent use. Globally, agencies such as WHO and UNODC (the United Nations Office on Drugs and Crime) encourage youth-focused, evidence-based methods. Campaigns like UNODC's Listen First strive to educate carers and policymakers on prevention based on developmental research</w:t>
      </w:r>
      <w:r w:rsidR="73D598CB" w:rsidRPr="0E260372">
        <w:rPr>
          <w:rFonts w:ascii="Arial" w:eastAsia="Arial" w:hAnsi="Arial" w:cs="Arial"/>
        </w:rPr>
        <w:t xml:space="preserve"> (</w:t>
      </w:r>
      <w:proofErr w:type="spellStart"/>
      <w:r w:rsidR="73D598CB" w:rsidRPr="0E260372">
        <w:rPr>
          <w:rFonts w:ascii="Arial" w:eastAsia="Arial" w:hAnsi="Arial" w:cs="Arial"/>
        </w:rPr>
        <w:t>Laqueur</w:t>
      </w:r>
      <w:proofErr w:type="spellEnd"/>
      <w:r w:rsidR="73D598CB" w:rsidRPr="0E260372">
        <w:rPr>
          <w:rFonts w:ascii="Arial" w:eastAsia="Arial" w:hAnsi="Arial" w:cs="Arial"/>
        </w:rPr>
        <w:t>, 2015)</w:t>
      </w:r>
      <w:r w:rsidRPr="0E260372">
        <w:rPr>
          <w:rFonts w:ascii="Arial" w:eastAsia="Arial" w:hAnsi="Arial" w:cs="Arial"/>
        </w:rPr>
        <w:t>.</w:t>
      </w:r>
    </w:p>
    <w:p w14:paraId="0813B156" w14:textId="78DDB6C2" w:rsidR="00BD2909" w:rsidRPr="00F44833" w:rsidRDefault="00BD2909" w:rsidP="0E260372">
      <w:pPr>
        <w:spacing w:after="0"/>
        <w:textAlignment w:val="baseline"/>
        <w:rPr>
          <w:rFonts w:ascii="Arial" w:eastAsia="Arial" w:hAnsi="Arial" w:cs="Arial"/>
        </w:rPr>
      </w:pPr>
    </w:p>
    <w:p w14:paraId="12F9149C" w14:textId="35F98CC7" w:rsidR="00BD2909" w:rsidRPr="00F44833" w:rsidRDefault="78E56D32" w:rsidP="0E260372">
      <w:pPr>
        <w:spacing w:after="0"/>
        <w:textAlignment w:val="baseline"/>
        <w:rPr>
          <w:rFonts w:ascii="Arial" w:eastAsia="Arial" w:hAnsi="Arial" w:cs="Arial"/>
        </w:rPr>
      </w:pPr>
      <w:r w:rsidRPr="0E260372">
        <w:rPr>
          <w:rFonts w:ascii="Arial" w:eastAsia="Arial" w:hAnsi="Arial" w:cs="Arial"/>
        </w:rPr>
        <w:t>Obstacles and Insights for England</w:t>
      </w:r>
    </w:p>
    <w:p w14:paraId="78158D99" w14:textId="71FE0A25" w:rsidR="00BD2909" w:rsidRPr="00F44833" w:rsidRDefault="6F77601D" w:rsidP="0E260372">
      <w:pPr>
        <w:spacing w:after="0"/>
        <w:textAlignment w:val="baseline"/>
        <w:rPr>
          <w:rFonts w:ascii="Arial" w:eastAsia="Arial" w:hAnsi="Arial" w:cs="Arial"/>
        </w:rPr>
      </w:pPr>
      <w:r w:rsidRPr="0E260372">
        <w:rPr>
          <w:rFonts w:ascii="Arial" w:eastAsia="Arial" w:hAnsi="Arial" w:cs="Arial"/>
        </w:rPr>
        <w:t>However, worldwide discrepancies exist. In low- and middle-income nations, access to youth mental health care, substance abuse education and trustworthy data collecting is severely constrained. Furthermore, stigma and criminalisation continue to dominate governmental responses in some areas, aggravating the marginalisation of vulnerable adolescents</w:t>
      </w:r>
      <w:r w:rsidR="5A420337" w:rsidRPr="0E260372">
        <w:rPr>
          <w:rFonts w:ascii="Arial" w:eastAsia="Arial" w:hAnsi="Arial" w:cs="Arial"/>
        </w:rPr>
        <w:t xml:space="preserve"> (Scher</w:t>
      </w:r>
      <w:r w:rsidR="5A420337" w:rsidRPr="0E260372">
        <w:rPr>
          <w:rFonts w:ascii="Roboto" w:eastAsia="Roboto" w:hAnsi="Roboto" w:cs="Roboto"/>
        </w:rPr>
        <w:t xml:space="preserve"> et al., 2023)</w:t>
      </w:r>
      <w:r w:rsidRPr="0E260372">
        <w:rPr>
          <w:rFonts w:ascii="Arial" w:eastAsia="Arial" w:hAnsi="Arial" w:cs="Arial"/>
        </w:rPr>
        <w:t>.</w:t>
      </w:r>
    </w:p>
    <w:p w14:paraId="486A5837" w14:textId="38F2DF80" w:rsidR="00BD2909" w:rsidRPr="00F44833" w:rsidRDefault="6F77601D" w:rsidP="0E260372">
      <w:pPr>
        <w:spacing w:after="0"/>
        <w:textAlignment w:val="baseline"/>
        <w:rPr>
          <w:rFonts w:cs="Segoe UI"/>
          <w:sz w:val="16"/>
          <w:szCs w:val="16"/>
        </w:rPr>
      </w:pPr>
      <w:r w:rsidRPr="0E260372">
        <w:rPr>
          <w:rFonts w:ascii="Arial" w:eastAsia="Arial" w:hAnsi="Arial" w:cs="Arial"/>
        </w:rPr>
        <w:t xml:space="preserve"> When these global approaches are compared, the most effective techniques focus on early intervention, cross-sector collaboration and socio-structural support networks. These findings highlight the need for England to examine and adapt its policies with an international perspective, ensuring that interventions for teenage substance abuse are not just evidence-based but also culturally and structurally informed.</w:t>
      </w:r>
      <w:r w:rsidRPr="0E260372">
        <w:t xml:space="preserve"> </w:t>
      </w:r>
      <w:r w:rsidR="00BD2909" w:rsidRPr="0E260372">
        <w:rPr>
          <w:rStyle w:val="eop"/>
          <w:rFonts w:eastAsia="Calibri Light" w:cs="Arial"/>
        </w:rPr>
        <w:t> </w:t>
      </w:r>
    </w:p>
    <w:p w14:paraId="101AADB0" w14:textId="44363530" w:rsidR="1FE55523" w:rsidRDefault="1FE55523" w:rsidP="0E260372">
      <w:pPr>
        <w:pStyle w:val="paragraph"/>
        <w:spacing w:before="0" w:beforeAutospacing="0" w:after="0" w:afterAutospacing="0" w:line="360" w:lineRule="auto"/>
        <w:jc w:val="both"/>
        <w:rPr>
          <w:rStyle w:val="eop"/>
          <w:rFonts w:ascii="Aptos" w:eastAsia="Calibri Light" w:hAnsi="Aptos" w:cs="Arial"/>
          <w:sz w:val="22"/>
          <w:szCs w:val="22"/>
        </w:rPr>
      </w:pPr>
    </w:p>
    <w:p w14:paraId="3322C689" w14:textId="56E28221" w:rsidR="00BD2909" w:rsidRPr="00F44833" w:rsidRDefault="00BD2909" w:rsidP="4F26DC6A">
      <w:pPr>
        <w:rPr>
          <w:rStyle w:val="eop"/>
          <w:rFonts w:ascii="Arial" w:eastAsia="Arial" w:hAnsi="Arial" w:cs="Arial"/>
          <w:sz w:val="24"/>
          <w:szCs w:val="24"/>
        </w:rPr>
      </w:pPr>
      <w:r w:rsidRPr="4F26DC6A">
        <w:rPr>
          <w:rFonts w:ascii="Arial" w:eastAsia="Arial" w:hAnsi="Arial" w:cs="Arial"/>
          <w:sz w:val="24"/>
          <w:szCs w:val="24"/>
        </w:rPr>
        <w:t>2.5 National/Local UK Context</w:t>
      </w:r>
    </w:p>
    <w:p w14:paraId="61149E36" w14:textId="51865356" w:rsidR="25043DBE" w:rsidRDefault="25043DBE" w:rsidP="0E260372">
      <w:pPr>
        <w:pStyle w:val="paragraph"/>
        <w:spacing w:before="0" w:beforeAutospacing="0" w:after="0" w:afterAutospacing="0" w:line="360" w:lineRule="auto"/>
        <w:jc w:val="both"/>
        <w:rPr>
          <w:rFonts w:ascii="Arial" w:eastAsia="Arial" w:hAnsi="Arial" w:cs="Arial"/>
          <w:sz w:val="22"/>
          <w:szCs w:val="22"/>
        </w:rPr>
      </w:pPr>
      <w:r w:rsidRPr="0E260372">
        <w:rPr>
          <w:rFonts w:ascii="Arial" w:eastAsia="Arial" w:hAnsi="Arial" w:cs="Arial"/>
          <w:sz w:val="22"/>
          <w:szCs w:val="22"/>
        </w:rPr>
        <w:t>The table below outlines significant UK policies addressing adolescent substance misuse, including their emphasis areas and influence on juvenile outcomes.</w:t>
      </w:r>
    </w:p>
    <w:tbl>
      <w:tblPr>
        <w:tblStyle w:val="GridTable1Light"/>
        <w:tblW w:w="0" w:type="auto"/>
        <w:tblLayout w:type="fixed"/>
        <w:tblLook w:val="06A0" w:firstRow="1" w:lastRow="0" w:firstColumn="1" w:lastColumn="0" w:noHBand="1" w:noVBand="1"/>
      </w:tblPr>
      <w:tblGrid>
        <w:gridCol w:w="3005"/>
        <w:gridCol w:w="3005"/>
        <w:gridCol w:w="3005"/>
      </w:tblGrid>
      <w:tr w:rsidR="1FE55523" w14:paraId="4958C7CA" w14:textId="77777777" w:rsidTr="0028315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05" w:type="dxa"/>
          </w:tcPr>
          <w:p w14:paraId="697B7A98" w14:textId="26958D8F" w:rsidR="7B95A151" w:rsidRPr="00283154" w:rsidRDefault="4ABC089B" w:rsidP="0E260372">
            <w:pPr>
              <w:pStyle w:val="paragraph"/>
              <w:jc w:val="both"/>
              <w:rPr>
                <w:rFonts w:ascii="Arial" w:eastAsia="Arial" w:hAnsi="Arial" w:cs="Arial"/>
                <w:b w:val="0"/>
                <w:bCs w:val="0"/>
                <w:sz w:val="22"/>
                <w:szCs w:val="22"/>
              </w:rPr>
            </w:pPr>
            <w:r w:rsidRPr="00283154">
              <w:rPr>
                <w:rFonts w:ascii="Arial" w:eastAsia="Arial" w:hAnsi="Arial" w:cs="Arial"/>
                <w:b w:val="0"/>
                <w:bCs w:val="0"/>
                <w:sz w:val="22"/>
                <w:szCs w:val="22"/>
              </w:rPr>
              <w:lastRenderedPageBreak/>
              <w:t>Policy/ Framework</w:t>
            </w:r>
          </w:p>
        </w:tc>
        <w:tc>
          <w:tcPr>
            <w:tcW w:w="3005" w:type="dxa"/>
          </w:tcPr>
          <w:p w14:paraId="395ED0E9" w14:textId="4EE6CB6E" w:rsidR="7B95A151" w:rsidRPr="00283154" w:rsidRDefault="4ABC089B" w:rsidP="0E260372">
            <w:pPr>
              <w:pStyle w:val="paragraph"/>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2"/>
                <w:szCs w:val="22"/>
              </w:rPr>
            </w:pPr>
            <w:r w:rsidRPr="00283154">
              <w:rPr>
                <w:rFonts w:ascii="Arial" w:eastAsia="Arial" w:hAnsi="Arial" w:cs="Arial"/>
                <w:b w:val="0"/>
                <w:bCs w:val="0"/>
                <w:sz w:val="22"/>
                <w:szCs w:val="22"/>
              </w:rPr>
              <w:t>Key Focused Area</w:t>
            </w:r>
          </w:p>
        </w:tc>
        <w:tc>
          <w:tcPr>
            <w:tcW w:w="3005" w:type="dxa"/>
          </w:tcPr>
          <w:p w14:paraId="4FE91598" w14:textId="59D33A3F" w:rsidR="68B94C2F" w:rsidRPr="00283154" w:rsidRDefault="7CE00CE7" w:rsidP="0E260372">
            <w:pPr>
              <w:pStyle w:val="paragraph"/>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2"/>
                <w:szCs w:val="22"/>
              </w:rPr>
            </w:pPr>
            <w:r w:rsidRPr="00283154">
              <w:rPr>
                <w:rFonts w:ascii="Arial" w:eastAsia="Arial" w:hAnsi="Arial" w:cs="Arial"/>
                <w:b w:val="0"/>
                <w:bCs w:val="0"/>
                <w:sz w:val="22"/>
                <w:szCs w:val="22"/>
              </w:rPr>
              <w:t>Substance Misuse on Youth</w:t>
            </w:r>
          </w:p>
        </w:tc>
      </w:tr>
      <w:tr w:rsidR="1FE55523" w14:paraId="1C7D4F19" w14:textId="77777777" w:rsidTr="00283154">
        <w:trPr>
          <w:trHeight w:val="300"/>
        </w:trPr>
        <w:tc>
          <w:tcPr>
            <w:cnfStyle w:val="001000000000" w:firstRow="0" w:lastRow="0" w:firstColumn="1" w:lastColumn="0" w:oddVBand="0" w:evenVBand="0" w:oddHBand="0" w:evenHBand="0" w:firstRowFirstColumn="0" w:firstRowLastColumn="0" w:lastRowFirstColumn="0" w:lastRowLastColumn="0"/>
            <w:tcW w:w="3005" w:type="dxa"/>
          </w:tcPr>
          <w:p w14:paraId="05C4008D" w14:textId="64F49C39" w:rsidR="68B94C2F" w:rsidRPr="00283154" w:rsidRDefault="7CE00CE7" w:rsidP="0E260372">
            <w:pPr>
              <w:pStyle w:val="paragraph"/>
              <w:jc w:val="both"/>
              <w:rPr>
                <w:rFonts w:ascii="Arial" w:eastAsia="Arial" w:hAnsi="Arial" w:cs="Arial"/>
                <w:b w:val="0"/>
                <w:bCs w:val="0"/>
                <w:sz w:val="22"/>
                <w:szCs w:val="22"/>
              </w:rPr>
            </w:pPr>
            <w:r w:rsidRPr="00283154">
              <w:rPr>
                <w:rFonts w:ascii="Arial" w:eastAsia="Arial" w:hAnsi="Arial" w:cs="Arial"/>
                <w:b w:val="0"/>
                <w:bCs w:val="0"/>
                <w:sz w:val="22"/>
                <w:szCs w:val="22"/>
              </w:rPr>
              <w:t>Misuse Drug Act (1971)</w:t>
            </w:r>
          </w:p>
        </w:tc>
        <w:tc>
          <w:tcPr>
            <w:tcW w:w="3005" w:type="dxa"/>
          </w:tcPr>
          <w:p w14:paraId="72CCB471" w14:textId="17133934" w:rsidR="68B94C2F" w:rsidRDefault="7CE00CE7" w:rsidP="0E260372">
            <w:pPr>
              <w:pStyle w:val="paragraph"/>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E260372">
              <w:rPr>
                <w:rFonts w:ascii="Arial" w:eastAsia="Arial" w:hAnsi="Arial" w:cs="Arial"/>
                <w:sz w:val="22"/>
                <w:szCs w:val="22"/>
              </w:rPr>
              <w:t>Legal control</w:t>
            </w:r>
          </w:p>
        </w:tc>
        <w:tc>
          <w:tcPr>
            <w:tcW w:w="3005" w:type="dxa"/>
          </w:tcPr>
          <w:p w14:paraId="553A3F44" w14:textId="469038B6" w:rsidR="25F2779B" w:rsidRDefault="7119B56D" w:rsidP="0E260372">
            <w:pPr>
              <w:pStyle w:val="paragraph"/>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E260372">
              <w:rPr>
                <w:rFonts w:ascii="Arial" w:eastAsia="Arial" w:hAnsi="Arial" w:cs="Arial"/>
                <w:sz w:val="22"/>
                <w:szCs w:val="22"/>
              </w:rPr>
              <w:t>Mostly disciplinary with little emphasis on preventive and early intervention.</w:t>
            </w:r>
          </w:p>
        </w:tc>
      </w:tr>
      <w:tr w:rsidR="1FE55523" w14:paraId="035101AD" w14:textId="77777777" w:rsidTr="00283154">
        <w:trPr>
          <w:trHeight w:val="300"/>
        </w:trPr>
        <w:tc>
          <w:tcPr>
            <w:cnfStyle w:val="001000000000" w:firstRow="0" w:lastRow="0" w:firstColumn="1" w:lastColumn="0" w:oddVBand="0" w:evenVBand="0" w:oddHBand="0" w:evenHBand="0" w:firstRowFirstColumn="0" w:firstRowLastColumn="0" w:lastRowFirstColumn="0" w:lastRowLastColumn="0"/>
            <w:tcW w:w="3005" w:type="dxa"/>
          </w:tcPr>
          <w:p w14:paraId="6359BD89" w14:textId="7A2281ED" w:rsidR="25F2779B" w:rsidRPr="00283154" w:rsidRDefault="7119B56D" w:rsidP="0E260372">
            <w:pPr>
              <w:pStyle w:val="paragraph"/>
              <w:jc w:val="both"/>
              <w:rPr>
                <w:rFonts w:ascii="Arial" w:eastAsia="Arial" w:hAnsi="Arial" w:cs="Arial"/>
                <w:b w:val="0"/>
                <w:bCs w:val="0"/>
                <w:sz w:val="22"/>
                <w:szCs w:val="22"/>
              </w:rPr>
            </w:pPr>
            <w:r w:rsidRPr="00283154">
              <w:rPr>
                <w:rFonts w:ascii="Arial" w:eastAsia="Arial" w:hAnsi="Arial" w:cs="Arial"/>
                <w:b w:val="0"/>
                <w:bCs w:val="0"/>
                <w:sz w:val="22"/>
                <w:szCs w:val="22"/>
              </w:rPr>
              <w:t>10 Year Drug Strategy (2021)</w:t>
            </w:r>
          </w:p>
        </w:tc>
        <w:tc>
          <w:tcPr>
            <w:tcW w:w="3005" w:type="dxa"/>
          </w:tcPr>
          <w:p w14:paraId="210A222F" w14:textId="295311D7" w:rsidR="25F2779B" w:rsidRDefault="7119B56D" w:rsidP="0E260372">
            <w:pPr>
              <w:pStyle w:val="paragraph"/>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E260372">
              <w:rPr>
                <w:rFonts w:ascii="Arial" w:eastAsia="Arial" w:hAnsi="Arial" w:cs="Arial"/>
                <w:sz w:val="22"/>
                <w:szCs w:val="22"/>
              </w:rPr>
              <w:t>Public health and enforcement</w:t>
            </w:r>
          </w:p>
        </w:tc>
        <w:tc>
          <w:tcPr>
            <w:tcW w:w="3005" w:type="dxa"/>
          </w:tcPr>
          <w:p w14:paraId="2DAC25E0" w14:textId="6834E58B" w:rsidR="25F2779B" w:rsidRDefault="7119B56D" w:rsidP="0E260372">
            <w:pPr>
              <w:pStyle w:val="paragraph"/>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E260372">
              <w:rPr>
                <w:rFonts w:ascii="Arial" w:eastAsia="Arial" w:hAnsi="Arial" w:cs="Arial"/>
                <w:sz w:val="22"/>
                <w:szCs w:val="22"/>
              </w:rPr>
              <w:t>Increases financing for treatment, recovery and early intervention services for youth.</w:t>
            </w:r>
          </w:p>
        </w:tc>
      </w:tr>
      <w:tr w:rsidR="1FE55523" w14:paraId="66A536F3" w14:textId="77777777" w:rsidTr="00283154">
        <w:trPr>
          <w:trHeight w:val="300"/>
        </w:trPr>
        <w:tc>
          <w:tcPr>
            <w:cnfStyle w:val="001000000000" w:firstRow="0" w:lastRow="0" w:firstColumn="1" w:lastColumn="0" w:oddVBand="0" w:evenVBand="0" w:oddHBand="0" w:evenHBand="0" w:firstRowFirstColumn="0" w:firstRowLastColumn="0" w:lastRowFirstColumn="0" w:lastRowLastColumn="0"/>
            <w:tcW w:w="3005" w:type="dxa"/>
          </w:tcPr>
          <w:p w14:paraId="64872FD0" w14:textId="11B0E185" w:rsidR="25F2779B" w:rsidRPr="00283154" w:rsidRDefault="7119B56D" w:rsidP="0E260372">
            <w:pPr>
              <w:pStyle w:val="paragraph"/>
              <w:jc w:val="both"/>
              <w:rPr>
                <w:rFonts w:ascii="Arial" w:eastAsia="Arial" w:hAnsi="Arial" w:cs="Arial"/>
                <w:b w:val="0"/>
                <w:bCs w:val="0"/>
                <w:sz w:val="22"/>
                <w:szCs w:val="22"/>
              </w:rPr>
            </w:pPr>
            <w:r w:rsidRPr="00283154">
              <w:rPr>
                <w:rFonts w:ascii="Arial" w:eastAsia="Arial" w:hAnsi="Arial" w:cs="Arial"/>
                <w:b w:val="0"/>
                <w:bCs w:val="0"/>
                <w:sz w:val="22"/>
                <w:szCs w:val="22"/>
              </w:rPr>
              <w:t>Working Together to Safeguard Children (2018)</w:t>
            </w:r>
          </w:p>
        </w:tc>
        <w:tc>
          <w:tcPr>
            <w:tcW w:w="3005" w:type="dxa"/>
          </w:tcPr>
          <w:p w14:paraId="04A3FE9C" w14:textId="5F20DA83" w:rsidR="25F2779B" w:rsidRDefault="7119B56D" w:rsidP="0E260372">
            <w:pPr>
              <w:pStyle w:val="paragraph"/>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E260372">
              <w:rPr>
                <w:rFonts w:ascii="Arial" w:eastAsia="Arial" w:hAnsi="Arial" w:cs="Arial"/>
                <w:sz w:val="22"/>
                <w:szCs w:val="22"/>
              </w:rPr>
              <w:t xml:space="preserve">Multi agency enforcement </w:t>
            </w:r>
          </w:p>
        </w:tc>
        <w:tc>
          <w:tcPr>
            <w:tcW w:w="3005" w:type="dxa"/>
          </w:tcPr>
          <w:p w14:paraId="146A16E9" w14:textId="7AE5F4ED" w:rsidR="25F2779B" w:rsidRDefault="7119B56D" w:rsidP="0E260372">
            <w:pPr>
              <w:pStyle w:val="paragraph"/>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E260372">
              <w:rPr>
                <w:rFonts w:ascii="Arial" w:eastAsia="Arial" w:hAnsi="Arial" w:cs="Arial"/>
                <w:sz w:val="22"/>
                <w:szCs w:val="22"/>
              </w:rPr>
              <w:t>Promotes integrated support and early identification of vulnerable adolescents.</w:t>
            </w:r>
          </w:p>
        </w:tc>
      </w:tr>
      <w:tr w:rsidR="1FE55523" w14:paraId="43C7584C" w14:textId="77777777" w:rsidTr="00283154">
        <w:trPr>
          <w:trHeight w:val="300"/>
        </w:trPr>
        <w:tc>
          <w:tcPr>
            <w:cnfStyle w:val="001000000000" w:firstRow="0" w:lastRow="0" w:firstColumn="1" w:lastColumn="0" w:oddVBand="0" w:evenVBand="0" w:oddHBand="0" w:evenHBand="0" w:firstRowFirstColumn="0" w:firstRowLastColumn="0" w:lastRowFirstColumn="0" w:lastRowLastColumn="0"/>
            <w:tcW w:w="3005" w:type="dxa"/>
          </w:tcPr>
          <w:p w14:paraId="6FED21FE" w14:textId="3C4AD1B6" w:rsidR="25F2779B" w:rsidRPr="00283154" w:rsidRDefault="7119B56D" w:rsidP="0E260372">
            <w:pPr>
              <w:pStyle w:val="paragraph"/>
              <w:jc w:val="both"/>
              <w:rPr>
                <w:rFonts w:ascii="Arial" w:eastAsia="Arial" w:hAnsi="Arial" w:cs="Arial"/>
                <w:b w:val="0"/>
                <w:bCs w:val="0"/>
                <w:sz w:val="22"/>
                <w:szCs w:val="22"/>
              </w:rPr>
            </w:pPr>
            <w:r w:rsidRPr="00283154">
              <w:rPr>
                <w:rFonts w:ascii="Arial" w:eastAsia="Arial" w:hAnsi="Arial" w:cs="Arial"/>
                <w:b w:val="0"/>
                <w:bCs w:val="0"/>
                <w:sz w:val="22"/>
                <w:szCs w:val="22"/>
              </w:rPr>
              <w:t>Children and Families Act (2014)</w:t>
            </w:r>
          </w:p>
        </w:tc>
        <w:tc>
          <w:tcPr>
            <w:tcW w:w="3005" w:type="dxa"/>
          </w:tcPr>
          <w:p w14:paraId="78224B07" w14:textId="363EC46B" w:rsidR="25F2779B" w:rsidRDefault="7119B56D" w:rsidP="0E260372">
            <w:pPr>
              <w:pStyle w:val="paragraph"/>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E260372">
              <w:rPr>
                <w:rFonts w:ascii="Arial" w:eastAsia="Arial" w:hAnsi="Arial" w:cs="Arial"/>
                <w:sz w:val="22"/>
                <w:szCs w:val="22"/>
              </w:rPr>
              <w:t>Child welfare and protection</w:t>
            </w:r>
          </w:p>
        </w:tc>
        <w:tc>
          <w:tcPr>
            <w:tcW w:w="3005" w:type="dxa"/>
          </w:tcPr>
          <w:p w14:paraId="2263C86C" w14:textId="072C8AAA" w:rsidR="28F3A4F9" w:rsidRDefault="1B9F5EB4" w:rsidP="0E260372">
            <w:pPr>
              <w:pStyle w:val="paragraph"/>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0E260372">
              <w:rPr>
                <w:rFonts w:ascii="Arial" w:eastAsia="Arial" w:hAnsi="Arial" w:cs="Arial"/>
                <w:sz w:val="22"/>
                <w:szCs w:val="22"/>
              </w:rPr>
              <w:t>Encourages collaborative efforts among schools, social services and local authorities for vulnerable kids.</w:t>
            </w:r>
          </w:p>
        </w:tc>
      </w:tr>
    </w:tbl>
    <w:p w14:paraId="5C986225" w14:textId="27C3242A" w:rsidR="5C95741F" w:rsidRDefault="5C95741F" w:rsidP="0E260372">
      <w:pPr>
        <w:pStyle w:val="paragraph"/>
        <w:spacing w:before="0" w:beforeAutospacing="0" w:after="0" w:afterAutospacing="0" w:line="360" w:lineRule="auto"/>
        <w:jc w:val="both"/>
        <w:rPr>
          <w:rStyle w:val="eop"/>
          <w:rFonts w:ascii="Aptos" w:eastAsia="Calibri Light" w:hAnsi="Aptos" w:cs="Arial"/>
          <w:color w:val="0F4761"/>
        </w:rPr>
      </w:pPr>
    </w:p>
    <w:p w14:paraId="67B29BE6" w14:textId="359002D4" w:rsidR="00BD2909" w:rsidRDefault="00BD2909" w:rsidP="0E260372">
      <w:pPr>
        <w:pStyle w:val="paragraph"/>
        <w:jc w:val="both"/>
        <w:rPr>
          <w:rFonts w:ascii="Arial" w:eastAsia="Arial" w:hAnsi="Arial" w:cs="Arial"/>
        </w:rPr>
      </w:pPr>
      <w:r w:rsidRPr="0E260372">
        <w:rPr>
          <w:rStyle w:val="eop"/>
          <w:rFonts w:ascii="Arial" w:eastAsia="Arial" w:hAnsi="Arial" w:cs="Arial"/>
        </w:rPr>
        <w:t> </w:t>
      </w:r>
      <w:r w:rsidR="3E61C57E" w:rsidRPr="0E260372">
        <w:rPr>
          <w:rFonts w:ascii="Arial" w:eastAsia="Arial" w:hAnsi="Arial" w:cs="Arial"/>
        </w:rPr>
        <w:t>The UK's Perspective on Adolescent Substance Misuse</w:t>
      </w:r>
    </w:p>
    <w:p w14:paraId="317E82C1" w14:textId="060914AF" w:rsidR="7AF6F819" w:rsidRDefault="7AF6F819" w:rsidP="0E260372">
      <w:pPr>
        <w:rPr>
          <w:rFonts w:ascii="Arial" w:eastAsia="Arial" w:hAnsi="Arial" w:cs="Arial"/>
          <w:b/>
          <w:bCs/>
        </w:rPr>
      </w:pPr>
      <w:r w:rsidRPr="0E260372">
        <w:rPr>
          <w:rFonts w:ascii="Arial" w:eastAsia="Arial" w:hAnsi="Arial" w:cs="Arial"/>
        </w:rPr>
        <w:t>Adolescent substance misuse remains a major public health and social issue in the United Kingdom. Although the overall prevalence of drug use among 13 to 18-year-olds has decreased modestly over the last two decades, current research indicates a revival in experimenting, notably with cannabis, nitrous oxide and vaping goods. The Smoking, Drinking and Drug Use among Young People in England report (2021) discovered that 18% of teenagers had used drugs in the preceding year, with cannabis being the most often used substance</w:t>
      </w:r>
      <w:r w:rsidR="6677B420" w:rsidRPr="0E260372">
        <w:rPr>
          <w:rFonts w:ascii="Roboto" w:eastAsia="Roboto" w:hAnsi="Roboto" w:cs="Roboto"/>
          <w:color w:val="2C3E50"/>
        </w:rPr>
        <w:t xml:space="preserve"> </w:t>
      </w:r>
      <w:r w:rsidR="6677B420" w:rsidRPr="0E260372">
        <w:rPr>
          <w:rFonts w:ascii="Arial" w:eastAsia="Arial" w:hAnsi="Arial" w:cs="Arial"/>
        </w:rPr>
        <w:t>(Office for Health Improvement &amp; Disparities, 2024)</w:t>
      </w:r>
      <w:r w:rsidRPr="0E260372">
        <w:rPr>
          <w:rFonts w:ascii="Arial" w:eastAsia="Arial" w:hAnsi="Arial" w:cs="Arial"/>
        </w:rPr>
        <w:t xml:space="preserve">. These data highlight the persistent importance of youth substance abuse in the public health discourse. </w:t>
      </w:r>
    </w:p>
    <w:p w14:paraId="43AFC32F" w14:textId="3D885BA3" w:rsidR="479D6B9B" w:rsidRDefault="479D6B9B" w:rsidP="0E260372">
      <w:pPr>
        <w:rPr>
          <w:rFonts w:ascii="Arial" w:eastAsia="Arial" w:hAnsi="Arial" w:cs="Arial"/>
          <w:sz w:val="24"/>
          <w:szCs w:val="24"/>
        </w:rPr>
      </w:pPr>
      <w:r w:rsidRPr="0E260372">
        <w:rPr>
          <w:rFonts w:ascii="Arial" w:eastAsia="Arial" w:hAnsi="Arial" w:cs="Arial"/>
          <w:sz w:val="24"/>
          <w:szCs w:val="24"/>
        </w:rPr>
        <w:t>Legal and Policy Structure</w:t>
      </w:r>
    </w:p>
    <w:p w14:paraId="5078DD6E" w14:textId="3050BA9A" w:rsidR="3FDC8D06" w:rsidRDefault="3FDC8D06" w:rsidP="0E260372">
      <w:r w:rsidRPr="0E260372">
        <w:rPr>
          <w:rFonts w:ascii="Arial" w:eastAsia="Arial" w:hAnsi="Arial" w:cs="Arial"/>
        </w:rPr>
        <w:t>Public health initiatives and legislative constraints work together to create the UK's approach to substance abuse. The Misuse of Drugs Act 1971, which classifies restricted substances and establishes penalties for possession and supply, remains the foundation of UK drug policy. While historically punishing, new policy changes have prioritised prevention and education</w:t>
      </w:r>
      <w:r w:rsidR="7AF35F75" w:rsidRPr="0E260372">
        <w:rPr>
          <w:rFonts w:ascii="Arial" w:eastAsia="Arial" w:hAnsi="Arial" w:cs="Arial"/>
        </w:rPr>
        <w:t xml:space="preserve"> (Flacks, 2019)</w:t>
      </w:r>
      <w:r w:rsidRPr="0E260372">
        <w:rPr>
          <w:rFonts w:ascii="Arial" w:eastAsia="Arial" w:hAnsi="Arial" w:cs="Arial"/>
        </w:rPr>
        <w:t>.</w:t>
      </w:r>
    </w:p>
    <w:p w14:paraId="05E26999" w14:textId="2FF7537F" w:rsidR="3FDC8D06" w:rsidRDefault="3FDC8D06" w:rsidP="0E260372">
      <w:r w:rsidRPr="0E260372">
        <w:rPr>
          <w:rFonts w:ascii="Arial" w:eastAsia="Arial" w:hAnsi="Arial" w:cs="Arial"/>
        </w:rPr>
        <w:t xml:space="preserve"> The UK government's 10-Year Drug Strategy (2021) prioritises disrupting drug supply networks while dramatically expanding spending in treatment and recovery services. </w:t>
      </w:r>
      <w:r w:rsidR="0B638E13" w:rsidRPr="0E260372">
        <w:rPr>
          <w:rFonts w:ascii="Arial" w:eastAsia="Arial" w:hAnsi="Arial" w:cs="Arial"/>
        </w:rPr>
        <w:t xml:space="preserve"> As reported by (Holland et al., 2023) a</w:t>
      </w:r>
      <w:r w:rsidRPr="0E260372">
        <w:rPr>
          <w:rFonts w:ascii="Arial" w:eastAsia="Arial" w:hAnsi="Arial" w:cs="Arial"/>
        </w:rPr>
        <w:t xml:space="preserve"> total of £532 million has been set aside to improve treatment provision, including early intervention services geared exclusively for young people, with the goal of protecting vulnerable adolescents.</w:t>
      </w:r>
    </w:p>
    <w:p w14:paraId="17AD85FD" w14:textId="084DEAE3" w:rsidR="3FDC8D06" w:rsidRDefault="3FDC8D06" w:rsidP="0E260372">
      <w:r w:rsidRPr="0E260372">
        <w:rPr>
          <w:rFonts w:ascii="Arial" w:eastAsia="Arial" w:hAnsi="Arial" w:cs="Arial"/>
        </w:rPr>
        <w:lastRenderedPageBreak/>
        <w:t>Furthermore, the Children and Families Act of 2014 and the Working Together to Safeguard Children (2018) statutory recommendations require coordinated efforts across schools, social agencies and local governments to identify and support at-risk adolescents early on</w:t>
      </w:r>
      <w:r w:rsidR="64F8F800" w:rsidRPr="0E260372">
        <w:rPr>
          <w:rFonts w:ascii="Arial" w:eastAsia="Arial" w:hAnsi="Arial" w:cs="Arial"/>
        </w:rPr>
        <w:t xml:space="preserve"> (</w:t>
      </w:r>
      <w:proofErr w:type="spellStart"/>
      <w:r w:rsidR="64F8F800" w:rsidRPr="0E260372">
        <w:rPr>
          <w:rFonts w:ascii="Arial" w:eastAsia="Arial" w:hAnsi="Arial" w:cs="Arial"/>
        </w:rPr>
        <w:t>Baginsky</w:t>
      </w:r>
      <w:proofErr w:type="spellEnd"/>
      <w:r w:rsidR="64F8F800" w:rsidRPr="0E260372">
        <w:rPr>
          <w:rFonts w:ascii="Arial" w:eastAsia="Arial" w:hAnsi="Arial" w:cs="Arial"/>
        </w:rPr>
        <w:t>, 2022)</w:t>
      </w:r>
      <w:r w:rsidRPr="0E260372">
        <w:rPr>
          <w:rFonts w:ascii="Arial" w:eastAsia="Arial" w:hAnsi="Arial" w:cs="Arial"/>
        </w:rPr>
        <w:t>. These frameworks reflect a trend towards more integrated, health-focused methods within the larger safeguarding and youth welfare agenda.</w:t>
      </w:r>
    </w:p>
    <w:p w14:paraId="1DCFCA8F" w14:textId="1A43FF95" w:rsidR="3EA7198C" w:rsidRDefault="3EA7198C" w:rsidP="0E260372">
      <w:pPr>
        <w:rPr>
          <w:rFonts w:ascii="Arial" w:eastAsia="Arial" w:hAnsi="Arial" w:cs="Arial"/>
          <w:sz w:val="24"/>
          <w:szCs w:val="24"/>
        </w:rPr>
      </w:pPr>
      <w:r w:rsidRPr="0E260372">
        <w:rPr>
          <w:rFonts w:ascii="Arial" w:eastAsia="Arial" w:hAnsi="Arial" w:cs="Arial"/>
          <w:sz w:val="24"/>
          <w:szCs w:val="24"/>
        </w:rPr>
        <w:t>Local Context</w:t>
      </w:r>
    </w:p>
    <w:p w14:paraId="03C365AB" w14:textId="3E09514F" w:rsidR="3EA7198C" w:rsidRDefault="3EA7198C" w:rsidP="0E260372">
      <w:pPr>
        <w:rPr>
          <w:rFonts w:ascii="Arial" w:eastAsia="Arial" w:hAnsi="Arial" w:cs="Arial"/>
        </w:rPr>
      </w:pPr>
      <w:r w:rsidRPr="0E260372">
        <w:rPr>
          <w:rFonts w:ascii="Arial" w:eastAsia="Arial" w:hAnsi="Arial" w:cs="Arial"/>
        </w:rPr>
        <w:t xml:space="preserve"> Local approaches to adolescent substance usage differ across England's regions, affected by demography, funds accessibility and local authority goals. Local governments oversee commissioning public health services, which include substance abuse support provided by youth services and health teams. Many towns run integrated services, such as Young People's Drug and Alcohol Services (YPDAS), which offer customised interventions such counselling, harm reduction measures and family-based therapies</w:t>
      </w:r>
      <w:r w:rsidR="4541DDC8" w:rsidRPr="0E260372">
        <w:rPr>
          <w:rFonts w:ascii="Arial" w:eastAsia="Arial" w:hAnsi="Arial" w:cs="Arial"/>
        </w:rPr>
        <w:t xml:space="preserve"> (Alderson et al., 2019)</w:t>
      </w:r>
      <w:r w:rsidRPr="0E260372">
        <w:rPr>
          <w:rFonts w:ascii="Arial" w:eastAsia="Arial" w:hAnsi="Arial" w:cs="Arial"/>
        </w:rPr>
        <w:t>.</w:t>
      </w:r>
    </w:p>
    <w:p w14:paraId="019A12C3" w14:textId="69C34CE7" w:rsidR="5B7BF8A8" w:rsidRDefault="5B7BF8A8" w:rsidP="0E260372">
      <w:r w:rsidRPr="0E260372">
        <w:rPr>
          <w:rFonts w:ascii="Arial" w:eastAsia="Arial" w:hAnsi="Arial" w:cs="Arial"/>
        </w:rPr>
        <w:t>Targeted initiatives, such as Rescue and Response in cities like London and Manchester, have evolved in response to increased youth vulnerability caused by socioeconomic disadvantage and gang membership. These programmes seek to prevent exploitation and provide holistic, all-encompassing help to at-risk youth. In contrast, rural communities may encounter obstacles due to limited financing and service availability, resulting in delays or discrepancies in early access to care and treatment</w:t>
      </w:r>
      <w:r w:rsidR="32BDE7EC" w:rsidRPr="0E260372">
        <w:rPr>
          <w:rFonts w:ascii="Arial" w:eastAsia="Arial" w:hAnsi="Arial" w:cs="Arial"/>
        </w:rPr>
        <w:t xml:space="preserve"> (MacGregor and Thickett 2011</w:t>
      </w:r>
      <w:r w:rsidR="622E52B0" w:rsidRPr="0E260372">
        <w:rPr>
          <w:rFonts w:ascii="Arial" w:eastAsia="Arial" w:hAnsi="Arial" w:cs="Arial"/>
        </w:rPr>
        <w:t xml:space="preserve">, </w:t>
      </w:r>
      <w:proofErr w:type="spellStart"/>
      <w:r w:rsidR="622E52B0" w:rsidRPr="0E260372">
        <w:rPr>
          <w:rFonts w:ascii="Arial" w:eastAsia="Arial" w:hAnsi="Arial" w:cs="Arial"/>
        </w:rPr>
        <w:t>Sumnall</w:t>
      </w:r>
      <w:proofErr w:type="spellEnd"/>
      <w:r w:rsidR="622E52B0" w:rsidRPr="0E260372">
        <w:rPr>
          <w:rFonts w:ascii="Arial" w:eastAsia="Arial" w:hAnsi="Arial" w:cs="Arial"/>
        </w:rPr>
        <w:t>, 2022</w:t>
      </w:r>
      <w:r w:rsidR="32BDE7EC" w:rsidRPr="0E260372">
        <w:rPr>
          <w:rFonts w:ascii="Arial" w:eastAsia="Arial" w:hAnsi="Arial" w:cs="Arial"/>
        </w:rPr>
        <w:t>)</w:t>
      </w:r>
      <w:r w:rsidRPr="0E260372">
        <w:rPr>
          <w:rFonts w:ascii="Arial" w:eastAsia="Arial" w:hAnsi="Arial" w:cs="Arial"/>
        </w:rPr>
        <w:t>.</w:t>
      </w:r>
    </w:p>
    <w:p w14:paraId="0193E3F8" w14:textId="0EC850BA" w:rsidR="5B7BF8A8" w:rsidRDefault="5B7BF8A8" w:rsidP="0E260372">
      <w:r w:rsidRPr="0E260372">
        <w:rPr>
          <w:rFonts w:ascii="Arial" w:eastAsia="Arial" w:hAnsi="Arial" w:cs="Arial"/>
        </w:rPr>
        <w:t xml:space="preserve"> Overall, the national and local UK context displays a dual strategy that combines enforcement with a rising acknowledgement of substance abuse as a public health and social care concern. Nonetheless, regional differences in service provision and performance remain a key impediment to providing equitable support to young people across the country.</w:t>
      </w:r>
    </w:p>
    <w:p w14:paraId="18790701" w14:textId="1E642DD8" w:rsidR="03C2D0BC" w:rsidRDefault="03C2D0BC" w:rsidP="0E260372">
      <w:r w:rsidRPr="0E260372">
        <w:rPr>
          <w:rFonts w:ascii="Arial" w:eastAsia="Arial" w:hAnsi="Arial" w:cs="Arial"/>
        </w:rPr>
        <w:t>These regional variances highlight the significance of implementing a more egalitarian, multi-agency strategy that integrates public health, education and social care. Recognising substance abuse as a public health and social justice issue leads to a better understanding of how structural inequity increases risk among young people.</w:t>
      </w:r>
    </w:p>
    <w:p w14:paraId="09099AFE" w14:textId="77777777" w:rsidR="00BD2909" w:rsidRPr="00F44833" w:rsidRDefault="00BD2909" w:rsidP="0E260372">
      <w:pPr>
        <w:pStyle w:val="paragraph"/>
        <w:spacing w:before="0" w:beforeAutospacing="0" w:after="0" w:afterAutospacing="0" w:line="360" w:lineRule="auto"/>
        <w:ind w:left="1080"/>
        <w:jc w:val="both"/>
        <w:textAlignment w:val="baseline"/>
        <w:rPr>
          <w:rFonts w:ascii="Aptos" w:hAnsi="Aptos" w:cs="Segoe UI"/>
          <w:sz w:val="16"/>
          <w:szCs w:val="16"/>
        </w:rPr>
      </w:pPr>
      <w:r w:rsidRPr="0E260372">
        <w:rPr>
          <w:rStyle w:val="eop"/>
          <w:rFonts w:ascii="Aptos" w:eastAsia="Calibri Light" w:hAnsi="Aptos" w:cs="Arial"/>
          <w:sz w:val="22"/>
          <w:szCs w:val="22"/>
        </w:rPr>
        <w:t> </w:t>
      </w:r>
    </w:p>
    <w:p w14:paraId="508BC363" w14:textId="75AE1513" w:rsidR="00BD2909" w:rsidRPr="00F44833" w:rsidRDefault="00BD2909" w:rsidP="00D970DE">
      <w:pPr>
        <w:pStyle w:val="Heading2"/>
        <w:rPr>
          <w:rStyle w:val="eop"/>
          <w:rFonts w:ascii="Arial" w:eastAsia="Arial" w:hAnsi="Arial" w:cs="Arial"/>
        </w:rPr>
      </w:pPr>
      <w:r w:rsidRPr="359E9537">
        <w:rPr>
          <w:rStyle w:val="normaltextrun"/>
          <w:rFonts w:ascii="Arial" w:eastAsia="Arial" w:hAnsi="Arial" w:cs="Arial"/>
        </w:rPr>
        <w:t xml:space="preserve">2.6 Conclusion </w:t>
      </w:r>
    </w:p>
    <w:p w14:paraId="28BD309F" w14:textId="7BB4F84E" w:rsidR="77B26662" w:rsidRDefault="77B26662" w:rsidP="0E260372">
      <w:pPr>
        <w:spacing w:after="0"/>
        <w:rPr>
          <w:rFonts w:ascii="Arial" w:eastAsia="Arial" w:hAnsi="Arial" w:cs="Arial"/>
        </w:rPr>
      </w:pPr>
      <w:r w:rsidRPr="0E260372">
        <w:rPr>
          <w:rFonts w:ascii="Arial" w:eastAsia="Arial" w:hAnsi="Arial" w:cs="Arial"/>
        </w:rPr>
        <w:t xml:space="preserve">This chapter provided a comprehensive overview of adolescent substance addiction from historical, theoretical, international and national/local perspectives. It has demonstrated how shifting societal views and regulatory frameworks, such as the Misuse of Drugs Act of 1971 and evolving safeguarding policies, have impacted youth-focused interventions (Flacks, 2018). Theoretical approaches such as Social Learning Theory and Ecological Systems Theory have also shed light on the complex social and environmental factors that influence teenage </w:t>
      </w:r>
      <w:r w:rsidRPr="0E260372">
        <w:rPr>
          <w:rFonts w:ascii="Arial" w:eastAsia="Arial" w:hAnsi="Arial" w:cs="Arial"/>
        </w:rPr>
        <w:lastRenderedPageBreak/>
        <w:t>substance use. Comparative international approaches emphasised the importance of integrated, early intervention techniques.</w:t>
      </w:r>
    </w:p>
    <w:p w14:paraId="28A8D7AB" w14:textId="4ED3EAC8" w:rsidR="4D540996" w:rsidRDefault="4D540996" w:rsidP="0E260372">
      <w:pPr>
        <w:spacing w:after="0"/>
        <w:rPr>
          <w:rFonts w:ascii="Arial" w:eastAsia="Arial" w:hAnsi="Arial" w:cs="Arial"/>
          <w:sz w:val="24"/>
          <w:szCs w:val="24"/>
        </w:rPr>
      </w:pPr>
      <w:r w:rsidRPr="0E260372">
        <w:rPr>
          <w:rFonts w:ascii="Arial" w:eastAsia="Arial" w:hAnsi="Arial" w:cs="Arial"/>
          <w:sz w:val="24"/>
          <w:szCs w:val="24"/>
        </w:rPr>
        <w:t>Signpost to next chapter</w:t>
      </w:r>
    </w:p>
    <w:p w14:paraId="407ABDAE" w14:textId="0AC4F53E" w:rsidR="00880B2D" w:rsidRDefault="4D540996" w:rsidP="0E260372">
      <w:pPr>
        <w:spacing w:after="0"/>
        <w:sectPr w:rsidR="00880B2D">
          <w:headerReference w:type="default" r:id="rId12"/>
          <w:footerReference w:type="default" r:id="rId13"/>
          <w:pgSz w:w="11906" w:h="16838"/>
          <w:pgMar w:top="1440" w:right="1440" w:bottom="1440" w:left="1440" w:header="708" w:footer="708" w:gutter="0"/>
          <w:cols w:space="708"/>
          <w:docGrid w:linePitch="360"/>
        </w:sectPr>
      </w:pPr>
      <w:r w:rsidRPr="0E260372">
        <w:rPr>
          <w:rFonts w:ascii="Arial" w:eastAsia="Arial" w:hAnsi="Arial" w:cs="Arial"/>
        </w:rPr>
        <w:t>The methodology for the study will be described in the following chapter, along with research design, sample and ethical considerations. Building on the contextual groundwork laid here, Chapter 3 will explain how this background influenced the methodologies used and justified the study's focus on the structural and psychosocial aspects of adolescent substance use in England.</w:t>
      </w:r>
    </w:p>
    <w:p w14:paraId="26E98DFC" w14:textId="1F612C3E" w:rsidR="00292A36" w:rsidRPr="00292A36" w:rsidRDefault="00292A36" w:rsidP="0E260372">
      <w:pPr>
        <w:pStyle w:val="Heading1"/>
        <w:ind w:left="0"/>
        <w:rPr>
          <w:rFonts w:eastAsia="Arial" w:cs="Arial"/>
        </w:rPr>
      </w:pPr>
    </w:p>
    <w:p w14:paraId="398427E3" w14:textId="7B10B407" w:rsidR="00292A36" w:rsidRPr="00292A36" w:rsidRDefault="00292A36" w:rsidP="0E260372">
      <w:pPr>
        <w:pStyle w:val="Heading1"/>
        <w:ind w:left="0"/>
        <w:rPr>
          <w:rFonts w:eastAsia="Arial" w:cs="Arial"/>
        </w:rPr>
      </w:pPr>
      <w:r w:rsidRPr="359E9537">
        <w:rPr>
          <w:rFonts w:eastAsia="Arial" w:cs="Arial"/>
        </w:rPr>
        <w:t xml:space="preserve">CHAPTER 3 – </w:t>
      </w:r>
      <w:r w:rsidR="00E325CF" w:rsidRPr="359E9537">
        <w:rPr>
          <w:rFonts w:eastAsia="Arial" w:cs="Arial"/>
        </w:rPr>
        <w:t>Methods and Search Strategy</w:t>
      </w:r>
    </w:p>
    <w:p w14:paraId="1C61F034" w14:textId="4B733750" w:rsidR="005B3EDE" w:rsidRPr="005B3EDE" w:rsidRDefault="00292A36" w:rsidP="00BE7CCB">
      <w:pPr>
        <w:pStyle w:val="Heading2"/>
      </w:pPr>
      <w:r>
        <w:t>3.</w:t>
      </w:r>
      <w:r w:rsidR="005D7A1E">
        <w:t>1</w:t>
      </w:r>
      <w:r>
        <w:t xml:space="preserve"> </w:t>
      </w:r>
      <w:r w:rsidR="04289B40">
        <w:t>Introduction</w:t>
      </w:r>
    </w:p>
    <w:p w14:paraId="12EDC25C" w14:textId="2B2BF98B" w:rsidR="005B3EDE" w:rsidRPr="005B3EDE" w:rsidRDefault="04289B40" w:rsidP="0E260372">
      <w:pPr>
        <w:rPr>
          <w:rFonts w:ascii="Arial" w:eastAsia="Arial" w:hAnsi="Arial" w:cs="Arial"/>
        </w:rPr>
      </w:pPr>
      <w:r w:rsidRPr="0E260372">
        <w:rPr>
          <w:rFonts w:ascii="Arial" w:eastAsia="Arial" w:hAnsi="Arial" w:cs="Arial"/>
        </w:rPr>
        <w:t>This</w:t>
      </w:r>
      <w:r w:rsidR="689C220A" w:rsidRPr="0E260372">
        <w:rPr>
          <w:rFonts w:ascii="Arial" w:eastAsia="Arial" w:hAnsi="Arial" w:cs="Arial"/>
        </w:rPr>
        <w:t xml:space="preserve"> chapter describes the methodological approaches used to perform this secondary, desk-based study on adolescent substance consumption in England. It builds on the Academic Methodology Poster, which offered a visual overview of the study design, by detailing the search strategy, inclusion and exclusion criteria, data validation and theme analysis methodology</w:t>
      </w:r>
      <w:r w:rsidR="45AB236E" w:rsidRPr="0E260372">
        <w:rPr>
          <w:rFonts w:ascii="Arial" w:eastAsia="Arial" w:hAnsi="Arial" w:cs="Arial"/>
        </w:rPr>
        <w:t xml:space="preserve"> (Hayley Alderson et al.,2020)</w:t>
      </w:r>
      <w:r w:rsidR="689C220A" w:rsidRPr="0E260372">
        <w:rPr>
          <w:rFonts w:ascii="Arial" w:eastAsia="Arial" w:hAnsi="Arial" w:cs="Arial"/>
        </w:rPr>
        <w:t>. The selected literature-based methodology allows for a thorough synthesis of available facts and theoretical views. These strategies are vital for identifying and critically evaluating sources that inform the thematic findings reported in Chapter 4, as well as maintaining methodological transparency and academic rigour throughout the research process.</w:t>
      </w:r>
    </w:p>
    <w:p w14:paraId="26D57E1D" w14:textId="32AEAAA8" w:rsidR="00B575E2" w:rsidRDefault="00292A36" w:rsidP="00BE7CCB">
      <w:pPr>
        <w:pStyle w:val="Heading2"/>
      </w:pPr>
      <w:r>
        <w:t>3.</w:t>
      </w:r>
      <w:r w:rsidR="00E40B0D">
        <w:t>2</w:t>
      </w:r>
      <w:r>
        <w:t xml:space="preserve"> Search Strategy</w:t>
      </w:r>
    </w:p>
    <w:p w14:paraId="5F861701" w14:textId="5BB333FC" w:rsidR="00B575E2" w:rsidRDefault="11404875" w:rsidP="0E260372">
      <w:pPr>
        <w:rPr>
          <w:rFonts w:ascii="Arial" w:eastAsia="Arial" w:hAnsi="Arial" w:cs="Arial"/>
        </w:rPr>
      </w:pPr>
      <w:r w:rsidRPr="0E260372">
        <w:rPr>
          <w:rFonts w:ascii="Arial" w:eastAsia="Arial" w:hAnsi="Arial" w:cs="Arial"/>
        </w:rPr>
        <w:t xml:space="preserve">The search approach was carefully planned to uncover relevant scholarly material on adolescent substance misuse in England. Keywords were created based on the research topic and objectives, including "adolescent substance use," "youth drug misuse," "teenage alcohol consumption," and "risk factors." Professional and technical synonyms such as "young people," "substance abuse," and "public health interventions" were also used to ensure thorough coverage. Boolean operators were strategically used, with 'AND' combining related notions and ''OR'' including differences in language. An organised search strategy was followed, with keyword combinations and search strings documented to enable a transparent and </w:t>
      </w:r>
      <w:r w:rsidR="366D3E4B" w:rsidRPr="0E260372">
        <w:rPr>
          <w:rFonts w:ascii="Arial" w:eastAsia="Arial" w:hAnsi="Arial" w:cs="Arial"/>
        </w:rPr>
        <w:t>replica effective to</w:t>
      </w:r>
      <w:r w:rsidRPr="0E260372">
        <w:rPr>
          <w:rFonts w:ascii="Arial" w:eastAsia="Arial" w:hAnsi="Arial" w:cs="Arial"/>
        </w:rPr>
        <w:t xml:space="preserve"> research process. </w:t>
      </w:r>
    </w:p>
    <w:p w14:paraId="57AFDE7A" w14:textId="75CD3632" w:rsidR="00B575E2" w:rsidRDefault="67BA8334" w:rsidP="00BE7CCB">
      <w:pPr>
        <w:pStyle w:val="Heading2"/>
      </w:pPr>
      <w:r>
        <w:t>3.</w:t>
      </w:r>
      <w:r w:rsidR="6A7E4814">
        <w:t xml:space="preserve">3 </w:t>
      </w:r>
      <w:r w:rsidR="00292A36">
        <w:t>Searching for Information</w:t>
      </w:r>
    </w:p>
    <w:p w14:paraId="0E352A91" w14:textId="4443A545" w:rsidR="632D96C1" w:rsidRDefault="632D96C1" w:rsidP="0E260372">
      <w:pPr>
        <w:rPr>
          <w:rFonts w:ascii="Arial" w:eastAsia="Arial" w:hAnsi="Arial" w:cs="Arial"/>
        </w:rPr>
      </w:pPr>
      <w:r w:rsidRPr="0E260372">
        <w:rPr>
          <w:rFonts w:ascii="Arial" w:eastAsia="Arial" w:hAnsi="Arial" w:cs="Arial"/>
        </w:rPr>
        <w:t xml:space="preserve">To ensure the inclusion of legitimate, peer-reviewed and evidence-based literature, the search was carried out methodically across respected academic databases such as Google Scholar, PubMed, the UWTSD Library database, and Science Direct (as recommended by </w:t>
      </w:r>
      <w:r w:rsidR="3B79FE02" w:rsidRPr="0E260372">
        <w:rPr>
          <w:rFonts w:ascii="Arial" w:eastAsia="Arial" w:hAnsi="Arial" w:cs="Arial"/>
        </w:rPr>
        <w:t>Cooper et al., 2017)</w:t>
      </w:r>
      <w:r w:rsidRPr="0E260372">
        <w:rPr>
          <w:rFonts w:ascii="Arial" w:eastAsia="Arial" w:hAnsi="Arial" w:cs="Arial"/>
        </w:rPr>
        <w:t xml:space="preserve">. These platforms were selected due to their broad coverage of social science, psychology and public health studies on substance abuse among adolescents (as noted by </w:t>
      </w:r>
      <w:r w:rsidR="3C0E73C5" w:rsidRPr="0E260372">
        <w:rPr>
          <w:rFonts w:ascii="Arial" w:eastAsia="Arial" w:hAnsi="Arial" w:cs="Arial"/>
        </w:rPr>
        <w:t>Nath et al., 2022)</w:t>
      </w:r>
      <w:r w:rsidRPr="0E260372">
        <w:rPr>
          <w:rFonts w:ascii="Arial" w:eastAsia="Arial" w:hAnsi="Arial" w:cs="Arial"/>
        </w:rPr>
        <w:t>. Supplementary grey literature from Public Health England, NHS England, the Office for Health Improvement and Disparities, and other UK government policy documents were also reviewed to provide a contemporary and practice-oriented perspective (according to Public Health England, 20</w:t>
      </w:r>
      <w:r w:rsidR="6AF7B8D0" w:rsidRPr="0E260372">
        <w:rPr>
          <w:rFonts w:ascii="Arial" w:eastAsia="Arial" w:hAnsi="Arial" w:cs="Arial"/>
        </w:rPr>
        <w:t>15</w:t>
      </w:r>
      <w:r w:rsidRPr="0E260372">
        <w:rPr>
          <w:rFonts w:ascii="Arial" w:eastAsia="Arial" w:hAnsi="Arial" w:cs="Arial"/>
        </w:rPr>
        <w:t>).</w:t>
      </w:r>
    </w:p>
    <w:p w14:paraId="2295362C" w14:textId="1C82BDA7" w:rsidR="632D96C1" w:rsidRDefault="632D96C1" w:rsidP="0E260372">
      <w:pPr>
        <w:rPr>
          <w:rFonts w:ascii="Arial" w:eastAsia="Arial" w:hAnsi="Arial" w:cs="Arial"/>
        </w:rPr>
      </w:pPr>
      <w:r w:rsidRPr="0E260372">
        <w:rPr>
          <w:rFonts w:ascii="Arial" w:eastAsia="Arial" w:hAnsi="Arial" w:cs="Arial"/>
        </w:rPr>
        <w:t xml:space="preserve">To ensure current relevance, filters were used to narrow the results, limiting the materials to peer-reviewed English-language research published between 2010 and </w:t>
      </w:r>
      <w:r w:rsidR="72D7700F" w:rsidRPr="0E260372">
        <w:rPr>
          <w:rFonts w:ascii="Arial" w:eastAsia="Arial" w:hAnsi="Arial" w:cs="Arial"/>
        </w:rPr>
        <w:t>2024.</w:t>
      </w:r>
      <w:r w:rsidRPr="0E260372">
        <w:rPr>
          <w:rFonts w:ascii="Arial" w:eastAsia="Arial" w:hAnsi="Arial" w:cs="Arial"/>
        </w:rPr>
        <w:t xml:space="preserve"> Searches were further restricted to UK-based studies whenever feasible to conform to the dissertation's </w:t>
      </w:r>
      <w:r w:rsidRPr="0E260372">
        <w:rPr>
          <w:rFonts w:ascii="Arial" w:eastAsia="Arial" w:hAnsi="Arial" w:cs="Arial"/>
        </w:rPr>
        <w:lastRenderedPageBreak/>
        <w:t>national focus. However, research from foreign sources was mainly excluded, which may limit comparative understanding and lessen the broader applicability of findings</w:t>
      </w:r>
      <w:r w:rsidR="0002E182" w:rsidRPr="0E260372">
        <w:rPr>
          <w:rFonts w:ascii="Arial" w:eastAsia="Arial" w:hAnsi="Arial" w:cs="Arial"/>
        </w:rPr>
        <w:t xml:space="preserve"> </w:t>
      </w:r>
      <w:r w:rsidRPr="0E260372">
        <w:rPr>
          <w:rFonts w:ascii="Arial" w:eastAsia="Arial" w:hAnsi="Arial" w:cs="Arial"/>
        </w:rPr>
        <w:t>an acknowledged shortcoming of this search technique</w:t>
      </w:r>
      <w:r w:rsidR="0D2FEE42" w:rsidRPr="0E260372">
        <w:rPr>
          <w:rFonts w:ascii="Arial" w:eastAsia="Arial" w:hAnsi="Arial" w:cs="Arial"/>
        </w:rPr>
        <w:t>.</w:t>
      </w:r>
    </w:p>
    <w:p w14:paraId="7B4FB887" w14:textId="37AFC1F6" w:rsidR="632D96C1" w:rsidRDefault="632D96C1" w:rsidP="0E260372">
      <w:pPr>
        <w:rPr>
          <w:rFonts w:ascii="Arial" w:eastAsia="Arial" w:hAnsi="Arial" w:cs="Arial"/>
        </w:rPr>
      </w:pPr>
      <w:r w:rsidRPr="0E260372">
        <w:rPr>
          <w:rFonts w:ascii="Arial" w:eastAsia="Arial" w:hAnsi="Arial" w:cs="Arial"/>
        </w:rPr>
        <w:t xml:space="preserve">The search was repeatedly performed with Boolean combinations optimised for precision (e.g., "adolescent drug use England" AND "policy" OR "public health response"), following best-practice approaches in systematic reviews (as discussed by </w:t>
      </w:r>
      <w:r w:rsidR="62926D97" w:rsidRPr="0E260372">
        <w:rPr>
          <w:rFonts w:ascii="Arial" w:eastAsia="Arial" w:hAnsi="Arial" w:cs="Arial"/>
        </w:rPr>
        <w:t>Alharbi and Stevenson 2020)</w:t>
      </w:r>
      <w:r w:rsidRPr="0E260372">
        <w:rPr>
          <w:rFonts w:ascii="Arial" w:eastAsia="Arial" w:hAnsi="Arial" w:cs="Arial"/>
        </w:rPr>
        <w:t>.</w:t>
      </w:r>
      <w:r w:rsidR="237B7AE0" w:rsidRPr="0E260372">
        <w:rPr>
          <w:rFonts w:ascii="Arial" w:eastAsia="Arial" w:hAnsi="Arial" w:cs="Arial"/>
        </w:rPr>
        <w:t xml:space="preserve"> For detailed documentation of search results and keyword combinations, see Appendix B (Source Tracking Table).</w:t>
      </w:r>
    </w:p>
    <w:p w14:paraId="7661C292" w14:textId="27289C43" w:rsidR="00B575E2" w:rsidRPr="00B575E2" w:rsidRDefault="59FF335E" w:rsidP="00BE7CCB">
      <w:pPr>
        <w:pStyle w:val="Heading2"/>
      </w:pPr>
      <w:r>
        <w:t>3.4</w:t>
      </w:r>
      <w:r w:rsidR="00292A36">
        <w:t xml:space="preserve"> Research Validation </w:t>
      </w:r>
    </w:p>
    <w:p w14:paraId="60927605" w14:textId="7ADC8BD9" w:rsidR="00B575E2" w:rsidRPr="00B575E2" w:rsidRDefault="3ED01DB6" w:rsidP="0E260372">
      <w:pPr>
        <w:keepLines/>
        <w:rPr>
          <w:rFonts w:ascii="Arial" w:eastAsia="Arial" w:hAnsi="Arial" w:cs="Arial"/>
        </w:rPr>
      </w:pPr>
      <w:r w:rsidRPr="0E260372">
        <w:rPr>
          <w:rFonts w:ascii="Arial" w:eastAsia="Arial" w:hAnsi="Arial" w:cs="Arial"/>
        </w:rPr>
        <w:t>To ensure the inclusion of reputable and relevant material, each article was initially skimmed by evaluating its title, abstract, introduction and conclusion to determine its relevance to the research topic of teenage substance abuse. This first screening enabled the rapid identification of research that directly addressed policy frameworks, psychosocial issues and therapeutic options relevant to the UK context.</w:t>
      </w:r>
    </w:p>
    <w:p w14:paraId="209B1113" w14:textId="27450949" w:rsidR="00B575E2" w:rsidRPr="00B575E2" w:rsidRDefault="12B8A802" w:rsidP="0E260372">
      <w:pPr>
        <w:keepLines/>
        <w:rPr>
          <w:rFonts w:ascii="Arial" w:eastAsia="Arial" w:hAnsi="Arial" w:cs="Arial"/>
        </w:rPr>
      </w:pPr>
      <w:r w:rsidRPr="0E260372">
        <w:rPr>
          <w:rFonts w:ascii="Arial" w:eastAsia="Arial" w:hAnsi="Arial" w:cs="Arial"/>
        </w:rPr>
        <w:t>The CRAAP test (Currency, Relevance, Authority, Accuracy and Purpose) was used consistently to assess the quality of each source. Materials with high currency, relevance and authority were prioritised, particularly recent peer-reviewed articles and government policy documents.</w:t>
      </w:r>
    </w:p>
    <w:p w14:paraId="7EFE55CC" w14:textId="508F745C" w:rsidR="00B575E2" w:rsidRPr="00B575E2" w:rsidRDefault="25F7FEB5" w:rsidP="0E260372">
      <w:pPr>
        <w:keepLines/>
        <w:rPr>
          <w:rFonts w:ascii="Arial" w:eastAsia="Arial" w:hAnsi="Arial" w:cs="Arial"/>
        </w:rPr>
      </w:pPr>
      <w:r w:rsidRPr="0E260372">
        <w:rPr>
          <w:rFonts w:ascii="Arial" w:eastAsia="Arial" w:hAnsi="Arial" w:cs="Arial"/>
        </w:rPr>
        <w:t xml:space="preserve">Decisions were made based on how well a source supported public health and social care viewpoints with empirical data or theoretical understanding. According to </w:t>
      </w:r>
      <w:r w:rsidR="4AC863E0" w:rsidRPr="0E260372">
        <w:rPr>
          <w:rFonts w:ascii="Arial" w:eastAsia="Arial" w:hAnsi="Arial" w:cs="Arial"/>
        </w:rPr>
        <w:t>Lancaster (2021)</w:t>
      </w:r>
      <w:r w:rsidRPr="0E260372">
        <w:rPr>
          <w:rFonts w:ascii="Arial" w:eastAsia="Arial" w:hAnsi="Arial" w:cs="Arial"/>
        </w:rPr>
        <w:t>, having an organised and transparent validation procedure improves the dependability and academic integrity of secondary research.</w:t>
      </w:r>
      <w:r w:rsidR="1659FF87" w:rsidRPr="0E260372">
        <w:rPr>
          <w:rFonts w:ascii="Arial" w:eastAsia="Arial" w:hAnsi="Arial" w:cs="Arial"/>
        </w:rPr>
        <w:t xml:space="preserve"> A summary of validated sources is also provided in Appendix B to enhance transparency.</w:t>
      </w:r>
    </w:p>
    <w:p w14:paraId="1C1CD00C" w14:textId="39B4DFF2" w:rsidR="00B575E2" w:rsidRPr="00B575E2" w:rsidRDefault="00B575E2" w:rsidP="0E260372">
      <w:pPr>
        <w:rPr>
          <w:rFonts w:ascii="Arial" w:eastAsia="Arial" w:hAnsi="Arial" w:cs="Arial"/>
        </w:rPr>
      </w:pPr>
    </w:p>
    <w:p w14:paraId="3648E023" w14:textId="26F89DCD" w:rsidR="00B575E2" w:rsidRPr="00292A36" w:rsidRDefault="065A5AE8" w:rsidP="0E260372">
      <w:pPr>
        <w:rPr>
          <w:rFonts w:ascii="Arial" w:eastAsia="Arial" w:hAnsi="Arial" w:cs="Arial"/>
        </w:rPr>
      </w:pPr>
      <w:r w:rsidRPr="359E9537">
        <w:rPr>
          <w:rStyle w:val="Heading2Char"/>
        </w:rPr>
        <w:t>3.5</w:t>
      </w:r>
      <w:r w:rsidR="00292A36" w:rsidRPr="359E9537">
        <w:rPr>
          <w:rStyle w:val="Heading2Char"/>
        </w:rPr>
        <w:t xml:space="preserve"> Inclusion and Exclusion Criteria</w:t>
      </w:r>
      <w:r w:rsidR="00292A36" w:rsidRPr="359E9537">
        <w:rPr>
          <w:rFonts w:ascii="Arial" w:eastAsia="Arial" w:hAnsi="Arial" w:cs="Arial"/>
          <w:sz w:val="24"/>
          <w:szCs w:val="24"/>
        </w:rPr>
        <w:t xml:space="preserve"> </w:t>
      </w:r>
      <w:r w:rsidR="00292A36" w:rsidRPr="359E9537">
        <w:rPr>
          <w:rFonts w:ascii="Arial" w:eastAsia="Arial" w:hAnsi="Arial" w:cs="Arial"/>
        </w:rPr>
        <w:t xml:space="preserve"> </w:t>
      </w:r>
      <w:r>
        <w:br/>
      </w:r>
      <w:r w:rsidR="00B575E2" w:rsidRPr="359E9537">
        <w:rPr>
          <w:rFonts w:ascii="Arial" w:eastAsia="Arial" w:hAnsi="Arial" w:cs="Arial"/>
        </w:rPr>
        <w:t xml:space="preserve"> </w:t>
      </w:r>
      <w:r w:rsidR="3EBE84F7" w:rsidRPr="359E9537">
        <w:rPr>
          <w:rFonts w:ascii="Arial" w:eastAsia="Arial" w:hAnsi="Arial" w:cs="Arial"/>
        </w:rPr>
        <w:t>To preserve methodological rigour and relevance, explicit inclusion and exclusion criteria were used during the literature selection process.</w:t>
      </w:r>
    </w:p>
    <w:p w14:paraId="682C1833" w14:textId="05BBEFBF" w:rsidR="00B575E2" w:rsidRPr="00292A36" w:rsidRDefault="00B575E2" w:rsidP="0E260372">
      <w:pPr>
        <w:rPr>
          <w:rFonts w:ascii="Arial" w:eastAsia="Arial" w:hAnsi="Arial" w:cs="Arial"/>
        </w:rPr>
      </w:pPr>
    </w:p>
    <w:p w14:paraId="54144265" w14:textId="7094FF86" w:rsidR="00B575E2" w:rsidRPr="00292A36" w:rsidRDefault="3EBE84F7" w:rsidP="0E260372">
      <w:pPr>
        <w:rPr>
          <w:rFonts w:ascii="Arial" w:eastAsia="Arial" w:hAnsi="Arial" w:cs="Arial"/>
        </w:rPr>
      </w:pPr>
      <w:r w:rsidRPr="0E260372">
        <w:rPr>
          <w:rFonts w:ascii="Arial" w:eastAsia="Arial" w:hAnsi="Arial" w:cs="Arial"/>
        </w:rPr>
        <w:t xml:space="preserve"> </w:t>
      </w:r>
      <w:r w:rsidRPr="0E260372">
        <w:rPr>
          <w:rFonts w:ascii="Arial" w:eastAsia="Arial" w:hAnsi="Arial" w:cs="Arial"/>
          <w:sz w:val="24"/>
          <w:szCs w:val="24"/>
        </w:rPr>
        <w:t xml:space="preserve">Inclusion Criteria </w:t>
      </w:r>
    </w:p>
    <w:p w14:paraId="533573DE" w14:textId="67A98E14" w:rsidR="00B575E2" w:rsidRPr="00292A36" w:rsidRDefault="3EBE84F7" w:rsidP="0E260372">
      <w:pPr>
        <w:rPr>
          <w:rFonts w:ascii="Arial" w:eastAsia="Arial" w:hAnsi="Arial" w:cs="Arial"/>
        </w:rPr>
      </w:pPr>
      <w:r w:rsidRPr="0E260372">
        <w:rPr>
          <w:rFonts w:ascii="Arial" w:eastAsia="Arial" w:hAnsi="Arial" w:cs="Arial"/>
        </w:rPr>
        <w:t xml:space="preserve">The review included peer-reviewed academic papers, government and organisation reports, and policy documents published between 2010 and 2024. Priority was given to studies </w:t>
      </w:r>
      <w:r w:rsidRPr="0E260372">
        <w:rPr>
          <w:rFonts w:ascii="Arial" w:eastAsia="Arial" w:hAnsi="Arial" w:cs="Arial"/>
        </w:rPr>
        <w:lastRenderedPageBreak/>
        <w:t>focussing on teenagers aged 13-18 in the United Kingdom, studying substance usage, associated risk factors, and policy interventions</w:t>
      </w:r>
      <w:r w:rsidR="473787BE" w:rsidRPr="0E260372">
        <w:rPr>
          <w:rFonts w:ascii="Arial" w:eastAsia="Arial" w:hAnsi="Arial" w:cs="Arial"/>
        </w:rPr>
        <w:t xml:space="preserve"> (</w:t>
      </w:r>
      <w:proofErr w:type="spellStart"/>
      <w:r w:rsidR="473787BE" w:rsidRPr="0E260372">
        <w:rPr>
          <w:rFonts w:ascii="Arial" w:eastAsia="Arial" w:hAnsi="Arial" w:cs="Arial"/>
        </w:rPr>
        <w:t>Jiloha</w:t>
      </w:r>
      <w:proofErr w:type="spellEnd"/>
      <w:r w:rsidR="473787BE" w:rsidRPr="0E260372">
        <w:rPr>
          <w:rFonts w:ascii="Arial" w:eastAsia="Arial" w:hAnsi="Arial" w:cs="Arial"/>
        </w:rPr>
        <w:t>, 2017</w:t>
      </w:r>
      <w:r w:rsidRPr="0E260372">
        <w:rPr>
          <w:rFonts w:ascii="Arial" w:eastAsia="Arial" w:hAnsi="Arial" w:cs="Arial"/>
        </w:rPr>
        <w:t>).</w:t>
      </w:r>
    </w:p>
    <w:p w14:paraId="4D6B9B5F" w14:textId="0731FFA9" w:rsidR="00B575E2" w:rsidRPr="00292A36" w:rsidRDefault="6D709CF7" w:rsidP="0E260372">
      <w:pPr>
        <w:rPr>
          <w:rFonts w:ascii="Arial" w:eastAsia="Arial" w:hAnsi="Arial" w:cs="Arial"/>
          <w:sz w:val="24"/>
          <w:szCs w:val="24"/>
        </w:rPr>
      </w:pPr>
      <w:r w:rsidRPr="0E260372">
        <w:rPr>
          <w:rFonts w:ascii="Arial" w:eastAsia="Arial" w:hAnsi="Arial" w:cs="Arial"/>
          <w:sz w:val="24"/>
          <w:szCs w:val="24"/>
        </w:rPr>
        <w:t>Exclusion criteria</w:t>
      </w:r>
    </w:p>
    <w:p w14:paraId="725F2585" w14:textId="44BAA0A8" w:rsidR="00B575E2" w:rsidRPr="00292A36" w:rsidRDefault="3EBE84F7" w:rsidP="0E260372">
      <w:pPr>
        <w:rPr>
          <w:rFonts w:ascii="Arial" w:eastAsia="Arial" w:hAnsi="Arial" w:cs="Arial"/>
        </w:rPr>
      </w:pPr>
      <w:r w:rsidRPr="0E260372">
        <w:rPr>
          <w:rFonts w:ascii="Arial" w:eastAsia="Arial" w:hAnsi="Arial" w:cs="Arial"/>
        </w:rPr>
        <w:t xml:space="preserve"> Sources were rejected if they were not peer-reviewed, were opinion-based, were not focused on the United Kingdom, or were primarily concerned with adult populations. Furthermore, research that lacked empirical evidence or methodological transparency were excluded to assure the quality and validity of the findings.</w:t>
      </w:r>
    </w:p>
    <w:p w14:paraId="79EFA533" w14:textId="1592A17A" w:rsidR="00B575E2" w:rsidRPr="00292A36" w:rsidRDefault="3EBE84F7" w:rsidP="0E260372">
      <w:pPr>
        <w:rPr>
          <w:rFonts w:ascii="Arial" w:eastAsia="Arial" w:hAnsi="Arial" w:cs="Arial"/>
        </w:rPr>
      </w:pPr>
      <w:r w:rsidRPr="0E260372">
        <w:rPr>
          <w:rFonts w:ascii="Arial" w:eastAsia="Arial" w:hAnsi="Arial" w:cs="Arial"/>
        </w:rPr>
        <w:t xml:space="preserve"> These criteria ensured that the chosen literature remained relevant, reliable, and connected with the research goal, allowing for a focused synthesis of information on adolescent substance usage in England.</w:t>
      </w:r>
    </w:p>
    <w:p w14:paraId="01A5598C" w14:textId="1B0B7838" w:rsidR="0021364B" w:rsidRDefault="10A61A36" w:rsidP="007D2105">
      <w:pPr>
        <w:pStyle w:val="Heading2"/>
      </w:pPr>
      <w:r>
        <w:t>3.6</w:t>
      </w:r>
      <w:r w:rsidR="00292A36">
        <w:t xml:space="preserve"> Analysing Research  </w:t>
      </w:r>
    </w:p>
    <w:p w14:paraId="1896029B" w14:textId="5F6BEE4A" w:rsidR="00B01396" w:rsidRDefault="60A0984D" w:rsidP="0E260372">
      <w:pPr>
        <w:rPr>
          <w:rFonts w:ascii="Arial" w:eastAsia="Arial" w:hAnsi="Arial" w:cs="Arial"/>
        </w:rPr>
      </w:pPr>
      <w:r w:rsidRPr="0E260372">
        <w:rPr>
          <w:rFonts w:ascii="Arial" w:eastAsia="Arial" w:hAnsi="Arial" w:cs="Arial"/>
        </w:rPr>
        <w:t>The selected secondary sources were extensively analysed using a thematic coding approach. Each publication was thoroughly analysed to discover common ideas, concepts and patterns linked to teenage substance abuse, such as socioeconomic factors, policy responses and intervention outcomes. Initial codes were created to capture essential concepts arising from the literature, and they were subsequently refined through repeated reading and comparison.</w:t>
      </w:r>
    </w:p>
    <w:p w14:paraId="2527B73C" w14:textId="13371BB7" w:rsidR="00B01396" w:rsidRDefault="60A0984D" w:rsidP="0E260372">
      <w:pPr>
        <w:rPr>
          <w:rFonts w:ascii="Arial" w:eastAsia="Arial" w:hAnsi="Arial" w:cs="Arial"/>
        </w:rPr>
      </w:pPr>
      <w:r w:rsidRPr="0E260372">
        <w:rPr>
          <w:rFonts w:ascii="Arial" w:eastAsia="Arial" w:hAnsi="Arial" w:cs="Arial"/>
        </w:rPr>
        <w:t xml:space="preserve"> Similar codes were then grouped into overarching topics relevant to the research aims, such as risk and protective variables, policy efficacy and service accessibility.</w:t>
      </w:r>
      <w:r w:rsidR="273D8534" w:rsidRPr="0E260372">
        <w:rPr>
          <w:rFonts w:ascii="Arial" w:eastAsia="Arial" w:hAnsi="Arial" w:cs="Arial"/>
        </w:rPr>
        <w:t xml:space="preserve"> As the researcher, I recognise that my choices may have shaped the thematic focus, though I remained objective and evidence-based throughout.</w:t>
      </w:r>
      <w:r w:rsidRPr="0E260372">
        <w:rPr>
          <w:rFonts w:ascii="Arial" w:eastAsia="Arial" w:hAnsi="Arial" w:cs="Arial"/>
        </w:rPr>
        <w:t xml:space="preserve"> This technique aided in the discovery of conceptual links between the structural, social and psychological features of teenage substance use. According to</w:t>
      </w:r>
      <w:r w:rsidR="55ED73ED" w:rsidRPr="0E260372">
        <w:rPr>
          <w:rFonts w:ascii="Arial" w:eastAsia="Arial" w:hAnsi="Arial" w:cs="Arial"/>
        </w:rPr>
        <w:t xml:space="preserve"> Castleberry and Nolen, (2018)</w:t>
      </w:r>
      <w:r w:rsidRPr="0E260372">
        <w:rPr>
          <w:rFonts w:ascii="Arial" w:eastAsia="Arial" w:hAnsi="Arial" w:cs="Arial"/>
        </w:rPr>
        <w:t>, thematic analysis allows researchers to look beyond surface-level patterns and discern underlying meanings in data in a methodical manner.</w:t>
      </w:r>
    </w:p>
    <w:p w14:paraId="3B4F0000" w14:textId="50BDC819" w:rsidR="506EB6CB" w:rsidRDefault="506EB6CB" w:rsidP="0E260372">
      <w:pPr>
        <w:rPr>
          <w:rFonts w:ascii="Arial" w:eastAsia="Arial" w:hAnsi="Arial" w:cs="Arial"/>
        </w:rPr>
      </w:pPr>
      <w:r w:rsidRPr="0E260372">
        <w:rPr>
          <w:rFonts w:ascii="Arial" w:eastAsia="Arial" w:hAnsi="Arial" w:cs="Arial"/>
        </w:rPr>
        <w:t>To improve transparency and organisation, a colour-coded spreadsheet and thematic matrix were used to document coding progress and identify emergent patterns. This systematic strategy-maintained consistency, credibility and a clear audit trail for the findings presented in Chapter 4.</w:t>
      </w:r>
      <w:r w:rsidR="3A30AEE9" w:rsidRPr="0E260372">
        <w:rPr>
          <w:rFonts w:ascii="Arial" w:eastAsia="Arial" w:hAnsi="Arial" w:cs="Arial"/>
        </w:rPr>
        <w:t xml:space="preserve"> The identified themes were aligned with the research objectives, ensuring each contributed to the study’s aims on risk factors, policy responses and intervention effectiveness.</w:t>
      </w:r>
    </w:p>
    <w:p w14:paraId="701C686E" w14:textId="452532B1" w:rsidR="00C17A49" w:rsidRPr="00B01396" w:rsidRDefault="00C17A49" w:rsidP="0E260372">
      <w:pPr>
        <w:rPr>
          <w:rFonts w:ascii="Arial" w:eastAsia="Arial" w:hAnsi="Arial" w:cs="Arial"/>
        </w:rPr>
      </w:pPr>
    </w:p>
    <w:p w14:paraId="34D844F4" w14:textId="563E7CB5" w:rsidR="00B01396" w:rsidRDefault="656F944D" w:rsidP="00157A3F">
      <w:pPr>
        <w:pStyle w:val="Heading2"/>
      </w:pPr>
      <w:r>
        <w:t>3.7</w:t>
      </w:r>
      <w:r w:rsidR="00292A36">
        <w:t xml:space="preserve"> Ethical Considerations </w:t>
      </w:r>
    </w:p>
    <w:p w14:paraId="073EA88D" w14:textId="03568DDD" w:rsidR="00C17A49" w:rsidRPr="00C17A49" w:rsidRDefault="7B4F1833" w:rsidP="0E260372">
      <w:pPr>
        <w:rPr>
          <w:rFonts w:ascii="Arial" w:eastAsia="Arial" w:hAnsi="Arial" w:cs="Arial"/>
        </w:rPr>
      </w:pPr>
      <w:r w:rsidRPr="0E260372">
        <w:rPr>
          <w:rFonts w:ascii="Arial" w:eastAsia="Arial" w:hAnsi="Arial" w:cs="Arial"/>
        </w:rPr>
        <w:t xml:space="preserve">This dissertation is purely secondary in nature, drawing on pre-existing academic and policy sources without collecting any original data. Therefore, official ethical approval was not </w:t>
      </w:r>
      <w:r w:rsidRPr="0E260372">
        <w:rPr>
          <w:rFonts w:ascii="Arial" w:eastAsia="Arial" w:hAnsi="Arial" w:cs="Arial"/>
        </w:rPr>
        <w:lastRenderedPageBreak/>
        <w:t>necessary. However, ethical norms were rigorously followed throughout the research procedure to maintain credibility and academic integrity.</w:t>
      </w:r>
    </w:p>
    <w:p w14:paraId="0AB836A6" w14:textId="3CCBFC3C" w:rsidR="540F1010" w:rsidRDefault="6CAD0246" w:rsidP="0E260372">
      <w:pPr>
        <w:rPr>
          <w:rFonts w:ascii="Arial" w:eastAsia="Arial" w:hAnsi="Arial" w:cs="Arial"/>
        </w:rPr>
      </w:pPr>
      <w:r w:rsidRPr="0E260372">
        <w:rPr>
          <w:rFonts w:ascii="Arial" w:eastAsia="Arial" w:hAnsi="Arial" w:cs="Arial"/>
        </w:rPr>
        <w:t xml:space="preserve">Academic integrity was preserved by correctly referencing all sources using the Harvard referencing system and avoiding plagiarism or data fabrication. </w:t>
      </w:r>
      <w:r w:rsidR="70AD651E" w:rsidRPr="0E260372">
        <w:rPr>
          <w:rFonts w:ascii="Arial" w:eastAsia="Arial" w:hAnsi="Arial" w:cs="Arial"/>
        </w:rPr>
        <w:t>Simola (2017)</w:t>
      </w:r>
      <w:r w:rsidRPr="0E260372">
        <w:rPr>
          <w:rFonts w:ascii="Arial" w:eastAsia="Arial" w:hAnsi="Arial" w:cs="Arial"/>
        </w:rPr>
        <w:t xml:space="preserve"> states that while dealing with existing literature, ethical scholarship necessitates transparency, honesty and respect for intellectual property.</w:t>
      </w:r>
    </w:p>
    <w:p w14:paraId="5569F915" w14:textId="03CCE8F3" w:rsidR="001C3AF6" w:rsidRPr="001C3AF6" w:rsidRDefault="6CAD0246" w:rsidP="0E260372">
      <w:pPr>
        <w:rPr>
          <w:rFonts w:ascii="Arial" w:eastAsia="Arial" w:hAnsi="Arial" w:cs="Arial"/>
        </w:rPr>
      </w:pPr>
      <w:r w:rsidRPr="0E260372">
        <w:rPr>
          <w:rFonts w:ascii="Arial" w:eastAsia="Arial" w:hAnsi="Arial" w:cs="Arial"/>
        </w:rPr>
        <w:t xml:space="preserve"> To enhance transparency and trustworthiness, all material was critically reviewed and presented objectively, ensuring that findings were not selectively reported or interpreted with bias. This technique promotes the creation of a balanced and trustworthy synthesis that adheres to established academic and ethical research guidelines.</w:t>
      </w:r>
    </w:p>
    <w:p w14:paraId="7F51675F" w14:textId="6619AE05" w:rsidR="00292A36" w:rsidRDefault="00E325CF" w:rsidP="00157A3F">
      <w:pPr>
        <w:pStyle w:val="Heading2"/>
        <w:rPr>
          <w:b/>
          <w:bCs/>
        </w:rPr>
      </w:pPr>
      <w:r>
        <w:t xml:space="preserve">3.8 </w:t>
      </w:r>
      <w:r w:rsidR="00292A36">
        <w:t>Chapter Conclusion</w:t>
      </w:r>
      <w:r w:rsidR="00292A36" w:rsidRPr="359E9537">
        <w:rPr>
          <w:b/>
          <w:bCs/>
        </w:rPr>
        <w:t xml:space="preserve"> </w:t>
      </w:r>
    </w:p>
    <w:p w14:paraId="7F8BD393" w14:textId="3B7A24F5" w:rsidR="005446BF" w:rsidRDefault="300F8D82" w:rsidP="0E260372">
      <w:pPr>
        <w:rPr>
          <w:rFonts w:ascii="Arial" w:eastAsia="Arial" w:hAnsi="Arial" w:cs="Arial"/>
        </w:rPr>
      </w:pPr>
      <w:r w:rsidRPr="0E260372">
        <w:rPr>
          <w:rFonts w:ascii="Arial" w:eastAsia="Arial" w:hAnsi="Arial" w:cs="Arial"/>
        </w:rPr>
        <w:t>This chapter described the systematic procedure for identifying, evaluating and analysing relevant material using a structured search strategy and thematic coding approach. Each stage assured the incorporation of reputable, contemporary and contextually suitable sources that were relevant to the study's objectives. Rigorous validation and ethical consideration increased the reliability of the findings. The results of the thematic analysis will be presented in the following chapter, with each subject discussed in relation to the research question and the dissertation's overall aims.</w:t>
      </w:r>
    </w:p>
    <w:p w14:paraId="73898CB8" w14:textId="77777777" w:rsidR="001F19A6" w:rsidRPr="005446BF" w:rsidRDefault="001F19A6" w:rsidP="0E260372"/>
    <w:p w14:paraId="46875351" w14:textId="404AAAF5" w:rsidR="1EC678D9" w:rsidRDefault="1EC678D9" w:rsidP="0E260372">
      <w:pPr>
        <w:pStyle w:val="Heading1"/>
        <w:ind w:left="0"/>
        <w:jc w:val="both"/>
        <w:rPr>
          <w:rFonts w:ascii="Aptos" w:hAnsi="Aptos"/>
        </w:rPr>
      </w:pPr>
    </w:p>
    <w:p w14:paraId="3BC1B6D9" w14:textId="5192FF3D" w:rsidR="1EC678D9" w:rsidRDefault="1EC678D9" w:rsidP="0E260372">
      <w:pPr>
        <w:pStyle w:val="Heading1"/>
        <w:ind w:left="0"/>
        <w:jc w:val="both"/>
        <w:rPr>
          <w:rFonts w:ascii="Aptos" w:hAnsi="Aptos"/>
        </w:rPr>
      </w:pPr>
    </w:p>
    <w:p w14:paraId="002A9FD0" w14:textId="2D16C45A" w:rsidR="1EC678D9" w:rsidRDefault="1EC678D9" w:rsidP="0E260372">
      <w:pPr>
        <w:pStyle w:val="Heading1"/>
        <w:ind w:left="0"/>
        <w:jc w:val="both"/>
        <w:rPr>
          <w:rFonts w:ascii="Aptos" w:hAnsi="Aptos"/>
        </w:rPr>
      </w:pPr>
    </w:p>
    <w:p w14:paraId="704795FE" w14:textId="1A51351C" w:rsidR="1EC678D9" w:rsidRDefault="1EC678D9" w:rsidP="0E260372">
      <w:pPr>
        <w:pStyle w:val="Heading1"/>
        <w:ind w:left="0"/>
        <w:jc w:val="both"/>
        <w:rPr>
          <w:rFonts w:ascii="Aptos" w:hAnsi="Aptos"/>
        </w:rPr>
      </w:pPr>
    </w:p>
    <w:p w14:paraId="058C8318" w14:textId="26687ECE" w:rsidR="1EC678D9" w:rsidRDefault="1EC678D9" w:rsidP="0E260372">
      <w:pPr>
        <w:pStyle w:val="Heading1"/>
        <w:ind w:left="0"/>
        <w:jc w:val="both"/>
        <w:rPr>
          <w:rFonts w:ascii="Aptos" w:hAnsi="Aptos"/>
        </w:rPr>
      </w:pPr>
    </w:p>
    <w:p w14:paraId="01538BE7" w14:textId="1C6C1E63" w:rsidR="1EC678D9" w:rsidRDefault="1EC678D9" w:rsidP="0E260372">
      <w:pPr>
        <w:pStyle w:val="Heading1"/>
        <w:ind w:left="0"/>
        <w:jc w:val="both"/>
        <w:rPr>
          <w:rFonts w:ascii="Aptos" w:hAnsi="Aptos"/>
        </w:rPr>
      </w:pPr>
    </w:p>
    <w:p w14:paraId="05490202" w14:textId="219158DA" w:rsidR="1EC678D9" w:rsidRDefault="1EC678D9" w:rsidP="0E260372">
      <w:pPr>
        <w:pStyle w:val="Heading1"/>
        <w:ind w:left="0"/>
        <w:jc w:val="both"/>
        <w:rPr>
          <w:rFonts w:ascii="Aptos" w:hAnsi="Aptos"/>
        </w:rPr>
      </w:pPr>
    </w:p>
    <w:p w14:paraId="3505E12A" w14:textId="23A069A3" w:rsidR="1EC678D9" w:rsidRDefault="1EC678D9" w:rsidP="0E260372">
      <w:pPr>
        <w:pStyle w:val="Heading1"/>
        <w:ind w:left="0"/>
        <w:jc w:val="both"/>
        <w:rPr>
          <w:rFonts w:ascii="Aptos" w:hAnsi="Aptos"/>
        </w:rPr>
      </w:pPr>
    </w:p>
    <w:p w14:paraId="659B60AF" w14:textId="2B2C28BA" w:rsidR="1EC678D9" w:rsidRDefault="1EC678D9" w:rsidP="0E260372">
      <w:pPr>
        <w:pStyle w:val="Heading1"/>
        <w:ind w:left="0"/>
        <w:jc w:val="both"/>
        <w:rPr>
          <w:rFonts w:ascii="Aptos" w:hAnsi="Aptos"/>
        </w:rPr>
      </w:pPr>
    </w:p>
    <w:p w14:paraId="1733DC20" w14:textId="1127515E" w:rsidR="1EC678D9" w:rsidRDefault="1EC678D9" w:rsidP="0E260372">
      <w:pPr>
        <w:pStyle w:val="Heading1"/>
        <w:ind w:left="0"/>
        <w:jc w:val="both"/>
        <w:rPr>
          <w:rFonts w:ascii="Aptos" w:hAnsi="Aptos"/>
        </w:rPr>
      </w:pPr>
    </w:p>
    <w:p w14:paraId="05250EF7" w14:textId="39F69431" w:rsidR="1EC678D9" w:rsidRDefault="1EC678D9" w:rsidP="0E260372">
      <w:pPr>
        <w:pStyle w:val="Heading1"/>
        <w:ind w:left="0"/>
        <w:jc w:val="both"/>
        <w:rPr>
          <w:rFonts w:ascii="Aptos" w:hAnsi="Aptos"/>
        </w:rPr>
      </w:pPr>
    </w:p>
    <w:p w14:paraId="2AD392D5" w14:textId="4292F063" w:rsidR="1EC678D9" w:rsidRDefault="1EC678D9" w:rsidP="0E260372">
      <w:pPr>
        <w:pStyle w:val="Heading1"/>
        <w:ind w:left="0"/>
        <w:jc w:val="both"/>
        <w:rPr>
          <w:rFonts w:ascii="Aptos" w:hAnsi="Aptos"/>
        </w:rPr>
      </w:pPr>
    </w:p>
    <w:p w14:paraId="47BB1201" w14:textId="3CE90E80" w:rsidR="1EC678D9" w:rsidRDefault="1EC678D9" w:rsidP="0E260372">
      <w:pPr>
        <w:pStyle w:val="Heading1"/>
        <w:ind w:left="0"/>
        <w:jc w:val="both"/>
        <w:rPr>
          <w:rFonts w:ascii="Aptos" w:hAnsi="Aptos"/>
        </w:rPr>
      </w:pPr>
    </w:p>
    <w:p w14:paraId="094E2690" w14:textId="2798ED95" w:rsidR="1EC678D9" w:rsidRDefault="1EC678D9" w:rsidP="0E260372">
      <w:pPr>
        <w:pStyle w:val="Heading1"/>
        <w:ind w:left="0"/>
        <w:jc w:val="both"/>
        <w:rPr>
          <w:rFonts w:ascii="Aptos" w:hAnsi="Aptos"/>
        </w:rPr>
      </w:pPr>
    </w:p>
    <w:p w14:paraId="3E27A013" w14:textId="6FBFE39D" w:rsidR="001C3AF6" w:rsidRPr="00636D9A" w:rsidRDefault="001C3AF6" w:rsidP="0E260372">
      <w:pPr>
        <w:rPr>
          <w:rFonts w:ascii="Arial" w:eastAsia="Arial" w:hAnsi="Arial" w:cs="Arial"/>
          <w:b/>
          <w:bCs/>
          <w:sz w:val="32"/>
          <w:szCs w:val="32"/>
        </w:rPr>
      </w:pPr>
      <w:r w:rsidRPr="359E9537">
        <w:rPr>
          <w:rStyle w:val="Heading1Char"/>
        </w:rPr>
        <w:t>C</w:t>
      </w:r>
      <w:r w:rsidR="00636D9A" w:rsidRPr="359E9537">
        <w:rPr>
          <w:rStyle w:val="Heading1Char"/>
        </w:rPr>
        <w:t>HAPTER</w:t>
      </w:r>
      <w:r w:rsidRPr="359E9537">
        <w:rPr>
          <w:rStyle w:val="Heading1Char"/>
        </w:rPr>
        <w:t xml:space="preserve"> 4 Findings and Discussion</w:t>
      </w:r>
      <w:r w:rsidRPr="359E9537">
        <w:rPr>
          <w:rFonts w:ascii="Arial" w:eastAsia="Arial" w:hAnsi="Arial" w:cs="Arial"/>
          <w:b/>
          <w:bCs/>
          <w:sz w:val="32"/>
          <w:szCs w:val="32"/>
        </w:rPr>
        <w:t xml:space="preserve"> </w:t>
      </w:r>
    </w:p>
    <w:p w14:paraId="7991C57B" w14:textId="103DA35A" w:rsidR="00636D9A" w:rsidRDefault="00636D9A" w:rsidP="0E260372">
      <w:pPr>
        <w:rPr>
          <w:rFonts w:ascii="Arial" w:eastAsia="Arial" w:hAnsi="Arial" w:cs="Arial"/>
          <w:b/>
          <w:bCs/>
          <w:sz w:val="24"/>
          <w:szCs w:val="24"/>
        </w:rPr>
      </w:pPr>
    </w:p>
    <w:p w14:paraId="0CB43921" w14:textId="00BFB98D" w:rsidR="001C3AF6" w:rsidRPr="003A0318" w:rsidRDefault="001C3AF6" w:rsidP="003A0318">
      <w:pPr>
        <w:pStyle w:val="Heading2"/>
      </w:pPr>
      <w:r>
        <w:t xml:space="preserve">4.1 Introduction </w:t>
      </w:r>
    </w:p>
    <w:p w14:paraId="35FEE6BB" w14:textId="08F7EEFC" w:rsidR="1062E658" w:rsidRDefault="1062E658" w:rsidP="1EC678D9">
      <w:pPr>
        <w:rPr>
          <w:rFonts w:eastAsia="Aptos" w:cs="Aptos"/>
        </w:rPr>
      </w:pPr>
      <w:r w:rsidRPr="1EC678D9">
        <w:rPr>
          <w:rFonts w:ascii="Arial" w:eastAsia="Arial" w:hAnsi="Arial" w:cs="Arial"/>
        </w:rPr>
        <w:t xml:space="preserve">This chapter addresses the primary findings and critical discussion resulting from a thematic analysis of literature on adolescent substance misuse in England. The goal is to assess and evaluate the data gathered through the systematic search approach indicated in Chapter 3, and to connect these findings to the study goal of understanding the social, psychological, and structural factors impacting teenage substance addiction. According to </w:t>
      </w:r>
      <w:r w:rsidRPr="1EC678D9">
        <w:t>(</w:t>
      </w:r>
      <w:r w:rsidRPr="1EC678D9">
        <w:rPr>
          <w:rFonts w:ascii="Arial" w:eastAsia="Arial" w:hAnsi="Arial" w:cs="Arial"/>
        </w:rPr>
        <w:t>Verboom, Montgomery and Bennett, 2016), thematic analysis allows for a structured but flexible interpretation of qualitative data. The sections that follow explore the primary themes identified—social factors, policy effectiveness and intervention accessibility</w:t>
      </w:r>
      <w:r w:rsidR="034594C8" w:rsidRPr="1EC678D9">
        <w:rPr>
          <w:rFonts w:ascii="Arial" w:eastAsia="Arial" w:hAnsi="Arial" w:cs="Arial"/>
        </w:rPr>
        <w:t xml:space="preserve"> </w:t>
      </w:r>
      <w:r w:rsidRPr="1EC678D9">
        <w:rPr>
          <w:rFonts w:ascii="Arial" w:eastAsia="Arial" w:hAnsi="Arial" w:cs="Arial"/>
        </w:rPr>
        <w:t>with an emphasis on their implications for practice and policy</w:t>
      </w:r>
      <w:r w:rsidR="075B0CAC" w:rsidRPr="1EC678D9">
        <w:rPr>
          <w:rFonts w:ascii="Arial" w:eastAsia="Arial" w:hAnsi="Arial" w:cs="Arial"/>
        </w:rPr>
        <w:t xml:space="preserve"> (Flemming </w:t>
      </w:r>
      <w:r w:rsidR="075B0CAC" w:rsidRPr="1EC678D9">
        <w:rPr>
          <w:rFonts w:ascii="Arial" w:eastAsia="Arial" w:hAnsi="Arial" w:cs="Arial"/>
          <w:i/>
          <w:iCs/>
        </w:rPr>
        <w:t xml:space="preserve">et al., </w:t>
      </w:r>
      <w:r w:rsidR="075B0CAC" w:rsidRPr="1EC678D9">
        <w:rPr>
          <w:rFonts w:ascii="Arial" w:eastAsia="Arial" w:hAnsi="Arial" w:cs="Arial"/>
        </w:rPr>
        <w:t>2018)</w:t>
      </w:r>
      <w:r w:rsidRPr="1EC678D9">
        <w:rPr>
          <w:rFonts w:eastAsia="Aptos" w:cs="Aptos"/>
        </w:rPr>
        <w:t>.</w:t>
      </w:r>
    </w:p>
    <w:p w14:paraId="49AC5888" w14:textId="04F4BF35" w:rsidR="001C3AF6" w:rsidRPr="00636D9A" w:rsidRDefault="50EA2C30" w:rsidP="003A0318">
      <w:pPr>
        <w:pStyle w:val="Heading2"/>
      </w:pPr>
      <w:r>
        <w:t>4.2 Thematic</w:t>
      </w:r>
      <w:r w:rsidR="001C3AF6">
        <w:t xml:space="preserve"> Analysis </w:t>
      </w:r>
    </w:p>
    <w:p w14:paraId="2739E815" w14:textId="648AA6AE" w:rsidR="00636D9A" w:rsidRDefault="2D5F74E3" w:rsidP="0E260372">
      <w:pPr>
        <w:rPr>
          <w:rFonts w:ascii="Arial" w:eastAsia="Arial" w:hAnsi="Arial" w:cs="Arial"/>
        </w:rPr>
      </w:pPr>
      <w:r w:rsidRPr="0E260372">
        <w:rPr>
          <w:rFonts w:ascii="Arial" w:eastAsia="Arial" w:hAnsi="Arial" w:cs="Arial"/>
        </w:rPr>
        <w:t xml:space="preserve">Thematic analysis is a qualitative method for identifying, interpreting and reporting patterns in data, allowing researchers to organise and describe their material in great depth (as defined by </w:t>
      </w:r>
      <w:r w:rsidR="5C166399" w:rsidRPr="0E260372">
        <w:rPr>
          <w:rFonts w:ascii="Arial" w:eastAsia="Arial" w:hAnsi="Arial" w:cs="Arial"/>
        </w:rPr>
        <w:t>Mackieson, Shlonsky and Connolly, 2019)</w:t>
      </w:r>
      <w:r w:rsidRPr="0E260372">
        <w:rPr>
          <w:rFonts w:ascii="Arial" w:eastAsia="Arial" w:hAnsi="Arial" w:cs="Arial"/>
        </w:rPr>
        <w:t xml:space="preserve">. In this secondary study, thematic analysis was used to synthesise data from peer-reviewed literature, policy documents, and government reports on adolescent substance misuse in England. The approach entailed thoroughly evaluating each study, categorising reoccurring concepts and issues, and categorising them into larger conceptual themes. Themes were identified based on patterns seen in the research and described in the finding's summary table using key code words and conceptual relationships (as proposed by </w:t>
      </w:r>
      <w:proofErr w:type="spellStart"/>
      <w:r w:rsidR="0CA5D118" w:rsidRPr="0E260372">
        <w:rPr>
          <w:rFonts w:ascii="Arial" w:eastAsia="Arial" w:hAnsi="Arial" w:cs="Arial"/>
        </w:rPr>
        <w:t>Segrott</w:t>
      </w:r>
      <w:proofErr w:type="spellEnd"/>
      <w:r w:rsidRPr="0E260372">
        <w:rPr>
          <w:rFonts w:ascii="Arial" w:eastAsia="Arial" w:hAnsi="Arial" w:cs="Arial"/>
        </w:rPr>
        <w:t xml:space="preserve"> et al., 20</w:t>
      </w:r>
      <w:r w:rsidR="50EA6213" w:rsidRPr="0E260372">
        <w:rPr>
          <w:rFonts w:ascii="Arial" w:eastAsia="Arial" w:hAnsi="Arial" w:cs="Arial"/>
        </w:rPr>
        <w:t>22</w:t>
      </w:r>
      <w:r w:rsidRPr="0E260372">
        <w:rPr>
          <w:rFonts w:ascii="Arial" w:eastAsia="Arial" w:hAnsi="Arial" w:cs="Arial"/>
        </w:rPr>
        <w:t>).</w:t>
      </w:r>
    </w:p>
    <w:p w14:paraId="53ACCB19" w14:textId="605E6028" w:rsidR="6EE56AA6" w:rsidRDefault="6EE56AA6" w:rsidP="0E260372">
      <w:pPr>
        <w:rPr>
          <w:rFonts w:ascii="Arial" w:eastAsia="Arial" w:hAnsi="Arial" w:cs="Arial"/>
        </w:rPr>
      </w:pPr>
      <w:r w:rsidRPr="0E260372">
        <w:rPr>
          <w:rFonts w:ascii="Arial" w:eastAsia="Arial" w:hAnsi="Arial" w:cs="Arial"/>
        </w:rPr>
        <w:t>This method assured that interpretations were evidence-based and that themes represented both theoretical viewpoints and practical policy consequences. Thematic grouping assisted in organising complex data into coherent analytical categories, which was consistent with the research goal of understanding social, psychological and structural influences on teenage substance abuse</w:t>
      </w:r>
      <w:r w:rsidR="0155AFB3" w:rsidRPr="0E260372">
        <w:rPr>
          <w:rFonts w:ascii="Arial" w:eastAsia="Arial" w:hAnsi="Arial" w:cs="Arial"/>
        </w:rPr>
        <w:t xml:space="preserve"> (Guise </w:t>
      </w:r>
      <w:r w:rsidR="0155AFB3" w:rsidRPr="0E260372">
        <w:rPr>
          <w:rFonts w:ascii="Arial" w:eastAsia="Arial" w:hAnsi="Arial" w:cs="Arial"/>
          <w:i/>
          <w:iCs/>
        </w:rPr>
        <w:t xml:space="preserve">et al., </w:t>
      </w:r>
      <w:r w:rsidR="0155AFB3" w:rsidRPr="0E260372">
        <w:rPr>
          <w:rFonts w:ascii="Arial" w:eastAsia="Arial" w:hAnsi="Arial" w:cs="Arial"/>
        </w:rPr>
        <w:t>2017)</w:t>
      </w:r>
      <w:r w:rsidRPr="0E260372">
        <w:rPr>
          <w:rFonts w:ascii="Arial" w:eastAsia="Arial" w:hAnsi="Arial" w:cs="Arial"/>
        </w:rPr>
        <w:t>. This analysis revealed three broad themes: social determinants and peer impact, policy and prevention efficacy and access to support and intervention services. These will be critically evaluated in the next sections.</w:t>
      </w:r>
    </w:p>
    <w:p w14:paraId="3B39D7B4" w14:textId="77777777" w:rsidR="00636D9A" w:rsidRDefault="00636D9A" w:rsidP="0E260372"/>
    <w:p w14:paraId="6C323831" w14:textId="06F300A1" w:rsidR="1EC678D9" w:rsidRDefault="1EC678D9" w:rsidP="0E260372">
      <w:pPr>
        <w:pStyle w:val="Heading2"/>
      </w:pPr>
    </w:p>
    <w:p w14:paraId="1E614ABD" w14:textId="298E9722" w:rsidR="001C3AF6" w:rsidRPr="00636D9A" w:rsidRDefault="001C3AF6" w:rsidP="003A0318">
      <w:pPr>
        <w:pStyle w:val="Heading2"/>
      </w:pPr>
      <w:r>
        <w:t>4.3 Theme 1 (</w:t>
      </w:r>
      <w:r w:rsidR="5768F81B">
        <w:t>Social Determinants and Peer Impact</w:t>
      </w:r>
      <w:r>
        <w:t xml:space="preserve">) </w:t>
      </w:r>
    </w:p>
    <w:p w14:paraId="54500684" w14:textId="4B667C41" w:rsidR="3D28B6FA" w:rsidRDefault="3D28B6FA" w:rsidP="0E260372">
      <w:pPr>
        <w:rPr>
          <w:rFonts w:ascii="Arial" w:eastAsia="Arial" w:hAnsi="Arial" w:cs="Arial"/>
          <w:b/>
          <w:bCs/>
          <w:sz w:val="24"/>
          <w:szCs w:val="24"/>
        </w:rPr>
      </w:pPr>
      <w:r w:rsidRPr="0E260372">
        <w:rPr>
          <w:rFonts w:ascii="Arial" w:eastAsia="Arial" w:hAnsi="Arial" w:cs="Arial"/>
          <w:sz w:val="24"/>
          <w:szCs w:val="24"/>
        </w:rPr>
        <w:t>Definition &amp; Context</w:t>
      </w:r>
    </w:p>
    <w:p w14:paraId="7F885927" w14:textId="4523E0C1" w:rsidR="00636D9A" w:rsidRPr="00636D9A" w:rsidRDefault="6A2D45F2" w:rsidP="0E260372">
      <w:pPr>
        <w:rPr>
          <w:rFonts w:ascii="Arial" w:eastAsia="Arial" w:hAnsi="Arial" w:cs="Arial"/>
        </w:rPr>
      </w:pPr>
      <w:r w:rsidRPr="0E260372">
        <w:rPr>
          <w:rFonts w:ascii="Arial" w:eastAsia="Arial" w:hAnsi="Arial" w:cs="Arial"/>
        </w:rPr>
        <w:lastRenderedPageBreak/>
        <w:t xml:space="preserve">Social determinants are non-biological factors that influence health and behaviour, such as family structure, socioeconomic status, education and peer interactions. In the context of adolescent substance abuse, these factors include the environmental and social variables that influence young people's exposure, attitudes, and coping mechanisms to drugs and alcohol. Peer effect, a key component of these factors, defines the influence peers have on one another's conduct and identity formation, particularly during adolescence, a period of increased social sensitivity and identity exploration </w:t>
      </w:r>
      <w:r w:rsidR="3BABD03A" w:rsidRPr="0E260372">
        <w:rPr>
          <w:rFonts w:ascii="Arial" w:eastAsia="Arial" w:hAnsi="Arial" w:cs="Arial"/>
        </w:rPr>
        <w:t xml:space="preserve">(Yoon </w:t>
      </w:r>
      <w:r w:rsidR="3BABD03A" w:rsidRPr="0E260372">
        <w:rPr>
          <w:rFonts w:ascii="Arial" w:eastAsia="Arial" w:hAnsi="Arial" w:cs="Arial"/>
          <w:i/>
          <w:iCs/>
        </w:rPr>
        <w:t xml:space="preserve">et al., </w:t>
      </w:r>
      <w:r w:rsidR="3BABD03A" w:rsidRPr="0E260372">
        <w:rPr>
          <w:rFonts w:ascii="Arial" w:eastAsia="Arial" w:hAnsi="Arial" w:cs="Arial"/>
        </w:rPr>
        <w:t>2018)</w:t>
      </w:r>
      <w:r w:rsidRPr="0E260372">
        <w:rPr>
          <w:rFonts w:ascii="Arial" w:eastAsia="Arial" w:hAnsi="Arial" w:cs="Arial"/>
        </w:rPr>
        <w:t>. Understanding these variables is critical for investigating why some teenagers are more susceptible to substance abuse than others and identifying the most effective intervention areas within social networks.</w:t>
      </w:r>
      <w:r w:rsidR="515D6B1C" w:rsidRPr="0E260372">
        <w:rPr>
          <w:rFonts w:ascii="Arial" w:eastAsia="Arial" w:hAnsi="Arial" w:cs="Arial"/>
        </w:rPr>
        <w:t xml:space="preserve"> </w:t>
      </w:r>
      <w:r w:rsidR="337EC930" w:rsidRPr="0E260372">
        <w:rPr>
          <w:rFonts w:ascii="Arial" w:eastAsia="Arial" w:hAnsi="Arial" w:cs="Arial"/>
        </w:rPr>
        <w:t>However,</w:t>
      </w:r>
      <w:r w:rsidR="1AF07FF6" w:rsidRPr="0E260372">
        <w:rPr>
          <w:rFonts w:ascii="Arial" w:eastAsia="Arial" w:hAnsi="Arial" w:cs="Arial"/>
        </w:rPr>
        <w:t xml:space="preserve"> Heard- Garris </w:t>
      </w:r>
      <w:r w:rsidR="20189B49" w:rsidRPr="0E260372">
        <w:rPr>
          <w:rFonts w:ascii="Arial" w:eastAsia="Arial" w:hAnsi="Arial" w:cs="Arial"/>
        </w:rPr>
        <w:t>et al.</w:t>
      </w:r>
      <w:r w:rsidR="47F7FF2B" w:rsidRPr="0E260372">
        <w:rPr>
          <w:rFonts w:ascii="Arial" w:eastAsia="Arial" w:hAnsi="Arial" w:cs="Arial"/>
        </w:rPr>
        <w:t>,</w:t>
      </w:r>
      <w:r w:rsidR="20189B49" w:rsidRPr="0E260372">
        <w:rPr>
          <w:rFonts w:ascii="Arial" w:eastAsia="Arial" w:hAnsi="Arial" w:cs="Arial"/>
        </w:rPr>
        <w:t xml:space="preserve"> (</w:t>
      </w:r>
      <w:r w:rsidR="1AF07FF6" w:rsidRPr="0E260372">
        <w:rPr>
          <w:rFonts w:ascii="Arial" w:eastAsia="Arial" w:hAnsi="Arial" w:cs="Arial"/>
        </w:rPr>
        <w:t>2021)</w:t>
      </w:r>
      <w:r w:rsidR="0BBC55E9" w:rsidRPr="0E260372">
        <w:rPr>
          <w:rFonts w:ascii="Arial" w:eastAsia="Arial" w:hAnsi="Arial" w:cs="Arial"/>
        </w:rPr>
        <w:t xml:space="preserve"> argued</w:t>
      </w:r>
      <w:r w:rsidR="515D6B1C" w:rsidRPr="0E260372">
        <w:rPr>
          <w:rFonts w:ascii="Arial" w:eastAsia="Arial" w:hAnsi="Arial" w:cs="Arial"/>
        </w:rPr>
        <w:t xml:space="preserve"> if structural inequality, such as poverty or limited access to school, are not acknowledged equally, such social explanations risk oversimplifying adolescent vulnerability, emphasising the need for intersectional investigations.</w:t>
      </w:r>
    </w:p>
    <w:p w14:paraId="4B5EDA6B" w14:textId="0A10BB7A" w:rsidR="0780A8A6" w:rsidRDefault="0780A8A6" w:rsidP="0E260372">
      <w:pPr>
        <w:rPr>
          <w:rFonts w:ascii="Arial" w:eastAsia="Arial" w:hAnsi="Arial" w:cs="Arial"/>
          <w:b/>
          <w:bCs/>
        </w:rPr>
      </w:pPr>
      <w:r w:rsidRPr="0E260372">
        <w:rPr>
          <w:rFonts w:ascii="Arial" w:eastAsia="Arial" w:hAnsi="Arial" w:cs="Arial"/>
          <w:sz w:val="24"/>
          <w:szCs w:val="24"/>
        </w:rPr>
        <w:t>Historical and contextual backgrou</w:t>
      </w:r>
      <w:r w:rsidRPr="0E260372">
        <w:rPr>
          <w:rFonts w:ascii="Arial" w:eastAsia="Arial" w:hAnsi="Arial" w:cs="Arial"/>
          <w:b/>
          <w:bCs/>
        </w:rPr>
        <w:t>nd</w:t>
      </w:r>
    </w:p>
    <w:p w14:paraId="4BCA8948" w14:textId="662F555D" w:rsidR="0780A8A6" w:rsidRDefault="0780A8A6" w:rsidP="0E260372">
      <w:r w:rsidRPr="0E260372">
        <w:rPr>
          <w:rFonts w:ascii="Arial" w:eastAsia="Arial" w:hAnsi="Arial" w:cs="Arial"/>
        </w:rPr>
        <w:t>Historically, research on adolescent substance use has moved away from individual-based theories (such as moral weakness or genetic predisposition) and towards socially and environmentally focused frameworks. Since the late twentieth century, public health and educational interventions have been guided by the fact that teens' substance use behaviours closely mimic those of their social settings. Following the Marmot Review (2010), which highlighted the impact of inequality and the environment on young people's health practices, social determinants gained prominence in UK policy discourse.</w:t>
      </w:r>
      <w:r w:rsidR="5310A8C9" w:rsidRPr="0E260372">
        <w:rPr>
          <w:rFonts w:ascii="Arial" w:eastAsia="Arial" w:hAnsi="Arial" w:cs="Arial"/>
        </w:rPr>
        <w:t xml:space="preserve"> </w:t>
      </w:r>
    </w:p>
    <w:p w14:paraId="2E37F512" w14:textId="5AE3C6D4" w:rsidR="5310A8C9" w:rsidRDefault="5310A8C9" w:rsidP="0E260372">
      <w:r w:rsidRPr="0E260372">
        <w:rPr>
          <w:rFonts w:ascii="Arial" w:eastAsia="Arial" w:hAnsi="Arial" w:cs="Arial"/>
        </w:rPr>
        <w:t xml:space="preserve">According to </w:t>
      </w:r>
      <w:proofErr w:type="spellStart"/>
      <w:r w:rsidRPr="0E260372">
        <w:rPr>
          <w:rFonts w:ascii="Arial" w:eastAsia="Arial" w:hAnsi="Arial" w:cs="Arial"/>
        </w:rPr>
        <w:t>Segrott</w:t>
      </w:r>
      <w:proofErr w:type="spellEnd"/>
      <w:r w:rsidRPr="0E260372">
        <w:rPr>
          <w:rFonts w:ascii="Arial" w:eastAsia="Arial" w:hAnsi="Arial" w:cs="Arial"/>
        </w:rPr>
        <w:t xml:space="preserve"> et al. (2022), current research reveals that peer groups, family relationships, and community standards continue to be powerful motivators of early drug and alcohol use. However, these frameworks have been criticised for undervaluing individuality and cultural variety, which can mediate or oppose prevailing societal effects. As a result, this topic provides a foundation for understanding how individual decisions and social contexts interact to shape young people's substance-related actions</w:t>
      </w:r>
      <w:r w:rsidR="54D96F91" w:rsidRPr="0E260372">
        <w:rPr>
          <w:rFonts w:ascii="Arial" w:eastAsia="Arial" w:hAnsi="Arial" w:cs="Arial"/>
        </w:rPr>
        <w:t xml:space="preserve"> (Watts </w:t>
      </w:r>
      <w:r w:rsidR="54D96F91" w:rsidRPr="0E260372">
        <w:rPr>
          <w:rFonts w:ascii="Arial" w:eastAsia="Arial" w:hAnsi="Arial" w:cs="Arial"/>
          <w:i/>
          <w:iCs/>
        </w:rPr>
        <w:t>et al.,</w:t>
      </w:r>
      <w:r w:rsidR="10208131" w:rsidRPr="0E260372">
        <w:rPr>
          <w:rFonts w:ascii="Arial" w:eastAsia="Arial" w:hAnsi="Arial" w:cs="Arial"/>
        </w:rPr>
        <w:t>2024,</w:t>
      </w:r>
      <w:r w:rsidR="54D96F91" w:rsidRPr="0E260372">
        <w:rPr>
          <w:rFonts w:ascii="Arial" w:eastAsia="Arial" w:hAnsi="Arial" w:cs="Arial"/>
        </w:rPr>
        <w:t xml:space="preserve"> </w:t>
      </w:r>
      <w:proofErr w:type="spellStart"/>
      <w:r w:rsidR="54D96F91" w:rsidRPr="0E260372">
        <w:rPr>
          <w:rFonts w:ascii="Arial" w:eastAsia="Arial" w:hAnsi="Arial" w:cs="Arial"/>
        </w:rPr>
        <w:t>Segrott</w:t>
      </w:r>
      <w:proofErr w:type="spellEnd"/>
      <w:r w:rsidR="54D96F91" w:rsidRPr="0E260372">
        <w:rPr>
          <w:rFonts w:ascii="Arial" w:eastAsia="Arial" w:hAnsi="Arial" w:cs="Arial"/>
        </w:rPr>
        <w:t xml:space="preserve"> et al., 2022)</w:t>
      </w:r>
      <w:r w:rsidRPr="0E260372">
        <w:rPr>
          <w:rFonts w:ascii="Arial" w:eastAsia="Arial" w:hAnsi="Arial" w:cs="Arial"/>
        </w:rPr>
        <w:t>.</w:t>
      </w:r>
    </w:p>
    <w:p w14:paraId="02BCDBE3" w14:textId="48F5D4E7" w:rsidR="0B44645B" w:rsidRDefault="0B44645B" w:rsidP="0E260372">
      <w:pPr>
        <w:rPr>
          <w:rFonts w:ascii="Arial" w:eastAsia="Arial" w:hAnsi="Arial" w:cs="Arial"/>
          <w:sz w:val="24"/>
          <w:szCs w:val="24"/>
        </w:rPr>
      </w:pPr>
      <w:r w:rsidRPr="0E260372">
        <w:rPr>
          <w:rFonts w:ascii="Arial" w:eastAsia="Arial" w:hAnsi="Arial" w:cs="Arial"/>
          <w:sz w:val="24"/>
          <w:szCs w:val="24"/>
        </w:rPr>
        <w:t>Relevance to research question</w:t>
      </w:r>
    </w:p>
    <w:p w14:paraId="0A847B37" w14:textId="2E07630C" w:rsidR="0B44645B" w:rsidRDefault="0B44645B" w:rsidP="0E260372">
      <w:r w:rsidRPr="0E260372">
        <w:rPr>
          <w:rFonts w:ascii="Arial" w:eastAsia="Arial" w:hAnsi="Arial" w:cs="Arial"/>
        </w:rPr>
        <w:t xml:space="preserve">This topic is strongly related to the dissertation's main question, which investigates how social and systemic factors influence teenage substance abuse and the efficacy of intervention options in England. The concept contextualises individual drug use within larger sociocultural systems, shedding light on why some teenagers participate in risky behaviours while others do not. It reveals the processes via which prevention and early intervention activities, such as family-based programs or peer mentorship, can be most successfully implemented by </w:t>
      </w:r>
      <w:r w:rsidRPr="0E260372">
        <w:rPr>
          <w:rFonts w:ascii="Arial" w:eastAsia="Arial" w:hAnsi="Arial" w:cs="Arial"/>
        </w:rPr>
        <w:lastRenderedPageBreak/>
        <w:t>investigating peer and family effects. As a result, this theme serves as the foundation for later consideration of how policies and support services (Themes 2 and 3) address these social realities.</w:t>
      </w:r>
    </w:p>
    <w:p w14:paraId="7BB340FD" w14:textId="10DC4A9A" w:rsidR="75539DF8" w:rsidRDefault="75539DF8" w:rsidP="0E260372">
      <w:pPr>
        <w:rPr>
          <w:rFonts w:ascii="Arial" w:eastAsia="Arial" w:hAnsi="Arial" w:cs="Arial"/>
          <w:sz w:val="24"/>
          <w:szCs w:val="24"/>
        </w:rPr>
      </w:pPr>
      <w:r w:rsidRPr="0E260372">
        <w:rPr>
          <w:rFonts w:ascii="Arial" w:eastAsia="Arial" w:hAnsi="Arial" w:cs="Arial"/>
          <w:sz w:val="24"/>
          <w:szCs w:val="24"/>
        </w:rPr>
        <w:t>Statistical Overview</w:t>
      </w:r>
    </w:p>
    <w:p w14:paraId="2C4ECD4B" w14:textId="6762EEFF" w:rsidR="75539DF8" w:rsidRDefault="75539DF8" w:rsidP="0E260372">
      <w:r w:rsidRPr="0E260372">
        <w:rPr>
          <w:rFonts w:ascii="Arial" w:eastAsia="Arial" w:hAnsi="Arial" w:cs="Arial"/>
        </w:rPr>
        <w:t xml:space="preserve"> Recent national statistics highlight the continued importance of social variables in shaping youth substance use. According to the Office for Health Improvement and Disparities (2024), around 11,847 young people in England sought substance abuse treatment in 2023-24, with cannabis and alcohol continuing the most common substances. The results show that young persons admitted to treatment frequently have complicated psychosocial difficulties, such as unstable family settings, educational marginalisation and peer involvement in substance use networks. These statistics show that substance abuse among adolescents is rarely an isolated occurrence, but rather part of a larger web of social deprivation and relationship influence.</w:t>
      </w:r>
    </w:p>
    <w:p w14:paraId="7E07B2A9" w14:textId="14CB506D" w:rsidR="75539DF8" w:rsidRDefault="75539DF8" w:rsidP="0E260372">
      <w:pPr>
        <w:rPr>
          <w:rFonts w:ascii="Arial" w:eastAsia="Arial" w:hAnsi="Arial" w:cs="Arial"/>
        </w:rPr>
      </w:pPr>
      <w:r w:rsidRPr="0E260372">
        <w:rPr>
          <w:rFonts w:ascii="Arial" w:eastAsia="Arial" w:hAnsi="Arial" w:cs="Arial"/>
        </w:rPr>
        <w:t xml:space="preserve"> However, relying on service-based data may obscure hidden groups, particularly those disconnected from schooling or health systems, thereby underestimating the true volume and diversity of youth substance misuse</w:t>
      </w:r>
      <w:r w:rsidR="02B5D908" w:rsidRPr="0E260372">
        <w:rPr>
          <w:rFonts w:ascii="Arial" w:eastAsia="Arial" w:hAnsi="Arial" w:cs="Arial"/>
        </w:rPr>
        <w:t xml:space="preserve">. </w:t>
      </w:r>
      <w:r w:rsidR="1CE47432" w:rsidRPr="0E260372">
        <w:rPr>
          <w:rFonts w:ascii="Arial" w:eastAsia="Arial" w:hAnsi="Arial" w:cs="Arial"/>
        </w:rPr>
        <w:t>Nonetheless</w:t>
      </w:r>
      <w:r w:rsidR="02B5D908" w:rsidRPr="0E260372">
        <w:rPr>
          <w:rFonts w:ascii="Arial" w:eastAsia="Arial" w:hAnsi="Arial" w:cs="Arial"/>
        </w:rPr>
        <w:t xml:space="preserve">, the quantitative form of the data limits insight into the lived experiences and social complexities hidden behind these numbers—a problem addressed by qualitative studies </w:t>
      </w:r>
      <w:r w:rsidR="5EB26C4F" w:rsidRPr="0E260372">
        <w:rPr>
          <w:rFonts w:ascii="Arial" w:eastAsia="Arial" w:hAnsi="Arial" w:cs="Arial"/>
        </w:rPr>
        <w:t>by</w:t>
      </w:r>
      <w:r w:rsidR="02B5D908" w:rsidRPr="0E260372">
        <w:rPr>
          <w:rFonts w:ascii="Arial" w:eastAsia="Arial" w:hAnsi="Arial" w:cs="Arial"/>
        </w:rPr>
        <w:t xml:space="preserve"> Alderson et al. (2019).</w:t>
      </w:r>
    </w:p>
    <w:p w14:paraId="242A78CA" w14:textId="086143F7" w:rsidR="3DD98999" w:rsidRDefault="3DD98999" w:rsidP="0E260372">
      <w:pPr>
        <w:rPr>
          <w:rFonts w:ascii="Arial" w:eastAsia="Arial" w:hAnsi="Arial" w:cs="Arial"/>
          <w:sz w:val="24"/>
          <w:szCs w:val="24"/>
        </w:rPr>
      </w:pPr>
      <w:r w:rsidRPr="0E260372">
        <w:rPr>
          <w:rFonts w:ascii="Arial" w:eastAsia="Arial" w:hAnsi="Arial" w:cs="Arial"/>
          <w:sz w:val="24"/>
          <w:szCs w:val="24"/>
        </w:rPr>
        <w:t>Theoretical Framework</w:t>
      </w:r>
    </w:p>
    <w:p w14:paraId="1C56E732" w14:textId="5730322B" w:rsidR="3DD98999" w:rsidRDefault="3DD98999" w:rsidP="0E260372">
      <w:r w:rsidRPr="0E260372">
        <w:rPr>
          <w:rFonts w:ascii="Arial" w:eastAsia="Arial" w:hAnsi="Arial" w:cs="Arial"/>
        </w:rPr>
        <w:t xml:space="preserve">The social determinants perspective is strongly aligned with Social Learning Theory, which argues that behaviours are learnt through observation and imitation of others, particularly in influential peer or family environments </w:t>
      </w:r>
      <w:r w:rsidR="6956C7EE" w:rsidRPr="0E260372">
        <w:rPr>
          <w:rFonts w:ascii="Arial" w:eastAsia="Arial" w:hAnsi="Arial" w:cs="Arial"/>
        </w:rPr>
        <w:t>(Li, Hong and Craig, 2023)</w:t>
      </w:r>
      <w:r w:rsidRPr="0E260372">
        <w:rPr>
          <w:rFonts w:ascii="Arial" w:eastAsia="Arial" w:hAnsi="Arial" w:cs="Arial"/>
        </w:rPr>
        <w:t>. Exposure to substance-using peers considerably increases the likelihood of experimentation during adolescence, when peer approbation is a major incentive. This theoretical framework is supported by Bronfenbrenner's Ecological Systems Theory, which views conduct as the result of various interacting systems, including the family microsystem to larger societal and policy contexts. These theories serve to contextualise findings by Judith Watson et al. (2017), who found that integrating family and social networks in therapy increased recovery involvement, showing that behavioural change is most effective when relational ecosystems are positively engaged.</w:t>
      </w:r>
    </w:p>
    <w:p w14:paraId="7C05CAAE" w14:textId="40C40B5B" w:rsidR="1DC7C19E" w:rsidRDefault="1DC7C19E" w:rsidP="0E260372">
      <w:r w:rsidRPr="0E260372">
        <w:rPr>
          <w:rFonts w:ascii="Arial" w:eastAsia="Arial" w:hAnsi="Arial" w:cs="Arial"/>
        </w:rPr>
        <w:t>However, while both theories highlight the social embeddedness of behaviour, they may understate the structural determinants</w:t>
      </w:r>
      <w:r w:rsidR="198FA886" w:rsidRPr="0E260372">
        <w:rPr>
          <w:rFonts w:ascii="Arial" w:eastAsia="Arial" w:hAnsi="Arial" w:cs="Arial"/>
        </w:rPr>
        <w:t xml:space="preserve">, </w:t>
      </w:r>
      <w:r w:rsidRPr="0E260372">
        <w:rPr>
          <w:rFonts w:ascii="Arial" w:eastAsia="Arial" w:hAnsi="Arial" w:cs="Arial"/>
        </w:rPr>
        <w:t>such as deprivation and service accessibility</w:t>
      </w:r>
      <w:r w:rsidR="55D95E44" w:rsidRPr="0E260372">
        <w:rPr>
          <w:rFonts w:ascii="Arial" w:eastAsia="Arial" w:hAnsi="Arial" w:cs="Arial"/>
        </w:rPr>
        <w:t xml:space="preserve"> </w:t>
      </w:r>
      <w:r w:rsidRPr="0E260372">
        <w:rPr>
          <w:rFonts w:ascii="Arial" w:eastAsia="Arial" w:hAnsi="Arial" w:cs="Arial"/>
        </w:rPr>
        <w:t>that limit behavioural choices, implying the need for integration with socio-ecological or critical public health perspectives to capture these larger influences</w:t>
      </w:r>
      <w:r w:rsidR="6AD041E1" w:rsidRPr="0E260372">
        <w:rPr>
          <w:rFonts w:ascii="Arial" w:eastAsia="Arial" w:hAnsi="Arial" w:cs="Arial"/>
        </w:rPr>
        <w:t xml:space="preserve"> (Wilkhu, 2022)</w:t>
      </w:r>
      <w:r w:rsidRPr="0E260372">
        <w:rPr>
          <w:rFonts w:ascii="Arial" w:eastAsia="Arial" w:hAnsi="Arial" w:cs="Arial"/>
        </w:rPr>
        <w:t>.</w:t>
      </w:r>
    </w:p>
    <w:p w14:paraId="0B7E5BCE" w14:textId="5C388EEC" w:rsidR="4065034C" w:rsidRDefault="4065034C" w:rsidP="0E260372">
      <w:pPr>
        <w:rPr>
          <w:rFonts w:ascii="Arial" w:eastAsia="Arial" w:hAnsi="Arial" w:cs="Arial"/>
          <w:sz w:val="24"/>
          <w:szCs w:val="24"/>
        </w:rPr>
      </w:pPr>
      <w:r w:rsidRPr="0E260372">
        <w:rPr>
          <w:rFonts w:ascii="Arial" w:eastAsia="Arial" w:hAnsi="Arial" w:cs="Arial"/>
          <w:sz w:val="24"/>
          <w:szCs w:val="24"/>
        </w:rPr>
        <w:t>Empirical Evidence and Examples</w:t>
      </w:r>
    </w:p>
    <w:p w14:paraId="577A41B9" w14:textId="003061C4" w:rsidR="4065034C" w:rsidRDefault="4065034C" w:rsidP="0E260372">
      <w:pPr>
        <w:rPr>
          <w:rFonts w:ascii="Arial" w:eastAsia="Arial" w:hAnsi="Arial" w:cs="Arial"/>
          <w:sz w:val="24"/>
          <w:szCs w:val="24"/>
        </w:rPr>
      </w:pPr>
      <w:r w:rsidRPr="0E260372">
        <w:rPr>
          <w:rFonts w:ascii="Arial" w:eastAsia="Arial" w:hAnsi="Arial" w:cs="Arial"/>
          <w:sz w:val="24"/>
          <w:szCs w:val="24"/>
        </w:rPr>
        <w:lastRenderedPageBreak/>
        <w:t xml:space="preserve"> Family-Based Prevention and Peer Influence</w:t>
      </w:r>
    </w:p>
    <w:p w14:paraId="1DEBA5C9" w14:textId="55B73A2E" w:rsidR="4065034C" w:rsidRDefault="4065034C" w:rsidP="0E260372">
      <w:proofErr w:type="spellStart"/>
      <w:r w:rsidRPr="0E260372">
        <w:rPr>
          <w:rFonts w:ascii="Arial" w:eastAsia="Arial" w:hAnsi="Arial" w:cs="Arial"/>
        </w:rPr>
        <w:t>Segrott</w:t>
      </w:r>
      <w:proofErr w:type="spellEnd"/>
      <w:r w:rsidRPr="0E260372">
        <w:rPr>
          <w:rFonts w:ascii="Arial" w:eastAsia="Arial" w:hAnsi="Arial" w:cs="Arial"/>
        </w:rPr>
        <w:t xml:space="preserve"> et al. (2022)</w:t>
      </w:r>
      <w:r w:rsidR="7264BA8E" w:rsidRPr="0E260372">
        <w:rPr>
          <w:rFonts w:ascii="Arial" w:eastAsia="Arial" w:hAnsi="Arial" w:cs="Arial"/>
        </w:rPr>
        <w:t>,</w:t>
      </w:r>
      <w:r w:rsidRPr="0E260372">
        <w:rPr>
          <w:rFonts w:ascii="Arial" w:eastAsia="Arial" w:hAnsi="Arial" w:cs="Arial"/>
        </w:rPr>
        <w:t xml:space="preserve"> conducted a pragmatic randomised controlled study of the Strengthening Families Programme (SFP 10-14) in several UK locations. The study discovered significant decreases in early substance use among adolescents who participated in structured family-based interventions, implying that positive parental involvement and enhanced communication reduce peer-driven risk behaviours. This finding significantly supports preventative methods that focus on strengthening family relationships rather than just on changing individual behaviour. However, </w:t>
      </w:r>
      <w:proofErr w:type="spellStart"/>
      <w:r w:rsidRPr="0E260372">
        <w:rPr>
          <w:rFonts w:ascii="Arial" w:eastAsia="Arial" w:hAnsi="Arial" w:cs="Arial"/>
        </w:rPr>
        <w:t>Segrott</w:t>
      </w:r>
      <w:proofErr w:type="spellEnd"/>
      <w:r w:rsidRPr="0E260372">
        <w:rPr>
          <w:rFonts w:ascii="Arial" w:eastAsia="Arial" w:hAnsi="Arial" w:cs="Arial"/>
        </w:rPr>
        <w:t xml:space="preserve"> </w:t>
      </w:r>
      <w:r w:rsidR="2566DF4B" w:rsidRPr="0E260372">
        <w:rPr>
          <w:rFonts w:ascii="Arial" w:eastAsia="Arial" w:hAnsi="Arial" w:cs="Arial"/>
        </w:rPr>
        <w:t>et al. (2022),</w:t>
      </w:r>
      <w:r w:rsidRPr="0E260372">
        <w:rPr>
          <w:rFonts w:ascii="Arial" w:eastAsia="Arial" w:hAnsi="Arial" w:cs="Arial"/>
        </w:rPr>
        <w:t xml:space="preserve"> noticed a lack of long-term follow-up data, implying that maintaining behavioural change necessitates ongoing social support</w:t>
      </w:r>
      <w:r w:rsidR="64514EA7" w:rsidRPr="0E260372">
        <w:rPr>
          <w:rFonts w:ascii="Arial" w:eastAsia="Arial" w:hAnsi="Arial" w:cs="Arial"/>
        </w:rPr>
        <w:t xml:space="preserve"> </w:t>
      </w:r>
      <w:r w:rsidRPr="0E260372">
        <w:rPr>
          <w:rFonts w:ascii="Arial" w:eastAsia="Arial" w:hAnsi="Arial" w:cs="Arial"/>
        </w:rPr>
        <w:t>a feature related to the later debate in Theme 3 on access to services.</w:t>
      </w:r>
    </w:p>
    <w:p w14:paraId="67B8EA28" w14:textId="1D1C9E4B" w:rsidR="14CCD933" w:rsidRDefault="14CCD933" w:rsidP="0E260372">
      <w:r w:rsidRPr="0E260372">
        <w:rPr>
          <w:rFonts w:ascii="Arial" w:eastAsia="Arial" w:hAnsi="Arial" w:cs="Arial"/>
        </w:rPr>
        <w:t>Similarly, Judith Watson et al. (2017), investigated Youth Social Behaviour and Network Therapy (Y-SBNT), a family- and peer-based intervention for juvenile substance users. Their findings showed that engaging an adolescent's social network increased treatment adherence and motivation for behavioural change. This study shows how social reinforcement, rather than punitive tactics, might promote recovery. However, as the authors pointed out, small sample numbers and feasibility limits limit generalisability, emphasising the need for larger-scale studies.</w:t>
      </w:r>
    </w:p>
    <w:p w14:paraId="78622218" w14:textId="2E36CC4E" w:rsidR="509B0342" w:rsidRDefault="509B0342" w:rsidP="0E260372">
      <w:pPr>
        <w:rPr>
          <w:rFonts w:ascii="Arial" w:eastAsia="Arial" w:hAnsi="Arial" w:cs="Arial"/>
          <w:sz w:val="24"/>
          <w:szCs w:val="24"/>
        </w:rPr>
      </w:pPr>
      <w:r w:rsidRPr="0E260372">
        <w:rPr>
          <w:rFonts w:ascii="Arial" w:eastAsia="Arial" w:hAnsi="Arial" w:cs="Arial"/>
          <w:sz w:val="24"/>
          <w:szCs w:val="24"/>
        </w:rPr>
        <w:t>Vulnerable Youth and Relationship Dynamics</w:t>
      </w:r>
    </w:p>
    <w:p w14:paraId="30F8801D" w14:textId="57E07746" w:rsidR="509B0342" w:rsidRDefault="509B0342" w:rsidP="0E260372">
      <w:pPr>
        <w:rPr>
          <w:rFonts w:ascii="Arial" w:eastAsia="Arial" w:hAnsi="Arial" w:cs="Arial"/>
        </w:rPr>
      </w:pPr>
      <w:r w:rsidRPr="0E260372">
        <w:rPr>
          <w:rFonts w:ascii="Arial" w:eastAsia="Arial" w:hAnsi="Arial" w:cs="Arial"/>
        </w:rPr>
        <w:t>In contrast, Alderson et al. (2019), used a qualitative approach to investigate therapeutic connections between looked-after children and care leavers. The study found that trust, empathy and relational stability were critical to lowering substance use in this vulnerable population. While this qualitative viewpoint offers valuable insights into the psychosocial components of substance abuse, its small sample size limits its general applicability. Nonetheless, the findings emphasise the importance of persistent, trust-based connections as protective variables, noting that social instability frequently exacerbates vulnerability to substance use. This is consistent with the general evidence demonstrating that early relational stress or inconsistent caregiving enhances risk-taking behaviours during adolescence</w:t>
      </w:r>
      <w:r w:rsidR="713BAE05" w:rsidRPr="0E260372">
        <w:rPr>
          <w:rFonts w:ascii="Arial" w:eastAsia="Arial" w:hAnsi="Arial" w:cs="Arial"/>
        </w:rPr>
        <w:t xml:space="preserve"> (as suggested by Paquin </w:t>
      </w:r>
      <w:r w:rsidR="713BAE05" w:rsidRPr="0E260372">
        <w:rPr>
          <w:rFonts w:ascii="Arial" w:eastAsia="Arial" w:hAnsi="Arial" w:cs="Arial"/>
          <w:i/>
          <w:iCs/>
        </w:rPr>
        <w:t xml:space="preserve">et al., </w:t>
      </w:r>
      <w:r w:rsidR="713BAE05" w:rsidRPr="0E260372">
        <w:rPr>
          <w:rFonts w:ascii="Arial" w:eastAsia="Arial" w:hAnsi="Arial" w:cs="Arial"/>
        </w:rPr>
        <w:t>2025)</w:t>
      </w:r>
      <w:r w:rsidRPr="0E260372">
        <w:rPr>
          <w:rFonts w:ascii="Arial" w:eastAsia="Arial" w:hAnsi="Arial" w:cs="Arial"/>
        </w:rPr>
        <w:t>.</w:t>
      </w:r>
    </w:p>
    <w:p w14:paraId="757D60D2" w14:textId="2C5FE7E1" w:rsidR="6ACC2816" w:rsidRDefault="6ACC2816" w:rsidP="0E260372">
      <w:pPr>
        <w:rPr>
          <w:rFonts w:ascii="Arial" w:eastAsia="Arial" w:hAnsi="Arial" w:cs="Arial"/>
          <w:sz w:val="24"/>
          <w:szCs w:val="24"/>
        </w:rPr>
      </w:pPr>
      <w:r w:rsidRPr="0E260372">
        <w:rPr>
          <w:rFonts w:ascii="Arial" w:eastAsia="Arial" w:hAnsi="Arial" w:cs="Arial"/>
          <w:sz w:val="24"/>
          <w:szCs w:val="24"/>
        </w:rPr>
        <w:t>Policy and Legislation</w:t>
      </w:r>
    </w:p>
    <w:p w14:paraId="1428964B" w14:textId="0631461C" w:rsidR="6ACC2816" w:rsidRDefault="6ACC2816" w:rsidP="0E260372">
      <w:r w:rsidRPr="0E260372">
        <w:rPr>
          <w:rFonts w:ascii="Arial" w:eastAsia="Arial" w:hAnsi="Arial" w:cs="Arial"/>
        </w:rPr>
        <w:t xml:space="preserve">From a policy perspective, social determinants have been partially integrated into the UK's public health agenda. The UK government's 10-Year Drug Strategy (2021-2031) recognises the importance of family and community settings in prevention and recovery, although it has been criticised for investing in youth-focused preventative programs (Holland et al., 2023). This argument underlines a divergence between evidence and practice, although research </w:t>
      </w:r>
      <w:r w:rsidRPr="0E260372">
        <w:rPr>
          <w:rFonts w:ascii="Arial" w:eastAsia="Arial" w:hAnsi="Arial" w:cs="Arial"/>
        </w:rPr>
        <w:lastRenderedPageBreak/>
        <w:t xml:space="preserve">regularly shows that social and family-based treatments are successful, policy generally focusses on treatment and enforcement rather than prevention. </w:t>
      </w:r>
      <w:r w:rsidR="79BE2929" w:rsidRPr="0E260372">
        <w:rPr>
          <w:rFonts w:ascii="Arial" w:eastAsia="Arial" w:hAnsi="Arial" w:cs="Arial"/>
        </w:rPr>
        <w:t xml:space="preserve">Furthermore, Rogowski (2021), suggested that </w:t>
      </w:r>
      <w:r w:rsidRPr="0E260372">
        <w:rPr>
          <w:rFonts w:ascii="Arial" w:eastAsia="Arial" w:hAnsi="Arial" w:cs="Arial"/>
        </w:rPr>
        <w:t>austerity policies and cuts to youth programs have diminished options for structured social assistance, which may exacerbate vulnerabilities among at-risk adolescents. As a result, these subject stresses both the evidence-based rationale for socially grounded prevention and the institutional hurdles to its complete implementation.</w:t>
      </w:r>
    </w:p>
    <w:p w14:paraId="1AC9AD18" w14:textId="4BD7A8EE" w:rsidR="5155DA6B" w:rsidRDefault="5155DA6B" w:rsidP="0E260372">
      <w:pPr>
        <w:rPr>
          <w:rFonts w:ascii="Arial" w:eastAsia="Arial" w:hAnsi="Arial" w:cs="Arial"/>
          <w:sz w:val="24"/>
          <w:szCs w:val="24"/>
        </w:rPr>
      </w:pPr>
      <w:r w:rsidRPr="0E260372">
        <w:rPr>
          <w:rFonts w:ascii="Arial" w:eastAsia="Arial" w:hAnsi="Arial" w:cs="Arial"/>
          <w:sz w:val="24"/>
          <w:szCs w:val="24"/>
        </w:rPr>
        <w:t>Implications and Critical Reflection</w:t>
      </w:r>
    </w:p>
    <w:p w14:paraId="53430894" w14:textId="1E9A0EFF" w:rsidR="5155DA6B" w:rsidRDefault="5155DA6B" w:rsidP="0E260372">
      <w:r w:rsidRPr="0E260372">
        <w:rPr>
          <w:rFonts w:ascii="Arial" w:eastAsia="Arial" w:hAnsi="Arial" w:cs="Arial"/>
        </w:rPr>
        <w:t>Analysing socioeconomic factors and peer influence reveals both good and negative effects on teenage substance abuse prevention. Strengthening family and community networks significantly reduces early substance use and promotes recovery, whereas social hardship, peer pressure, and inadequate adolescent services increase risk. According to the literature</w:t>
      </w:r>
      <w:r w:rsidR="075EE89C" w:rsidRPr="0E260372">
        <w:rPr>
          <w:rFonts w:ascii="Arial" w:eastAsia="Arial" w:hAnsi="Arial" w:cs="Arial"/>
        </w:rPr>
        <w:t xml:space="preserve"> by (Capraro </w:t>
      </w:r>
      <w:r w:rsidR="075EE89C" w:rsidRPr="0E260372">
        <w:rPr>
          <w:rFonts w:ascii="Arial" w:eastAsia="Arial" w:hAnsi="Arial" w:cs="Arial"/>
          <w:i/>
          <w:iCs/>
        </w:rPr>
        <w:t>et al.,</w:t>
      </w:r>
      <w:r w:rsidR="075EE89C" w:rsidRPr="0E260372">
        <w:rPr>
          <w:rFonts w:ascii="Arial" w:eastAsia="Arial" w:hAnsi="Arial" w:cs="Arial"/>
        </w:rPr>
        <w:t>2024) it is believed that</w:t>
      </w:r>
      <w:r w:rsidRPr="0E260372">
        <w:rPr>
          <w:rFonts w:ascii="Arial" w:eastAsia="Arial" w:hAnsi="Arial" w:cs="Arial"/>
        </w:rPr>
        <w:t xml:space="preserve"> isolated interventions that fail to address underlying socioeconomic inequality are unlikely to produce long-term results. Furthermore, the dependence on short-term, small-scale studies reduces generalisability. An integrated approach including legislative reform, education, and community investment is required to transform evidence into long-term, equitable prevention initiatives that address the structural and social circumstances of teenage substance use.</w:t>
      </w:r>
    </w:p>
    <w:p w14:paraId="485ADDEE" w14:textId="3036057A" w:rsidR="36300812" w:rsidRDefault="36300812" w:rsidP="0E260372">
      <w:pPr>
        <w:rPr>
          <w:rFonts w:ascii="Arial" w:eastAsia="Arial" w:hAnsi="Arial" w:cs="Arial"/>
          <w:sz w:val="24"/>
          <w:szCs w:val="24"/>
        </w:rPr>
      </w:pPr>
      <w:r w:rsidRPr="0E260372">
        <w:rPr>
          <w:rFonts w:ascii="Arial" w:eastAsia="Arial" w:hAnsi="Arial" w:cs="Arial"/>
          <w:sz w:val="24"/>
          <w:szCs w:val="24"/>
        </w:rPr>
        <w:t>Connection with Other Themes</w:t>
      </w:r>
    </w:p>
    <w:p w14:paraId="0E1F715B" w14:textId="65E422E4" w:rsidR="36300812" w:rsidRDefault="36300812" w:rsidP="0E260372">
      <w:r w:rsidRPr="0E260372">
        <w:rPr>
          <w:rFonts w:ascii="Arial" w:eastAsia="Arial" w:hAnsi="Arial" w:cs="Arial"/>
        </w:rPr>
        <w:t xml:space="preserve"> This issue is related to policy and prevention efficacy, as well as access to support and intervention services. Understanding social settings improves policymaking, whereas strong social networks encourage participation in therapy. Together, these themes present adolescent substance use as a social phenomenon rather than a single habit, emphasising the importance of multifaceted, integrated solutions that combine policy, community support and tailored treatments to achieve successful and equitable preventative results.</w:t>
      </w:r>
    </w:p>
    <w:p w14:paraId="620F671D" w14:textId="5A888D9D" w:rsidR="001C3AF6" w:rsidRDefault="001C3AF6" w:rsidP="00E05924">
      <w:pPr>
        <w:pStyle w:val="Heading2"/>
      </w:pPr>
      <w:r>
        <w:t xml:space="preserve">4.4 Theme 2 </w:t>
      </w:r>
      <w:r w:rsidR="2CD9CF64">
        <w:t>Policy and Prevention Efficacy</w:t>
      </w:r>
    </w:p>
    <w:p w14:paraId="252A8056" w14:textId="52850E9E" w:rsidR="46B63EF6" w:rsidRDefault="46B63EF6" w:rsidP="0E260372">
      <w:pPr>
        <w:rPr>
          <w:rFonts w:ascii="Arial" w:eastAsia="Arial" w:hAnsi="Arial" w:cs="Arial"/>
          <w:sz w:val="24"/>
          <w:szCs w:val="24"/>
        </w:rPr>
      </w:pPr>
      <w:r w:rsidRPr="0E260372">
        <w:rPr>
          <w:rFonts w:ascii="Arial" w:eastAsia="Arial" w:hAnsi="Arial" w:cs="Arial"/>
          <w:sz w:val="24"/>
          <w:szCs w:val="24"/>
        </w:rPr>
        <w:t>Definition of the Theme</w:t>
      </w:r>
    </w:p>
    <w:p w14:paraId="6656DFC0" w14:textId="0F2B1179" w:rsidR="55D1F926" w:rsidRDefault="55D1F926" w:rsidP="0E260372">
      <w:r w:rsidRPr="0E260372">
        <w:rPr>
          <w:rFonts w:ascii="Arial" w:eastAsia="Arial" w:hAnsi="Arial" w:cs="Arial"/>
        </w:rPr>
        <w:t xml:space="preserve">Policy and prevention efficacy refers to the effectiveness of government led, institutional and community-based activities targeted at lowering the prevalence and harms of substance abuse among youth. In the United Kingdom, preventative policy includes both comprehensive strategies (such as public education campaigns and legislative limitations on alcohol and tobacco) and specific treatments for at-risk juvenile populations. As indicated by </w:t>
      </w:r>
      <w:r w:rsidR="49CD874E" w:rsidRPr="0E260372">
        <w:rPr>
          <w:rFonts w:ascii="Arial" w:eastAsia="Arial" w:hAnsi="Arial" w:cs="Arial"/>
        </w:rPr>
        <w:t xml:space="preserve">(Csete </w:t>
      </w:r>
      <w:r w:rsidR="49CD874E" w:rsidRPr="0E260372">
        <w:rPr>
          <w:rFonts w:ascii="Arial" w:eastAsia="Arial" w:hAnsi="Arial" w:cs="Arial"/>
          <w:i/>
          <w:iCs/>
        </w:rPr>
        <w:t>et al.,</w:t>
      </w:r>
      <w:r w:rsidR="49CD874E" w:rsidRPr="0E260372">
        <w:rPr>
          <w:rFonts w:ascii="Arial" w:eastAsia="Arial" w:hAnsi="Arial" w:cs="Arial"/>
        </w:rPr>
        <w:t>2016)</w:t>
      </w:r>
      <w:r w:rsidRPr="0E260372">
        <w:rPr>
          <w:rFonts w:ascii="Arial" w:eastAsia="Arial" w:hAnsi="Arial" w:cs="Arial"/>
        </w:rPr>
        <w:t xml:space="preserve">, policy efficacy is judged not only by execution, but also by its ability to impact behavioural outcomes and address the socioeconomic determinants of substance use. Thus, </w:t>
      </w:r>
      <w:r w:rsidRPr="0E260372">
        <w:rPr>
          <w:rFonts w:ascii="Arial" w:eastAsia="Arial" w:hAnsi="Arial" w:cs="Arial"/>
        </w:rPr>
        <w:lastRenderedPageBreak/>
        <w:t>studying this subject entails reviewing how evidence-based policies translates into real consequences for teenage health and well-being.</w:t>
      </w:r>
    </w:p>
    <w:p w14:paraId="5211AC67" w14:textId="200C86D3" w:rsidR="09AE0719" w:rsidRDefault="09AE0719" w:rsidP="0E260372">
      <w:pPr>
        <w:rPr>
          <w:rFonts w:ascii="Arial" w:eastAsia="Arial" w:hAnsi="Arial" w:cs="Arial"/>
          <w:sz w:val="24"/>
          <w:szCs w:val="24"/>
        </w:rPr>
      </w:pPr>
      <w:r w:rsidRPr="0E260372">
        <w:rPr>
          <w:rFonts w:ascii="Arial" w:eastAsia="Arial" w:hAnsi="Arial" w:cs="Arial"/>
          <w:sz w:val="24"/>
          <w:szCs w:val="24"/>
        </w:rPr>
        <w:t>Historical and Contextual Background</w:t>
      </w:r>
    </w:p>
    <w:p w14:paraId="0C21E9DD" w14:textId="15EBDDC1" w:rsidR="09AE0719" w:rsidRDefault="09AE0719" w:rsidP="0E260372">
      <w:pPr>
        <w:rPr>
          <w:rFonts w:ascii="Arial" w:eastAsia="Arial" w:hAnsi="Arial" w:cs="Arial"/>
        </w:rPr>
      </w:pPr>
      <w:r w:rsidRPr="0E260372">
        <w:rPr>
          <w:rFonts w:ascii="Arial" w:eastAsia="Arial" w:hAnsi="Arial" w:cs="Arial"/>
        </w:rPr>
        <w:t>Historically, UK substance abuse policy has shifted in accordance with changing public health ideas. Earlier policy efforts in the 1980s and 1990s focused primarily on criminal justice and abstinence-based models, frequently ignoring the social and environmental determinants of youth substance use. However, in the early 2000s, harm reduction principles were integrated into public health frameworks that stressed prevention, early intervention and treatment access (as claimed by</w:t>
      </w:r>
      <w:r w:rsidR="48C43704" w:rsidRPr="0E260372">
        <w:rPr>
          <w:rFonts w:ascii="Arial" w:eastAsia="Arial" w:hAnsi="Arial" w:cs="Arial"/>
        </w:rPr>
        <w:t xml:space="preserve"> Vearrier, 2019)</w:t>
      </w:r>
      <w:r w:rsidR="7235F94F" w:rsidRPr="0E260372">
        <w:rPr>
          <w:rFonts w:ascii="Arial" w:eastAsia="Arial" w:hAnsi="Arial" w:cs="Arial"/>
        </w:rPr>
        <w:t>.</w:t>
      </w:r>
    </w:p>
    <w:p w14:paraId="3BEB2E85" w14:textId="3D514661" w:rsidR="7235F94F" w:rsidRDefault="7235F94F" w:rsidP="0E260372">
      <w:r w:rsidRPr="0E260372">
        <w:rPr>
          <w:rFonts w:ascii="Arial" w:eastAsia="Arial" w:hAnsi="Arial" w:cs="Arial"/>
        </w:rPr>
        <w:t>The 2010 Marmot Review profoundly reshaped health policy by acknowledging inequality as a predictor of harmful health behaviours, such as substance abuse. Subsequent efforts, most notably the UK Government's from Harm to Hope, A 10 Year Drugs Strategy (2021), emphasised early prevention and family-centred interventions. Nonetheless, critics such as Holland et al. (2023), argue that policy rhetoric frequently outpaces implementation capacity, with underinvestment in youth-focused prevention and poor integration across education, health, and social care systems. This historical trend demonstrates that, while prevention has acquired conceptual traction, its implementation remains scattered and inconsistent across regions.</w:t>
      </w:r>
    </w:p>
    <w:p w14:paraId="29B2A6BD" w14:textId="0895D935" w:rsidR="0DDD6D96" w:rsidRDefault="0DDD6D96" w:rsidP="0E260372">
      <w:pPr>
        <w:rPr>
          <w:rFonts w:ascii="Arial" w:eastAsia="Arial" w:hAnsi="Arial" w:cs="Arial"/>
          <w:sz w:val="24"/>
          <w:szCs w:val="24"/>
        </w:rPr>
      </w:pPr>
      <w:r w:rsidRPr="0E260372">
        <w:rPr>
          <w:rFonts w:ascii="Arial" w:eastAsia="Arial" w:hAnsi="Arial" w:cs="Arial"/>
          <w:sz w:val="24"/>
          <w:szCs w:val="24"/>
        </w:rPr>
        <w:t>Relevance to Research Objectives</w:t>
      </w:r>
    </w:p>
    <w:p w14:paraId="307E2EB4" w14:textId="49EAE712" w:rsidR="0F66C0E1" w:rsidRDefault="0F66C0E1" w:rsidP="0E260372">
      <w:pPr>
        <w:rPr>
          <w:rFonts w:ascii="Arial" w:eastAsia="Arial" w:hAnsi="Arial" w:cs="Arial"/>
        </w:rPr>
      </w:pPr>
      <w:r w:rsidRPr="0E260372">
        <w:rPr>
          <w:rFonts w:ascii="Arial" w:eastAsia="Arial" w:hAnsi="Arial" w:cs="Arial"/>
        </w:rPr>
        <w:t xml:space="preserve">This theme directly addresses Objective 4, which is to assess the efficacy of current public health policies and strategies for treating adolescent substance addiction. It also contributes to Objective 2, as prevention frameworks strive to reduce environmental and social risk factors like peer influence, trauma and deprivation. Evaluation of policy and preventative efficacy helps to determine whether present approaches sufficiently address the various causes of teenage substance usage. According </w:t>
      </w:r>
      <w:r w:rsidR="76672259" w:rsidRPr="0E260372">
        <w:rPr>
          <w:rFonts w:ascii="Arial" w:eastAsia="Arial" w:hAnsi="Arial" w:cs="Arial"/>
        </w:rPr>
        <w:t>to research by (Nair and Howlett, 2016)</w:t>
      </w:r>
      <w:r w:rsidRPr="0E260372">
        <w:rPr>
          <w:rFonts w:ascii="Arial" w:eastAsia="Arial" w:hAnsi="Arial" w:cs="Arial"/>
        </w:rPr>
        <w:t>, the success of a policy is measured not just by lowering prevalence rates, but also by generating long-term behavioural resilience through structural change.</w:t>
      </w:r>
    </w:p>
    <w:p w14:paraId="65BF8B5B" w14:textId="2004A2C4" w:rsidR="09021DD4" w:rsidRDefault="09021DD4" w:rsidP="0E260372">
      <w:pPr>
        <w:rPr>
          <w:rFonts w:ascii="Arial" w:eastAsia="Arial" w:hAnsi="Arial" w:cs="Arial"/>
          <w:sz w:val="24"/>
          <w:szCs w:val="24"/>
        </w:rPr>
      </w:pPr>
      <w:r w:rsidRPr="0E260372">
        <w:rPr>
          <w:rFonts w:ascii="Arial" w:eastAsia="Arial" w:hAnsi="Arial" w:cs="Arial"/>
          <w:sz w:val="24"/>
          <w:szCs w:val="24"/>
        </w:rPr>
        <w:t>Statistical Overview</w:t>
      </w:r>
    </w:p>
    <w:p w14:paraId="602B5E0E" w14:textId="65B789C3" w:rsidR="0FDAECC7" w:rsidRDefault="0FDAECC7" w:rsidP="0E260372">
      <w:r w:rsidRPr="0E260372">
        <w:rPr>
          <w:rFonts w:ascii="Arial" w:eastAsia="Arial" w:hAnsi="Arial" w:cs="Arial"/>
        </w:rPr>
        <w:t xml:space="preserve">Recent national statistics demonstrate both success and ongoing problems in preventative results. According to the Office for Health Improvement and Disparities (2024), there were 11,847 young people in England receiving treatment for substance abuse in 2023-24, a minor decrease from previous years. Cannabis and alcohol remain the key sources of concern, although vaping has emerged as a growing risk activity among adolescents (as demonstrated </w:t>
      </w:r>
      <w:r w:rsidRPr="0E260372">
        <w:rPr>
          <w:rFonts w:ascii="Arial" w:eastAsia="Arial" w:hAnsi="Arial" w:cs="Arial"/>
        </w:rPr>
        <w:lastRenderedPageBreak/>
        <w:t>by Becker and Rice, 2022). Despite stable or slightly dropping total treatment numbers, disparities remain among young people from disadvantaged areas are disproportionately represented in treatment statistics, indicating that preventative initiatives have not yet broken underlying social inequalities.</w:t>
      </w:r>
    </w:p>
    <w:p w14:paraId="5512CB7B" w14:textId="5D25B992" w:rsidR="704847EC" w:rsidRDefault="704847EC" w:rsidP="0E260372">
      <w:pPr>
        <w:rPr>
          <w:rFonts w:ascii="Arial" w:eastAsia="Arial" w:hAnsi="Arial" w:cs="Arial"/>
        </w:rPr>
      </w:pPr>
      <w:r w:rsidRPr="0E260372">
        <w:rPr>
          <w:rFonts w:ascii="Arial" w:eastAsia="Arial" w:hAnsi="Arial" w:cs="Arial"/>
        </w:rPr>
        <w:t>These statistics indicate that, while laws have mitigated some trends, their ability to prevent initiation remains limited. Quantitative metrics, while useful for measuring progress, may not disclose the underlying quality or reach of preventative interventions, necessitating additional qualitative understanding. This emphasises the importance of assessing not only what works statistically, but also why particular populations continue to fall through policy gaps (</w:t>
      </w:r>
      <w:r w:rsidR="3AD932E3" w:rsidRPr="0E260372">
        <w:rPr>
          <w:rFonts w:ascii="Arial" w:eastAsia="Arial" w:hAnsi="Arial" w:cs="Arial"/>
        </w:rPr>
        <w:t xml:space="preserve">Abildgaard, </w:t>
      </w:r>
      <w:proofErr w:type="spellStart"/>
      <w:r w:rsidR="3AD932E3" w:rsidRPr="0E260372">
        <w:rPr>
          <w:rFonts w:ascii="Arial" w:eastAsia="Arial" w:hAnsi="Arial" w:cs="Arial"/>
        </w:rPr>
        <w:t>Saksvik</w:t>
      </w:r>
      <w:proofErr w:type="spellEnd"/>
      <w:r w:rsidR="3AD932E3" w:rsidRPr="0E260372">
        <w:rPr>
          <w:rFonts w:ascii="Arial" w:eastAsia="Arial" w:hAnsi="Arial" w:cs="Arial"/>
        </w:rPr>
        <w:t xml:space="preserve"> and Nielsen, 2016)</w:t>
      </w:r>
      <w:r w:rsidRPr="0E260372">
        <w:rPr>
          <w:rFonts w:ascii="Arial" w:eastAsia="Arial" w:hAnsi="Arial" w:cs="Arial"/>
        </w:rPr>
        <w:t>.</w:t>
      </w:r>
    </w:p>
    <w:p w14:paraId="1D9ADE8B" w14:textId="6EC34D97" w:rsidR="0F02000F" w:rsidRDefault="0F02000F" w:rsidP="0E260372">
      <w:pPr>
        <w:rPr>
          <w:rFonts w:ascii="Arial" w:eastAsia="Arial" w:hAnsi="Arial" w:cs="Arial"/>
          <w:sz w:val="24"/>
          <w:szCs w:val="24"/>
        </w:rPr>
      </w:pPr>
      <w:r w:rsidRPr="0E260372">
        <w:rPr>
          <w:rFonts w:ascii="Arial" w:eastAsia="Arial" w:hAnsi="Arial" w:cs="Arial"/>
          <w:sz w:val="24"/>
          <w:szCs w:val="24"/>
        </w:rPr>
        <w:t>Theoretical Frameworks</w:t>
      </w:r>
    </w:p>
    <w:p w14:paraId="2761E328" w14:textId="1BFAA9AA" w:rsidR="0E8220E9" w:rsidRDefault="0E8220E9" w:rsidP="0E260372">
      <w:r w:rsidRPr="0E260372">
        <w:rPr>
          <w:rFonts w:ascii="Arial" w:eastAsia="Arial" w:hAnsi="Arial" w:cs="Arial"/>
        </w:rPr>
        <w:t>Several theoretical frameworks serve as the foundation for youth substance abuse policy and preventive activities. The public health approach highlights the interaction of individual conduct, environment and policy infrastructure, arguing for multilevel interventions that address both personal and systemic causes. Bandura (1986) established Social Cognitive Theory, which emphasises the importance of social learning and environmental modelling, meaning that successful prevention must address both knowledge and social norms.</w:t>
      </w:r>
    </w:p>
    <w:p w14:paraId="1B126FF3" w14:textId="057CCAFD" w:rsidR="5B393D04" w:rsidRDefault="5B393D04" w:rsidP="0E260372">
      <w:r w:rsidRPr="0E260372">
        <w:rPr>
          <w:rFonts w:ascii="Arial" w:eastAsia="Arial" w:hAnsi="Arial" w:cs="Arial"/>
        </w:rPr>
        <w:t xml:space="preserve">However, modern critics argue that, while these frameworks are strong, they risk oversimplifying behavioural attribution. According to </w:t>
      </w:r>
      <w:r w:rsidR="248AEEC5" w:rsidRPr="0E260372">
        <w:rPr>
          <w:rFonts w:ascii="Arial" w:eastAsia="Arial" w:hAnsi="Arial" w:cs="Arial"/>
        </w:rPr>
        <w:t xml:space="preserve">Tinner </w:t>
      </w:r>
      <w:r w:rsidR="248AEEC5" w:rsidRPr="0E260372">
        <w:rPr>
          <w:rFonts w:ascii="Arial" w:eastAsia="Arial" w:hAnsi="Arial" w:cs="Arial"/>
          <w:i/>
          <w:iCs/>
        </w:rPr>
        <w:t>et al.</w:t>
      </w:r>
      <w:r w:rsidR="248AEEC5" w:rsidRPr="0E260372">
        <w:rPr>
          <w:rFonts w:ascii="Arial" w:eastAsia="Arial" w:hAnsi="Arial" w:cs="Arial"/>
        </w:rPr>
        <w:t xml:space="preserve"> (2021)</w:t>
      </w:r>
      <w:r w:rsidRPr="0E260372">
        <w:rPr>
          <w:rFonts w:ascii="Arial" w:eastAsia="Arial" w:hAnsi="Arial" w:cs="Arial"/>
        </w:rPr>
        <w:t>, relying too heavily on behaviourist principles may hide the impact of structural inequalities such as poverty, housing instability, and educational marginalisation on teenagers' vulnerability to substance use. Thus, incorporating socio-ecological concepts into preventative policy is crucial to accomplishing adequate outcomes.</w:t>
      </w:r>
    </w:p>
    <w:p w14:paraId="05267450" w14:textId="42E54230" w:rsidR="3E240FAF" w:rsidRDefault="3E240FAF" w:rsidP="0E260372">
      <w:r w:rsidRPr="0E260372">
        <w:rPr>
          <w:rFonts w:ascii="Arial" w:eastAsia="Arial" w:hAnsi="Arial" w:cs="Arial"/>
        </w:rPr>
        <w:t>Volkow and Blanco (2023) add a neurobiological dimension, saying that adolescence is a developmental period marked by increased reward sensitivity and reduced impulse control, making early prevention biologically crucial. While such findings reinforce the scientific case for early intervention, they must be contextualised within social realities as biological vulnerability alone cannot explain differences in risk exposure across socioeconomic groups (Becker and Rice, 2022).</w:t>
      </w:r>
    </w:p>
    <w:p w14:paraId="62793F63" w14:textId="07EF8AD4" w:rsidR="0DBF03D7" w:rsidRDefault="0DBF03D7" w:rsidP="0E260372">
      <w:pPr>
        <w:rPr>
          <w:rFonts w:ascii="Arial" w:eastAsia="Arial" w:hAnsi="Arial" w:cs="Arial"/>
          <w:sz w:val="24"/>
          <w:szCs w:val="24"/>
        </w:rPr>
      </w:pPr>
      <w:r w:rsidRPr="0E260372">
        <w:rPr>
          <w:rFonts w:ascii="Arial" w:eastAsia="Arial" w:hAnsi="Arial" w:cs="Arial"/>
          <w:sz w:val="24"/>
          <w:szCs w:val="24"/>
        </w:rPr>
        <w:t>Policy and Legislation</w:t>
      </w:r>
    </w:p>
    <w:p w14:paraId="7906666E" w14:textId="285A54C1" w:rsidR="77CA6A28" w:rsidRDefault="77CA6A28" w:rsidP="0E260372">
      <w:r w:rsidRPr="0E260372">
        <w:rPr>
          <w:rFonts w:ascii="Arial" w:eastAsia="Arial" w:hAnsi="Arial" w:cs="Arial"/>
        </w:rPr>
        <w:t xml:space="preserve">The UK's 10-Year Drug Strategy (2021) outlines a framework for prevention, including early intervention, family engagement and adolescent education programs. It is consistent with international recommendations such as the World Health Organization's Global Strategy to </w:t>
      </w:r>
      <w:r w:rsidRPr="0E260372">
        <w:rPr>
          <w:rFonts w:ascii="Arial" w:eastAsia="Arial" w:hAnsi="Arial" w:cs="Arial"/>
        </w:rPr>
        <w:lastRenderedPageBreak/>
        <w:t>Reduce the Harmful Use of Alcohol and the United Nations Youth Drug Prevention Framework. However, implementation issues persist. Holland et al. (2023), point out that, despite optimistic policy statements, teenage prevention continues to get insufficient financial support, with funds disproportionately given to enforcement rather than education and support services.</w:t>
      </w:r>
    </w:p>
    <w:p w14:paraId="544DB845" w14:textId="779489E6" w:rsidR="76296051" w:rsidRDefault="76296051" w:rsidP="0E260372">
      <w:r w:rsidRPr="0E260372">
        <w:rPr>
          <w:rFonts w:ascii="Arial" w:eastAsia="Arial" w:hAnsi="Arial" w:cs="Arial"/>
        </w:rPr>
        <w:t>According to Babor et al. (2022), nations with rigorous alcohol regulations, such as higher pricing, restricted marketing and controlled availability, have considerable decreases in teenage alcohol consumption and related consequences. This comparative study highlights the potential impact of structural changes, implying that UK policy could benefit from increased regulatory alignment. However, the transferability of such interventions must be carefully considered in various cultural and economic circumstances.</w:t>
      </w:r>
    </w:p>
    <w:p w14:paraId="549DAD72" w14:textId="401101B0" w:rsidR="31A0855E" w:rsidRDefault="31A0855E" w:rsidP="0E260372">
      <w:r w:rsidRPr="0E260372">
        <w:rPr>
          <w:rFonts w:ascii="Arial" w:eastAsia="Arial" w:hAnsi="Arial" w:cs="Arial"/>
        </w:rPr>
        <w:t>Furthermore,</w:t>
      </w:r>
      <w:r w:rsidR="2AF42305" w:rsidRPr="0E260372">
        <w:rPr>
          <w:rFonts w:ascii="Arial" w:eastAsia="Arial" w:hAnsi="Arial" w:cs="Arial"/>
        </w:rPr>
        <w:t xml:space="preserve"> study by Degenhardt et al, (2016</w:t>
      </w:r>
      <w:r w:rsidR="2D070FEA" w:rsidRPr="0E260372">
        <w:rPr>
          <w:rFonts w:ascii="Arial" w:eastAsia="Arial" w:hAnsi="Arial" w:cs="Arial"/>
        </w:rPr>
        <w:t xml:space="preserve">), suggested that </w:t>
      </w:r>
      <w:r w:rsidRPr="0E260372">
        <w:rPr>
          <w:rFonts w:ascii="Arial" w:eastAsia="Arial" w:hAnsi="Arial" w:cs="Arial"/>
        </w:rPr>
        <w:t>inconsistency in local implementation can decrease preventative efficacy. While some local governments have effectively implemented family-based and school-linked interventions, others lack the resources to continue programs, resulting in unequal service access. This disparity demonstrates that major policy objectives require better accountability systems and long-term investment to achieve noticeable improvements.</w:t>
      </w:r>
    </w:p>
    <w:p w14:paraId="554E69E8" w14:textId="5A134E64" w:rsidR="0CC85995" w:rsidRDefault="0CC85995" w:rsidP="0E260372">
      <w:pPr>
        <w:rPr>
          <w:rFonts w:ascii="Arial" w:eastAsia="Arial" w:hAnsi="Arial" w:cs="Arial"/>
          <w:sz w:val="24"/>
          <w:szCs w:val="24"/>
        </w:rPr>
      </w:pPr>
      <w:r w:rsidRPr="0E260372">
        <w:rPr>
          <w:rFonts w:ascii="Arial" w:eastAsia="Arial" w:hAnsi="Arial" w:cs="Arial"/>
          <w:sz w:val="24"/>
          <w:szCs w:val="24"/>
        </w:rPr>
        <w:t>Positive and Negative Implications</w:t>
      </w:r>
    </w:p>
    <w:p w14:paraId="1AA3C0D4" w14:textId="17391712" w:rsidR="67EA54BA" w:rsidRDefault="67EA54BA" w:rsidP="0E260372">
      <w:r w:rsidRPr="0E260372">
        <w:rPr>
          <w:rFonts w:ascii="Arial" w:eastAsia="Arial" w:hAnsi="Arial" w:cs="Arial"/>
        </w:rPr>
        <w:t xml:space="preserve">The increased policy emphasis on prevention has resulted in good effects, such as stronger cross-sector collaboration and greater understanding of youth specific requirements. </w:t>
      </w:r>
      <w:proofErr w:type="spellStart"/>
      <w:r w:rsidRPr="0E260372">
        <w:rPr>
          <w:rFonts w:ascii="Arial" w:eastAsia="Arial" w:hAnsi="Arial" w:cs="Arial"/>
        </w:rPr>
        <w:t>Segrott</w:t>
      </w:r>
      <w:proofErr w:type="spellEnd"/>
      <w:r w:rsidRPr="0E260372">
        <w:rPr>
          <w:rFonts w:ascii="Arial" w:eastAsia="Arial" w:hAnsi="Arial" w:cs="Arial"/>
        </w:rPr>
        <w:t xml:space="preserve"> et al. (2022), found that when sufficiently supported, family-based treatments minimise early substance use while also strengthening protective factors like as communication and parental supervision. Similarly, Judith Watson et al. (2017), discovered that social network techniques improve treatment engagement and long-term outcomes.</w:t>
      </w:r>
    </w:p>
    <w:p w14:paraId="2991EDFF" w14:textId="055A88DE" w:rsidR="7FCAD8BE" w:rsidRDefault="7FCAD8BE" w:rsidP="0E260372">
      <w:r w:rsidRPr="0E260372">
        <w:rPr>
          <w:rFonts w:ascii="Arial" w:eastAsia="Arial" w:hAnsi="Arial" w:cs="Arial"/>
        </w:rPr>
        <w:t>However, preventative plans frequently follow a one-size-fits-all approach that ignores cultural, regional and individual differences. Young people in foster care, those who are excluded from school, and those living in economically depressed areas face distinct challenges that general programs fail to overcome. This disparity is consistent with the findings of James, Nash and Comiskey (2024), who found stigma, poor program design and a lack of youth centred delivery as significant impediments to engagement. As a result, while present policies serve as an essential basis, their lack of inclusion limits overall effectiveness.</w:t>
      </w:r>
    </w:p>
    <w:p w14:paraId="56B866E9" w14:textId="4491ADBD" w:rsidR="7FCAD8BE" w:rsidRDefault="7FCAD8BE" w:rsidP="0E260372">
      <w:pPr>
        <w:rPr>
          <w:rFonts w:ascii="Arial" w:eastAsia="Arial" w:hAnsi="Arial" w:cs="Arial"/>
          <w:sz w:val="24"/>
          <w:szCs w:val="24"/>
        </w:rPr>
      </w:pPr>
      <w:r w:rsidRPr="0E260372">
        <w:rPr>
          <w:rFonts w:ascii="Arial" w:eastAsia="Arial" w:hAnsi="Arial" w:cs="Arial"/>
          <w:sz w:val="24"/>
          <w:szCs w:val="24"/>
        </w:rPr>
        <w:t>Examples from Reviewed Literature</w:t>
      </w:r>
    </w:p>
    <w:p w14:paraId="192F978F" w14:textId="2D5F43E8" w:rsidR="42E6813E" w:rsidRDefault="42E6813E" w:rsidP="0E260372">
      <w:r w:rsidRPr="0E260372">
        <w:rPr>
          <w:rFonts w:ascii="Arial" w:eastAsia="Arial" w:hAnsi="Arial" w:cs="Arial"/>
        </w:rPr>
        <w:t xml:space="preserve">Several key studies highlight both the benefits and weaknesses of existing preventative policies. Holland et al. (2023), critically examined the UK Government's 10-Year Drugs policy </w:t>
      </w:r>
      <w:r w:rsidRPr="0E260372">
        <w:rPr>
          <w:rFonts w:ascii="Arial" w:eastAsia="Arial" w:hAnsi="Arial" w:cs="Arial"/>
        </w:rPr>
        <w:lastRenderedPageBreak/>
        <w:t>and discovered a large shortage in adolescents prevention funding, indicating that without structural reform, the policy risks repeating previous inefficiencies. Babor et al. (2022), found that globally best practices, including regulatory constraints and price-based interventions, might effectively lower youth consumption, providing useful policy insights for the UK context.</w:t>
      </w:r>
    </w:p>
    <w:p w14:paraId="732EDDD7" w14:textId="1EF851D8" w:rsidR="1D29F72A" w:rsidRDefault="1D29F72A" w:rsidP="0E260372">
      <w:r w:rsidRPr="0E260372">
        <w:rPr>
          <w:rFonts w:ascii="Arial" w:eastAsia="Arial" w:hAnsi="Arial" w:cs="Arial"/>
        </w:rPr>
        <w:t>Becker and Rice, (2022) broadened the debate to include emergent forms of risk behaviour, such as vaping, demonstrating the importance of adaptable policy frameworks that respond to changing trends rather than depending on old substance categories. Overall, the findings suggest that preventative efficacy is dependent on flexibility, ongoing investment and integration across health, education and social policy domains.</w:t>
      </w:r>
    </w:p>
    <w:p w14:paraId="69A9F0EE" w14:textId="67E46ED8" w:rsidR="1D29F72A" w:rsidRDefault="1D29F72A" w:rsidP="0E260372">
      <w:pPr>
        <w:rPr>
          <w:rFonts w:ascii="Arial" w:eastAsia="Arial" w:hAnsi="Arial" w:cs="Arial"/>
          <w:sz w:val="24"/>
          <w:szCs w:val="24"/>
        </w:rPr>
      </w:pPr>
      <w:r w:rsidRPr="0E260372">
        <w:rPr>
          <w:rFonts w:ascii="Arial" w:eastAsia="Arial" w:hAnsi="Arial" w:cs="Arial"/>
          <w:sz w:val="24"/>
          <w:szCs w:val="24"/>
        </w:rPr>
        <w:t>Interconnections with Other Themes</w:t>
      </w:r>
    </w:p>
    <w:p w14:paraId="03BF9BBA" w14:textId="4E7703F2" w:rsidR="3860AB3F" w:rsidRDefault="3860AB3F" w:rsidP="0E260372">
      <w:r w:rsidRPr="0E260372">
        <w:rPr>
          <w:rFonts w:ascii="Arial" w:eastAsia="Arial" w:hAnsi="Arial" w:cs="Arial"/>
        </w:rPr>
        <w:t>This subject is closely related to theme 1 (Social Determinants and Peer Impact) and Theme 3 (Access to Support and Intervention Services). Inequality, peer influence and family stability are all societal characteristics that determine substance abuse prevention policies. Simultaneously, the effectiveness of prevention initiatives is dependent on the availability and quality of support systems for young people. As a result, policy and prevention efficacy cannot be evaluated in isolation, but rather as a mediator between broader social settings and individual outcomes.</w:t>
      </w:r>
    </w:p>
    <w:p w14:paraId="3CADB6AC" w14:textId="61C3FC06" w:rsidR="001C3AF6" w:rsidRDefault="001C3AF6" w:rsidP="00A2688D">
      <w:pPr>
        <w:pStyle w:val="Heading2"/>
      </w:pPr>
      <w:r>
        <w:t xml:space="preserve">4.5 Theme 3 </w:t>
      </w:r>
      <w:r w:rsidR="50AADF5F">
        <w:t>Access to Support and Intervention Services</w:t>
      </w:r>
    </w:p>
    <w:p w14:paraId="0D8B4DA0" w14:textId="2141C00C" w:rsidR="00636D9A" w:rsidRPr="00636D9A" w:rsidRDefault="2BCECA81" w:rsidP="0E260372">
      <w:pPr>
        <w:rPr>
          <w:rFonts w:ascii="Arial" w:eastAsia="Arial" w:hAnsi="Arial" w:cs="Arial"/>
          <w:sz w:val="24"/>
          <w:szCs w:val="24"/>
        </w:rPr>
      </w:pPr>
      <w:r w:rsidRPr="0E260372">
        <w:rPr>
          <w:rFonts w:ascii="Arial" w:eastAsia="Arial" w:hAnsi="Arial" w:cs="Arial"/>
          <w:sz w:val="24"/>
          <w:szCs w:val="24"/>
        </w:rPr>
        <w:t>Definition of the Theme</w:t>
      </w:r>
    </w:p>
    <w:p w14:paraId="6DC07EC5" w14:textId="1558A256" w:rsidR="6207E543" w:rsidRDefault="6207E543" w:rsidP="0E260372">
      <w:r w:rsidRPr="0E260372">
        <w:rPr>
          <w:rFonts w:ascii="Arial" w:eastAsia="Arial" w:hAnsi="Arial" w:cs="Arial"/>
        </w:rPr>
        <w:t xml:space="preserve">Access to support and intervention services relates to how rapidly, appropriately and effectively young people suffering from substance abuse can receive assistance. This includes professional treatment programs, community-based preventative measures and informal family or peer support groups. </w:t>
      </w:r>
      <w:r w:rsidR="27AB38A6" w:rsidRPr="0E260372">
        <w:rPr>
          <w:rFonts w:ascii="Arial" w:eastAsia="Arial" w:hAnsi="Arial" w:cs="Arial"/>
        </w:rPr>
        <w:t>It is believed by Gleeson, Duke and Thom (2019) that e</w:t>
      </w:r>
      <w:r w:rsidRPr="0E260372">
        <w:rPr>
          <w:rFonts w:ascii="Arial" w:eastAsia="Arial" w:hAnsi="Arial" w:cs="Arial"/>
        </w:rPr>
        <w:t>ffective access is determined not just by service availability, but also by acceptability, cultural relevance and continuity of treatment. In the context of teenage substance use, access includes both structural components like policy funding, geographic coverage, and service coordination, as well as psychosocial factors like stigma, motivation, and family involvement. Understanding access is thus critical for assessing the real-world effectiveness of preventative and recovery initiatives.</w:t>
      </w:r>
    </w:p>
    <w:p w14:paraId="37C351C6" w14:textId="4D095ADF" w:rsidR="6FF6AD19" w:rsidRDefault="6FF6AD19" w:rsidP="0E260372">
      <w:pPr>
        <w:rPr>
          <w:rFonts w:ascii="Arial" w:eastAsia="Arial" w:hAnsi="Arial" w:cs="Arial"/>
          <w:sz w:val="24"/>
          <w:szCs w:val="24"/>
        </w:rPr>
      </w:pPr>
      <w:r w:rsidRPr="0E260372">
        <w:rPr>
          <w:rFonts w:ascii="Arial" w:eastAsia="Arial" w:hAnsi="Arial" w:cs="Arial"/>
          <w:sz w:val="24"/>
          <w:szCs w:val="24"/>
        </w:rPr>
        <w:t>Historical and Contextual Background</w:t>
      </w:r>
    </w:p>
    <w:p w14:paraId="5D3E3194" w14:textId="4B741048" w:rsidR="4CA41DBA" w:rsidRDefault="4CA41DBA" w:rsidP="0E260372">
      <w:r w:rsidRPr="0E260372">
        <w:rPr>
          <w:rFonts w:ascii="Arial" w:eastAsia="Arial" w:hAnsi="Arial" w:cs="Arial"/>
        </w:rPr>
        <w:t xml:space="preserve">Historically, service provision for young people with substance misuse difficulties in the UK has varied by location. Prior to the early 2000s, therapy frameworks were mostly adult-oriented, with little consideration for teenagers' developmental, social and psychological needs (as </w:t>
      </w:r>
      <w:r w:rsidRPr="0E260372">
        <w:rPr>
          <w:rFonts w:ascii="Arial" w:eastAsia="Arial" w:hAnsi="Arial" w:cs="Arial"/>
        </w:rPr>
        <w:lastRenderedPageBreak/>
        <w:t>observed by</w:t>
      </w:r>
      <w:r w:rsidR="3CCA986D" w:rsidRPr="0E260372">
        <w:rPr>
          <w:rFonts w:ascii="Arial" w:eastAsia="Arial" w:hAnsi="Arial" w:cs="Arial"/>
        </w:rPr>
        <w:t xml:space="preserve"> Schoenberger </w:t>
      </w:r>
      <w:r w:rsidR="3CCA986D" w:rsidRPr="0E260372">
        <w:rPr>
          <w:rFonts w:ascii="Arial" w:eastAsia="Arial" w:hAnsi="Arial" w:cs="Arial"/>
          <w:i/>
          <w:iCs/>
        </w:rPr>
        <w:t>et al.,</w:t>
      </w:r>
      <w:r w:rsidR="3CCA986D" w:rsidRPr="0E260372">
        <w:rPr>
          <w:rFonts w:ascii="Arial" w:eastAsia="Arial" w:hAnsi="Arial" w:cs="Arial"/>
        </w:rPr>
        <w:t>2022)</w:t>
      </w:r>
      <w:r w:rsidRPr="0E260372">
        <w:rPr>
          <w:rFonts w:ascii="Arial" w:eastAsia="Arial" w:hAnsi="Arial" w:cs="Arial"/>
        </w:rPr>
        <w:t xml:space="preserve">). The introduction of youth-focused programs under the National Treatment Agency for Substance Abuse </w:t>
      </w:r>
      <w:r w:rsidR="4529CDA1" w:rsidRPr="0E260372">
        <w:rPr>
          <w:rFonts w:ascii="Arial" w:eastAsia="Arial" w:hAnsi="Arial" w:cs="Arial"/>
        </w:rPr>
        <w:t>(</w:t>
      </w:r>
      <w:r w:rsidRPr="0E260372">
        <w:rPr>
          <w:rFonts w:ascii="Arial" w:eastAsia="Arial" w:hAnsi="Arial" w:cs="Arial"/>
        </w:rPr>
        <w:t>2001</w:t>
      </w:r>
      <w:r w:rsidR="505F9BDA" w:rsidRPr="0E260372">
        <w:rPr>
          <w:rFonts w:ascii="Arial" w:eastAsia="Arial" w:hAnsi="Arial" w:cs="Arial"/>
        </w:rPr>
        <w:t>)</w:t>
      </w:r>
      <w:r w:rsidRPr="0E260372">
        <w:rPr>
          <w:rFonts w:ascii="Arial" w:eastAsia="Arial" w:hAnsi="Arial" w:cs="Arial"/>
        </w:rPr>
        <w:t xml:space="preserve"> was a turning point moment, bringing integrated care pathways and early intervention initiatives. However, austerity policies implemented beginning in 2010 resulted in considerable funding reductions throughout local authority services, disproportionately harming youth-specific provision.</w:t>
      </w:r>
    </w:p>
    <w:p w14:paraId="1E87B903" w14:textId="701CEC83" w:rsidR="428150FB" w:rsidRDefault="428150FB" w:rsidP="0E260372">
      <w:pPr>
        <w:rPr>
          <w:rFonts w:ascii="Arial" w:eastAsia="Arial" w:hAnsi="Arial" w:cs="Arial"/>
        </w:rPr>
      </w:pPr>
      <w:r w:rsidRPr="0E260372">
        <w:rPr>
          <w:rFonts w:ascii="Arial" w:eastAsia="Arial" w:hAnsi="Arial" w:cs="Arial"/>
        </w:rPr>
        <w:t>The 10-Year Drugs Strategy (2021) aimed to reverse this trend by increasing spending and focussing on prevention and treatment for young people. However, as Holland et al. (2023), noted implementation issues exist, particularly in terms of collaboration among school, mental health and social care institutions. Access is still shaped by historical injustices and policy unpredictability. Critically, this shows that, while the policy landscape generally favours integrated methods, poor implementation continues to impede equal access to effective therapies (Fl</w:t>
      </w:r>
      <w:r w:rsidR="146D5B28" w:rsidRPr="0E260372">
        <w:rPr>
          <w:rFonts w:ascii="Arial" w:eastAsia="Arial" w:hAnsi="Arial" w:cs="Arial"/>
        </w:rPr>
        <w:t>acks, 2018)</w:t>
      </w:r>
      <w:r w:rsidRPr="0E260372">
        <w:rPr>
          <w:rFonts w:ascii="Arial" w:eastAsia="Arial" w:hAnsi="Arial" w:cs="Arial"/>
        </w:rPr>
        <w:t>.</w:t>
      </w:r>
    </w:p>
    <w:p w14:paraId="017CC41C" w14:textId="390A854C" w:rsidR="1FC68BA4" w:rsidRDefault="1FC68BA4" w:rsidP="0E260372">
      <w:pPr>
        <w:rPr>
          <w:rFonts w:ascii="Arial" w:eastAsia="Arial" w:hAnsi="Arial" w:cs="Arial"/>
          <w:sz w:val="24"/>
          <w:szCs w:val="24"/>
        </w:rPr>
      </w:pPr>
      <w:r w:rsidRPr="0E260372">
        <w:rPr>
          <w:rFonts w:ascii="Arial" w:eastAsia="Arial" w:hAnsi="Arial" w:cs="Arial"/>
          <w:sz w:val="24"/>
          <w:szCs w:val="24"/>
        </w:rPr>
        <w:t>Relevance to the Research Question</w:t>
      </w:r>
    </w:p>
    <w:p w14:paraId="285AC0F9" w14:textId="6693D1D4" w:rsidR="3B39FEFA" w:rsidRDefault="3B39FEFA" w:rsidP="0E260372">
      <w:r w:rsidRPr="0E260372">
        <w:rPr>
          <w:rFonts w:ascii="Arial" w:eastAsia="Arial" w:hAnsi="Arial" w:cs="Arial"/>
        </w:rPr>
        <w:t>This theme directly addresses Research Objectives 3 and 4, which investigate the prevalence and concealment of substance abuse among vulnerable young people, as well as the efficacy of current therapeutic strategies. Limited access to help contributes to the persistence of covert substance use, especially among looked after children, those excluded from school and those living in economically challenged regions. As previously stated by (Mold, 2019), the ultimate effectiveness of any preventative or treatment endeavour is determined by whether young people can actively connect with and sustain their participation in these services. Exploring barriers and enablers of access thus provides vital insight into whether policy goals are being met in practice.</w:t>
      </w:r>
    </w:p>
    <w:p w14:paraId="0273FCCA" w14:textId="1EE1A881" w:rsidR="00735607" w:rsidRDefault="00735607" w:rsidP="0E260372">
      <w:pPr>
        <w:rPr>
          <w:rFonts w:ascii="Arial" w:eastAsia="Arial" w:hAnsi="Arial" w:cs="Arial"/>
          <w:sz w:val="24"/>
          <w:szCs w:val="24"/>
        </w:rPr>
      </w:pPr>
      <w:r w:rsidRPr="0E260372">
        <w:rPr>
          <w:rFonts w:ascii="Arial" w:eastAsia="Arial" w:hAnsi="Arial" w:cs="Arial"/>
          <w:sz w:val="24"/>
          <w:szCs w:val="24"/>
        </w:rPr>
        <w:t>Statistical Overview</w:t>
      </w:r>
    </w:p>
    <w:p w14:paraId="0C886452" w14:textId="289E5923" w:rsidR="00735607" w:rsidRDefault="00735607" w:rsidP="0E260372">
      <w:pPr>
        <w:rPr>
          <w:rFonts w:ascii="Arial" w:eastAsia="Arial" w:hAnsi="Arial" w:cs="Arial"/>
        </w:rPr>
      </w:pPr>
      <w:r w:rsidRPr="0E260372">
        <w:rPr>
          <w:rFonts w:ascii="Arial" w:eastAsia="Arial" w:hAnsi="Arial" w:cs="Arial"/>
        </w:rPr>
        <w:t>According to the Office for Health Improvement and Disparities (2024), 11,847 young people in England received structured substance abuse treatment in 2023-24, which is largely similar with recent years. While treatment numbers remain stable, it is possible that preventative initiatives have not reduced the need for intervention significantly. Cannabis accounted for 82% of primary substance use in this cohort, followed by alcohol, indicating ongoing patterns of early experimentation</w:t>
      </w:r>
      <w:r w:rsidR="29D24C06" w:rsidRPr="0E260372">
        <w:rPr>
          <w:rFonts w:ascii="Arial" w:eastAsia="Arial" w:hAnsi="Arial" w:cs="Arial"/>
        </w:rPr>
        <w:t xml:space="preserve"> (Das, 2019).</w:t>
      </w:r>
    </w:p>
    <w:p w14:paraId="4DFFECC8" w14:textId="25E7980A" w:rsidR="70F1D1E3" w:rsidRDefault="70F1D1E3" w:rsidP="0E260372">
      <w:r w:rsidRPr="0E260372">
        <w:rPr>
          <w:rFonts w:ascii="Arial" w:eastAsia="Arial" w:hAnsi="Arial" w:cs="Arial"/>
        </w:rPr>
        <w:t xml:space="preserve">Significantly, the same dataset shows that over half of those entering treatment had several vulnerabilities, such as mental health issues, family instability or school exclusion. This correlation demonstrates that substance abuse is frequently an indicator of larger social hardship. However, as Alderson et al. (2019), indicate quantitative data alone cannot explain why certain young people disengage from or fail to use programs. These difficulties are better </w:t>
      </w:r>
      <w:r w:rsidRPr="0E260372">
        <w:rPr>
          <w:rFonts w:ascii="Arial" w:eastAsia="Arial" w:hAnsi="Arial" w:cs="Arial"/>
        </w:rPr>
        <w:lastRenderedPageBreak/>
        <w:t>captured through qualitative inquiry. This strengthens the idea that evaluating access necessitates considering both measured service uptake and the lived experiences that shape participation.</w:t>
      </w:r>
    </w:p>
    <w:p w14:paraId="3D52C50A" w14:textId="7D441442" w:rsidR="70F1D1E3" w:rsidRDefault="70F1D1E3" w:rsidP="0E260372">
      <w:pPr>
        <w:rPr>
          <w:rFonts w:ascii="Arial" w:eastAsia="Arial" w:hAnsi="Arial" w:cs="Arial"/>
          <w:sz w:val="24"/>
          <w:szCs w:val="24"/>
        </w:rPr>
      </w:pPr>
      <w:r w:rsidRPr="0E260372">
        <w:rPr>
          <w:rFonts w:ascii="Arial" w:eastAsia="Arial" w:hAnsi="Arial" w:cs="Arial"/>
          <w:sz w:val="24"/>
          <w:szCs w:val="24"/>
        </w:rPr>
        <w:t>Theoretical Framework</w:t>
      </w:r>
    </w:p>
    <w:p w14:paraId="6843C772" w14:textId="5358D455" w:rsidR="55B3B97B" w:rsidRDefault="55B3B97B" w:rsidP="0E260372">
      <w:r w:rsidRPr="0E260372">
        <w:rPr>
          <w:rFonts w:ascii="Arial" w:eastAsia="Arial" w:hAnsi="Arial" w:cs="Arial"/>
        </w:rPr>
        <w:t>The barriers and facilitators impacting young people's access to support can be explored using Bronfenbrenner's Ecological Systems Theory, which views development as impacted by several interacting systems, including individual, family, community and policy</w:t>
      </w:r>
      <w:r w:rsidR="41F4DC42" w:rsidRPr="0E260372">
        <w:rPr>
          <w:rFonts w:ascii="Arial" w:eastAsia="Arial" w:hAnsi="Arial" w:cs="Arial"/>
        </w:rPr>
        <w:t xml:space="preserve"> highlighted by (Paat, 2013)</w:t>
      </w:r>
      <w:r w:rsidRPr="0E260372">
        <w:rPr>
          <w:rFonts w:ascii="Arial" w:eastAsia="Arial" w:hAnsi="Arial" w:cs="Arial"/>
        </w:rPr>
        <w:t>. Within this concept, access hurdles arise not only from individual hesitation, but also from systemic failings in the institutions that surround the adolescent.</w:t>
      </w:r>
    </w:p>
    <w:p w14:paraId="14B5E1CB" w14:textId="1966405E" w:rsidR="44A1B2FD" w:rsidRDefault="44A1B2FD" w:rsidP="0E260372">
      <w:r w:rsidRPr="0E260372">
        <w:rPr>
          <w:rFonts w:ascii="Arial" w:eastAsia="Arial" w:hAnsi="Arial" w:cs="Arial"/>
        </w:rPr>
        <w:t xml:space="preserve">Similarly, Social Support Theory highlights the protective function of positive interpersonal relationships in developing resilience and recovery. </w:t>
      </w:r>
      <w:r w:rsidR="3D379BA2" w:rsidRPr="0E260372">
        <w:rPr>
          <w:rFonts w:ascii="Arial" w:eastAsia="Arial" w:hAnsi="Arial" w:cs="Arial"/>
        </w:rPr>
        <w:t>Judith Watson et al., (2017)</w:t>
      </w:r>
      <w:r w:rsidRPr="0E260372">
        <w:rPr>
          <w:rFonts w:ascii="Arial" w:eastAsia="Arial" w:hAnsi="Arial" w:cs="Arial"/>
        </w:rPr>
        <w:t xml:space="preserve"> found that engaging family and social networks in treatment improves engagement and recovery results. However, </w:t>
      </w:r>
      <w:r w:rsidR="17D28A29" w:rsidRPr="0E260372">
        <w:rPr>
          <w:rFonts w:ascii="Arial" w:eastAsia="Arial" w:hAnsi="Arial" w:cs="Arial"/>
        </w:rPr>
        <w:t xml:space="preserve">research by Tinner </w:t>
      </w:r>
      <w:r w:rsidR="17D28A29" w:rsidRPr="0E260372">
        <w:rPr>
          <w:rFonts w:ascii="Arial" w:eastAsia="Arial" w:hAnsi="Arial" w:cs="Arial"/>
          <w:i/>
          <w:iCs/>
        </w:rPr>
        <w:t>et al.</w:t>
      </w:r>
      <w:r w:rsidR="17D28A29" w:rsidRPr="0E260372">
        <w:rPr>
          <w:rFonts w:ascii="Arial" w:eastAsia="Arial" w:hAnsi="Arial" w:cs="Arial"/>
        </w:rPr>
        <w:t xml:space="preserve"> (2021</w:t>
      </w:r>
      <w:r w:rsidR="79231576" w:rsidRPr="0E260372">
        <w:rPr>
          <w:rFonts w:ascii="Arial" w:eastAsia="Arial" w:hAnsi="Arial" w:cs="Arial"/>
        </w:rPr>
        <w:t xml:space="preserve">), argued that </w:t>
      </w:r>
      <w:r w:rsidRPr="0E260372">
        <w:rPr>
          <w:rFonts w:ascii="Arial" w:eastAsia="Arial" w:hAnsi="Arial" w:cs="Arial"/>
        </w:rPr>
        <w:t>such models frequently presume the existence of supportive family contexts, which may not exist for looked-after or homeless adolescents. As a result, interventions centred only on familial engagement risk neglecting individuals most in need, emphasising the significance of adaptable, context-sensitive service models.</w:t>
      </w:r>
    </w:p>
    <w:p w14:paraId="03334F8D" w14:textId="2EDD74DF" w:rsidR="658C6E75" w:rsidRDefault="658C6E75" w:rsidP="0E260372">
      <w:pPr>
        <w:rPr>
          <w:rFonts w:ascii="Arial" w:eastAsia="Arial" w:hAnsi="Arial" w:cs="Arial"/>
          <w:sz w:val="24"/>
          <w:szCs w:val="24"/>
        </w:rPr>
      </w:pPr>
      <w:r w:rsidRPr="0E260372">
        <w:rPr>
          <w:rFonts w:ascii="Arial" w:eastAsia="Arial" w:hAnsi="Arial" w:cs="Arial"/>
          <w:sz w:val="24"/>
          <w:szCs w:val="24"/>
        </w:rPr>
        <w:t>Policy and Legislation</w:t>
      </w:r>
    </w:p>
    <w:p w14:paraId="6C5387C1" w14:textId="2C82D32D" w:rsidR="733DD7E9" w:rsidRDefault="733DD7E9" w:rsidP="0E260372">
      <w:r w:rsidRPr="0E260372">
        <w:rPr>
          <w:rFonts w:ascii="Arial" w:eastAsia="Arial" w:hAnsi="Arial" w:cs="Arial"/>
        </w:rPr>
        <w:t>The From Harm to Hope strategy</w:t>
      </w:r>
      <w:r w:rsidR="031FA62A" w:rsidRPr="0E260372">
        <w:rPr>
          <w:rFonts w:ascii="Arial" w:eastAsia="Arial" w:hAnsi="Arial" w:cs="Arial"/>
        </w:rPr>
        <w:t xml:space="preserve"> (2021)</w:t>
      </w:r>
      <w:r w:rsidRPr="0E260372">
        <w:rPr>
          <w:rFonts w:ascii="Arial" w:eastAsia="Arial" w:hAnsi="Arial" w:cs="Arial"/>
        </w:rPr>
        <w:t xml:space="preserve"> outlines the UK's current drug prevention and rehabilitation framework, highlighting early intervention and youth-specific pathways as critical targets. While the plan expresses a strong theoretical commitment to integrated, family-centred care, its implementation in practice has been inconsistent. According to James, Nash and Comiskey (2024), service fragmentation, stigma, and practitioners' lack of adolescent knowledge continue to impede successful delivery, indicating a gap between policy purpose and implementation reality.</w:t>
      </w:r>
    </w:p>
    <w:p w14:paraId="0D79559A" w14:textId="6145ECA9" w:rsidR="7122220A" w:rsidRDefault="7122220A" w:rsidP="0E260372">
      <w:r w:rsidRPr="0E260372">
        <w:rPr>
          <w:rFonts w:ascii="Arial" w:eastAsia="Arial" w:hAnsi="Arial" w:cs="Arial"/>
        </w:rPr>
        <w:t>Public Health England's Young People's Substance Misuse Treatment Guidance (2017) encourages early, community-based interventions, however ongoing budget shortages have hindered local governments' ability to uphold these standards. This financial instability impairs long-term policy effectiveness, especially in impoverished areas where service demand is highest</w:t>
      </w:r>
      <w:r w:rsidR="3C97DBFE" w:rsidRPr="0E260372">
        <w:rPr>
          <w:rFonts w:ascii="Arial" w:eastAsia="Arial" w:hAnsi="Arial" w:cs="Arial"/>
        </w:rPr>
        <w:t xml:space="preserve"> (Bekkering </w:t>
      </w:r>
      <w:r w:rsidR="3C97DBFE" w:rsidRPr="0E260372">
        <w:rPr>
          <w:rFonts w:ascii="Arial" w:eastAsia="Arial" w:hAnsi="Arial" w:cs="Arial"/>
          <w:i/>
          <w:iCs/>
        </w:rPr>
        <w:t xml:space="preserve">et al., </w:t>
      </w:r>
      <w:r w:rsidR="3C97DBFE" w:rsidRPr="0E260372">
        <w:rPr>
          <w:rFonts w:ascii="Arial" w:eastAsia="Arial" w:hAnsi="Arial" w:cs="Arial"/>
        </w:rPr>
        <w:t>2014)</w:t>
      </w:r>
      <w:r w:rsidRPr="0E260372">
        <w:rPr>
          <w:rFonts w:ascii="Arial" w:eastAsia="Arial" w:hAnsi="Arial" w:cs="Arial"/>
        </w:rPr>
        <w:t>.</w:t>
      </w:r>
    </w:p>
    <w:p w14:paraId="6786F7F4" w14:textId="3D4A81E1" w:rsidR="7122220A" w:rsidRDefault="7122220A" w:rsidP="0E260372">
      <w:r w:rsidRPr="0E260372">
        <w:rPr>
          <w:rFonts w:ascii="Arial" w:eastAsia="Arial" w:hAnsi="Arial" w:cs="Arial"/>
        </w:rPr>
        <w:t xml:space="preserve"> Comparative international evidence, such as Stockings et al. (2016), demonstrates that multi-component methods that incorporate preventive, harm reduction and treatment produce the most long-term results. However, its applicability to the UK context is limited by fragmented </w:t>
      </w:r>
      <w:r w:rsidRPr="0E260372">
        <w:rPr>
          <w:rFonts w:ascii="Arial" w:eastAsia="Arial" w:hAnsi="Arial" w:cs="Arial"/>
        </w:rPr>
        <w:lastRenderedPageBreak/>
        <w:t>governance and unpredictable finance. Furthermore, without institutional transformation to ensure inter-agency collaboration across education, health and social care, policy advancements risk becoming symbolic rather than revolutionary</w:t>
      </w:r>
      <w:r w:rsidR="017ACB95" w:rsidRPr="0E260372">
        <w:rPr>
          <w:rFonts w:ascii="Arial" w:eastAsia="Arial" w:hAnsi="Arial" w:cs="Arial"/>
        </w:rPr>
        <w:t xml:space="preserve"> (Csete </w:t>
      </w:r>
      <w:r w:rsidR="017ACB95" w:rsidRPr="0E260372">
        <w:rPr>
          <w:rFonts w:ascii="Arial" w:eastAsia="Arial" w:hAnsi="Arial" w:cs="Arial"/>
          <w:i/>
          <w:iCs/>
        </w:rPr>
        <w:t>et al.,</w:t>
      </w:r>
      <w:r w:rsidR="017ACB95" w:rsidRPr="0E260372">
        <w:rPr>
          <w:rFonts w:ascii="Arial" w:eastAsia="Arial" w:hAnsi="Arial" w:cs="Arial"/>
        </w:rPr>
        <w:t>2016)</w:t>
      </w:r>
      <w:r w:rsidRPr="0E260372">
        <w:rPr>
          <w:rFonts w:ascii="Arial" w:eastAsia="Arial" w:hAnsi="Arial" w:cs="Arial"/>
        </w:rPr>
        <w:t>.</w:t>
      </w:r>
    </w:p>
    <w:p w14:paraId="14128E66" w14:textId="732A196C" w:rsidR="6ED638CE" w:rsidRDefault="6ED638CE" w:rsidP="0E260372">
      <w:pPr>
        <w:rPr>
          <w:rFonts w:ascii="Arial" w:eastAsia="Arial" w:hAnsi="Arial" w:cs="Arial"/>
          <w:sz w:val="24"/>
          <w:szCs w:val="24"/>
        </w:rPr>
      </w:pPr>
      <w:r w:rsidRPr="0E260372">
        <w:rPr>
          <w:rFonts w:ascii="Arial" w:eastAsia="Arial" w:hAnsi="Arial" w:cs="Arial"/>
          <w:sz w:val="24"/>
          <w:szCs w:val="24"/>
        </w:rPr>
        <w:t>Positive and Negative Implications</w:t>
      </w:r>
    </w:p>
    <w:p w14:paraId="4967C7F3" w14:textId="25F48D49" w:rsidR="209E9823" w:rsidRDefault="209E9823" w:rsidP="0E260372">
      <w:r w:rsidRPr="0E260372">
        <w:rPr>
          <w:rFonts w:ascii="Arial" w:eastAsia="Arial" w:hAnsi="Arial" w:cs="Arial"/>
        </w:rPr>
        <w:t>The increase of youth-focused services produced several positive outcomes. Greater legislative identification of adolescent-specific needs has fostered multi-agency collaboration and the implementation of family-based and peer-support models, which have been demonstrated to improve participation (</w:t>
      </w:r>
      <w:proofErr w:type="spellStart"/>
      <w:r w:rsidRPr="0E260372">
        <w:rPr>
          <w:rFonts w:ascii="Arial" w:eastAsia="Arial" w:hAnsi="Arial" w:cs="Arial"/>
        </w:rPr>
        <w:t>Segrott</w:t>
      </w:r>
      <w:proofErr w:type="spellEnd"/>
      <w:r w:rsidRPr="0E260372">
        <w:rPr>
          <w:rFonts w:ascii="Arial" w:eastAsia="Arial" w:hAnsi="Arial" w:cs="Arial"/>
        </w:rPr>
        <w:t xml:space="preserve"> et al., 2022). The incorporation of early intervention activities inside schools has also aided in the earlier detection of risk behaviours.</w:t>
      </w:r>
    </w:p>
    <w:p w14:paraId="0E472DAC" w14:textId="650E3975" w:rsidR="38FE7751" w:rsidRDefault="38FE7751" w:rsidP="0E260372">
      <w:pPr>
        <w:rPr>
          <w:rFonts w:ascii="Arial" w:eastAsia="Arial" w:hAnsi="Arial" w:cs="Arial"/>
        </w:rPr>
      </w:pPr>
      <w:r w:rsidRPr="0E260372">
        <w:rPr>
          <w:rFonts w:ascii="Arial" w:eastAsia="Arial" w:hAnsi="Arial" w:cs="Arial"/>
        </w:rPr>
        <w:t xml:space="preserve">However, critical evaluation exposes long-standing disparities. Service access remains geographically uneven, with rural and deprived urban regions having the greatest gaps. Furthermore, social stigma continues to deter young people from getting help, especially when substance abuse is criminalised or morally condemned according to </w:t>
      </w:r>
      <w:r w:rsidR="4FB3D4C8" w:rsidRPr="0E260372">
        <w:rPr>
          <w:rFonts w:ascii="Arial" w:eastAsia="Arial" w:hAnsi="Arial" w:cs="Arial"/>
        </w:rPr>
        <w:t>Degenhardt, (</w:t>
      </w:r>
      <w:r w:rsidR="7C79CA37" w:rsidRPr="0E260372">
        <w:rPr>
          <w:rFonts w:ascii="Arial" w:eastAsia="Arial" w:hAnsi="Arial" w:cs="Arial"/>
        </w:rPr>
        <w:t>2016</w:t>
      </w:r>
      <w:r w:rsidRPr="0E260372">
        <w:rPr>
          <w:rFonts w:ascii="Arial" w:eastAsia="Arial" w:hAnsi="Arial" w:cs="Arial"/>
        </w:rPr>
        <w:t>). Although digital and remote support alternatives have increased since the COVID-19 epidemic, Layman et al. (2022) discovered that isolation and anxiety during lockdown enhanced substance use while concurrently lowering service participation, emphasising the vulnerability of access during times of social disruption.</w:t>
      </w:r>
    </w:p>
    <w:p w14:paraId="7B7048F2" w14:textId="258EBB6D" w:rsidR="11A3D19D" w:rsidRDefault="11A3D19D" w:rsidP="0E260372">
      <w:r w:rsidRPr="0E260372">
        <w:rPr>
          <w:rFonts w:ascii="Arial" w:eastAsia="Arial" w:hAnsi="Arial" w:cs="Arial"/>
        </w:rPr>
        <w:t xml:space="preserve">Furthermore, while family-centred programs work for certain people, they may unintentionally marginalise those who lack reliable support structures. According to Alderson et al. (2019), the most important therapeutic qualities for looked-after children are trust, consistency, and sympathetic practitioner relationships all of which cannot always be repeated inside structured programmes. These findings show that interventions must strike a balance between evidence-based structure and relational flexibility </w:t>
      </w:r>
      <w:r w:rsidR="36AE9A17" w:rsidRPr="0E260372">
        <w:rPr>
          <w:rFonts w:ascii="Arial" w:eastAsia="Arial" w:hAnsi="Arial" w:cs="Arial"/>
        </w:rPr>
        <w:t>to</w:t>
      </w:r>
      <w:r w:rsidRPr="0E260372">
        <w:rPr>
          <w:rFonts w:ascii="Arial" w:eastAsia="Arial" w:hAnsi="Arial" w:cs="Arial"/>
        </w:rPr>
        <w:t xml:space="preserve"> accommodate distinct life circumstances.</w:t>
      </w:r>
    </w:p>
    <w:p w14:paraId="63CDF441" w14:textId="6FBEA75D" w:rsidR="05AEB29A" w:rsidRDefault="05AEB29A" w:rsidP="0E260372">
      <w:pPr>
        <w:rPr>
          <w:rFonts w:ascii="Arial" w:eastAsia="Arial" w:hAnsi="Arial" w:cs="Arial"/>
          <w:sz w:val="24"/>
          <w:szCs w:val="24"/>
        </w:rPr>
      </w:pPr>
      <w:r w:rsidRPr="0E260372">
        <w:rPr>
          <w:rFonts w:ascii="Arial" w:eastAsia="Arial" w:hAnsi="Arial" w:cs="Arial"/>
          <w:sz w:val="24"/>
          <w:szCs w:val="24"/>
        </w:rPr>
        <w:t>Examples from Reviewed Literature</w:t>
      </w:r>
    </w:p>
    <w:p w14:paraId="0BD9DE72" w14:textId="4B58E240" w:rsidR="40CAA6D6" w:rsidRDefault="40CAA6D6" w:rsidP="0E260372">
      <w:r w:rsidRPr="0E260372">
        <w:rPr>
          <w:rFonts w:ascii="Arial" w:eastAsia="Arial" w:hAnsi="Arial" w:cs="Arial"/>
        </w:rPr>
        <w:t>Various research highlights the complexities of accessing intervention services. James, Nash and Comiskey, (2024) identified stigma, accessibility and family support as the primary predictors of involvement, suggesting that without addressing these barriers, treatment outcomes are restricted. Similarly, Alderson et al. (2019), found that relational trust and compassionate practice are essential for maintaining involvement among vulnerable kids, particularly those in care.</w:t>
      </w:r>
    </w:p>
    <w:p w14:paraId="07EE4155" w14:textId="55C70046" w:rsidR="64BFB0EF" w:rsidRDefault="64BFB0EF" w:rsidP="0E260372">
      <w:r w:rsidRPr="0E260372">
        <w:rPr>
          <w:rFonts w:ascii="Arial" w:eastAsia="Arial" w:hAnsi="Arial" w:cs="Arial"/>
        </w:rPr>
        <w:t xml:space="preserve">Stockings et al. (2016) provided a global perspective, concluding that multi-component approaches that combine prevention, harm reduction and treatment produce the best results for young people. However, such initiatives necessitate long-term investment and inter-agency </w:t>
      </w:r>
      <w:r w:rsidRPr="0E260372">
        <w:rPr>
          <w:rFonts w:ascii="Arial" w:eastAsia="Arial" w:hAnsi="Arial" w:cs="Arial"/>
        </w:rPr>
        <w:lastRenderedPageBreak/>
        <w:t>coordination, both of which are unevenly implemented England. The Office for Health Improvement and Disparities (2024) offered quantitative validation of these constraints, stating that despite stable treatment numbers, young individuals with multiple vulnerabilities are still under-represented in good outcomes. These studies show that effective access depends not just on the availability of services, but also on structural coherence and inclusion.</w:t>
      </w:r>
    </w:p>
    <w:p w14:paraId="213EFF9C" w14:textId="63015507" w:rsidR="64BFB0EF" w:rsidRDefault="64BFB0EF" w:rsidP="0E260372">
      <w:pPr>
        <w:rPr>
          <w:rFonts w:ascii="Arial" w:eastAsia="Arial" w:hAnsi="Arial" w:cs="Arial"/>
          <w:sz w:val="24"/>
          <w:szCs w:val="24"/>
        </w:rPr>
      </w:pPr>
      <w:r w:rsidRPr="0E260372">
        <w:rPr>
          <w:rFonts w:ascii="Arial" w:eastAsia="Arial" w:hAnsi="Arial" w:cs="Arial"/>
          <w:sz w:val="24"/>
          <w:szCs w:val="24"/>
        </w:rPr>
        <w:t>Interconnections with Other Themes</w:t>
      </w:r>
    </w:p>
    <w:p w14:paraId="24E3D41A" w14:textId="4F8B69C3" w:rsidR="639FE3D0" w:rsidRDefault="639FE3D0" w:rsidP="0E260372">
      <w:r w:rsidRPr="0E260372">
        <w:rPr>
          <w:rFonts w:ascii="Arial" w:eastAsia="Arial" w:hAnsi="Arial" w:cs="Arial"/>
        </w:rPr>
        <w:t>This theme is closely related to Theme 1 (Social Determinants and Peer Impact) and 2 (Policy and Prevention Efficacy). Social deprivation and peer situations influence both the likelihood of substance abuse and the ability to seek treatment, whereas policy design determines whether support institutions are appropriately funded and responsive. As a result, access to support and intervention services represents the practical confluence of the structural, social and policy elements discussed in the previous themes. Improving access needs a comprehensive grasp of all three dimensions social background, policy design, and service implementation.</w:t>
      </w:r>
    </w:p>
    <w:p w14:paraId="0B7345EE" w14:textId="6AABEF0E" w:rsidR="001C3AF6" w:rsidRDefault="59F17DB7" w:rsidP="006F7848">
      <w:pPr>
        <w:pStyle w:val="Heading2"/>
      </w:pPr>
      <w:r>
        <w:t>4.6 Chapter</w:t>
      </w:r>
      <w:r w:rsidR="001C3AF6">
        <w:t xml:space="preserve"> Conclusion </w:t>
      </w:r>
    </w:p>
    <w:p w14:paraId="7E16FF17" w14:textId="17530DEF" w:rsidR="505388F5" w:rsidRDefault="505388F5" w:rsidP="0E260372">
      <w:pPr>
        <w:rPr>
          <w:rFonts w:ascii="Arial" w:eastAsia="Arial" w:hAnsi="Arial" w:cs="Arial"/>
        </w:rPr>
      </w:pPr>
      <w:r w:rsidRPr="0E260372">
        <w:rPr>
          <w:rFonts w:ascii="Arial" w:eastAsia="Arial" w:hAnsi="Arial" w:cs="Arial"/>
        </w:rPr>
        <w:t>This chapter critically examines the three major issues identified in the literature: social determinants and peer influence, policy and prevention efficacy and access to support and intervention services. The discussion demonstrated how these interconnected elements affect teenage substance misuse in England and influence the efficacy of current interventions. Collectively, the findings highlight ongoing structural and policy deficiencies that necessitate coordinated, evidence-based remedies. Building on these findings, the following chapter will discuss the study's overall conclusion as well as practical recommendations for enhancing prevention, intervention and policy measures for teenage substance misuse.</w:t>
      </w:r>
    </w:p>
    <w:p w14:paraId="5AC1A4AB" w14:textId="127F3523" w:rsidR="06329E2C" w:rsidRDefault="06329E2C" w:rsidP="0E260372">
      <w:pPr>
        <w:pStyle w:val="Heading1"/>
        <w:ind w:left="0"/>
        <w:jc w:val="both"/>
        <w:rPr>
          <w:rFonts w:ascii="Aptos" w:hAnsi="Aptos"/>
        </w:rPr>
      </w:pPr>
    </w:p>
    <w:p w14:paraId="05F7A674" w14:textId="59CB0053" w:rsidR="06329E2C" w:rsidRDefault="06329E2C" w:rsidP="0E260372">
      <w:pPr>
        <w:pStyle w:val="Heading1"/>
        <w:ind w:left="0"/>
        <w:jc w:val="both"/>
        <w:rPr>
          <w:rFonts w:ascii="Aptos" w:hAnsi="Aptos"/>
        </w:rPr>
      </w:pPr>
    </w:p>
    <w:p w14:paraId="05891C39" w14:textId="2BAECAD0" w:rsidR="06329E2C" w:rsidRDefault="06329E2C" w:rsidP="0E260372">
      <w:pPr>
        <w:pStyle w:val="Heading1"/>
        <w:ind w:left="0"/>
        <w:jc w:val="both"/>
        <w:rPr>
          <w:rFonts w:ascii="Aptos" w:hAnsi="Aptos"/>
        </w:rPr>
      </w:pPr>
    </w:p>
    <w:p w14:paraId="614B7A36" w14:textId="5CED9754" w:rsidR="06329E2C" w:rsidRDefault="06329E2C" w:rsidP="0E260372">
      <w:pPr>
        <w:pStyle w:val="Heading1"/>
        <w:ind w:left="0"/>
        <w:jc w:val="both"/>
        <w:rPr>
          <w:rFonts w:ascii="Aptos" w:hAnsi="Aptos"/>
        </w:rPr>
      </w:pPr>
    </w:p>
    <w:p w14:paraId="783F7CB6" w14:textId="6D9F1489" w:rsidR="06329E2C" w:rsidRDefault="06329E2C" w:rsidP="0E260372">
      <w:pPr>
        <w:pStyle w:val="Heading1"/>
        <w:ind w:left="0"/>
        <w:jc w:val="both"/>
        <w:rPr>
          <w:rFonts w:ascii="Aptos" w:hAnsi="Aptos"/>
        </w:rPr>
      </w:pPr>
    </w:p>
    <w:p w14:paraId="173D312B" w14:textId="399EA587" w:rsidR="06329E2C" w:rsidRDefault="06329E2C" w:rsidP="0E260372">
      <w:pPr>
        <w:pStyle w:val="Heading1"/>
        <w:ind w:left="0"/>
        <w:jc w:val="both"/>
        <w:rPr>
          <w:rFonts w:ascii="Aptos" w:hAnsi="Aptos"/>
        </w:rPr>
      </w:pPr>
    </w:p>
    <w:p w14:paraId="416BC52E" w14:textId="012D93CB" w:rsidR="06329E2C" w:rsidRDefault="06329E2C" w:rsidP="0E260372">
      <w:pPr>
        <w:pStyle w:val="Heading1"/>
        <w:ind w:left="0"/>
        <w:jc w:val="both"/>
        <w:rPr>
          <w:rFonts w:ascii="Aptos" w:hAnsi="Aptos"/>
        </w:rPr>
      </w:pPr>
    </w:p>
    <w:p w14:paraId="66FB7257" w14:textId="3E51766C" w:rsidR="06329E2C" w:rsidRDefault="06329E2C" w:rsidP="0E260372">
      <w:pPr>
        <w:pStyle w:val="Heading1"/>
        <w:ind w:left="0"/>
        <w:jc w:val="both"/>
        <w:rPr>
          <w:rFonts w:ascii="Aptos" w:hAnsi="Aptos"/>
        </w:rPr>
      </w:pPr>
    </w:p>
    <w:p w14:paraId="43F40939" w14:textId="676CBCB7" w:rsidR="06329E2C" w:rsidRDefault="06329E2C" w:rsidP="0E260372">
      <w:pPr>
        <w:pStyle w:val="Heading1"/>
        <w:ind w:left="0"/>
        <w:jc w:val="both"/>
        <w:rPr>
          <w:rFonts w:ascii="Aptos" w:hAnsi="Aptos"/>
        </w:rPr>
      </w:pPr>
    </w:p>
    <w:p w14:paraId="2508AB8A" w14:textId="19333E97" w:rsidR="06329E2C" w:rsidRDefault="06329E2C" w:rsidP="0E260372">
      <w:pPr>
        <w:pStyle w:val="Heading1"/>
        <w:ind w:left="0"/>
        <w:jc w:val="both"/>
        <w:rPr>
          <w:rFonts w:ascii="Aptos" w:hAnsi="Aptos"/>
        </w:rPr>
      </w:pPr>
    </w:p>
    <w:p w14:paraId="5FB43F2E" w14:textId="406CA080" w:rsidR="06329E2C" w:rsidRDefault="06329E2C" w:rsidP="0E260372">
      <w:pPr>
        <w:pStyle w:val="Heading1"/>
        <w:ind w:left="0"/>
        <w:jc w:val="both"/>
        <w:rPr>
          <w:rFonts w:ascii="Aptos" w:hAnsi="Aptos"/>
        </w:rPr>
      </w:pPr>
    </w:p>
    <w:p w14:paraId="20F02905" w14:textId="4867C9B9" w:rsidR="06329E2C" w:rsidRDefault="06329E2C" w:rsidP="0E260372">
      <w:pPr>
        <w:pStyle w:val="Heading1"/>
        <w:ind w:left="0"/>
        <w:jc w:val="both"/>
        <w:rPr>
          <w:rFonts w:ascii="Aptos" w:hAnsi="Aptos"/>
        </w:rPr>
      </w:pPr>
    </w:p>
    <w:p w14:paraId="34173F31" w14:textId="698F4533" w:rsidR="06329E2C" w:rsidRDefault="06329E2C" w:rsidP="0E260372">
      <w:pPr>
        <w:pStyle w:val="Heading1"/>
        <w:ind w:left="0"/>
        <w:jc w:val="both"/>
        <w:rPr>
          <w:rFonts w:ascii="Aptos" w:hAnsi="Aptos"/>
        </w:rPr>
      </w:pPr>
    </w:p>
    <w:p w14:paraId="33EB61A1" w14:textId="6B74EB2A" w:rsidR="06329E2C" w:rsidRDefault="06329E2C" w:rsidP="0E260372">
      <w:pPr>
        <w:pStyle w:val="Heading1"/>
        <w:ind w:left="0"/>
        <w:jc w:val="both"/>
        <w:rPr>
          <w:rFonts w:ascii="Aptos" w:hAnsi="Aptos"/>
        </w:rPr>
      </w:pPr>
    </w:p>
    <w:p w14:paraId="37789B5E" w14:textId="73637FB2" w:rsidR="06329E2C" w:rsidRDefault="06329E2C" w:rsidP="0E260372">
      <w:pPr>
        <w:pStyle w:val="Heading1"/>
        <w:ind w:left="0"/>
        <w:jc w:val="both"/>
        <w:rPr>
          <w:rFonts w:ascii="Aptos" w:hAnsi="Aptos"/>
        </w:rPr>
      </w:pPr>
    </w:p>
    <w:p w14:paraId="747E2205" w14:textId="5C9BC599" w:rsidR="06329E2C" w:rsidRDefault="06329E2C" w:rsidP="0E260372">
      <w:pPr>
        <w:pStyle w:val="Heading1"/>
        <w:ind w:left="0"/>
        <w:jc w:val="both"/>
        <w:rPr>
          <w:rFonts w:ascii="Aptos" w:hAnsi="Aptos"/>
        </w:rPr>
      </w:pPr>
    </w:p>
    <w:p w14:paraId="32940706" w14:textId="66D71DD8" w:rsidR="06329E2C" w:rsidRDefault="06329E2C" w:rsidP="0E260372">
      <w:pPr>
        <w:pStyle w:val="Heading1"/>
        <w:ind w:left="0"/>
        <w:jc w:val="both"/>
        <w:rPr>
          <w:rFonts w:ascii="Aptos" w:hAnsi="Aptos"/>
        </w:rPr>
      </w:pPr>
    </w:p>
    <w:p w14:paraId="7D580C19" w14:textId="4578FFF7" w:rsidR="06329E2C" w:rsidRDefault="06329E2C" w:rsidP="0E260372">
      <w:pPr>
        <w:pStyle w:val="Heading1"/>
        <w:ind w:left="0"/>
        <w:jc w:val="both"/>
        <w:rPr>
          <w:rFonts w:eastAsia="Arial" w:cs="Arial"/>
        </w:rPr>
      </w:pPr>
    </w:p>
    <w:p w14:paraId="671BE539" w14:textId="0EF1E2DA" w:rsidR="0E260372" w:rsidRDefault="0E260372" w:rsidP="0E260372">
      <w:pPr>
        <w:pStyle w:val="Heading1"/>
        <w:ind w:left="0"/>
        <w:jc w:val="both"/>
        <w:rPr>
          <w:rFonts w:eastAsia="Arial" w:cs="Arial"/>
        </w:rPr>
      </w:pPr>
    </w:p>
    <w:p w14:paraId="07E761D1" w14:textId="3AC58855" w:rsidR="0E260372" w:rsidRDefault="0E260372" w:rsidP="0E260372">
      <w:pPr>
        <w:pStyle w:val="Heading1"/>
        <w:ind w:left="0"/>
        <w:jc w:val="both"/>
        <w:rPr>
          <w:rFonts w:eastAsia="Arial" w:cs="Arial"/>
        </w:rPr>
      </w:pPr>
    </w:p>
    <w:p w14:paraId="5721DC5A" w14:textId="5D22EEF2" w:rsidR="0E260372" w:rsidRDefault="0E260372" w:rsidP="0E260372">
      <w:pPr>
        <w:pStyle w:val="Heading1"/>
        <w:ind w:left="0"/>
        <w:jc w:val="both"/>
        <w:rPr>
          <w:rFonts w:eastAsia="Arial" w:cs="Arial"/>
        </w:rPr>
      </w:pPr>
    </w:p>
    <w:p w14:paraId="2EAC57AF" w14:textId="64F4FF98" w:rsidR="0E260372" w:rsidRDefault="0E260372" w:rsidP="0E260372">
      <w:pPr>
        <w:pStyle w:val="Heading1"/>
        <w:ind w:left="0"/>
        <w:jc w:val="both"/>
        <w:rPr>
          <w:rFonts w:eastAsia="Arial" w:cs="Arial"/>
        </w:rPr>
      </w:pPr>
    </w:p>
    <w:p w14:paraId="519EB35A" w14:textId="369402D1" w:rsidR="00636D9A" w:rsidRPr="00636D9A" w:rsidRDefault="00636D9A" w:rsidP="0E260372">
      <w:pPr>
        <w:pStyle w:val="Heading1"/>
        <w:ind w:left="0"/>
        <w:jc w:val="both"/>
        <w:rPr>
          <w:rFonts w:eastAsia="Arial" w:cs="Arial"/>
        </w:rPr>
      </w:pPr>
      <w:r w:rsidRPr="359E9537">
        <w:rPr>
          <w:rFonts w:eastAsia="Arial" w:cs="Arial"/>
        </w:rPr>
        <w:t xml:space="preserve">CHAPTER 5 Conclusion and Recommendations </w:t>
      </w:r>
    </w:p>
    <w:p w14:paraId="2C633CBA" w14:textId="2732ABBE" w:rsidR="00636D9A" w:rsidRPr="005C5E80" w:rsidRDefault="1B02C9C5" w:rsidP="006F7848">
      <w:pPr>
        <w:pStyle w:val="Heading2"/>
      </w:pPr>
      <w:r>
        <w:t>5.1 Overall</w:t>
      </w:r>
      <w:r w:rsidR="00636D9A">
        <w:t xml:space="preserve"> Conclusion </w:t>
      </w:r>
    </w:p>
    <w:p w14:paraId="7E7A21E7" w14:textId="06BE4DAB" w:rsidR="7C268BFD" w:rsidRDefault="7C268BFD" w:rsidP="0E260372">
      <w:r w:rsidRPr="0E260372">
        <w:rPr>
          <w:rFonts w:ascii="Arial" w:eastAsia="Arial" w:hAnsi="Arial" w:cs="Arial"/>
        </w:rPr>
        <w:t>This dissertation sought to critically examine how substance abuse affects adolescents in England, focussing on the origins, consequences and policy solutions. The study objectives were addressed successfully by thematic synthesis of available material. The first objective, to investigate the short and long-term impacts of alcohol and cannabis, was accomplished by identifying physical and psychological harm in national and academic sources (Stockings et al., 2016). The second objective, investigating environmental and social risk variables, was met by findings that linked peer influence, family instability and deprivation to substance use (</w:t>
      </w:r>
      <w:proofErr w:type="spellStart"/>
      <w:r w:rsidRPr="0E260372">
        <w:rPr>
          <w:rFonts w:ascii="Arial" w:eastAsia="Arial" w:hAnsi="Arial" w:cs="Arial"/>
        </w:rPr>
        <w:t>Segrott</w:t>
      </w:r>
      <w:proofErr w:type="spellEnd"/>
      <w:r w:rsidRPr="0E260372">
        <w:rPr>
          <w:rFonts w:ascii="Arial" w:eastAsia="Arial" w:hAnsi="Arial" w:cs="Arial"/>
        </w:rPr>
        <w:t xml:space="preserve"> et al., 2022). The third objective, identifying hidden and at-risk young populations, was accomplished using national treatment data that revealed continuing inequalities (Office for Health Improvement and Disparities, 2024).</w:t>
      </w:r>
      <w:r w:rsidR="4A1864B8" w:rsidRPr="0E260372">
        <w:rPr>
          <w:rFonts w:ascii="Arial" w:eastAsia="Arial" w:hAnsi="Arial" w:cs="Arial"/>
        </w:rPr>
        <w:t xml:space="preserve"> The final objective, measuring policy efficacy, was partially met since, policies like the 10-Year Drugs Strategy indicated strong intent, poor implementation and resource constraints limited their overall impact (Holland et al., 2023).</w:t>
      </w:r>
    </w:p>
    <w:p w14:paraId="3628F6DF" w14:textId="77777777" w:rsidR="00292A36" w:rsidRDefault="00292A36" w:rsidP="0E260372"/>
    <w:p w14:paraId="6599D6CF" w14:textId="0E3C6E83" w:rsidR="005C5E80" w:rsidRPr="005C5E80" w:rsidRDefault="00636D9A" w:rsidP="00A4007E">
      <w:pPr>
        <w:pStyle w:val="Heading2"/>
      </w:pPr>
      <w:r>
        <w:t>5.</w:t>
      </w:r>
      <w:r w:rsidR="005C5E80">
        <w:t>2</w:t>
      </w:r>
      <w:r>
        <w:t xml:space="preserve"> </w:t>
      </w:r>
      <w:r w:rsidR="005C5E80">
        <w:t>Recommendations</w:t>
      </w:r>
      <w:r w:rsidRPr="359E9537">
        <w:rPr>
          <w:b/>
          <w:bCs/>
        </w:rPr>
        <w:t xml:space="preserve"> </w:t>
      </w:r>
      <w:r>
        <w:t xml:space="preserve"> </w:t>
      </w:r>
    </w:p>
    <w:p w14:paraId="6D481D61" w14:textId="7934B1F5" w:rsidR="005C5E80" w:rsidRPr="005C5E80" w:rsidRDefault="005C5E80" w:rsidP="0E260372">
      <w:pPr>
        <w:rPr>
          <w:rFonts w:ascii="Arial" w:eastAsia="Arial" w:hAnsi="Arial" w:cs="Arial"/>
          <w:b/>
          <w:bCs/>
        </w:rPr>
      </w:pPr>
      <w:r w:rsidRPr="0E260372">
        <w:rPr>
          <w:rFonts w:ascii="Arial" w:eastAsia="Arial" w:hAnsi="Arial" w:cs="Arial"/>
          <w:sz w:val="24"/>
          <w:szCs w:val="24"/>
        </w:rPr>
        <w:t>5.2.1 Recommendation 1</w:t>
      </w:r>
      <w:r w:rsidR="45DD1005" w:rsidRPr="0E260372">
        <w:rPr>
          <w:rFonts w:ascii="Arial" w:eastAsia="Arial" w:hAnsi="Arial" w:cs="Arial"/>
          <w:sz w:val="24"/>
          <w:szCs w:val="24"/>
        </w:rPr>
        <w:t xml:space="preserve"> </w:t>
      </w:r>
      <w:r w:rsidR="0E90527A" w:rsidRPr="0E260372">
        <w:rPr>
          <w:rFonts w:ascii="Arial" w:eastAsia="Arial" w:hAnsi="Arial" w:cs="Arial"/>
          <w:sz w:val="24"/>
          <w:szCs w:val="24"/>
        </w:rPr>
        <w:t>Integrate Family-Based Prevention Programmes</w:t>
      </w:r>
      <w:r w:rsidR="0E90527A" w:rsidRPr="0E260372">
        <w:rPr>
          <w:rFonts w:ascii="Arial" w:eastAsia="Arial" w:hAnsi="Arial" w:cs="Arial"/>
          <w:b/>
          <w:bCs/>
        </w:rPr>
        <w:t xml:space="preserve"> </w:t>
      </w:r>
    </w:p>
    <w:p w14:paraId="6815593A" w14:textId="6EB75B5D" w:rsidR="36885F0F" w:rsidRDefault="36885F0F" w:rsidP="0E260372">
      <w:pPr>
        <w:rPr>
          <w:rFonts w:ascii="Arial" w:eastAsia="Arial" w:hAnsi="Arial" w:cs="Arial"/>
        </w:rPr>
      </w:pPr>
      <w:r w:rsidRPr="0E260372">
        <w:rPr>
          <w:rFonts w:ascii="Arial" w:eastAsia="Arial" w:hAnsi="Arial" w:cs="Arial"/>
        </w:rPr>
        <w:t>The study found that family factors and peer influence play a significant effect in adolescent substance abuse. Evidence from treatments like as the Strengthening Families Programme (</w:t>
      </w:r>
      <w:proofErr w:type="spellStart"/>
      <w:r w:rsidRPr="0E260372">
        <w:rPr>
          <w:rFonts w:ascii="Arial" w:eastAsia="Arial" w:hAnsi="Arial" w:cs="Arial"/>
        </w:rPr>
        <w:t>Segrott</w:t>
      </w:r>
      <w:proofErr w:type="spellEnd"/>
      <w:r w:rsidRPr="0E260372">
        <w:rPr>
          <w:rFonts w:ascii="Arial" w:eastAsia="Arial" w:hAnsi="Arial" w:cs="Arial"/>
        </w:rPr>
        <w:t xml:space="preserve"> et al., 2022) suggests that organised family-based models can reduce early experimentation by enhancing communication, parental monitoring and problem-solving. Integrating these activities into schools and local community hubs would allow for earlier interaction with both young people and their families, thereby aiding in the development of resilience before patterns of abuse emerge. This strategy could be implemented within existing </w:t>
      </w:r>
      <w:r w:rsidRPr="0E260372">
        <w:rPr>
          <w:rFonts w:ascii="Arial" w:eastAsia="Arial" w:hAnsi="Arial" w:cs="Arial"/>
        </w:rPr>
        <w:lastRenderedPageBreak/>
        <w:t>frameworks supported by NHS England and local governments, which promote prevention and early intervention.</w:t>
      </w:r>
    </w:p>
    <w:p w14:paraId="04C93C3E" w14:textId="42513F61" w:rsidR="7908E743" w:rsidRDefault="7908E743" w:rsidP="0E260372">
      <w:pPr>
        <w:rPr>
          <w:rFonts w:ascii="Arial" w:eastAsia="Arial" w:hAnsi="Arial" w:cs="Arial"/>
        </w:rPr>
      </w:pPr>
      <w:r w:rsidRPr="0E260372">
        <w:rPr>
          <w:rFonts w:ascii="Arial" w:eastAsia="Arial" w:hAnsi="Arial" w:cs="Arial"/>
        </w:rPr>
        <w:t xml:space="preserve">However, there are some limits. </w:t>
      </w:r>
      <w:r w:rsidR="7AF884E0" w:rsidRPr="0E260372">
        <w:rPr>
          <w:rFonts w:ascii="Arial" w:eastAsia="Arial" w:hAnsi="Arial" w:cs="Arial"/>
        </w:rPr>
        <w:t xml:space="preserve"> A study by Graham </w:t>
      </w:r>
      <w:r w:rsidR="7AF884E0" w:rsidRPr="0E260372">
        <w:rPr>
          <w:rFonts w:ascii="Arial" w:eastAsia="Arial" w:hAnsi="Arial" w:cs="Arial"/>
          <w:i/>
          <w:iCs/>
        </w:rPr>
        <w:t>et al.</w:t>
      </w:r>
      <w:r w:rsidR="7AF884E0" w:rsidRPr="0E260372">
        <w:rPr>
          <w:rFonts w:ascii="Arial" w:eastAsia="Arial" w:hAnsi="Arial" w:cs="Arial"/>
        </w:rPr>
        <w:t xml:space="preserve"> (2021)</w:t>
      </w:r>
      <w:r w:rsidR="2C7457DD" w:rsidRPr="0E260372">
        <w:rPr>
          <w:rFonts w:ascii="Arial" w:eastAsia="Arial" w:hAnsi="Arial" w:cs="Arial"/>
        </w:rPr>
        <w:t>, indicates that</w:t>
      </w:r>
      <w:r w:rsidR="7AF884E0" w:rsidRPr="0E260372">
        <w:rPr>
          <w:rFonts w:ascii="Arial" w:eastAsia="Arial" w:hAnsi="Arial" w:cs="Arial"/>
        </w:rPr>
        <w:t xml:space="preserve"> </w:t>
      </w:r>
      <w:r w:rsidR="7E0643A0" w:rsidRPr="0E260372">
        <w:rPr>
          <w:rFonts w:ascii="Arial" w:eastAsia="Arial" w:hAnsi="Arial" w:cs="Arial"/>
        </w:rPr>
        <w:t>s</w:t>
      </w:r>
      <w:r w:rsidRPr="0E260372">
        <w:rPr>
          <w:rFonts w:ascii="Arial" w:eastAsia="Arial" w:hAnsi="Arial" w:cs="Arial"/>
        </w:rPr>
        <w:t>chools may lack qualified facilitators or time to include such efforts into curriculum, and family engagement may be hampered by stigma, low trust in services, or logistical challenges such as transportation and work schedules. These variables frequently lead to lower uptake among the most vulnerable groups.</w:t>
      </w:r>
    </w:p>
    <w:p w14:paraId="1191954E" w14:textId="0D33F569" w:rsidR="43BF6D55" w:rsidRDefault="43BF6D55" w:rsidP="0E260372">
      <w:pPr>
        <w:rPr>
          <w:rFonts w:ascii="Arial" w:eastAsia="Arial" w:hAnsi="Arial" w:cs="Arial"/>
        </w:rPr>
      </w:pPr>
      <w:r w:rsidRPr="0E260372">
        <w:rPr>
          <w:rFonts w:ascii="Arial" w:eastAsia="Arial" w:hAnsi="Arial" w:cs="Arial"/>
        </w:rPr>
        <w:t>To address such limitations, collaborations between schools, public health teams and charitable organisations might be strengthened to exchange expertise and resources. Flexible session schedules, digital possibilities and incentives for family participation would all improve accessibility. This is consistent with the Public Health England Framework for Young People's Health and Wellbeing (2015), which promotes early intervention through partnership across families, education and health services. Implementing clear evaluation criteria would ensure quality, whilst incorporating family-based programs into community and school settings would create a culturally responsive and preventative support framework</w:t>
      </w:r>
      <w:r w:rsidR="5024E879" w:rsidRPr="0E260372">
        <w:rPr>
          <w:rFonts w:ascii="Arial" w:eastAsia="Arial" w:hAnsi="Arial" w:cs="Arial"/>
        </w:rPr>
        <w:t xml:space="preserve"> for adolescent substance misuse</w:t>
      </w:r>
      <w:r w:rsidR="28323BDF" w:rsidRPr="0E260372">
        <w:rPr>
          <w:rFonts w:ascii="Arial" w:eastAsia="Arial" w:hAnsi="Arial" w:cs="Arial"/>
        </w:rPr>
        <w:t xml:space="preserve"> (Graham </w:t>
      </w:r>
      <w:r w:rsidR="28323BDF" w:rsidRPr="0E260372">
        <w:rPr>
          <w:rFonts w:ascii="Arial" w:eastAsia="Arial" w:hAnsi="Arial" w:cs="Arial"/>
          <w:i/>
          <w:iCs/>
        </w:rPr>
        <w:t xml:space="preserve">et al., </w:t>
      </w:r>
      <w:r w:rsidR="28323BDF" w:rsidRPr="0E260372">
        <w:rPr>
          <w:rFonts w:ascii="Arial" w:eastAsia="Arial" w:hAnsi="Arial" w:cs="Arial"/>
        </w:rPr>
        <w:t>2021)</w:t>
      </w:r>
      <w:r w:rsidR="5024E879" w:rsidRPr="0E260372">
        <w:rPr>
          <w:rFonts w:ascii="Arial" w:eastAsia="Arial" w:hAnsi="Arial" w:cs="Arial"/>
        </w:rPr>
        <w:t>.</w:t>
      </w:r>
    </w:p>
    <w:p w14:paraId="4263DD9E" w14:textId="77777777" w:rsidR="005C5E80" w:rsidRPr="005C5E80" w:rsidRDefault="005C5E80" w:rsidP="0E260372">
      <w:pPr>
        <w:pStyle w:val="Heading1"/>
        <w:jc w:val="both"/>
        <w:rPr>
          <w:rFonts w:eastAsia="Arial" w:cs="Arial"/>
          <w:b w:val="0"/>
          <w:sz w:val="24"/>
          <w:szCs w:val="24"/>
        </w:rPr>
      </w:pPr>
    </w:p>
    <w:p w14:paraId="1019826B" w14:textId="08D5969B" w:rsidR="005C5E80" w:rsidRPr="005C5E80" w:rsidRDefault="005C5E80" w:rsidP="0E260372">
      <w:pPr>
        <w:rPr>
          <w:rFonts w:ascii="Arial" w:eastAsia="Arial" w:hAnsi="Arial" w:cs="Arial"/>
          <w:sz w:val="24"/>
          <w:szCs w:val="24"/>
        </w:rPr>
      </w:pPr>
      <w:r w:rsidRPr="0E260372">
        <w:rPr>
          <w:rFonts w:ascii="Arial" w:eastAsia="Arial" w:hAnsi="Arial" w:cs="Arial"/>
          <w:sz w:val="24"/>
          <w:szCs w:val="24"/>
        </w:rPr>
        <w:t>5.2. Recommendation 2</w:t>
      </w:r>
      <w:r w:rsidR="69BBAEBF" w:rsidRPr="0E260372">
        <w:rPr>
          <w:rFonts w:ascii="Arial" w:eastAsia="Arial" w:hAnsi="Arial" w:cs="Arial"/>
          <w:sz w:val="24"/>
          <w:szCs w:val="24"/>
        </w:rPr>
        <w:t xml:space="preserve"> Enhance Multi-Agency Collaboration and Funding Stability</w:t>
      </w:r>
    </w:p>
    <w:p w14:paraId="593EFCAB" w14:textId="16EE3B08" w:rsidR="1D32C9FB" w:rsidRDefault="1D32C9FB" w:rsidP="0E260372">
      <w:r w:rsidRPr="0E260372">
        <w:rPr>
          <w:rFonts w:ascii="Arial" w:eastAsia="Arial" w:hAnsi="Arial" w:cs="Arial"/>
        </w:rPr>
        <w:t>Fragmented service delivery and variable funding continue to be significant impediments to effectively addressing adolescent substance misuse. While UK policy frameworks increasingly stress early intervention, collaboration between education, health and social care sectors is often inconsistent and ineffective (Holland et al., 2023). Strengthening inter-agency coordination will allow for earlier identification of risk factors such as family instability, school exclusion and mental health concerns, ensuring that young people receive ongoing and sustained care rather than reactive, short-term interventions.</w:t>
      </w:r>
    </w:p>
    <w:p w14:paraId="7CA9B722" w14:textId="5D88E752" w:rsidR="54E37156" w:rsidRDefault="54E37156" w:rsidP="0E260372">
      <w:r w:rsidRPr="0E260372">
        <w:rPr>
          <w:rFonts w:ascii="Arial" w:eastAsia="Arial" w:hAnsi="Arial" w:cs="Arial"/>
        </w:rPr>
        <w:t>A significant barrier is the insecurity of financing sources for adolescent programs, which are usually linked to short-term political agendas or local government budgets. This leads to worker turnover, loss of knowledge and fragmented care pathways. Agencies may also confront competing priorities and data-sharing restrictions, which hinder collaborative capacity</w:t>
      </w:r>
      <w:r w:rsidR="1F1A5F83" w:rsidRPr="0E260372">
        <w:rPr>
          <w:rFonts w:ascii="Arial" w:eastAsia="Arial" w:hAnsi="Arial" w:cs="Arial"/>
        </w:rPr>
        <w:t xml:space="preserve"> (</w:t>
      </w:r>
      <w:proofErr w:type="spellStart"/>
      <w:r w:rsidR="1F1A5F83" w:rsidRPr="0E260372">
        <w:rPr>
          <w:rFonts w:ascii="Arial" w:eastAsia="Arial" w:hAnsi="Arial" w:cs="Arial"/>
        </w:rPr>
        <w:t>Camenga</w:t>
      </w:r>
      <w:proofErr w:type="spellEnd"/>
      <w:r w:rsidR="1F1A5F83" w:rsidRPr="0E260372">
        <w:rPr>
          <w:rFonts w:ascii="Arial" w:eastAsia="Arial" w:hAnsi="Arial" w:cs="Arial"/>
        </w:rPr>
        <w:t xml:space="preserve"> and Hammer, 2022)</w:t>
      </w:r>
      <w:r w:rsidRPr="0E260372">
        <w:rPr>
          <w:rFonts w:ascii="Arial" w:eastAsia="Arial" w:hAnsi="Arial" w:cs="Arial"/>
        </w:rPr>
        <w:t>.</w:t>
      </w:r>
    </w:p>
    <w:p w14:paraId="2F1F7B0E" w14:textId="717698FC" w:rsidR="7CC1DA4D" w:rsidRDefault="7CC1DA4D" w:rsidP="0E260372">
      <w:pPr>
        <w:rPr>
          <w:rFonts w:ascii="Arial" w:eastAsia="Arial" w:hAnsi="Arial" w:cs="Arial"/>
        </w:rPr>
      </w:pPr>
      <w:r w:rsidRPr="0E260372">
        <w:rPr>
          <w:rFonts w:ascii="Arial" w:eastAsia="Arial" w:hAnsi="Arial" w:cs="Arial"/>
        </w:rPr>
        <w:t>The Working Together to Safeguard Children (2018) legislative advice establishes a shared duty for protecting vulnerable young people through information sharing and collaborative decision-making. Incorporating these ideas into substance abuse pathways may improve service cohesiveness and accountability. Creating shared digital referral systems, cross-</w:t>
      </w:r>
      <w:r w:rsidRPr="0E260372">
        <w:rPr>
          <w:rFonts w:ascii="Arial" w:eastAsia="Arial" w:hAnsi="Arial" w:cs="Arial"/>
        </w:rPr>
        <w:lastRenderedPageBreak/>
        <w:t>agency outcome frameworks, and protected multi-year financing managed by regional safeguarding partnerships will ensure stability and continuity. Investing in combined professional training would help to create a more unified knowledge of adolescent risk, ensuring that collaboration becomes a long-term, systemic component of youth substance misuse prevention and care</w:t>
      </w:r>
      <w:r w:rsidR="0404C3AC" w:rsidRPr="0E260372">
        <w:rPr>
          <w:rFonts w:ascii="Arial" w:eastAsia="Arial" w:hAnsi="Arial" w:cs="Arial"/>
        </w:rPr>
        <w:t xml:space="preserve"> (Baginsky, 2022)</w:t>
      </w:r>
      <w:r w:rsidRPr="0E260372">
        <w:rPr>
          <w:rFonts w:ascii="Arial" w:eastAsia="Arial" w:hAnsi="Arial" w:cs="Arial"/>
        </w:rPr>
        <w:t>.</w:t>
      </w:r>
    </w:p>
    <w:p w14:paraId="1F80D6A6" w14:textId="77777777" w:rsidR="005C5E80" w:rsidRPr="005C5E80" w:rsidRDefault="005C5E80" w:rsidP="0E260372">
      <w:pPr>
        <w:pStyle w:val="Heading1"/>
        <w:jc w:val="both"/>
        <w:rPr>
          <w:rFonts w:ascii="Aptos" w:hAnsi="Aptos"/>
          <w:sz w:val="28"/>
          <w:szCs w:val="28"/>
        </w:rPr>
      </w:pPr>
    </w:p>
    <w:p w14:paraId="6DEFF1C6" w14:textId="1F5BDE7E" w:rsidR="005C5E80" w:rsidRPr="005C5E80" w:rsidRDefault="005C5E80" w:rsidP="0E260372">
      <w:pPr>
        <w:rPr>
          <w:rFonts w:ascii="Arial" w:eastAsia="Arial" w:hAnsi="Arial" w:cs="Arial"/>
          <w:sz w:val="24"/>
          <w:szCs w:val="24"/>
        </w:rPr>
      </w:pPr>
      <w:r w:rsidRPr="0E260372">
        <w:rPr>
          <w:rFonts w:ascii="Arial" w:eastAsia="Arial" w:hAnsi="Arial" w:cs="Arial"/>
          <w:sz w:val="24"/>
          <w:szCs w:val="24"/>
        </w:rPr>
        <w:t>5.2.3 Recommendation 3</w:t>
      </w:r>
      <w:r w:rsidR="2FD28F51" w:rsidRPr="0E260372">
        <w:rPr>
          <w:rFonts w:ascii="Arial" w:eastAsia="Arial" w:hAnsi="Arial" w:cs="Arial"/>
          <w:sz w:val="24"/>
          <w:szCs w:val="24"/>
        </w:rPr>
        <w:t>: Reduce Stigma and Strengthen Youth Access to Support</w:t>
      </w:r>
      <w:r w:rsidRPr="0E260372">
        <w:rPr>
          <w:rFonts w:ascii="Arial" w:eastAsia="Arial" w:hAnsi="Arial" w:cs="Arial"/>
          <w:sz w:val="24"/>
          <w:szCs w:val="24"/>
        </w:rPr>
        <w:t xml:space="preserve"> </w:t>
      </w:r>
    </w:p>
    <w:p w14:paraId="5E7946BF" w14:textId="00268986" w:rsidR="30C6766D" w:rsidRDefault="30C6766D" w:rsidP="0E260372">
      <w:pPr>
        <w:rPr>
          <w:rFonts w:ascii="Arial" w:eastAsia="Arial" w:hAnsi="Arial" w:cs="Arial"/>
        </w:rPr>
      </w:pPr>
      <w:r w:rsidRPr="0E260372">
        <w:rPr>
          <w:rFonts w:ascii="Arial" w:eastAsia="Arial" w:hAnsi="Arial" w:cs="Arial"/>
        </w:rPr>
        <w:t>Despite increased knowledge of teenage substance abuse stigma, poor service delivery and restricted accessibility continue to discourage young people from seeking help. Many teenagers, particularly those in care, excluded from education or from impoverished families, stay disconnected from formal support systems due to fear of being judged or a lack of faith in statutory services (James, Nash &amp; Comiskey, 2024). Expanding youth-focused outreach and integrating stigma reduction tactics into education and community settings would promote earlier participation and continuity of care.</w:t>
      </w:r>
    </w:p>
    <w:p w14:paraId="0B75B39B" w14:textId="25A56345" w:rsidR="47642124" w:rsidRDefault="47642124" w:rsidP="0E260372">
      <w:r w:rsidRPr="0E260372">
        <w:rPr>
          <w:rFonts w:ascii="Arial" w:eastAsia="Arial" w:hAnsi="Arial" w:cs="Arial"/>
        </w:rPr>
        <w:t>The NHS Long Term Plan (2019) emphasises the importance of increasing young people's access to mental health and substance abuse treatments, such as community-based interventions and digital outreach. Applying this approach to teenage substance abuse could improve accessibility by incorporating adaptable, youth-led models within schools, youth centres and community health clinics.</w:t>
      </w:r>
    </w:p>
    <w:p w14:paraId="5A769A73" w14:textId="42E08F7F" w:rsidR="1083158D" w:rsidRDefault="1083158D" w:rsidP="0E260372">
      <w:r w:rsidRPr="0E260372">
        <w:rPr>
          <w:rFonts w:ascii="Arial" w:eastAsia="Arial" w:hAnsi="Arial" w:cs="Arial"/>
        </w:rPr>
        <w:t>However, significant constraints remain, including insufficient staff training, underfunding and cultural hurdles in some communities. To address these issues, agencies should collaborate with young people to create interventions that are relevant and inclusive, backed up by public awareness campaigns that normalise help-seeking behaviour. Including substance abuse screening in existing child mental health programs and expanding mobile and internet outreach would further eliminate obstacles</w:t>
      </w:r>
      <w:r w:rsidR="08650CAB" w:rsidRPr="0E260372">
        <w:rPr>
          <w:rFonts w:ascii="Arial" w:eastAsia="Arial" w:hAnsi="Arial" w:cs="Arial"/>
        </w:rPr>
        <w:t xml:space="preserve"> (NHS England, 2020)</w:t>
      </w:r>
      <w:r w:rsidRPr="0E260372">
        <w:rPr>
          <w:rFonts w:ascii="Arial" w:eastAsia="Arial" w:hAnsi="Arial" w:cs="Arial"/>
        </w:rPr>
        <w:t>. The access to treatment may become equitable, non-stigmatizing and responsive to the various needs of young people across England with continuous investment and collaborative delivery.</w:t>
      </w:r>
    </w:p>
    <w:p w14:paraId="61CD43C9" w14:textId="61766C34" w:rsidR="00211184" w:rsidRDefault="1F312399" w:rsidP="0E260372">
      <w:pPr>
        <w:rPr>
          <w:rFonts w:ascii="Arial" w:eastAsia="Arial" w:hAnsi="Arial" w:cs="Arial"/>
          <w:sz w:val="24"/>
          <w:szCs w:val="24"/>
        </w:rPr>
      </w:pPr>
      <w:r w:rsidRPr="0E260372">
        <w:rPr>
          <w:rFonts w:ascii="Arial" w:eastAsia="Arial" w:hAnsi="Arial" w:cs="Arial"/>
          <w:sz w:val="24"/>
          <w:szCs w:val="24"/>
        </w:rPr>
        <w:t>Summary</w:t>
      </w:r>
    </w:p>
    <w:p w14:paraId="192F452C" w14:textId="2199417F" w:rsidR="1F312399" w:rsidRDefault="1F312399" w:rsidP="0E260372">
      <w:r w:rsidRPr="0E260372">
        <w:rPr>
          <w:rFonts w:ascii="Arial" w:eastAsia="Arial" w:hAnsi="Arial" w:cs="Arial"/>
        </w:rPr>
        <w:t xml:space="preserve">Collectively, these recommendations address the major issues raised throughout this research, including insufficient family participation, fragmented inter-agency coordination and unequal access to help. The proposed initiatives, which include incorporating family-centred prevention into educational settings, ensuring consistent multi-agency coordination and undertaking stigma-informed outreach, provide a coherent and evidence-based framework for reducing teenage substance use in England. Although funding instability, organisational capability, and </w:t>
      </w:r>
      <w:r w:rsidRPr="0E260372">
        <w:rPr>
          <w:rFonts w:ascii="Arial" w:eastAsia="Arial" w:hAnsi="Arial" w:cs="Arial"/>
        </w:rPr>
        <w:lastRenderedPageBreak/>
        <w:t>varied involvement remain obstacles, they can be overcome via consistent investment, policy alignment, and inclusive practice. Prioritising cross-sector collaboration and active participation of young people in service design would improve the long-term effectiveness and equity of preventative and intervention activities, while also ensuring alignment with national public health and safeguarding goals.</w:t>
      </w:r>
    </w:p>
    <w:p w14:paraId="020B1B1C" w14:textId="77777777" w:rsidR="000400E4" w:rsidRDefault="000400E4" w:rsidP="0E260372"/>
    <w:p w14:paraId="65F969F3" w14:textId="77777777" w:rsidR="000400E4" w:rsidRDefault="000400E4" w:rsidP="0E260372"/>
    <w:p w14:paraId="59D70DFF" w14:textId="77777777" w:rsidR="000400E4" w:rsidRDefault="000400E4" w:rsidP="0E260372"/>
    <w:p w14:paraId="132A973C" w14:textId="77777777" w:rsidR="000400E4" w:rsidRDefault="000400E4" w:rsidP="0E260372"/>
    <w:p w14:paraId="54494726" w14:textId="77777777" w:rsidR="000400E4" w:rsidRDefault="000400E4" w:rsidP="0E260372"/>
    <w:p w14:paraId="722FC155" w14:textId="77777777" w:rsidR="000400E4" w:rsidRDefault="000400E4" w:rsidP="0E260372"/>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03F2ECBE" w14:textId="77777777" w:rsidR="000400E4" w:rsidRDefault="000400E4"/>
    <w:p w14:paraId="1AA892C7" w14:textId="77777777" w:rsidR="000400E4" w:rsidRDefault="000400E4"/>
    <w:p w14:paraId="2D2ED30B" w14:textId="6BBF3C13" w:rsidR="068953FA" w:rsidRDefault="068953FA" w:rsidP="540F1010">
      <w:pPr>
        <w:pStyle w:val="Heading1"/>
      </w:pPr>
    </w:p>
    <w:p w14:paraId="7C0682E6" w14:textId="6DCF59B0" w:rsidR="0E260372" w:rsidRDefault="0E260372" w:rsidP="0E260372">
      <w:pPr>
        <w:pStyle w:val="Heading1"/>
        <w:ind w:left="0"/>
        <w:rPr>
          <w:rFonts w:ascii="Aptos" w:hAnsi="Aptos"/>
        </w:rPr>
      </w:pPr>
    </w:p>
    <w:p w14:paraId="493C5DFD" w14:textId="33D7DBCF" w:rsidR="0E260372" w:rsidRDefault="0E260372" w:rsidP="0E260372">
      <w:pPr>
        <w:pStyle w:val="Heading1"/>
        <w:ind w:left="0"/>
        <w:rPr>
          <w:rFonts w:ascii="Aptos" w:hAnsi="Aptos"/>
        </w:rPr>
      </w:pPr>
    </w:p>
    <w:p w14:paraId="39DD4D1A" w14:textId="529DBE9B" w:rsidR="0E260372" w:rsidRDefault="0E260372" w:rsidP="0E260372">
      <w:pPr>
        <w:pStyle w:val="Heading1"/>
        <w:ind w:left="0"/>
        <w:rPr>
          <w:rFonts w:ascii="Aptos" w:hAnsi="Aptos"/>
        </w:rPr>
      </w:pPr>
    </w:p>
    <w:p w14:paraId="0B2C2784" w14:textId="60871D67" w:rsidR="0E260372" w:rsidRDefault="0E260372" w:rsidP="0E260372">
      <w:pPr>
        <w:pStyle w:val="Heading1"/>
        <w:ind w:left="0"/>
        <w:rPr>
          <w:rFonts w:ascii="Aptos" w:hAnsi="Aptos"/>
        </w:rPr>
      </w:pPr>
    </w:p>
    <w:p w14:paraId="0FDE6BD2" w14:textId="685DE0E1" w:rsidR="0E260372" w:rsidRDefault="0E260372" w:rsidP="0E260372">
      <w:pPr>
        <w:pStyle w:val="Heading1"/>
        <w:ind w:left="0"/>
        <w:rPr>
          <w:rFonts w:ascii="Aptos" w:hAnsi="Aptos"/>
        </w:rPr>
      </w:pPr>
    </w:p>
    <w:p w14:paraId="43437194" w14:textId="4B2B701E" w:rsidR="0E260372" w:rsidRDefault="0E260372" w:rsidP="0E260372">
      <w:pPr>
        <w:pStyle w:val="Heading1"/>
        <w:ind w:left="0"/>
        <w:rPr>
          <w:rFonts w:ascii="Aptos" w:hAnsi="Aptos"/>
        </w:rPr>
      </w:pPr>
    </w:p>
    <w:p w14:paraId="6E13FB0D" w14:textId="300417E0" w:rsidR="0E260372" w:rsidRDefault="0E260372" w:rsidP="0E260372">
      <w:pPr>
        <w:pStyle w:val="Heading1"/>
        <w:ind w:left="0"/>
        <w:rPr>
          <w:rFonts w:ascii="Aptos" w:hAnsi="Aptos"/>
        </w:rPr>
      </w:pPr>
    </w:p>
    <w:p w14:paraId="3041BEDF" w14:textId="3164CFB8" w:rsidR="0E260372" w:rsidRDefault="0E260372" w:rsidP="0E260372">
      <w:pPr>
        <w:pStyle w:val="Heading1"/>
        <w:ind w:left="0"/>
        <w:rPr>
          <w:rFonts w:ascii="Aptos" w:hAnsi="Aptos"/>
        </w:rPr>
      </w:pPr>
    </w:p>
    <w:p w14:paraId="0F404E43" w14:textId="2735DB51" w:rsidR="0E260372" w:rsidRDefault="0E260372" w:rsidP="0E260372">
      <w:pPr>
        <w:pStyle w:val="Heading1"/>
        <w:ind w:left="0"/>
        <w:rPr>
          <w:rFonts w:ascii="Aptos" w:hAnsi="Aptos"/>
        </w:rPr>
      </w:pPr>
    </w:p>
    <w:p w14:paraId="060B0E0C" w14:textId="3A1D3BF9" w:rsidR="0E260372" w:rsidRDefault="0E260372" w:rsidP="0E260372">
      <w:pPr>
        <w:pStyle w:val="Heading1"/>
        <w:ind w:left="0"/>
        <w:rPr>
          <w:rFonts w:ascii="Aptos" w:hAnsi="Aptos"/>
        </w:rPr>
      </w:pPr>
    </w:p>
    <w:p w14:paraId="648EAF50" w14:textId="1698481D" w:rsidR="0E260372" w:rsidRDefault="0E260372" w:rsidP="0E260372">
      <w:pPr>
        <w:pStyle w:val="Heading1"/>
        <w:ind w:left="0"/>
        <w:rPr>
          <w:rFonts w:ascii="Aptos" w:hAnsi="Aptos"/>
        </w:rPr>
      </w:pPr>
    </w:p>
    <w:p w14:paraId="0ACDAF94" w14:textId="7C41BEE6" w:rsidR="0E260372" w:rsidRDefault="0E260372" w:rsidP="0E260372">
      <w:pPr>
        <w:pStyle w:val="Heading1"/>
        <w:ind w:left="0"/>
        <w:rPr>
          <w:rFonts w:ascii="Aptos" w:hAnsi="Aptos"/>
        </w:rPr>
      </w:pPr>
    </w:p>
    <w:p w14:paraId="60AE93AD" w14:textId="4C2E871D" w:rsidR="0E260372" w:rsidRDefault="0E260372" w:rsidP="0E260372">
      <w:pPr>
        <w:pStyle w:val="Heading1"/>
        <w:ind w:left="0"/>
        <w:rPr>
          <w:rFonts w:ascii="Aptos" w:hAnsi="Aptos"/>
        </w:rPr>
      </w:pPr>
    </w:p>
    <w:p w14:paraId="28FAB60C" w14:textId="2E08F29D" w:rsidR="0E260372" w:rsidRDefault="0E260372" w:rsidP="0E260372">
      <w:pPr>
        <w:pStyle w:val="Heading1"/>
        <w:ind w:left="0"/>
        <w:rPr>
          <w:rFonts w:ascii="Aptos" w:hAnsi="Aptos"/>
        </w:rPr>
      </w:pPr>
    </w:p>
    <w:p w14:paraId="4F8377D8" w14:textId="29366411" w:rsidR="0E260372" w:rsidRDefault="0E260372" w:rsidP="0E260372">
      <w:pPr>
        <w:rPr>
          <w:rFonts w:ascii="Arial" w:eastAsia="Arial" w:hAnsi="Arial" w:cs="Arial"/>
          <w:b/>
          <w:bCs/>
          <w:sz w:val="32"/>
          <w:szCs w:val="32"/>
        </w:rPr>
      </w:pPr>
    </w:p>
    <w:p w14:paraId="6163C081" w14:textId="49AC38C1" w:rsidR="0E260372" w:rsidRDefault="0E260372" w:rsidP="0E260372">
      <w:pPr>
        <w:rPr>
          <w:rFonts w:ascii="Arial" w:eastAsia="Arial" w:hAnsi="Arial" w:cs="Arial"/>
          <w:b/>
          <w:bCs/>
          <w:sz w:val="32"/>
          <w:szCs w:val="32"/>
        </w:rPr>
      </w:pPr>
    </w:p>
    <w:p w14:paraId="593AF5D1" w14:textId="4F1C8A0F" w:rsidR="0E260372" w:rsidRDefault="0E260372" w:rsidP="0E260372">
      <w:pPr>
        <w:rPr>
          <w:rFonts w:ascii="Arial" w:eastAsia="Arial" w:hAnsi="Arial" w:cs="Arial"/>
          <w:b/>
          <w:bCs/>
          <w:sz w:val="32"/>
          <w:szCs w:val="32"/>
        </w:rPr>
      </w:pPr>
    </w:p>
    <w:p w14:paraId="6D51383C" w14:textId="1AD1795E" w:rsidR="1504F64D" w:rsidRDefault="00211184" w:rsidP="00A4007E">
      <w:pPr>
        <w:pStyle w:val="Heading1"/>
      </w:pPr>
      <w:r>
        <w:t xml:space="preserve">CHAPTER 6 – </w:t>
      </w:r>
      <w:r w:rsidR="1504F64D">
        <w:t>References</w:t>
      </w:r>
    </w:p>
    <w:p w14:paraId="020975DD" w14:textId="16A395E8" w:rsidR="00621776" w:rsidRPr="008C38C3" w:rsidRDefault="00621776" w:rsidP="0E260372">
      <w:pPr>
        <w:rPr>
          <w:rFonts w:ascii="Arial" w:eastAsia="Arial" w:hAnsi="Arial" w:cs="Arial"/>
          <w:b/>
          <w:bCs/>
          <w:sz w:val="28"/>
          <w:szCs w:val="28"/>
        </w:rPr>
      </w:pPr>
      <w:r w:rsidRPr="0E260372">
        <w:rPr>
          <w:rFonts w:ascii="Arial" w:eastAsia="Arial" w:hAnsi="Arial" w:cs="Arial"/>
          <w:b/>
          <w:bCs/>
          <w:sz w:val="28"/>
          <w:szCs w:val="28"/>
        </w:rPr>
        <w:t xml:space="preserve">6.1 – References </w:t>
      </w:r>
    </w:p>
    <w:p w14:paraId="177D47C3" w14:textId="77777777" w:rsidR="00621776" w:rsidRDefault="00621776" w:rsidP="1EC678D9">
      <w:pPr>
        <w:jc w:val="left"/>
        <w:rPr>
          <w:rFonts w:ascii="Arial" w:eastAsia="Arial" w:hAnsi="Arial" w:cs="Arial"/>
        </w:rPr>
      </w:pPr>
    </w:p>
    <w:p w14:paraId="10F7621B" w14:textId="7003054E" w:rsidR="5E08FCAB" w:rsidRDefault="5E08FCAB" w:rsidP="1EC678D9">
      <w:pPr>
        <w:pStyle w:val="ListParagraph"/>
        <w:numPr>
          <w:ilvl w:val="0"/>
          <w:numId w:val="1"/>
        </w:numPr>
        <w:rPr>
          <w:rFonts w:ascii="Arial" w:eastAsia="Arial" w:hAnsi="Arial" w:cs="Arial"/>
        </w:rPr>
      </w:pPr>
      <w:r w:rsidRPr="1EC678D9">
        <w:rPr>
          <w:rFonts w:ascii="Arial" w:eastAsia="Arial" w:hAnsi="Arial" w:cs="Arial"/>
        </w:rPr>
        <w:t xml:space="preserve">Alharbi, A. and Stevenson, R. (2020) ‘Refining Boolean queries to identify relevant studies for systematic review updates. Available at: </w:t>
      </w:r>
      <w:hyperlink r:id="rId14">
        <w:r w:rsidRPr="1EC678D9">
          <w:rPr>
            <w:rStyle w:val="Hyperlink"/>
            <w:rFonts w:ascii="Arial" w:eastAsia="Arial" w:hAnsi="Arial" w:cs="Arial"/>
          </w:rPr>
          <w:t>https://doi.org/10.1093/jamia/ocaa148</w:t>
        </w:r>
      </w:hyperlink>
      <w:r w:rsidRPr="1EC678D9">
        <w:rPr>
          <w:rFonts w:ascii="Arial" w:eastAsia="Arial" w:hAnsi="Arial" w:cs="Arial"/>
        </w:rPr>
        <w:t>.</w:t>
      </w:r>
    </w:p>
    <w:p w14:paraId="6A04E595" w14:textId="287D0C42" w:rsidR="068953FA" w:rsidRDefault="068953FA" w:rsidP="1EC678D9">
      <w:pPr>
        <w:widowControl w:val="0"/>
        <w:jc w:val="left"/>
        <w:rPr>
          <w:rFonts w:ascii="Arial" w:eastAsia="Arial" w:hAnsi="Arial" w:cs="Arial"/>
        </w:rPr>
      </w:pPr>
    </w:p>
    <w:p w14:paraId="1AE2A028" w14:textId="1F2EC38F" w:rsidR="072205D5" w:rsidRDefault="072205D5"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Aly, S.M., Omran, A., </w:t>
      </w:r>
      <w:proofErr w:type="spellStart"/>
      <w:r w:rsidRPr="1EC678D9">
        <w:rPr>
          <w:rFonts w:ascii="Arial" w:eastAsia="Arial" w:hAnsi="Arial" w:cs="Arial"/>
        </w:rPr>
        <w:t>Gaulier</w:t>
      </w:r>
      <w:proofErr w:type="spellEnd"/>
      <w:r w:rsidRPr="1EC678D9">
        <w:rPr>
          <w:rFonts w:ascii="Arial" w:eastAsia="Arial" w:hAnsi="Arial" w:cs="Arial"/>
        </w:rPr>
        <w:t xml:space="preserve">, J.-M. and </w:t>
      </w:r>
      <w:proofErr w:type="spellStart"/>
      <w:r w:rsidRPr="1EC678D9">
        <w:rPr>
          <w:rFonts w:ascii="Arial" w:eastAsia="Arial" w:hAnsi="Arial" w:cs="Arial"/>
        </w:rPr>
        <w:t>Allorge</w:t>
      </w:r>
      <w:proofErr w:type="spellEnd"/>
      <w:r w:rsidRPr="1EC678D9">
        <w:rPr>
          <w:rFonts w:ascii="Arial" w:eastAsia="Arial" w:hAnsi="Arial" w:cs="Arial"/>
        </w:rPr>
        <w:t xml:space="preserve">, D. (2020). Substance abuse among children. Archives de </w:t>
      </w:r>
      <w:proofErr w:type="spellStart"/>
      <w:r w:rsidRPr="1EC678D9">
        <w:rPr>
          <w:rFonts w:ascii="Arial" w:eastAsia="Arial" w:hAnsi="Arial" w:cs="Arial"/>
        </w:rPr>
        <w:t>Pédiatrie</w:t>
      </w:r>
      <w:proofErr w:type="spellEnd"/>
      <w:r w:rsidRPr="1EC678D9">
        <w:rPr>
          <w:rFonts w:ascii="Arial" w:eastAsia="Arial" w:hAnsi="Arial" w:cs="Arial"/>
        </w:rPr>
        <w:t xml:space="preserve">, 27(8), pp.480–484.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://doi.org/10.1016/j.arcped.2020.09.006</w:t>
      </w:r>
      <w:proofErr w:type="gramEnd"/>
      <w:r w:rsidRPr="1EC678D9">
        <w:rPr>
          <w:rFonts w:ascii="Arial" w:eastAsia="Arial" w:hAnsi="Arial" w:cs="Arial"/>
        </w:rPr>
        <w:t>.</w:t>
      </w:r>
    </w:p>
    <w:p w14:paraId="21085912" w14:textId="21F7C41A" w:rsidR="0559B97C" w:rsidRDefault="0559B97C" w:rsidP="1EC678D9">
      <w:pPr>
        <w:rPr>
          <w:rFonts w:ascii="Arial" w:eastAsia="Arial" w:hAnsi="Arial" w:cs="Arial"/>
        </w:rPr>
      </w:pPr>
    </w:p>
    <w:p w14:paraId="2573DADB" w14:textId="1AB2351B" w:rsidR="6ED568EA" w:rsidRDefault="6ED568EA" w:rsidP="06329E2C">
      <w:pPr>
        <w:pStyle w:val="ListParagraph"/>
        <w:numPr>
          <w:ilvl w:val="0"/>
          <w:numId w:val="1"/>
        </w:numPr>
        <w:rPr>
          <w:rFonts w:ascii="Arial" w:eastAsia="Arial" w:hAnsi="Arial" w:cs="Arial"/>
          <w:color w:val="000000" w:themeColor="text1"/>
        </w:rPr>
      </w:pPr>
      <w:proofErr w:type="spellStart"/>
      <w:r w:rsidRPr="06329E2C">
        <w:rPr>
          <w:rFonts w:ascii="Arial" w:eastAsia="Arial" w:hAnsi="Arial" w:cs="Arial"/>
        </w:rPr>
        <w:t>Aytur</w:t>
      </w:r>
      <w:proofErr w:type="spellEnd"/>
      <w:r w:rsidRPr="06329E2C">
        <w:rPr>
          <w:rFonts w:ascii="Arial" w:eastAsia="Arial" w:hAnsi="Arial" w:cs="Arial"/>
        </w:rPr>
        <w:t xml:space="preserve">, S.A., Carlino, S., Bernard, F., West, K., Dobrzycki, V. and Malik, R. (2021). Social‐ecological theory, substance misuse, adverse childhood experiences, and adolescent suicidal ideation: Applications for community–academic partnerships. Journal of Community Psychology, 50(1). </w:t>
      </w:r>
      <w:proofErr w:type="spellStart"/>
      <w:proofErr w:type="gramStart"/>
      <w:r w:rsidRPr="06329E2C">
        <w:rPr>
          <w:rFonts w:ascii="Arial" w:eastAsia="Arial" w:hAnsi="Arial" w:cs="Arial"/>
        </w:rPr>
        <w:t>doi:https</w:t>
      </w:r>
      <w:proofErr w:type="spellEnd"/>
      <w:r w:rsidRPr="06329E2C">
        <w:rPr>
          <w:rFonts w:ascii="Arial" w:eastAsia="Arial" w:hAnsi="Arial" w:cs="Arial"/>
        </w:rPr>
        <w:t>://doi.org/10.1002/jcop.22560</w:t>
      </w:r>
      <w:proofErr w:type="gramEnd"/>
      <w:r w:rsidRPr="06329E2C">
        <w:rPr>
          <w:rFonts w:ascii="Arial" w:eastAsia="Arial" w:hAnsi="Arial" w:cs="Arial"/>
        </w:rPr>
        <w:t>.</w:t>
      </w:r>
    </w:p>
    <w:p w14:paraId="5014286C" w14:textId="2C16573A" w:rsidR="59AE6312" w:rsidRDefault="59AE6312" w:rsidP="06329E2C">
      <w:pPr>
        <w:pStyle w:val="ListParagraph"/>
        <w:ind w:left="720"/>
        <w:rPr>
          <w:rFonts w:ascii="Arial" w:eastAsia="Arial" w:hAnsi="Arial" w:cs="Arial"/>
          <w:color w:val="000000" w:themeColor="text1"/>
        </w:rPr>
      </w:pPr>
    </w:p>
    <w:p w14:paraId="15568294" w14:textId="5514FF74" w:rsidR="59AE6312" w:rsidRDefault="37943171" w:rsidP="06329E2C">
      <w:pPr>
        <w:pStyle w:val="ListParagraph"/>
        <w:numPr>
          <w:ilvl w:val="0"/>
          <w:numId w:val="1"/>
        </w:numPr>
        <w:rPr>
          <w:rFonts w:ascii="Arial" w:eastAsia="Arial" w:hAnsi="Arial" w:cs="Arial"/>
        </w:rPr>
      </w:pPr>
      <w:r w:rsidRPr="06329E2C">
        <w:rPr>
          <w:rFonts w:ascii="Arial" w:eastAsia="Arial" w:hAnsi="Arial" w:cs="Arial"/>
        </w:rPr>
        <w:t xml:space="preserve">Abildgaard, J.S., </w:t>
      </w:r>
      <w:proofErr w:type="spellStart"/>
      <w:r w:rsidRPr="06329E2C">
        <w:rPr>
          <w:rFonts w:ascii="Arial" w:eastAsia="Arial" w:hAnsi="Arial" w:cs="Arial"/>
        </w:rPr>
        <w:t>Saksvik</w:t>
      </w:r>
      <w:proofErr w:type="spellEnd"/>
      <w:r w:rsidRPr="06329E2C">
        <w:rPr>
          <w:rFonts w:ascii="Arial" w:eastAsia="Arial" w:hAnsi="Arial" w:cs="Arial"/>
        </w:rPr>
        <w:t xml:space="preserve">, P.Ø. and Nielsen, K. (2016) ‘How to Measure the Intervention Process? An Assessment of Qualitative and Quantitative Approaches to Data Collection in the Process Evaluation of Organizational Interventions’, </w:t>
      </w:r>
      <w:r w:rsidRPr="06329E2C">
        <w:rPr>
          <w:rFonts w:ascii="Arial" w:eastAsia="Arial" w:hAnsi="Arial" w:cs="Arial"/>
          <w:i/>
          <w:iCs/>
        </w:rPr>
        <w:t>Frontiers in psychology</w:t>
      </w:r>
      <w:r w:rsidRPr="06329E2C">
        <w:rPr>
          <w:rFonts w:ascii="Arial" w:eastAsia="Arial" w:hAnsi="Arial" w:cs="Arial"/>
        </w:rPr>
        <w:t xml:space="preserve">, 7, pp. 1380–1380. Available at: </w:t>
      </w:r>
      <w:hyperlink r:id="rId15">
        <w:r w:rsidRPr="06329E2C">
          <w:rPr>
            <w:rStyle w:val="Hyperlink"/>
            <w:rFonts w:ascii="Arial" w:eastAsia="Arial" w:hAnsi="Arial" w:cs="Arial"/>
          </w:rPr>
          <w:t>https://doi.org/10.3389/fpsyg.2016.01380</w:t>
        </w:r>
      </w:hyperlink>
      <w:r w:rsidRPr="06329E2C">
        <w:rPr>
          <w:rFonts w:ascii="Arial" w:eastAsia="Arial" w:hAnsi="Arial" w:cs="Arial"/>
        </w:rPr>
        <w:t>.</w:t>
      </w:r>
    </w:p>
    <w:p w14:paraId="549DB44E" w14:textId="543E2A42" w:rsidR="59AE6312" w:rsidRDefault="59AE6312" w:rsidP="1EC678D9">
      <w:pPr>
        <w:rPr>
          <w:rFonts w:ascii="Arial" w:eastAsia="Arial" w:hAnsi="Arial" w:cs="Arial"/>
        </w:rPr>
      </w:pPr>
    </w:p>
    <w:p w14:paraId="559B4985" w14:textId="0234DFE4" w:rsidR="5C95741F" w:rsidRDefault="4FF2DF7E" w:rsidP="0E260372">
      <w:pPr>
        <w:pStyle w:val="ListParagraph"/>
        <w:numPr>
          <w:ilvl w:val="0"/>
          <w:numId w:val="1"/>
        </w:numPr>
        <w:rPr>
          <w:rFonts w:ascii="Arial" w:eastAsia="Arial" w:hAnsi="Arial" w:cs="Arial"/>
          <w:color w:val="000000" w:themeColor="text1"/>
        </w:rPr>
      </w:pPr>
      <w:r w:rsidRPr="0E260372">
        <w:rPr>
          <w:rFonts w:ascii="Arial" w:eastAsia="Arial" w:hAnsi="Arial" w:cs="Arial"/>
        </w:rPr>
        <w:t>Aldridge, J. (2013). Illegal Leisure Revisited. Routledge</w:t>
      </w:r>
      <w:r w:rsidR="5710320C" w:rsidRPr="0E260372">
        <w:rPr>
          <w:rFonts w:ascii="Arial" w:eastAsia="Arial" w:hAnsi="Arial" w:cs="Arial"/>
        </w:rPr>
        <w:t>.: https://doi.org/10.4324/9780203830468</w:t>
      </w:r>
      <w:r w:rsidRPr="0E260372">
        <w:rPr>
          <w:rFonts w:ascii="Arial" w:eastAsia="Arial" w:hAnsi="Arial" w:cs="Arial"/>
        </w:rPr>
        <w:t>.</w:t>
      </w:r>
    </w:p>
    <w:p w14:paraId="484ABE6A" w14:textId="57189DEE" w:rsidR="5C95741F" w:rsidRDefault="5C95741F" w:rsidP="1EC678D9">
      <w:pPr>
        <w:rPr>
          <w:rFonts w:ascii="Arial" w:eastAsia="Arial" w:hAnsi="Arial" w:cs="Arial"/>
        </w:rPr>
      </w:pPr>
    </w:p>
    <w:p w14:paraId="74CA75CF" w14:textId="226B017A" w:rsidR="093CD4FA" w:rsidRDefault="093CD4FA" w:rsidP="1EC678D9">
      <w:pPr>
        <w:pStyle w:val="ListParagraph"/>
        <w:numPr>
          <w:ilvl w:val="0"/>
          <w:numId w:val="1"/>
        </w:numPr>
        <w:rPr>
          <w:rFonts w:ascii="Arial" w:eastAsia="Arial" w:hAnsi="Arial" w:cs="Arial"/>
        </w:rPr>
      </w:pPr>
      <w:r w:rsidRPr="06329E2C">
        <w:rPr>
          <w:rFonts w:ascii="Arial" w:eastAsia="Arial" w:hAnsi="Arial" w:cs="Arial"/>
        </w:rPr>
        <w:t xml:space="preserve">Alderson, H. et al. (2019) ‘The key therapeutic factors needed to deliver behavioural change interventions to decrease risky substance use (drug and alcohol) for looked after children and care leavers: a qualitative exploration with young people, carers and </w:t>
      </w:r>
      <w:proofErr w:type="gramStart"/>
      <w:r w:rsidRPr="06329E2C">
        <w:rPr>
          <w:rFonts w:ascii="Arial" w:eastAsia="Arial" w:hAnsi="Arial" w:cs="Arial"/>
        </w:rPr>
        <w:t>front line</w:t>
      </w:r>
      <w:proofErr w:type="gramEnd"/>
      <w:r w:rsidRPr="06329E2C">
        <w:rPr>
          <w:rFonts w:ascii="Arial" w:eastAsia="Arial" w:hAnsi="Arial" w:cs="Arial"/>
        </w:rPr>
        <w:t xml:space="preserve"> workers’, BMC medical research methodology, 19(1). Available at: </w:t>
      </w:r>
      <w:hyperlink r:id="rId16">
        <w:r w:rsidRPr="06329E2C">
          <w:rPr>
            <w:rStyle w:val="Hyperlink"/>
            <w:rFonts w:ascii="Arial" w:eastAsia="Arial" w:hAnsi="Arial" w:cs="Arial"/>
          </w:rPr>
          <w:t>https://doi.org/10.1186/s12874-019-0674-3</w:t>
        </w:r>
      </w:hyperlink>
      <w:r w:rsidRPr="06329E2C">
        <w:rPr>
          <w:rFonts w:ascii="Arial" w:eastAsia="Arial" w:hAnsi="Arial" w:cs="Arial"/>
        </w:rPr>
        <w:t>.</w:t>
      </w:r>
    </w:p>
    <w:p w14:paraId="19ED3D42" w14:textId="2CD32B8D" w:rsidR="1EC678D9" w:rsidRDefault="1EC678D9" w:rsidP="1EC678D9">
      <w:pPr>
        <w:rPr>
          <w:rFonts w:ascii="Arial" w:eastAsia="Arial" w:hAnsi="Arial" w:cs="Arial"/>
        </w:rPr>
      </w:pPr>
    </w:p>
    <w:p w14:paraId="3A1801F2" w14:textId="7BD5C367" w:rsidR="2D48953B" w:rsidRDefault="2D48953B" w:rsidP="1EC678D9">
      <w:pPr>
        <w:pStyle w:val="ListParagraph"/>
        <w:numPr>
          <w:ilvl w:val="0"/>
          <w:numId w:val="1"/>
        </w:numPr>
        <w:rPr>
          <w:rFonts w:ascii="Arial" w:eastAsia="Arial" w:hAnsi="Arial" w:cs="Arial"/>
        </w:rPr>
      </w:pPr>
      <w:r w:rsidRPr="1EC678D9">
        <w:rPr>
          <w:rFonts w:ascii="Arial" w:eastAsia="Arial" w:hAnsi="Arial" w:cs="Arial"/>
        </w:rPr>
        <w:lastRenderedPageBreak/>
        <w:t xml:space="preserve">Alhammad, M. </w:t>
      </w:r>
      <w:r w:rsidRPr="1EC678D9">
        <w:rPr>
          <w:rFonts w:ascii="Arial" w:eastAsia="Arial" w:hAnsi="Arial" w:cs="Arial"/>
          <w:i/>
          <w:iCs/>
        </w:rPr>
        <w:t>et al.</w:t>
      </w:r>
      <w:r w:rsidRPr="1EC678D9">
        <w:rPr>
          <w:rFonts w:ascii="Arial" w:eastAsia="Arial" w:hAnsi="Arial" w:cs="Arial"/>
        </w:rPr>
        <w:t xml:space="preserve"> (2022) ‘Family, Individual, and Other Risk Factors Contributing to Risk of Substance Abuse in Young Adults: A Narrative Review’, </w:t>
      </w:r>
      <w:proofErr w:type="spellStart"/>
      <w:r w:rsidRPr="1EC678D9">
        <w:rPr>
          <w:rFonts w:ascii="Arial" w:eastAsia="Arial" w:hAnsi="Arial" w:cs="Arial"/>
          <w:i/>
          <w:iCs/>
        </w:rPr>
        <w:t>Curēus</w:t>
      </w:r>
      <w:proofErr w:type="spellEnd"/>
      <w:r w:rsidRPr="1EC678D9">
        <w:rPr>
          <w:rFonts w:ascii="Arial" w:eastAsia="Arial" w:hAnsi="Arial" w:cs="Arial"/>
          <w:i/>
          <w:iCs/>
        </w:rPr>
        <w:t>.</w:t>
      </w:r>
      <w:r w:rsidRPr="1EC678D9">
        <w:rPr>
          <w:rFonts w:ascii="Arial" w:eastAsia="Arial" w:hAnsi="Arial" w:cs="Arial"/>
        </w:rPr>
        <w:t xml:space="preserve"> [Preprint]. Available at: </w:t>
      </w:r>
      <w:hyperlink r:id="rId17">
        <w:r w:rsidRPr="1EC678D9">
          <w:rPr>
            <w:rStyle w:val="Hyperlink"/>
            <w:rFonts w:ascii="Arial" w:eastAsia="Arial" w:hAnsi="Arial" w:cs="Arial"/>
          </w:rPr>
          <w:t>https://doi.org/10.7759/cureus.32316</w:t>
        </w:r>
      </w:hyperlink>
      <w:r w:rsidRPr="1EC678D9">
        <w:rPr>
          <w:rFonts w:ascii="Arial" w:eastAsia="Arial" w:hAnsi="Arial" w:cs="Arial"/>
        </w:rPr>
        <w:t>.</w:t>
      </w:r>
    </w:p>
    <w:p w14:paraId="795A6918" w14:textId="6432BFCA" w:rsidR="1EC678D9" w:rsidRDefault="1EC678D9" w:rsidP="1EC678D9">
      <w:pPr>
        <w:pStyle w:val="ListParagraph"/>
        <w:ind w:left="720"/>
        <w:rPr>
          <w:rFonts w:ascii="Arial" w:eastAsia="Arial" w:hAnsi="Arial" w:cs="Arial"/>
        </w:rPr>
      </w:pPr>
    </w:p>
    <w:p w14:paraId="41FF7E86" w14:textId="3B96892E" w:rsidR="1F27C9E9" w:rsidRDefault="1F27C9E9" w:rsidP="1EC678D9">
      <w:pPr>
        <w:pStyle w:val="ListParagraph"/>
        <w:numPr>
          <w:ilvl w:val="0"/>
          <w:numId w:val="1"/>
        </w:numPr>
        <w:rPr>
          <w:rFonts w:ascii="Arial" w:eastAsia="Arial" w:hAnsi="Arial" w:cs="Arial"/>
        </w:rPr>
      </w:pPr>
      <w:r w:rsidRPr="1EC678D9">
        <w:rPr>
          <w:rFonts w:ascii="Arial" w:eastAsia="Arial" w:hAnsi="Arial" w:cs="Arial"/>
        </w:rPr>
        <w:t xml:space="preserve">Becker, T.D. and Rice, T.R. (2022) ‘Youth vaping: a review and update on global epidemiology, physical and </w:t>
      </w:r>
      <w:proofErr w:type="spellStart"/>
      <w:r w:rsidRPr="1EC678D9">
        <w:rPr>
          <w:rFonts w:ascii="Arial" w:eastAsia="Arial" w:hAnsi="Arial" w:cs="Arial"/>
        </w:rPr>
        <w:t>behavioral</w:t>
      </w:r>
      <w:proofErr w:type="spellEnd"/>
      <w:r w:rsidRPr="1EC678D9">
        <w:rPr>
          <w:rFonts w:ascii="Arial" w:eastAsia="Arial" w:hAnsi="Arial" w:cs="Arial"/>
        </w:rPr>
        <w:t xml:space="preserve"> health risks, and clinical considerations’, </w:t>
      </w:r>
      <w:r w:rsidRPr="1EC678D9">
        <w:rPr>
          <w:rFonts w:ascii="Arial" w:eastAsia="Arial" w:hAnsi="Arial" w:cs="Arial"/>
          <w:i/>
          <w:iCs/>
        </w:rPr>
        <w:t xml:space="preserve">European journal of </w:t>
      </w:r>
      <w:proofErr w:type="spellStart"/>
      <w:r w:rsidRPr="1EC678D9">
        <w:rPr>
          <w:rFonts w:ascii="Arial" w:eastAsia="Arial" w:hAnsi="Arial" w:cs="Arial"/>
          <w:i/>
          <w:iCs/>
        </w:rPr>
        <w:t>pediatrics</w:t>
      </w:r>
      <w:proofErr w:type="spellEnd"/>
      <w:r w:rsidRPr="1EC678D9">
        <w:rPr>
          <w:rFonts w:ascii="Arial" w:eastAsia="Arial" w:hAnsi="Arial" w:cs="Arial"/>
        </w:rPr>
        <w:t xml:space="preserve">, 181(2), pp. 453–462. Available at: </w:t>
      </w:r>
      <w:hyperlink r:id="rId18">
        <w:r w:rsidRPr="1EC678D9">
          <w:rPr>
            <w:rStyle w:val="Hyperlink"/>
            <w:rFonts w:ascii="Arial" w:eastAsia="Arial" w:hAnsi="Arial" w:cs="Arial"/>
          </w:rPr>
          <w:t>https://doi.org/10.1007/s00431-021-04220-x</w:t>
        </w:r>
      </w:hyperlink>
      <w:r w:rsidRPr="1EC678D9">
        <w:rPr>
          <w:rFonts w:ascii="Arial" w:eastAsia="Arial" w:hAnsi="Arial" w:cs="Arial"/>
        </w:rPr>
        <w:t>.</w:t>
      </w:r>
    </w:p>
    <w:p w14:paraId="701EED6F" w14:textId="7FE7B0E7" w:rsidR="1EC678D9" w:rsidRDefault="1EC678D9" w:rsidP="1EC678D9">
      <w:pPr>
        <w:spacing w:after="0"/>
        <w:rPr>
          <w:rFonts w:ascii="Arial" w:eastAsia="Arial" w:hAnsi="Arial" w:cs="Arial"/>
        </w:rPr>
      </w:pPr>
    </w:p>
    <w:p w14:paraId="0268EC0E" w14:textId="6BDA75E2" w:rsidR="63313B37" w:rsidRDefault="63313B37" w:rsidP="1EC678D9">
      <w:pPr>
        <w:pStyle w:val="ListParagraph"/>
        <w:numPr>
          <w:ilvl w:val="0"/>
          <w:numId w:val="1"/>
        </w:numPr>
        <w:rPr>
          <w:rFonts w:ascii="Arial" w:eastAsia="Arial" w:hAnsi="Arial" w:cs="Arial"/>
        </w:rPr>
      </w:pPr>
      <w:r w:rsidRPr="1EC678D9">
        <w:rPr>
          <w:rFonts w:ascii="Arial" w:eastAsia="Arial" w:hAnsi="Arial" w:cs="Arial"/>
        </w:rPr>
        <w:t xml:space="preserve">Babor, T.F. </w:t>
      </w:r>
      <w:r w:rsidRPr="1EC678D9">
        <w:rPr>
          <w:rFonts w:ascii="Arial" w:eastAsia="Arial" w:hAnsi="Arial" w:cs="Arial"/>
          <w:i/>
          <w:iCs/>
        </w:rPr>
        <w:t>et al.</w:t>
      </w:r>
      <w:r w:rsidRPr="1EC678D9">
        <w:rPr>
          <w:rFonts w:ascii="Arial" w:eastAsia="Arial" w:hAnsi="Arial" w:cs="Arial"/>
        </w:rPr>
        <w:t xml:space="preserve"> (2022) ‘Alcohol: No Ordinary Commodity—a summary of the third edition’, </w:t>
      </w:r>
      <w:r w:rsidRPr="1EC678D9">
        <w:rPr>
          <w:rFonts w:ascii="Arial" w:eastAsia="Arial" w:hAnsi="Arial" w:cs="Arial"/>
          <w:i/>
          <w:iCs/>
        </w:rPr>
        <w:t>Addiction (Abingdon, England)</w:t>
      </w:r>
      <w:r w:rsidRPr="1EC678D9">
        <w:rPr>
          <w:rFonts w:ascii="Arial" w:eastAsia="Arial" w:hAnsi="Arial" w:cs="Arial"/>
        </w:rPr>
        <w:t xml:space="preserve">, 117(12), pp. 3024–3036. Available at: </w:t>
      </w:r>
      <w:hyperlink r:id="rId19">
        <w:r w:rsidRPr="1EC678D9">
          <w:rPr>
            <w:rStyle w:val="Hyperlink"/>
            <w:rFonts w:ascii="Arial" w:eastAsia="Arial" w:hAnsi="Arial" w:cs="Arial"/>
          </w:rPr>
          <w:t>https://doi.org/10.1111/add.16003</w:t>
        </w:r>
      </w:hyperlink>
      <w:r w:rsidRPr="1EC678D9">
        <w:rPr>
          <w:rFonts w:ascii="Arial" w:eastAsia="Arial" w:hAnsi="Arial" w:cs="Arial"/>
        </w:rPr>
        <w:t>.</w:t>
      </w:r>
    </w:p>
    <w:p w14:paraId="13B47B39" w14:textId="79C1E7FC" w:rsidR="1EC678D9" w:rsidRDefault="1EC678D9" w:rsidP="0E260372">
      <w:pPr>
        <w:spacing w:after="0"/>
        <w:rPr>
          <w:rFonts w:ascii="Arial" w:eastAsia="Arial" w:hAnsi="Arial" w:cs="Arial"/>
        </w:rPr>
      </w:pPr>
    </w:p>
    <w:p w14:paraId="02F3B346" w14:textId="20EA3D65" w:rsidR="59AE6312" w:rsidRDefault="59AE6312" w:rsidP="1EC678D9">
      <w:pPr>
        <w:rPr>
          <w:rFonts w:ascii="Arial" w:eastAsia="Arial" w:hAnsi="Arial" w:cs="Arial"/>
        </w:rPr>
      </w:pPr>
    </w:p>
    <w:p w14:paraId="547C479A" w14:textId="716936B6" w:rsidR="5A928D55" w:rsidRDefault="5A928D55"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Bonell, C., Fletcher, A., Jamal, F., Aveyard, P. and Markham, W. (2016). Where next with theory and research on how the school environment influences young people’s substance use? Health &amp; Place, [online] 40, pp.91–97.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://doi.org/10.1016/j.healthplace.2016.05.006</w:t>
      </w:r>
      <w:proofErr w:type="gramEnd"/>
      <w:r w:rsidRPr="1EC678D9">
        <w:rPr>
          <w:rFonts w:ascii="Arial" w:eastAsia="Arial" w:hAnsi="Arial" w:cs="Arial"/>
        </w:rPr>
        <w:t>.</w:t>
      </w:r>
    </w:p>
    <w:p w14:paraId="22960FB7" w14:textId="31227965" w:rsidR="1EC678D9" w:rsidRDefault="1EC678D9" w:rsidP="1EC678D9">
      <w:pPr>
        <w:pStyle w:val="ListParagraph"/>
        <w:ind w:left="720"/>
        <w:rPr>
          <w:rFonts w:ascii="Arial" w:eastAsia="Arial" w:hAnsi="Arial" w:cs="Arial"/>
          <w:color w:val="000000" w:themeColor="text1"/>
        </w:rPr>
      </w:pPr>
    </w:p>
    <w:p w14:paraId="4CC737D3" w14:textId="6EA00E5E" w:rsidR="0559B97C" w:rsidRDefault="5A928D55" w:rsidP="1EC678D9">
      <w:pPr>
        <w:pStyle w:val="ListParagraph"/>
        <w:numPr>
          <w:ilvl w:val="0"/>
          <w:numId w:val="1"/>
        </w:numPr>
        <w:rPr>
          <w:rFonts w:ascii="Arial" w:eastAsia="Arial" w:hAnsi="Arial" w:cs="Arial"/>
        </w:rPr>
      </w:pPr>
      <w:r w:rsidRPr="1EC678D9">
        <w:rPr>
          <w:rFonts w:ascii="Arial" w:eastAsia="Arial" w:hAnsi="Arial" w:cs="Arial"/>
        </w:rPr>
        <w:t>‌</w:t>
      </w:r>
      <w:r w:rsidR="49A3ED83" w:rsidRPr="1EC678D9">
        <w:rPr>
          <w:rFonts w:ascii="Arial" w:eastAsia="Arial" w:hAnsi="Arial" w:cs="Arial"/>
        </w:rPr>
        <w:t xml:space="preserve"> Baginsky, M. (2022) Protecting and safeguarding children in </w:t>
      </w:r>
      <w:proofErr w:type="gramStart"/>
      <w:r w:rsidR="49A3ED83" w:rsidRPr="1EC678D9">
        <w:rPr>
          <w:rFonts w:ascii="Arial" w:eastAsia="Arial" w:hAnsi="Arial" w:cs="Arial"/>
        </w:rPr>
        <w:t>schools :</w:t>
      </w:r>
      <w:proofErr w:type="gramEnd"/>
      <w:r w:rsidR="49A3ED83" w:rsidRPr="1EC678D9">
        <w:rPr>
          <w:rFonts w:ascii="Arial" w:eastAsia="Arial" w:hAnsi="Arial" w:cs="Arial"/>
        </w:rPr>
        <w:t xml:space="preserve"> a multi-agency approach. 1st ed. Bristol, England: Policy Press. Available at: </w:t>
      </w:r>
      <w:hyperlink r:id="rId20">
        <w:r w:rsidR="49A3ED83" w:rsidRPr="1EC678D9">
          <w:rPr>
            <w:rStyle w:val="Hyperlink"/>
            <w:rFonts w:ascii="Arial" w:eastAsia="Arial" w:hAnsi="Arial" w:cs="Arial"/>
          </w:rPr>
          <w:t>https://doi.org/10.56687/9781447358299</w:t>
        </w:r>
      </w:hyperlink>
      <w:r w:rsidR="49A3ED83" w:rsidRPr="1EC678D9">
        <w:rPr>
          <w:rFonts w:ascii="Arial" w:eastAsia="Arial" w:hAnsi="Arial" w:cs="Arial"/>
        </w:rPr>
        <w:t>.</w:t>
      </w:r>
    </w:p>
    <w:p w14:paraId="57936471" w14:textId="5AD2DF4B" w:rsidR="0559B97C" w:rsidRDefault="0559B97C" w:rsidP="1EC678D9">
      <w:pPr>
        <w:rPr>
          <w:rFonts w:ascii="Arial" w:eastAsia="Arial" w:hAnsi="Arial" w:cs="Arial"/>
        </w:rPr>
      </w:pPr>
    </w:p>
    <w:p w14:paraId="5E1D3160" w14:textId="38E78746" w:rsidR="0559B97C" w:rsidRDefault="0F105504" w:rsidP="0E260372">
      <w:pPr>
        <w:pStyle w:val="ListParagraph"/>
        <w:numPr>
          <w:ilvl w:val="0"/>
          <w:numId w:val="1"/>
        </w:numPr>
        <w:rPr>
          <w:rFonts w:ascii="Arial" w:eastAsia="Arial" w:hAnsi="Arial" w:cs="Arial"/>
          <w:color w:val="000000" w:themeColor="text1"/>
        </w:rPr>
      </w:pPr>
      <w:r w:rsidRPr="0E260372">
        <w:rPr>
          <w:rFonts w:ascii="Arial" w:eastAsia="Arial" w:hAnsi="Arial" w:cs="Arial"/>
        </w:rPr>
        <w:t xml:space="preserve">Bonell, C., Hinds, K., Dickson, K., Thomas, J., Fletcher, A., Murphy, S., Melendez-Torres, G.J., Bonell, C. and Campbell, R. (2015). What is positive youth development and how might it reduce substance use and violence? A systematic review and synthesis of theoretical literature. BMC Public Health, [online] 16(1). </w:t>
      </w:r>
      <w:proofErr w:type="spellStart"/>
      <w:proofErr w:type="gramStart"/>
      <w:r w:rsidRPr="0E260372">
        <w:rPr>
          <w:rFonts w:ascii="Arial" w:eastAsia="Arial" w:hAnsi="Arial" w:cs="Arial"/>
        </w:rPr>
        <w:t>doi:https</w:t>
      </w:r>
      <w:proofErr w:type="spellEnd"/>
      <w:r w:rsidRPr="0E260372">
        <w:rPr>
          <w:rFonts w:ascii="Arial" w:eastAsia="Arial" w:hAnsi="Arial" w:cs="Arial"/>
        </w:rPr>
        <w:t>://doi.org/10.1186/s12889-016-2817-3</w:t>
      </w:r>
      <w:proofErr w:type="gramEnd"/>
      <w:r w:rsidRPr="0E260372">
        <w:rPr>
          <w:rFonts w:ascii="Arial" w:eastAsia="Arial" w:hAnsi="Arial" w:cs="Arial"/>
        </w:rPr>
        <w:t>.</w:t>
      </w:r>
    </w:p>
    <w:p w14:paraId="76C0EA19" w14:textId="6F12F9A9" w:rsidR="0E260372" w:rsidRDefault="0E260372" w:rsidP="0E260372">
      <w:pPr>
        <w:pStyle w:val="ListParagraph"/>
        <w:ind w:left="720"/>
        <w:rPr>
          <w:rFonts w:ascii="Arial" w:eastAsia="Arial" w:hAnsi="Arial" w:cs="Arial"/>
          <w:color w:val="000000" w:themeColor="text1"/>
        </w:rPr>
      </w:pPr>
    </w:p>
    <w:p w14:paraId="6DFFCAB3" w14:textId="47D8390B" w:rsidR="499EBB08" w:rsidRDefault="499EBB08" w:rsidP="0E260372">
      <w:pPr>
        <w:pStyle w:val="ListParagraph"/>
        <w:numPr>
          <w:ilvl w:val="0"/>
          <w:numId w:val="1"/>
        </w:numPr>
        <w:rPr>
          <w:rFonts w:ascii="Arial" w:eastAsia="Arial" w:hAnsi="Arial" w:cs="Arial"/>
        </w:rPr>
      </w:pPr>
      <w:r w:rsidRPr="0E260372">
        <w:rPr>
          <w:rFonts w:ascii="Arial" w:eastAsia="Arial" w:hAnsi="Arial" w:cs="Arial"/>
        </w:rPr>
        <w:t xml:space="preserve">Bekkering, G.E. </w:t>
      </w:r>
      <w:r w:rsidRPr="0E260372">
        <w:rPr>
          <w:rFonts w:ascii="Arial" w:eastAsia="Arial" w:hAnsi="Arial" w:cs="Arial"/>
          <w:i/>
          <w:iCs/>
        </w:rPr>
        <w:t>et al.</w:t>
      </w:r>
      <w:r w:rsidRPr="0E260372">
        <w:rPr>
          <w:rFonts w:ascii="Arial" w:eastAsia="Arial" w:hAnsi="Arial" w:cs="Arial"/>
        </w:rPr>
        <w:t xml:space="preserve"> (2014) ‘Practitioner Review: Evidence-based practice guidelines on alcohol and drug misuse among adolescents: a systematic review’, </w:t>
      </w:r>
      <w:r w:rsidRPr="0E260372">
        <w:rPr>
          <w:rFonts w:ascii="Arial" w:eastAsia="Arial" w:hAnsi="Arial" w:cs="Arial"/>
          <w:i/>
          <w:iCs/>
        </w:rPr>
        <w:t>Journal of child psychology and psychiatry</w:t>
      </w:r>
      <w:r w:rsidRPr="0E260372">
        <w:rPr>
          <w:rFonts w:ascii="Arial" w:eastAsia="Arial" w:hAnsi="Arial" w:cs="Arial"/>
        </w:rPr>
        <w:t xml:space="preserve">, 55(1), pp. 3–21. Available at: </w:t>
      </w:r>
      <w:hyperlink r:id="rId21">
        <w:r w:rsidRPr="0E260372">
          <w:rPr>
            <w:rStyle w:val="Hyperlink"/>
            <w:rFonts w:ascii="Arial" w:eastAsia="Arial" w:hAnsi="Arial" w:cs="Arial"/>
          </w:rPr>
          <w:t>https://doi.org/10.1111/jcpp.12145</w:t>
        </w:r>
      </w:hyperlink>
      <w:r w:rsidRPr="0E260372">
        <w:rPr>
          <w:rFonts w:ascii="Arial" w:eastAsia="Arial" w:hAnsi="Arial" w:cs="Arial"/>
        </w:rPr>
        <w:t>.</w:t>
      </w:r>
    </w:p>
    <w:p w14:paraId="670AB9BE" w14:textId="2C724BB2" w:rsidR="0E260372" w:rsidRDefault="0E260372" w:rsidP="0E260372">
      <w:pPr>
        <w:pStyle w:val="ListParagraph"/>
        <w:ind w:left="720"/>
        <w:rPr>
          <w:rFonts w:ascii="Arial" w:eastAsia="Arial" w:hAnsi="Arial" w:cs="Arial"/>
          <w:color w:val="000000" w:themeColor="text1"/>
        </w:rPr>
      </w:pPr>
    </w:p>
    <w:p w14:paraId="53BE24B3" w14:textId="7B619C3B" w:rsidR="0559B97C" w:rsidRDefault="0559B97C" w:rsidP="1EC678D9">
      <w:pPr>
        <w:rPr>
          <w:rFonts w:ascii="Arial" w:eastAsia="Arial" w:hAnsi="Arial" w:cs="Arial"/>
        </w:rPr>
      </w:pPr>
    </w:p>
    <w:p w14:paraId="1C3EA9A0" w14:textId="3B2B919B" w:rsidR="0559B97C" w:rsidRDefault="7B3E57C4" w:rsidP="06329E2C">
      <w:pPr>
        <w:pStyle w:val="ListParagraph"/>
        <w:numPr>
          <w:ilvl w:val="0"/>
          <w:numId w:val="1"/>
        </w:numPr>
        <w:rPr>
          <w:rFonts w:ascii="Arial" w:eastAsia="Arial" w:hAnsi="Arial" w:cs="Arial"/>
          <w:color w:val="000000" w:themeColor="text1"/>
        </w:rPr>
      </w:pPr>
      <w:r w:rsidRPr="06329E2C">
        <w:rPr>
          <w:rFonts w:ascii="Arial" w:eastAsia="Arial" w:hAnsi="Arial" w:cs="Arial"/>
        </w:rPr>
        <w:t xml:space="preserve">Carson, D.C., Sullivan, C.J., Cochran, J.K. and Lersch, K.M. (2008). General Strain Theory and the Relationship Between Early Victimization and Drug Use. Deviant </w:t>
      </w:r>
      <w:proofErr w:type="spellStart"/>
      <w:r w:rsidRPr="06329E2C">
        <w:rPr>
          <w:rFonts w:ascii="Arial" w:eastAsia="Arial" w:hAnsi="Arial" w:cs="Arial"/>
        </w:rPr>
        <w:t>Behavior</w:t>
      </w:r>
      <w:proofErr w:type="spellEnd"/>
      <w:r w:rsidRPr="06329E2C">
        <w:rPr>
          <w:rFonts w:ascii="Arial" w:eastAsia="Arial" w:hAnsi="Arial" w:cs="Arial"/>
        </w:rPr>
        <w:t xml:space="preserve">, 30(1), pp.54–88. </w:t>
      </w:r>
      <w:proofErr w:type="spellStart"/>
      <w:proofErr w:type="gramStart"/>
      <w:r w:rsidRPr="06329E2C">
        <w:rPr>
          <w:rFonts w:ascii="Arial" w:eastAsia="Arial" w:hAnsi="Arial" w:cs="Arial"/>
        </w:rPr>
        <w:t>doi:https</w:t>
      </w:r>
      <w:proofErr w:type="spellEnd"/>
      <w:r w:rsidRPr="06329E2C">
        <w:rPr>
          <w:rFonts w:ascii="Arial" w:eastAsia="Arial" w:hAnsi="Arial" w:cs="Arial"/>
        </w:rPr>
        <w:t>://doi.org/10.1080/01639620802050023</w:t>
      </w:r>
      <w:proofErr w:type="gramEnd"/>
      <w:r w:rsidRPr="06329E2C">
        <w:rPr>
          <w:rFonts w:ascii="Arial" w:eastAsia="Arial" w:hAnsi="Arial" w:cs="Arial"/>
        </w:rPr>
        <w:t>.</w:t>
      </w:r>
    </w:p>
    <w:p w14:paraId="5D664CBC" w14:textId="2D5F48AD" w:rsidR="068953FA" w:rsidRDefault="068953FA" w:rsidP="06329E2C">
      <w:pPr>
        <w:pStyle w:val="ListParagraph"/>
        <w:ind w:left="720"/>
        <w:rPr>
          <w:rFonts w:ascii="Arial" w:eastAsia="Arial" w:hAnsi="Arial" w:cs="Arial"/>
          <w:color w:val="000000" w:themeColor="text1"/>
        </w:rPr>
      </w:pPr>
    </w:p>
    <w:p w14:paraId="23D12E0D" w14:textId="61CAA6D7" w:rsidR="068953FA" w:rsidRDefault="265CC3CD" w:rsidP="06329E2C">
      <w:pPr>
        <w:pStyle w:val="ListParagraph"/>
        <w:numPr>
          <w:ilvl w:val="0"/>
          <w:numId w:val="1"/>
        </w:numPr>
        <w:rPr>
          <w:rFonts w:ascii="Arial" w:eastAsia="Arial" w:hAnsi="Arial" w:cs="Arial"/>
        </w:rPr>
      </w:pPr>
      <w:r w:rsidRPr="06329E2C">
        <w:rPr>
          <w:rFonts w:ascii="Arial" w:eastAsia="Arial" w:hAnsi="Arial" w:cs="Arial"/>
        </w:rPr>
        <w:t xml:space="preserve">Csete, J. </w:t>
      </w:r>
      <w:r w:rsidRPr="06329E2C">
        <w:rPr>
          <w:rFonts w:ascii="Arial" w:eastAsia="Arial" w:hAnsi="Arial" w:cs="Arial"/>
          <w:i/>
          <w:iCs/>
        </w:rPr>
        <w:t>et al.</w:t>
      </w:r>
      <w:r w:rsidRPr="06329E2C">
        <w:rPr>
          <w:rFonts w:ascii="Arial" w:eastAsia="Arial" w:hAnsi="Arial" w:cs="Arial"/>
        </w:rPr>
        <w:t xml:space="preserve"> (2016) ‘Public health and international drug policy’, </w:t>
      </w:r>
      <w:r w:rsidRPr="06329E2C">
        <w:rPr>
          <w:rFonts w:ascii="Arial" w:eastAsia="Arial" w:hAnsi="Arial" w:cs="Arial"/>
          <w:i/>
          <w:iCs/>
        </w:rPr>
        <w:t>The Lancet (British edition)</w:t>
      </w:r>
      <w:r w:rsidRPr="06329E2C">
        <w:rPr>
          <w:rFonts w:ascii="Arial" w:eastAsia="Arial" w:hAnsi="Arial" w:cs="Arial"/>
        </w:rPr>
        <w:t xml:space="preserve">, 387(10026), pp. 1427–1480. Available at: </w:t>
      </w:r>
      <w:hyperlink r:id="rId22">
        <w:r w:rsidRPr="06329E2C">
          <w:rPr>
            <w:rStyle w:val="Hyperlink"/>
            <w:rFonts w:ascii="Arial" w:eastAsia="Arial" w:hAnsi="Arial" w:cs="Arial"/>
          </w:rPr>
          <w:t>https://doi.org/10.1016/S0140-6736(16)00619-X</w:t>
        </w:r>
      </w:hyperlink>
      <w:r w:rsidRPr="06329E2C">
        <w:rPr>
          <w:rFonts w:ascii="Arial" w:eastAsia="Arial" w:hAnsi="Arial" w:cs="Arial"/>
        </w:rPr>
        <w:t>.</w:t>
      </w:r>
    </w:p>
    <w:p w14:paraId="5EDC7787" w14:textId="5DAB8B73" w:rsidR="068953FA" w:rsidRDefault="068953FA" w:rsidP="1EC678D9">
      <w:pPr>
        <w:rPr>
          <w:rFonts w:ascii="Arial" w:eastAsia="Arial" w:hAnsi="Arial" w:cs="Arial"/>
        </w:rPr>
      </w:pPr>
    </w:p>
    <w:p w14:paraId="7D898502" w14:textId="5287CC40" w:rsidR="02C00E46" w:rsidRDefault="02C00E46" w:rsidP="1EC678D9">
      <w:pPr>
        <w:pStyle w:val="ListParagraph"/>
        <w:numPr>
          <w:ilvl w:val="0"/>
          <w:numId w:val="1"/>
        </w:numPr>
        <w:rPr>
          <w:rFonts w:ascii="Arial" w:eastAsia="Arial" w:hAnsi="Arial" w:cs="Arial"/>
        </w:rPr>
      </w:pPr>
      <w:r w:rsidRPr="1EC678D9">
        <w:rPr>
          <w:rFonts w:ascii="Arial" w:eastAsia="Arial" w:hAnsi="Arial" w:cs="Arial"/>
        </w:rPr>
        <w:t xml:space="preserve">Cooper, C. et al. (2017) ‘A comparison of results of empirical studies of supplementary search techniques and recommendations in review methodology handbooks: a methodological review’. Available at: </w:t>
      </w:r>
      <w:hyperlink r:id="rId23">
        <w:r w:rsidRPr="1EC678D9">
          <w:rPr>
            <w:rStyle w:val="Hyperlink"/>
            <w:rFonts w:ascii="Arial" w:eastAsia="Arial" w:hAnsi="Arial" w:cs="Arial"/>
          </w:rPr>
          <w:t>https://doi.org/10.1186/s13643-017-0625-1</w:t>
        </w:r>
      </w:hyperlink>
      <w:r w:rsidRPr="1EC678D9">
        <w:rPr>
          <w:rFonts w:ascii="Arial" w:eastAsia="Arial" w:hAnsi="Arial" w:cs="Arial"/>
        </w:rPr>
        <w:t>.</w:t>
      </w:r>
    </w:p>
    <w:p w14:paraId="7182C500" w14:textId="60CCBD83" w:rsidR="540F1010" w:rsidRDefault="540F1010" w:rsidP="1EC678D9">
      <w:pPr>
        <w:rPr>
          <w:rFonts w:ascii="Arial" w:eastAsia="Arial" w:hAnsi="Arial" w:cs="Arial"/>
        </w:rPr>
      </w:pPr>
    </w:p>
    <w:p w14:paraId="4C6C4CB9" w14:textId="3BAFD310" w:rsidR="428F2F02" w:rsidRDefault="428F2F02" w:rsidP="1EC678D9">
      <w:pPr>
        <w:pStyle w:val="ListParagraph"/>
        <w:numPr>
          <w:ilvl w:val="0"/>
          <w:numId w:val="1"/>
        </w:numPr>
        <w:rPr>
          <w:rFonts w:ascii="Arial" w:eastAsia="Arial" w:hAnsi="Arial" w:cs="Arial"/>
        </w:rPr>
      </w:pPr>
      <w:r w:rsidRPr="1EC678D9">
        <w:rPr>
          <w:rFonts w:ascii="Arial" w:eastAsia="Arial" w:hAnsi="Arial" w:cs="Arial"/>
        </w:rPr>
        <w:lastRenderedPageBreak/>
        <w:t xml:space="preserve">Castleberry, A. and Nolen, A. (2018) ‘Thematic analysis of qualitative research data: Is it as easy as it sounds?’, Currents in pharmacy teaching and learning, 10(6), pp. 807–815. Available at: </w:t>
      </w:r>
      <w:hyperlink r:id="rId24">
        <w:r w:rsidRPr="1EC678D9">
          <w:rPr>
            <w:rStyle w:val="Hyperlink"/>
            <w:rFonts w:ascii="Arial" w:eastAsia="Arial" w:hAnsi="Arial" w:cs="Arial"/>
          </w:rPr>
          <w:t>https://doi.org/10.1016/j.cptl.2018.03.019</w:t>
        </w:r>
      </w:hyperlink>
      <w:r w:rsidRPr="1EC678D9">
        <w:rPr>
          <w:rFonts w:ascii="Arial" w:eastAsia="Arial" w:hAnsi="Arial" w:cs="Arial"/>
        </w:rPr>
        <w:t>.</w:t>
      </w:r>
    </w:p>
    <w:p w14:paraId="167B908E" w14:textId="731D1A77" w:rsidR="540F1010" w:rsidRDefault="540F1010" w:rsidP="1EC678D9">
      <w:pPr>
        <w:rPr>
          <w:rFonts w:ascii="Arial" w:eastAsia="Arial" w:hAnsi="Arial" w:cs="Arial"/>
        </w:rPr>
      </w:pPr>
    </w:p>
    <w:p w14:paraId="56FA73F1" w14:textId="34D256D1" w:rsidR="068953FA" w:rsidRDefault="068953FA" w:rsidP="1EC678D9">
      <w:pPr>
        <w:rPr>
          <w:rFonts w:ascii="Arial" w:eastAsia="Arial" w:hAnsi="Arial" w:cs="Arial"/>
        </w:rPr>
      </w:pPr>
    </w:p>
    <w:p w14:paraId="304A46C4" w14:textId="25C984D5" w:rsidR="59AE6312" w:rsidRDefault="0A709CED" w:rsidP="1EC678D9">
      <w:pPr>
        <w:pStyle w:val="ListParagraph"/>
        <w:numPr>
          <w:ilvl w:val="0"/>
          <w:numId w:val="1"/>
        </w:numPr>
        <w:rPr>
          <w:rFonts w:ascii="Arial" w:eastAsia="Arial" w:hAnsi="Arial" w:cs="Arial"/>
        </w:rPr>
      </w:pPr>
      <w:r w:rsidRPr="0E260372">
        <w:rPr>
          <w:rFonts w:ascii="Arial" w:eastAsia="Arial" w:hAnsi="Arial" w:cs="Arial"/>
        </w:rPr>
        <w:t xml:space="preserve">Capraro, V. et al. (2024) ‘The impact of generative artificial intelligence on socioeconomic inequalities and policy making’, PNAS nexus, 3(6), p. pgae191. Available at: </w:t>
      </w:r>
      <w:hyperlink r:id="rId25">
        <w:r w:rsidRPr="0E260372">
          <w:rPr>
            <w:rStyle w:val="Hyperlink"/>
            <w:rFonts w:ascii="Arial" w:eastAsia="Arial" w:hAnsi="Arial" w:cs="Arial"/>
          </w:rPr>
          <w:t>https://doi.org/10.1093/pnasnexus/pgae191</w:t>
        </w:r>
      </w:hyperlink>
      <w:r w:rsidRPr="0E260372">
        <w:rPr>
          <w:rFonts w:ascii="Arial" w:eastAsia="Arial" w:hAnsi="Arial" w:cs="Arial"/>
        </w:rPr>
        <w:t>.</w:t>
      </w:r>
    </w:p>
    <w:p w14:paraId="3E44D1C3" w14:textId="3E2A1981" w:rsidR="1EC678D9" w:rsidRDefault="1EC678D9" w:rsidP="0E260372">
      <w:pPr>
        <w:pStyle w:val="ListParagraph"/>
        <w:ind w:left="720"/>
        <w:rPr>
          <w:rFonts w:ascii="Arial" w:eastAsia="Arial" w:hAnsi="Arial" w:cs="Arial"/>
        </w:rPr>
      </w:pPr>
    </w:p>
    <w:p w14:paraId="13794377" w14:textId="3922A9EC" w:rsidR="1EC678D9" w:rsidRDefault="342D40AB" w:rsidP="0E260372">
      <w:pPr>
        <w:pStyle w:val="ListParagraph"/>
        <w:numPr>
          <w:ilvl w:val="0"/>
          <w:numId w:val="1"/>
        </w:numPr>
        <w:rPr>
          <w:rFonts w:ascii="Arial" w:eastAsia="Arial" w:hAnsi="Arial" w:cs="Arial"/>
        </w:rPr>
      </w:pPr>
      <w:proofErr w:type="spellStart"/>
      <w:r w:rsidRPr="0E260372">
        <w:rPr>
          <w:rFonts w:ascii="Arial" w:eastAsia="Arial" w:hAnsi="Arial" w:cs="Arial"/>
        </w:rPr>
        <w:t>Camenga</w:t>
      </w:r>
      <w:proofErr w:type="spellEnd"/>
      <w:r w:rsidRPr="0E260372">
        <w:rPr>
          <w:rFonts w:ascii="Arial" w:eastAsia="Arial" w:hAnsi="Arial" w:cs="Arial"/>
        </w:rPr>
        <w:t xml:space="preserve">, D.R. and Hammer, L.D. (2022) ‘Improving Substance Use Prevention, Assessment, and Treatment Financing to Enhance Equity and Improve Outcomes Among Children, Adolescents, and Young Adults’, </w:t>
      </w:r>
      <w:proofErr w:type="spellStart"/>
      <w:r w:rsidRPr="0E260372">
        <w:rPr>
          <w:rFonts w:ascii="Arial" w:eastAsia="Arial" w:hAnsi="Arial" w:cs="Arial"/>
          <w:i/>
          <w:iCs/>
        </w:rPr>
        <w:t>Pediatrics</w:t>
      </w:r>
      <w:proofErr w:type="spellEnd"/>
      <w:r w:rsidRPr="0E260372">
        <w:rPr>
          <w:rFonts w:ascii="Arial" w:eastAsia="Arial" w:hAnsi="Arial" w:cs="Arial"/>
        </w:rPr>
        <w:t xml:space="preserve">, 150(1). Available at: </w:t>
      </w:r>
      <w:hyperlink r:id="rId26">
        <w:r w:rsidRPr="0E260372">
          <w:rPr>
            <w:rStyle w:val="Hyperlink"/>
            <w:rFonts w:ascii="Arial" w:eastAsia="Arial" w:hAnsi="Arial" w:cs="Arial"/>
          </w:rPr>
          <w:t>https://doi.org/10.1542/peds.2022-057992</w:t>
        </w:r>
      </w:hyperlink>
      <w:r w:rsidRPr="0E260372">
        <w:rPr>
          <w:rFonts w:ascii="Arial" w:eastAsia="Arial" w:hAnsi="Arial" w:cs="Arial"/>
        </w:rPr>
        <w:t>.</w:t>
      </w:r>
    </w:p>
    <w:p w14:paraId="00D28658" w14:textId="1B26B913" w:rsidR="1EC678D9" w:rsidRDefault="1EC678D9" w:rsidP="0E260372">
      <w:pPr>
        <w:ind w:left="720"/>
        <w:rPr>
          <w:rFonts w:ascii="Arial" w:eastAsia="Arial" w:hAnsi="Arial" w:cs="Arial"/>
        </w:rPr>
      </w:pPr>
    </w:p>
    <w:p w14:paraId="0DF0A28C" w14:textId="666415CC" w:rsidR="0559B97C" w:rsidRDefault="6CC7BD1F"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Dunne, T., Bishop, L., Avery, S. and Darcy, S. (2017). A Review of Effective Youth Engagement Strategies for Mental Health and Substance Use Interventions. Journal of Adolescent Health, 60(5), pp.487–512.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://doi.org/10.1016/j.jadohealth.2016.11.019</w:t>
      </w:r>
      <w:proofErr w:type="gramEnd"/>
      <w:r w:rsidRPr="1EC678D9">
        <w:rPr>
          <w:rFonts w:ascii="Arial" w:eastAsia="Arial" w:hAnsi="Arial" w:cs="Arial"/>
        </w:rPr>
        <w:t>.</w:t>
      </w:r>
    </w:p>
    <w:p w14:paraId="5C5B0B8B" w14:textId="42CC12B5" w:rsidR="59AE6312" w:rsidRDefault="59AE6312" w:rsidP="1EC678D9">
      <w:pPr>
        <w:rPr>
          <w:rFonts w:ascii="Arial" w:eastAsia="Arial" w:hAnsi="Arial" w:cs="Arial"/>
        </w:rPr>
      </w:pPr>
    </w:p>
    <w:p w14:paraId="56A94A1D" w14:textId="5F422610" w:rsidR="59AE6312" w:rsidRDefault="42F68E0C" w:rsidP="06329E2C">
      <w:pPr>
        <w:pStyle w:val="ListParagraph"/>
        <w:numPr>
          <w:ilvl w:val="0"/>
          <w:numId w:val="1"/>
        </w:numPr>
        <w:rPr>
          <w:rFonts w:ascii="Arial" w:eastAsia="Arial" w:hAnsi="Arial" w:cs="Arial"/>
          <w:color w:val="000000" w:themeColor="text1"/>
        </w:rPr>
      </w:pPr>
      <w:r w:rsidRPr="06329E2C">
        <w:rPr>
          <w:rFonts w:ascii="Arial" w:eastAsia="Arial" w:hAnsi="Arial" w:cs="Arial"/>
        </w:rPr>
        <w:t xml:space="preserve">Degenhardt, L., Stockings, E., Patton, G., Hall, W.D. and Lynskey, M. (2016). The increasing global health priority of substance </w:t>
      </w:r>
      <w:proofErr w:type="gramStart"/>
      <w:r w:rsidRPr="06329E2C">
        <w:rPr>
          <w:rFonts w:ascii="Arial" w:eastAsia="Arial" w:hAnsi="Arial" w:cs="Arial"/>
        </w:rPr>
        <w:t>use</w:t>
      </w:r>
      <w:proofErr w:type="gramEnd"/>
      <w:r w:rsidRPr="06329E2C">
        <w:rPr>
          <w:rFonts w:ascii="Arial" w:eastAsia="Arial" w:hAnsi="Arial" w:cs="Arial"/>
        </w:rPr>
        <w:t xml:space="preserve"> in young people. The Lancet Psychiatry, 3(3), pp.251–264. </w:t>
      </w:r>
      <w:proofErr w:type="spellStart"/>
      <w:proofErr w:type="gramStart"/>
      <w:r w:rsidRPr="06329E2C">
        <w:rPr>
          <w:rFonts w:ascii="Arial" w:eastAsia="Arial" w:hAnsi="Arial" w:cs="Arial"/>
        </w:rPr>
        <w:t>doi:https</w:t>
      </w:r>
      <w:proofErr w:type="spellEnd"/>
      <w:r w:rsidRPr="06329E2C">
        <w:rPr>
          <w:rFonts w:ascii="Arial" w:eastAsia="Arial" w:hAnsi="Arial" w:cs="Arial"/>
        </w:rPr>
        <w:t>://doi.org/10.1016/s2215-0366(15)00508-8</w:t>
      </w:r>
      <w:proofErr w:type="gramEnd"/>
      <w:r w:rsidRPr="06329E2C">
        <w:rPr>
          <w:rFonts w:ascii="Arial" w:eastAsia="Arial" w:hAnsi="Arial" w:cs="Arial"/>
        </w:rPr>
        <w:t>.</w:t>
      </w:r>
    </w:p>
    <w:p w14:paraId="17DA5E45" w14:textId="695E8597" w:rsidR="06329E2C" w:rsidRDefault="06329E2C" w:rsidP="06329E2C">
      <w:pPr>
        <w:pStyle w:val="ListParagraph"/>
        <w:ind w:left="720"/>
        <w:rPr>
          <w:rFonts w:ascii="Arial" w:eastAsia="Arial" w:hAnsi="Arial" w:cs="Arial"/>
          <w:color w:val="000000" w:themeColor="text1"/>
        </w:rPr>
      </w:pPr>
    </w:p>
    <w:p w14:paraId="02D815A1" w14:textId="2EFFF8F7" w:rsidR="59AE6312" w:rsidRDefault="00F054D4" w:rsidP="0E260372">
      <w:pPr>
        <w:pStyle w:val="ListParagraph"/>
        <w:numPr>
          <w:ilvl w:val="0"/>
          <w:numId w:val="1"/>
        </w:numPr>
        <w:rPr>
          <w:rFonts w:ascii="Arial" w:eastAsia="Arial" w:hAnsi="Arial" w:cs="Arial"/>
          <w:color w:val="000000" w:themeColor="text1"/>
        </w:rPr>
      </w:pPr>
      <w:r w:rsidRPr="0E260372">
        <w:rPr>
          <w:rFonts w:ascii="Arial" w:eastAsia="Arial" w:hAnsi="Arial" w:cs="Arial"/>
        </w:rPr>
        <w:t xml:space="preserve">Das, J.K., Salam, R.A., Arshad, A., Finkelstein, Y. and Bhutta, Z.A. (2019). Interventions for Adolescent Substance Abuse: An Overview of Systematic Reviews. Journal of Adolescent Health, 59(4), </w:t>
      </w:r>
      <w:proofErr w:type="gramStart"/>
      <w:r w:rsidRPr="0E260372">
        <w:rPr>
          <w:rFonts w:ascii="Arial" w:eastAsia="Arial" w:hAnsi="Arial" w:cs="Arial"/>
        </w:rPr>
        <w:t>pp.S</w:t>
      </w:r>
      <w:proofErr w:type="gramEnd"/>
      <w:r w:rsidRPr="0E260372">
        <w:rPr>
          <w:rFonts w:ascii="Arial" w:eastAsia="Arial" w:hAnsi="Arial" w:cs="Arial"/>
        </w:rPr>
        <w:t xml:space="preserve">61–S75. </w:t>
      </w:r>
      <w:proofErr w:type="spellStart"/>
      <w:proofErr w:type="gramStart"/>
      <w:r w:rsidRPr="0E260372">
        <w:rPr>
          <w:rFonts w:ascii="Arial" w:eastAsia="Arial" w:hAnsi="Arial" w:cs="Arial"/>
        </w:rPr>
        <w:t>doi:https</w:t>
      </w:r>
      <w:proofErr w:type="spellEnd"/>
      <w:r w:rsidRPr="0E260372">
        <w:rPr>
          <w:rFonts w:ascii="Arial" w:eastAsia="Arial" w:hAnsi="Arial" w:cs="Arial"/>
        </w:rPr>
        <w:t>://doi.org/10.1016/j.jadohealth.2016.06.021</w:t>
      </w:r>
      <w:proofErr w:type="gramEnd"/>
      <w:r w:rsidRPr="0E260372">
        <w:rPr>
          <w:rFonts w:ascii="Arial" w:eastAsia="Arial" w:hAnsi="Arial" w:cs="Arial"/>
        </w:rPr>
        <w:t>.</w:t>
      </w:r>
    </w:p>
    <w:p w14:paraId="42442B36" w14:textId="474736A4" w:rsidR="0E260372" w:rsidRDefault="0E260372" w:rsidP="0E260372">
      <w:pPr>
        <w:pStyle w:val="ListParagraph"/>
        <w:ind w:left="720"/>
        <w:rPr>
          <w:rFonts w:ascii="Arial" w:eastAsia="Arial" w:hAnsi="Arial" w:cs="Arial"/>
          <w:color w:val="000000" w:themeColor="text1"/>
        </w:rPr>
      </w:pPr>
    </w:p>
    <w:p w14:paraId="3A4E2ABB" w14:textId="6D89385A" w:rsidR="43542B72" w:rsidRDefault="43542B72" w:rsidP="0E260372">
      <w:pPr>
        <w:pStyle w:val="ListParagraph"/>
        <w:numPr>
          <w:ilvl w:val="0"/>
          <w:numId w:val="1"/>
        </w:numPr>
        <w:rPr>
          <w:rFonts w:ascii="Arial" w:eastAsia="Arial" w:hAnsi="Arial" w:cs="Arial"/>
          <w:color w:val="000000" w:themeColor="text1"/>
        </w:rPr>
      </w:pPr>
      <w:r w:rsidRPr="0E260372">
        <w:rPr>
          <w:rFonts w:ascii="Arial" w:eastAsia="Arial" w:hAnsi="Arial" w:cs="Arial"/>
          <w:color w:val="000000" w:themeColor="text1"/>
        </w:rPr>
        <w:t xml:space="preserve">Department for Education (2025). </w:t>
      </w:r>
      <w:r w:rsidRPr="0E260372">
        <w:rPr>
          <w:rFonts w:ascii="Arial" w:eastAsia="Arial" w:hAnsi="Arial" w:cs="Arial"/>
          <w:i/>
          <w:iCs/>
          <w:color w:val="000000" w:themeColor="text1"/>
        </w:rPr>
        <w:t>Working Together to Safeguard Children</w:t>
      </w:r>
      <w:r w:rsidRPr="0E260372">
        <w:rPr>
          <w:rFonts w:ascii="Arial" w:eastAsia="Arial" w:hAnsi="Arial" w:cs="Arial"/>
          <w:color w:val="000000" w:themeColor="text1"/>
        </w:rPr>
        <w:t xml:space="preserve">.  GOV.UK. Available at: </w:t>
      </w:r>
      <w:hyperlink r:id="rId27">
        <w:r w:rsidRPr="0E260372">
          <w:rPr>
            <w:rStyle w:val="Hyperlink"/>
            <w:rFonts w:ascii="Arial" w:eastAsia="Arial" w:hAnsi="Arial" w:cs="Arial"/>
          </w:rPr>
          <w:t>https://www.gov.uk/government/publications/working-together-to-safeguard-children--2</w:t>
        </w:r>
      </w:hyperlink>
      <w:r w:rsidRPr="0E260372">
        <w:rPr>
          <w:rFonts w:ascii="Arial" w:eastAsia="Arial" w:hAnsi="Arial" w:cs="Arial"/>
          <w:color w:val="000000" w:themeColor="text1"/>
        </w:rPr>
        <w:t>. (Accessed: 11 Nov 2025).</w:t>
      </w:r>
    </w:p>
    <w:p w14:paraId="6CF63C5A" w14:textId="52681C63" w:rsidR="59AE6312" w:rsidRDefault="59AE6312" w:rsidP="06329E2C">
      <w:pPr>
        <w:pStyle w:val="ListParagraph"/>
        <w:ind w:left="360" w:firstLine="0"/>
        <w:rPr>
          <w:rFonts w:ascii="Arial" w:eastAsia="Arial" w:hAnsi="Arial" w:cs="Arial"/>
        </w:rPr>
      </w:pPr>
    </w:p>
    <w:p w14:paraId="218708B9" w14:textId="3E7A994E" w:rsidR="42F68E0C" w:rsidRDefault="42F68E0C"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Foxcroft, D.R. and Tsertsvadze, A. (2011) ‘Universal school‐based prevention programs for alcohol misuse in young people’, Cochrane database of systematic reviews, 2011(5), pp. CD009113-. Available at: </w:t>
      </w:r>
      <w:hyperlink r:id="rId28">
        <w:r w:rsidRPr="1EC678D9">
          <w:rPr>
            <w:rStyle w:val="Hyperlink"/>
            <w:rFonts w:ascii="Arial" w:eastAsia="Arial" w:hAnsi="Arial" w:cs="Arial"/>
          </w:rPr>
          <w:t>https://doi.org/10.1002/14651858.CD009113</w:t>
        </w:r>
      </w:hyperlink>
      <w:r w:rsidRPr="1EC678D9">
        <w:rPr>
          <w:rFonts w:ascii="Arial" w:eastAsia="Arial" w:hAnsi="Arial" w:cs="Arial"/>
        </w:rPr>
        <w:t>.</w:t>
      </w:r>
    </w:p>
    <w:p w14:paraId="7076B41F" w14:textId="4E6135BC" w:rsidR="59AE6312" w:rsidRDefault="59AE6312" w:rsidP="1EC678D9">
      <w:pPr>
        <w:rPr>
          <w:rFonts w:ascii="Arial" w:eastAsia="Arial" w:hAnsi="Arial" w:cs="Arial"/>
        </w:rPr>
      </w:pPr>
    </w:p>
    <w:p w14:paraId="2DED36BB" w14:textId="3E520B09" w:rsidR="42F68E0C" w:rsidRDefault="42F68E0C"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Flacks, S.J. (2018). Drug law reform, performativity and the politics of childhood. International Journal of Drug Policy, 51, pp.56–66.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://doi.org/10.1016/j.drugpo.2017.10.003</w:t>
      </w:r>
      <w:proofErr w:type="gramEnd"/>
      <w:r w:rsidRPr="1EC678D9">
        <w:rPr>
          <w:rFonts w:ascii="Arial" w:eastAsia="Arial" w:hAnsi="Arial" w:cs="Arial"/>
        </w:rPr>
        <w:t>.</w:t>
      </w:r>
    </w:p>
    <w:p w14:paraId="4D139E2B" w14:textId="0A8CE42E" w:rsidR="59AE6312" w:rsidRDefault="59AE6312" w:rsidP="1EC678D9">
      <w:pPr>
        <w:rPr>
          <w:rFonts w:ascii="Arial" w:eastAsia="Arial" w:hAnsi="Arial" w:cs="Arial"/>
        </w:rPr>
      </w:pPr>
    </w:p>
    <w:p w14:paraId="66B6D051" w14:textId="1D8DBB5A" w:rsidR="5C95741F" w:rsidRDefault="5C95741F" w:rsidP="1EC678D9">
      <w:pPr>
        <w:rPr>
          <w:rFonts w:ascii="Arial" w:eastAsia="Arial" w:hAnsi="Arial" w:cs="Arial"/>
        </w:rPr>
      </w:pPr>
    </w:p>
    <w:p w14:paraId="0A50ABF6" w14:textId="4CE51283" w:rsidR="6CAB2A73" w:rsidRDefault="6CAB2A73" w:rsidP="1EC678D9">
      <w:pPr>
        <w:pStyle w:val="ListParagraph"/>
        <w:numPr>
          <w:ilvl w:val="0"/>
          <w:numId w:val="1"/>
        </w:numPr>
        <w:rPr>
          <w:rFonts w:ascii="Arial" w:eastAsia="Arial" w:hAnsi="Arial" w:cs="Arial"/>
        </w:rPr>
      </w:pPr>
      <w:r w:rsidRPr="1EC678D9">
        <w:rPr>
          <w:rFonts w:ascii="Arial" w:eastAsia="Arial" w:hAnsi="Arial" w:cs="Arial"/>
        </w:rPr>
        <w:t xml:space="preserve">Flacks, S. (2019) ‘Making drug harms: Punishments for drugs offenders who pose risks to children’, European journal of criminology, 16(6), pp. 652–670. Available at: </w:t>
      </w:r>
      <w:hyperlink r:id="rId29">
        <w:r w:rsidRPr="1EC678D9">
          <w:rPr>
            <w:rStyle w:val="Hyperlink"/>
            <w:rFonts w:ascii="Arial" w:eastAsia="Arial" w:hAnsi="Arial" w:cs="Arial"/>
          </w:rPr>
          <w:t>https://doi.org/10.1177/1477370818775291</w:t>
        </w:r>
      </w:hyperlink>
      <w:r w:rsidRPr="1EC678D9">
        <w:rPr>
          <w:rFonts w:ascii="Arial" w:eastAsia="Arial" w:hAnsi="Arial" w:cs="Arial"/>
        </w:rPr>
        <w:t>.</w:t>
      </w:r>
    </w:p>
    <w:p w14:paraId="0AB3ED1D" w14:textId="5D0FB5BB" w:rsidR="5C95741F" w:rsidRDefault="5C95741F" w:rsidP="1EC678D9">
      <w:pPr>
        <w:rPr>
          <w:rFonts w:ascii="Arial" w:eastAsia="Arial" w:hAnsi="Arial" w:cs="Arial"/>
        </w:rPr>
      </w:pPr>
    </w:p>
    <w:p w14:paraId="477B4C58" w14:textId="3A221684" w:rsidR="69E97986" w:rsidRDefault="69E97986" w:rsidP="1EC678D9">
      <w:pPr>
        <w:pStyle w:val="ListParagraph"/>
        <w:numPr>
          <w:ilvl w:val="0"/>
          <w:numId w:val="1"/>
        </w:numPr>
        <w:rPr>
          <w:rFonts w:ascii="Arial" w:eastAsia="Arial" w:hAnsi="Arial" w:cs="Arial"/>
        </w:rPr>
      </w:pPr>
      <w:r w:rsidRPr="1EC678D9">
        <w:rPr>
          <w:rFonts w:ascii="Arial" w:eastAsia="Arial" w:hAnsi="Arial" w:cs="Arial"/>
        </w:rPr>
        <w:lastRenderedPageBreak/>
        <w:t xml:space="preserve">Flemming, K. et al. (2018) ‘Cochrane Qualitative and Implementation Methods Group guidance series—paper 6: reporting guidelines for qualitative, implementation, and process evaluation evidence syntheses’, Journal of clinical epidemiology, 97, pp. 79–85. Available at: </w:t>
      </w:r>
      <w:hyperlink r:id="rId30">
        <w:r w:rsidRPr="1EC678D9">
          <w:rPr>
            <w:rStyle w:val="Hyperlink"/>
            <w:rFonts w:ascii="Arial" w:eastAsia="Arial" w:hAnsi="Arial" w:cs="Arial"/>
          </w:rPr>
          <w:t>https://doi.org/10.1016/j.jclinepi.2017.10.022</w:t>
        </w:r>
      </w:hyperlink>
      <w:r w:rsidRPr="1EC678D9">
        <w:rPr>
          <w:rFonts w:ascii="Arial" w:eastAsia="Arial" w:hAnsi="Arial" w:cs="Arial"/>
        </w:rPr>
        <w:t>.</w:t>
      </w:r>
    </w:p>
    <w:p w14:paraId="5CEDE861" w14:textId="662EFAA1" w:rsidR="1EC678D9" w:rsidRDefault="1EC678D9" w:rsidP="1EC678D9">
      <w:pPr>
        <w:rPr>
          <w:rFonts w:ascii="Arial" w:eastAsia="Arial" w:hAnsi="Arial" w:cs="Arial"/>
        </w:rPr>
      </w:pPr>
    </w:p>
    <w:p w14:paraId="51B6D5E4" w14:textId="36BF8349" w:rsidR="53F5A3B6" w:rsidRDefault="53F5A3B6" w:rsidP="1EC678D9">
      <w:pPr>
        <w:pStyle w:val="ListParagraph"/>
        <w:numPr>
          <w:ilvl w:val="0"/>
          <w:numId w:val="1"/>
        </w:numPr>
        <w:rPr>
          <w:rFonts w:ascii="Arial" w:eastAsia="Arial" w:hAnsi="Arial" w:cs="Arial"/>
        </w:rPr>
      </w:pPr>
      <w:r w:rsidRPr="06329E2C">
        <w:rPr>
          <w:rFonts w:ascii="Arial" w:eastAsia="Arial" w:hAnsi="Arial" w:cs="Arial"/>
        </w:rPr>
        <w:t xml:space="preserve">Guise, A. et al. (2017) ‘The experience of initiating injection drug use and its social context: a qualitative systematic review and thematic synthesis’, Addiction (Abingdon, England), 112(12), pp. 2098–2111. Available at: </w:t>
      </w:r>
      <w:hyperlink r:id="rId31">
        <w:r w:rsidRPr="06329E2C">
          <w:rPr>
            <w:rStyle w:val="Hyperlink"/>
            <w:rFonts w:ascii="Arial" w:eastAsia="Arial" w:hAnsi="Arial" w:cs="Arial"/>
          </w:rPr>
          <w:t>https://doi.org/10.1111/add.13957</w:t>
        </w:r>
      </w:hyperlink>
      <w:r w:rsidRPr="06329E2C">
        <w:rPr>
          <w:rFonts w:ascii="Arial" w:eastAsia="Arial" w:hAnsi="Arial" w:cs="Arial"/>
        </w:rPr>
        <w:t>.</w:t>
      </w:r>
    </w:p>
    <w:p w14:paraId="4DAEBD0A" w14:textId="58938820" w:rsidR="5C95741F" w:rsidRDefault="5C95741F" w:rsidP="06329E2C">
      <w:pPr>
        <w:pStyle w:val="ListParagraph"/>
        <w:ind w:left="720"/>
        <w:rPr>
          <w:rFonts w:ascii="Arial" w:eastAsia="Arial" w:hAnsi="Arial" w:cs="Arial"/>
        </w:rPr>
      </w:pPr>
    </w:p>
    <w:p w14:paraId="657A1AE5" w14:textId="18D8B541" w:rsidR="5C95741F" w:rsidRDefault="500ACC3D" w:rsidP="06329E2C">
      <w:pPr>
        <w:pStyle w:val="ListParagraph"/>
        <w:numPr>
          <w:ilvl w:val="0"/>
          <w:numId w:val="1"/>
        </w:numPr>
        <w:rPr>
          <w:rFonts w:ascii="Arial" w:eastAsia="Arial" w:hAnsi="Arial" w:cs="Arial"/>
        </w:rPr>
      </w:pPr>
      <w:r w:rsidRPr="06329E2C">
        <w:rPr>
          <w:rFonts w:ascii="Arial" w:eastAsia="Arial" w:hAnsi="Arial" w:cs="Arial"/>
        </w:rPr>
        <w:t xml:space="preserve">Gleeson, H., Duke, K. and Thom, B. (2019) ‘Challenges to providing culturally sensitive drug interventions for black and Asian minority ethnic (BAME) groups within UK youth justice systems’, </w:t>
      </w:r>
      <w:r w:rsidRPr="06329E2C">
        <w:rPr>
          <w:rFonts w:ascii="Arial" w:eastAsia="Arial" w:hAnsi="Arial" w:cs="Arial"/>
          <w:i/>
          <w:iCs/>
        </w:rPr>
        <w:t>Drugs and alcohol today.</w:t>
      </w:r>
      <w:r w:rsidRPr="06329E2C">
        <w:rPr>
          <w:rFonts w:ascii="Arial" w:eastAsia="Arial" w:hAnsi="Arial" w:cs="Arial"/>
        </w:rPr>
        <w:t xml:space="preserve">, 19(3), pp. 172–181. Available at: </w:t>
      </w:r>
      <w:hyperlink r:id="rId32">
        <w:r w:rsidRPr="06329E2C">
          <w:rPr>
            <w:rStyle w:val="Hyperlink"/>
            <w:rFonts w:ascii="Arial" w:eastAsia="Arial" w:hAnsi="Arial" w:cs="Arial"/>
          </w:rPr>
          <w:t>https://doi.org/10.1108/DAT-11-2018-0068</w:t>
        </w:r>
      </w:hyperlink>
      <w:r w:rsidRPr="06329E2C">
        <w:rPr>
          <w:rFonts w:ascii="Arial" w:eastAsia="Arial" w:hAnsi="Arial" w:cs="Arial"/>
        </w:rPr>
        <w:t>.</w:t>
      </w:r>
    </w:p>
    <w:p w14:paraId="6BB2C43E" w14:textId="429DDF5D" w:rsidR="5C95741F" w:rsidRDefault="5C95741F" w:rsidP="06329E2C">
      <w:pPr>
        <w:pStyle w:val="ListParagraph"/>
        <w:ind w:left="720"/>
        <w:rPr>
          <w:rFonts w:ascii="Arial" w:eastAsia="Arial" w:hAnsi="Arial" w:cs="Arial"/>
        </w:rPr>
      </w:pPr>
    </w:p>
    <w:p w14:paraId="1D8D9F98" w14:textId="27F2DC2F" w:rsidR="5C95741F" w:rsidRDefault="09FD9683" w:rsidP="06329E2C">
      <w:pPr>
        <w:pStyle w:val="ListParagraph"/>
        <w:numPr>
          <w:ilvl w:val="0"/>
          <w:numId w:val="1"/>
        </w:numPr>
        <w:rPr>
          <w:rFonts w:ascii="Arial" w:eastAsia="Arial" w:hAnsi="Arial" w:cs="Arial"/>
          <w:color w:val="000000" w:themeColor="text1"/>
        </w:rPr>
      </w:pPr>
      <w:r w:rsidRPr="06329E2C">
        <w:rPr>
          <w:rFonts w:ascii="Arial" w:eastAsia="Arial" w:hAnsi="Arial" w:cs="Arial"/>
          <w:color w:val="000000" w:themeColor="text1"/>
        </w:rPr>
        <w:t xml:space="preserve">GOV.UK (2021). </w:t>
      </w:r>
      <w:r w:rsidRPr="06329E2C">
        <w:rPr>
          <w:rFonts w:ascii="Arial" w:eastAsia="Arial" w:hAnsi="Arial" w:cs="Arial"/>
          <w:i/>
          <w:iCs/>
          <w:color w:val="000000" w:themeColor="text1"/>
        </w:rPr>
        <w:t>From Harm to hope: a 10-year Drugs Plan to Cut Crime and save Lives</w:t>
      </w:r>
      <w:r w:rsidRPr="06329E2C">
        <w:rPr>
          <w:rFonts w:ascii="Arial" w:eastAsia="Arial" w:hAnsi="Arial" w:cs="Arial"/>
          <w:color w:val="000000" w:themeColor="text1"/>
        </w:rPr>
        <w:t xml:space="preserve">. GOV.UK. Available at: </w:t>
      </w:r>
      <w:hyperlink r:id="rId33">
        <w:r w:rsidRPr="06329E2C">
          <w:rPr>
            <w:rStyle w:val="Hyperlink"/>
            <w:rFonts w:ascii="Arial" w:eastAsia="Arial" w:hAnsi="Arial" w:cs="Arial"/>
          </w:rPr>
          <w:t>https://www.gov.uk/government/publications/from-harm-to-hope-a-10-year-drugs-plan-to-cut-crime-and-save-lives</w:t>
        </w:r>
      </w:hyperlink>
      <w:r w:rsidRPr="06329E2C">
        <w:rPr>
          <w:rFonts w:ascii="Arial" w:eastAsia="Arial" w:hAnsi="Arial" w:cs="Arial"/>
          <w:color w:val="000000" w:themeColor="text1"/>
        </w:rPr>
        <w:t>. (Accessed: 10 Oct 2025).</w:t>
      </w:r>
    </w:p>
    <w:p w14:paraId="2E2CD734" w14:textId="33C450F1" w:rsidR="5C95741F" w:rsidRDefault="5C95741F" w:rsidP="06329E2C">
      <w:pPr>
        <w:pStyle w:val="ListParagraph"/>
        <w:ind w:left="720"/>
        <w:rPr>
          <w:rFonts w:ascii="Arial" w:eastAsia="Arial" w:hAnsi="Arial" w:cs="Arial"/>
          <w:color w:val="000000" w:themeColor="text1"/>
        </w:rPr>
      </w:pPr>
    </w:p>
    <w:p w14:paraId="05164C34" w14:textId="18AADD93" w:rsidR="5C95741F" w:rsidRDefault="38013C4F" w:rsidP="0E260372">
      <w:pPr>
        <w:pStyle w:val="ListParagraph"/>
        <w:numPr>
          <w:ilvl w:val="0"/>
          <w:numId w:val="1"/>
        </w:numPr>
        <w:rPr>
          <w:rFonts w:ascii="Arial" w:eastAsia="Arial" w:hAnsi="Arial" w:cs="Arial"/>
          <w:color w:val="000000" w:themeColor="text1"/>
        </w:rPr>
      </w:pPr>
      <w:r w:rsidRPr="0E260372">
        <w:rPr>
          <w:rFonts w:ascii="Arial" w:eastAsia="Arial" w:hAnsi="Arial" w:cs="Arial"/>
          <w:color w:val="000000" w:themeColor="text1"/>
        </w:rPr>
        <w:t xml:space="preserve">GOV.UK (2021). </w:t>
      </w:r>
      <w:r w:rsidRPr="0E260372">
        <w:rPr>
          <w:rFonts w:ascii="Arial" w:eastAsia="Arial" w:hAnsi="Arial" w:cs="Arial"/>
          <w:i/>
          <w:iCs/>
          <w:color w:val="000000" w:themeColor="text1"/>
        </w:rPr>
        <w:t>From Harm to hope: a 10-year Drugs Plan to Cut Crime and save Lives</w:t>
      </w:r>
      <w:r w:rsidRPr="0E260372">
        <w:rPr>
          <w:rFonts w:ascii="Arial" w:eastAsia="Arial" w:hAnsi="Arial" w:cs="Arial"/>
          <w:color w:val="000000" w:themeColor="text1"/>
        </w:rPr>
        <w:t xml:space="preserve">. GOV.UK. Available at: </w:t>
      </w:r>
      <w:hyperlink r:id="rId34">
        <w:r w:rsidRPr="0E260372">
          <w:rPr>
            <w:rStyle w:val="Hyperlink"/>
            <w:rFonts w:ascii="Arial" w:eastAsia="Arial" w:hAnsi="Arial" w:cs="Arial"/>
          </w:rPr>
          <w:t>https://www.gov.uk/government/publications/from-harm-to-hope-a-10-year-drugs-plan-to-cut-crime-and-save-lives</w:t>
        </w:r>
      </w:hyperlink>
      <w:r w:rsidRPr="0E260372">
        <w:rPr>
          <w:rFonts w:ascii="Arial" w:eastAsia="Arial" w:hAnsi="Arial" w:cs="Arial"/>
          <w:color w:val="000000" w:themeColor="text1"/>
        </w:rPr>
        <w:t xml:space="preserve">. (Accessed: 10 </w:t>
      </w:r>
      <w:r w:rsidR="290F96D7" w:rsidRPr="0E260372">
        <w:rPr>
          <w:rFonts w:ascii="Arial" w:eastAsia="Arial" w:hAnsi="Arial" w:cs="Arial"/>
          <w:color w:val="000000" w:themeColor="text1"/>
        </w:rPr>
        <w:t>N</w:t>
      </w:r>
      <w:r w:rsidRPr="0E260372">
        <w:rPr>
          <w:rFonts w:ascii="Arial" w:eastAsia="Arial" w:hAnsi="Arial" w:cs="Arial"/>
          <w:color w:val="000000" w:themeColor="text1"/>
        </w:rPr>
        <w:t>ov 2025</w:t>
      </w:r>
      <w:r w:rsidR="50DD4355" w:rsidRPr="0E260372">
        <w:rPr>
          <w:rFonts w:ascii="Arial" w:eastAsia="Arial" w:hAnsi="Arial" w:cs="Arial"/>
          <w:color w:val="000000" w:themeColor="text1"/>
        </w:rPr>
        <w:t>)</w:t>
      </w:r>
      <w:r w:rsidR="28D5EF00" w:rsidRPr="0E260372">
        <w:rPr>
          <w:rFonts w:ascii="Arial" w:eastAsia="Arial" w:hAnsi="Arial" w:cs="Arial"/>
          <w:color w:val="000000" w:themeColor="text1"/>
        </w:rPr>
        <w:t>.</w:t>
      </w:r>
    </w:p>
    <w:p w14:paraId="6C634CFC" w14:textId="5FBB30B0" w:rsidR="5C95741F" w:rsidRDefault="5C95741F" w:rsidP="0E260372">
      <w:pPr>
        <w:pStyle w:val="ListParagraph"/>
        <w:spacing w:before="240" w:after="240"/>
        <w:ind w:left="720"/>
        <w:rPr>
          <w:rFonts w:ascii="Arial" w:eastAsia="Arial" w:hAnsi="Arial" w:cs="Arial"/>
          <w:color w:val="000000" w:themeColor="text1"/>
        </w:rPr>
      </w:pPr>
    </w:p>
    <w:p w14:paraId="04B1782B" w14:textId="724176E8" w:rsidR="5C95741F" w:rsidRDefault="31965DB9" w:rsidP="0E260372">
      <w:pPr>
        <w:pStyle w:val="ListParagraph"/>
        <w:numPr>
          <w:ilvl w:val="0"/>
          <w:numId w:val="1"/>
        </w:numPr>
        <w:spacing w:before="240" w:after="240"/>
        <w:rPr>
          <w:rFonts w:ascii="Arial" w:eastAsia="Arial" w:hAnsi="Arial" w:cs="Arial"/>
        </w:rPr>
      </w:pPr>
      <w:r w:rsidRPr="0E260372">
        <w:rPr>
          <w:rFonts w:ascii="Arial" w:eastAsia="Arial" w:hAnsi="Arial" w:cs="Arial"/>
        </w:rPr>
        <w:t xml:space="preserve">Graham, A. </w:t>
      </w:r>
      <w:r w:rsidRPr="0E260372">
        <w:rPr>
          <w:rFonts w:ascii="Arial" w:eastAsia="Arial" w:hAnsi="Arial" w:cs="Arial"/>
          <w:i/>
          <w:iCs/>
        </w:rPr>
        <w:t>et al.</w:t>
      </w:r>
      <w:r w:rsidRPr="0E260372">
        <w:rPr>
          <w:rFonts w:ascii="Arial" w:eastAsia="Arial" w:hAnsi="Arial" w:cs="Arial"/>
        </w:rPr>
        <w:t xml:space="preserve"> (2021) ‘Disadvantaged families’ experiences of home-school partnerships: navigating agency, expectations and stigma’, </w:t>
      </w:r>
      <w:r w:rsidRPr="0E260372">
        <w:rPr>
          <w:rFonts w:ascii="Arial" w:eastAsia="Arial" w:hAnsi="Arial" w:cs="Arial"/>
          <w:i/>
          <w:iCs/>
        </w:rPr>
        <w:t>International journal of inclusive education</w:t>
      </w:r>
      <w:r w:rsidRPr="0E260372">
        <w:rPr>
          <w:rFonts w:ascii="Arial" w:eastAsia="Arial" w:hAnsi="Arial" w:cs="Arial"/>
        </w:rPr>
        <w:t xml:space="preserve">, 25(11), pp. 1236–1251. Available at: </w:t>
      </w:r>
      <w:hyperlink r:id="rId35">
        <w:r w:rsidRPr="0E260372">
          <w:rPr>
            <w:rStyle w:val="Hyperlink"/>
            <w:rFonts w:ascii="Arial" w:eastAsia="Arial" w:hAnsi="Arial" w:cs="Arial"/>
          </w:rPr>
          <w:t>https://doi.org/10.1080/13603116.2019.1607913</w:t>
        </w:r>
      </w:hyperlink>
      <w:r w:rsidRPr="0E260372">
        <w:rPr>
          <w:rFonts w:ascii="Arial" w:eastAsia="Arial" w:hAnsi="Arial" w:cs="Arial"/>
        </w:rPr>
        <w:t>.</w:t>
      </w:r>
    </w:p>
    <w:p w14:paraId="777062EE" w14:textId="265EB058" w:rsidR="5C95741F" w:rsidRDefault="5C95741F" w:rsidP="0E260372">
      <w:pPr>
        <w:spacing w:before="240" w:after="240"/>
        <w:ind w:left="720"/>
        <w:rPr>
          <w:rFonts w:ascii="Arial" w:eastAsia="Arial" w:hAnsi="Arial" w:cs="Arial"/>
          <w:color w:val="000000" w:themeColor="text1"/>
        </w:rPr>
      </w:pPr>
    </w:p>
    <w:p w14:paraId="4D039A09" w14:textId="21BD0CBE" w:rsidR="42F68E0C" w:rsidRDefault="42F68E0C" w:rsidP="06329E2C">
      <w:pPr>
        <w:pStyle w:val="ListParagraph"/>
        <w:numPr>
          <w:ilvl w:val="0"/>
          <w:numId w:val="1"/>
        </w:numPr>
        <w:rPr>
          <w:rFonts w:ascii="Arial" w:eastAsia="Arial" w:hAnsi="Arial" w:cs="Arial"/>
          <w:color w:val="000000" w:themeColor="text1"/>
        </w:rPr>
      </w:pPr>
      <w:r w:rsidRPr="06329E2C">
        <w:rPr>
          <w:rFonts w:ascii="Arial" w:eastAsia="Arial" w:hAnsi="Arial" w:cs="Arial"/>
        </w:rPr>
        <w:t xml:space="preserve">Gakh, M., Coughenour, C., Assoumou, B.O. and Vanderstelt, M. (2019). The Relationship between School Absenteeism and Substance Use: An Integrative Literature Review. Substance Use &amp; Misuse, 55(3), pp.1–12. </w:t>
      </w:r>
      <w:proofErr w:type="spellStart"/>
      <w:proofErr w:type="gramStart"/>
      <w:r w:rsidRPr="06329E2C">
        <w:rPr>
          <w:rFonts w:ascii="Arial" w:eastAsia="Arial" w:hAnsi="Arial" w:cs="Arial"/>
          <w:color w:val="2F5496" w:themeColor="accent1" w:themeShade="BF"/>
          <w:u w:val="single"/>
        </w:rPr>
        <w:t>doi:https</w:t>
      </w:r>
      <w:proofErr w:type="spellEnd"/>
      <w:r w:rsidRPr="06329E2C">
        <w:rPr>
          <w:rFonts w:ascii="Arial" w:eastAsia="Arial" w:hAnsi="Arial" w:cs="Arial"/>
          <w:color w:val="2F5496" w:themeColor="accent1" w:themeShade="BF"/>
          <w:u w:val="single"/>
        </w:rPr>
        <w:t>://doi.org/10.1080/10826084.2019.1686021</w:t>
      </w:r>
      <w:proofErr w:type="gramEnd"/>
      <w:r w:rsidRPr="06329E2C">
        <w:rPr>
          <w:rFonts w:ascii="Arial" w:eastAsia="Arial" w:hAnsi="Arial" w:cs="Arial"/>
          <w:color w:val="2F5496" w:themeColor="accent1" w:themeShade="BF"/>
          <w:u w:val="single"/>
        </w:rPr>
        <w:t>.</w:t>
      </w:r>
    </w:p>
    <w:p w14:paraId="16E9D5DD" w14:textId="28847611" w:rsidR="068953FA" w:rsidRDefault="068953FA" w:rsidP="1EC678D9">
      <w:pPr>
        <w:rPr>
          <w:rFonts w:ascii="Arial" w:eastAsia="Arial" w:hAnsi="Arial" w:cs="Arial"/>
        </w:rPr>
      </w:pPr>
    </w:p>
    <w:p w14:paraId="59E37ADF" w14:textId="68E18EC8" w:rsidR="0D8803AF" w:rsidRDefault="0D8803AF" w:rsidP="1EC678D9">
      <w:pPr>
        <w:pStyle w:val="ListParagraph"/>
        <w:numPr>
          <w:ilvl w:val="0"/>
          <w:numId w:val="1"/>
        </w:numPr>
        <w:rPr>
          <w:rFonts w:ascii="Arial" w:eastAsia="Arial" w:hAnsi="Arial" w:cs="Arial"/>
        </w:rPr>
      </w:pPr>
      <w:r w:rsidRPr="1EC678D9">
        <w:rPr>
          <w:rFonts w:ascii="Arial" w:eastAsia="Arial" w:hAnsi="Arial" w:cs="Arial"/>
        </w:rPr>
        <w:t>Hayley Alderson et al.</w:t>
      </w:r>
      <w:r w:rsidR="53BBC521" w:rsidRPr="1EC678D9">
        <w:rPr>
          <w:rFonts w:ascii="Arial" w:eastAsia="Arial" w:hAnsi="Arial" w:cs="Arial"/>
        </w:rPr>
        <w:t>,</w:t>
      </w:r>
      <w:r w:rsidRPr="1EC678D9">
        <w:rPr>
          <w:rFonts w:ascii="Arial" w:eastAsia="Arial" w:hAnsi="Arial" w:cs="Arial"/>
        </w:rPr>
        <w:t xml:space="preserve"> (2020) ‘Behaviour change interventions to reduce risky substance use and improve mental health in children in care: the SOLID three-arm feasibility RCT’, Public health research (Southampton, England), 8(13). Available at: </w:t>
      </w:r>
      <w:hyperlink r:id="rId36">
        <w:r w:rsidRPr="1EC678D9">
          <w:rPr>
            <w:rStyle w:val="Hyperlink"/>
            <w:rFonts w:ascii="Arial" w:eastAsia="Arial" w:hAnsi="Arial" w:cs="Arial"/>
          </w:rPr>
          <w:t>https://doi.org/10.3310/phr08130</w:t>
        </w:r>
      </w:hyperlink>
      <w:r w:rsidRPr="1EC678D9">
        <w:rPr>
          <w:rFonts w:ascii="Arial" w:eastAsia="Arial" w:hAnsi="Arial" w:cs="Arial"/>
        </w:rPr>
        <w:t>.</w:t>
      </w:r>
    </w:p>
    <w:p w14:paraId="23A44139" w14:textId="5BC2CCE3" w:rsidR="068953FA" w:rsidRDefault="068953FA" w:rsidP="1EC678D9">
      <w:pPr>
        <w:rPr>
          <w:rFonts w:ascii="Arial" w:eastAsia="Arial" w:hAnsi="Arial" w:cs="Arial"/>
        </w:rPr>
      </w:pPr>
    </w:p>
    <w:p w14:paraId="6291475D" w14:textId="0A5B0F7B" w:rsidR="59AE6312" w:rsidRDefault="59AE6312" w:rsidP="1EC678D9">
      <w:pPr>
        <w:rPr>
          <w:rFonts w:ascii="Arial" w:eastAsia="Arial" w:hAnsi="Arial" w:cs="Arial"/>
        </w:rPr>
      </w:pPr>
    </w:p>
    <w:p w14:paraId="66CF6701" w14:textId="400B5BBD" w:rsidR="0559B97C" w:rsidRDefault="6CC7BD1F"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w:t>
      </w:r>
      <w:r w:rsidR="2164DD81" w:rsidRPr="1EC678D9">
        <w:rPr>
          <w:rFonts w:ascii="Arial" w:eastAsia="Arial" w:hAnsi="Arial" w:cs="Arial"/>
        </w:rPr>
        <w:t xml:space="preserve"> Hernandez Sanchez, I. (2018). Young people and substance misuse. InnovAiT: Education and inspiration for general practice, 11(11), pp.601–607. </w:t>
      </w:r>
      <w:proofErr w:type="spellStart"/>
      <w:proofErr w:type="gramStart"/>
      <w:r w:rsidR="2164DD81" w:rsidRPr="1EC678D9">
        <w:rPr>
          <w:rFonts w:ascii="Arial" w:eastAsia="Arial" w:hAnsi="Arial" w:cs="Arial"/>
        </w:rPr>
        <w:t>doi:https</w:t>
      </w:r>
      <w:proofErr w:type="spellEnd"/>
      <w:r w:rsidR="2164DD81" w:rsidRPr="1EC678D9">
        <w:rPr>
          <w:rFonts w:ascii="Arial" w:eastAsia="Arial" w:hAnsi="Arial" w:cs="Arial"/>
        </w:rPr>
        <w:t>://doi.org/10.1177/1755738018794221</w:t>
      </w:r>
      <w:proofErr w:type="gramEnd"/>
      <w:r w:rsidR="2164DD81" w:rsidRPr="1EC678D9">
        <w:rPr>
          <w:rFonts w:ascii="Arial" w:eastAsia="Arial" w:hAnsi="Arial" w:cs="Arial"/>
        </w:rPr>
        <w:t>.</w:t>
      </w:r>
    </w:p>
    <w:p w14:paraId="06242D41" w14:textId="65BBFE3E" w:rsidR="1EC678D9" w:rsidRDefault="1EC678D9" w:rsidP="1EC678D9">
      <w:pPr>
        <w:pStyle w:val="ListParagraph"/>
        <w:ind w:left="720"/>
        <w:rPr>
          <w:rFonts w:ascii="Arial" w:eastAsia="Arial" w:hAnsi="Arial" w:cs="Arial"/>
          <w:color w:val="000000" w:themeColor="text1"/>
        </w:rPr>
      </w:pPr>
    </w:p>
    <w:p w14:paraId="6D283403" w14:textId="04464042" w:rsidR="0559B97C" w:rsidRDefault="6F17F142"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Hall, W.D., Patton, G., Stockings, E., Weier, M., Lynskey, M., Morley, K.I. and Degenhardt, L. (2016). Why young people’s substance use matters for global health. </w:t>
      </w:r>
      <w:r w:rsidRPr="1EC678D9">
        <w:rPr>
          <w:rFonts w:ascii="Arial" w:eastAsia="Arial" w:hAnsi="Arial" w:cs="Arial"/>
        </w:rPr>
        <w:lastRenderedPageBreak/>
        <w:t xml:space="preserve">The Lancet Psychiatry, [online] 3(3), pp.265–279.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://doi.org/10.1016/s2215-0366(16)00013-4</w:t>
      </w:r>
      <w:proofErr w:type="gramEnd"/>
      <w:r w:rsidRPr="1EC678D9">
        <w:rPr>
          <w:rFonts w:ascii="Arial" w:eastAsia="Arial" w:hAnsi="Arial" w:cs="Arial"/>
        </w:rPr>
        <w:t>.</w:t>
      </w:r>
    </w:p>
    <w:p w14:paraId="032544CA" w14:textId="2071D0B4" w:rsidR="0559B97C" w:rsidRDefault="0559B97C" w:rsidP="1EC678D9">
      <w:pPr>
        <w:rPr>
          <w:rFonts w:ascii="Arial" w:eastAsia="Arial" w:hAnsi="Arial" w:cs="Arial"/>
        </w:rPr>
      </w:pPr>
    </w:p>
    <w:p w14:paraId="68627363" w14:textId="524D34F0" w:rsidR="26565490" w:rsidRDefault="26565490" w:rsidP="1EC678D9">
      <w:pPr>
        <w:pStyle w:val="ListParagraph"/>
        <w:numPr>
          <w:ilvl w:val="0"/>
          <w:numId w:val="1"/>
        </w:numPr>
        <w:rPr>
          <w:rFonts w:ascii="Arial" w:eastAsia="Arial" w:hAnsi="Arial" w:cs="Arial"/>
        </w:rPr>
      </w:pPr>
      <w:r w:rsidRPr="1EC678D9">
        <w:rPr>
          <w:rFonts w:ascii="Arial" w:eastAsia="Arial" w:hAnsi="Arial" w:cs="Arial"/>
        </w:rPr>
        <w:t xml:space="preserve">Heard-Garris, N. et al. (2021) ‘Structuring Poverty: How Racism Shapes Child Poverty and Child and Adolescent Health’, Academic </w:t>
      </w:r>
      <w:proofErr w:type="spellStart"/>
      <w:r w:rsidRPr="1EC678D9">
        <w:rPr>
          <w:rFonts w:ascii="Arial" w:eastAsia="Arial" w:hAnsi="Arial" w:cs="Arial"/>
        </w:rPr>
        <w:t>pediatrics</w:t>
      </w:r>
      <w:proofErr w:type="spellEnd"/>
      <w:r w:rsidRPr="1EC678D9">
        <w:rPr>
          <w:rFonts w:ascii="Arial" w:eastAsia="Arial" w:hAnsi="Arial" w:cs="Arial"/>
        </w:rPr>
        <w:t xml:space="preserve">, 21(8), pp. S108–S116. Available at: </w:t>
      </w:r>
      <w:hyperlink r:id="rId37">
        <w:r w:rsidRPr="1EC678D9">
          <w:rPr>
            <w:rStyle w:val="Hyperlink"/>
            <w:rFonts w:ascii="Arial" w:eastAsia="Arial" w:hAnsi="Arial" w:cs="Arial"/>
          </w:rPr>
          <w:t>https://doi.org/10.1016/j.acap.2021.05.026</w:t>
        </w:r>
      </w:hyperlink>
      <w:r w:rsidRPr="1EC678D9">
        <w:rPr>
          <w:rFonts w:ascii="Arial" w:eastAsia="Arial" w:hAnsi="Arial" w:cs="Arial"/>
        </w:rPr>
        <w:t>.</w:t>
      </w:r>
    </w:p>
    <w:p w14:paraId="13FF3528" w14:textId="48D8029F" w:rsidR="1EC678D9" w:rsidRDefault="1EC678D9" w:rsidP="1EC678D9">
      <w:pPr>
        <w:rPr>
          <w:rFonts w:ascii="Arial" w:eastAsia="Arial" w:hAnsi="Arial" w:cs="Arial"/>
        </w:rPr>
      </w:pPr>
    </w:p>
    <w:p w14:paraId="21624E64" w14:textId="50024EA3" w:rsidR="4BF485BA" w:rsidRDefault="4BF485BA" w:rsidP="1EC678D9">
      <w:pPr>
        <w:pStyle w:val="ListParagraph"/>
        <w:numPr>
          <w:ilvl w:val="0"/>
          <w:numId w:val="1"/>
        </w:numPr>
        <w:rPr>
          <w:rFonts w:ascii="Arial" w:eastAsia="Arial" w:hAnsi="Arial" w:cs="Arial"/>
        </w:rPr>
      </w:pPr>
      <w:r w:rsidRPr="1EC678D9">
        <w:rPr>
          <w:rFonts w:ascii="Arial" w:eastAsia="Arial" w:hAnsi="Arial" w:cs="Arial"/>
        </w:rPr>
        <w:t xml:space="preserve">Holland, A. et al. (2023) ‘Analysis of the UK Government’s 10-Year Drugs Strategy—a resource for practitioners and policymakers’, Journal of public health (Oxford, England), 45(2), pp. e215–e224. Available at: </w:t>
      </w:r>
      <w:hyperlink r:id="rId38">
        <w:r w:rsidRPr="1EC678D9">
          <w:rPr>
            <w:rStyle w:val="Hyperlink"/>
            <w:rFonts w:ascii="Arial" w:eastAsia="Arial" w:hAnsi="Arial" w:cs="Arial"/>
          </w:rPr>
          <w:t>https://doi.org/10.1093/pubmed/fdac114</w:t>
        </w:r>
      </w:hyperlink>
      <w:r w:rsidRPr="1EC678D9">
        <w:rPr>
          <w:rFonts w:ascii="Arial" w:eastAsia="Arial" w:hAnsi="Arial" w:cs="Arial"/>
        </w:rPr>
        <w:t>.</w:t>
      </w:r>
    </w:p>
    <w:p w14:paraId="167C065C" w14:textId="254150BC" w:rsidR="5C95741F" w:rsidRDefault="5C95741F" w:rsidP="1EC678D9">
      <w:pPr>
        <w:rPr>
          <w:rFonts w:ascii="Arial" w:eastAsia="Arial" w:hAnsi="Arial" w:cs="Arial"/>
        </w:rPr>
      </w:pPr>
    </w:p>
    <w:p w14:paraId="55D94AAF" w14:textId="7FAA9DB6" w:rsidR="0559B97C" w:rsidRDefault="2164DD81"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Judith Watson et al. (2017) ‘Youth social behaviour and network therapy (Y-SBNT): adaptation of a family and social network intervention for young people who misuse alcohol and drugs – a randomised controlled feasibility trial’, Health technology assessment (Winchester, England), 21(15). Available at: </w:t>
      </w:r>
      <w:hyperlink r:id="rId39">
        <w:r w:rsidRPr="1EC678D9">
          <w:rPr>
            <w:rStyle w:val="Hyperlink"/>
            <w:rFonts w:ascii="Arial" w:eastAsia="Arial" w:hAnsi="Arial" w:cs="Arial"/>
          </w:rPr>
          <w:t>https://doi.org/10.3310/hta21150</w:t>
        </w:r>
      </w:hyperlink>
      <w:r w:rsidRPr="1EC678D9">
        <w:rPr>
          <w:rFonts w:ascii="Arial" w:eastAsia="Arial" w:hAnsi="Arial" w:cs="Arial"/>
        </w:rPr>
        <w:t>.</w:t>
      </w:r>
    </w:p>
    <w:p w14:paraId="280D8D5E" w14:textId="065B58E1" w:rsidR="59AE6312" w:rsidRDefault="59AE6312" w:rsidP="1EC678D9">
      <w:pPr>
        <w:rPr>
          <w:rFonts w:ascii="Arial" w:eastAsia="Arial" w:hAnsi="Arial" w:cs="Arial"/>
        </w:rPr>
      </w:pPr>
    </w:p>
    <w:p w14:paraId="051C2A5C" w14:textId="06CD0678" w:rsidR="0559B97C" w:rsidRDefault="2471E322"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Johnston, L.D., Miech, R.A., O’Malley, P.M., Bachman, J.G., Schulenberg, J.E. and Patrick, M.E. (2019). Monitoring the Future National Survey Results on Drug Use, 1975-2018: Overview, Key Findings on Adolescent Drug Use. ERIC. Institute for Social Research. Available at: </w:t>
      </w:r>
      <w:hyperlink r:id="rId40">
        <w:r w:rsidRPr="1EC678D9">
          <w:rPr>
            <w:rStyle w:val="Hyperlink"/>
            <w:rFonts w:ascii="Arial" w:eastAsia="Arial" w:hAnsi="Arial" w:cs="Arial"/>
          </w:rPr>
          <w:t>https://eric.ed.gov/?id=ED594190</w:t>
        </w:r>
      </w:hyperlink>
      <w:r w:rsidRPr="1EC678D9">
        <w:rPr>
          <w:rFonts w:ascii="Arial" w:eastAsia="Arial" w:hAnsi="Arial" w:cs="Arial"/>
        </w:rPr>
        <w:t>.</w:t>
      </w:r>
    </w:p>
    <w:p w14:paraId="33F50143" w14:textId="240D769E" w:rsidR="0559B97C" w:rsidRDefault="0559B97C" w:rsidP="1EC678D9">
      <w:pPr>
        <w:rPr>
          <w:rFonts w:ascii="Arial" w:eastAsia="Arial" w:hAnsi="Arial" w:cs="Arial"/>
        </w:rPr>
      </w:pPr>
    </w:p>
    <w:p w14:paraId="179FA346" w14:textId="72C27E3A" w:rsidR="0559B97C" w:rsidRDefault="253CB59B"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Joaquín Rodríguez-Ruiz, Zych, I., </w:t>
      </w:r>
      <w:proofErr w:type="spellStart"/>
      <w:r w:rsidRPr="1EC678D9">
        <w:rPr>
          <w:rFonts w:ascii="Arial" w:eastAsia="Arial" w:hAnsi="Arial" w:cs="Arial"/>
        </w:rPr>
        <w:t>Llorent</w:t>
      </w:r>
      <w:proofErr w:type="spellEnd"/>
      <w:r w:rsidRPr="1EC678D9">
        <w:rPr>
          <w:rFonts w:ascii="Arial" w:eastAsia="Arial" w:hAnsi="Arial" w:cs="Arial"/>
        </w:rPr>
        <w:t xml:space="preserve">, V.J., Inmaculada Marín-López, Espejo-Siles, R. and </w:t>
      </w:r>
      <w:proofErr w:type="spellStart"/>
      <w:r w:rsidRPr="1EC678D9">
        <w:rPr>
          <w:rFonts w:ascii="Arial" w:eastAsia="Arial" w:hAnsi="Arial" w:cs="Arial"/>
        </w:rPr>
        <w:t>Nasaescu</w:t>
      </w:r>
      <w:proofErr w:type="spellEnd"/>
      <w:r w:rsidRPr="1EC678D9">
        <w:rPr>
          <w:rFonts w:ascii="Arial" w:eastAsia="Arial" w:hAnsi="Arial" w:cs="Arial"/>
        </w:rPr>
        <w:t xml:space="preserve">, E. (2023). A longitudinal study of protective factors against substance </w:t>
      </w:r>
      <w:proofErr w:type="gramStart"/>
      <w:r w:rsidRPr="1EC678D9">
        <w:rPr>
          <w:rFonts w:ascii="Arial" w:eastAsia="Arial" w:hAnsi="Arial" w:cs="Arial"/>
        </w:rPr>
        <w:t>use</w:t>
      </w:r>
      <w:proofErr w:type="gramEnd"/>
      <w:r w:rsidRPr="1EC678D9">
        <w:rPr>
          <w:rFonts w:ascii="Arial" w:eastAsia="Arial" w:hAnsi="Arial" w:cs="Arial"/>
        </w:rPr>
        <w:t xml:space="preserve"> in early adolescence. An ecological approach. International Journal of Drug Policy, 112, pp.103946–103946.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://doi.org/10.1016/j.drugpo.2022.103946</w:t>
      </w:r>
      <w:proofErr w:type="gramEnd"/>
      <w:r w:rsidRPr="1EC678D9">
        <w:rPr>
          <w:rFonts w:ascii="Arial" w:eastAsia="Arial" w:hAnsi="Arial" w:cs="Arial"/>
        </w:rPr>
        <w:t>.</w:t>
      </w:r>
    </w:p>
    <w:p w14:paraId="5D098DB1" w14:textId="66E052F9" w:rsidR="540F1010" w:rsidRDefault="540F1010" w:rsidP="1EC678D9">
      <w:pPr>
        <w:rPr>
          <w:rFonts w:ascii="Arial" w:eastAsia="Arial" w:hAnsi="Arial" w:cs="Arial"/>
        </w:rPr>
      </w:pPr>
    </w:p>
    <w:p w14:paraId="44E7674A" w14:textId="352D6E7A" w:rsidR="4AA420B7" w:rsidRDefault="4AA420B7" w:rsidP="1EC678D9">
      <w:pPr>
        <w:pStyle w:val="ListParagraph"/>
        <w:numPr>
          <w:ilvl w:val="0"/>
          <w:numId w:val="1"/>
        </w:numPr>
        <w:rPr>
          <w:rFonts w:ascii="Arial" w:eastAsia="Arial" w:hAnsi="Arial" w:cs="Arial"/>
        </w:rPr>
      </w:pPr>
      <w:proofErr w:type="spellStart"/>
      <w:r w:rsidRPr="1EC678D9">
        <w:rPr>
          <w:rFonts w:ascii="Arial" w:eastAsia="Arial" w:hAnsi="Arial" w:cs="Arial"/>
        </w:rPr>
        <w:t>Jiloha</w:t>
      </w:r>
      <w:proofErr w:type="spellEnd"/>
      <w:r w:rsidRPr="1EC678D9">
        <w:rPr>
          <w:rFonts w:ascii="Arial" w:eastAsia="Arial" w:hAnsi="Arial" w:cs="Arial"/>
        </w:rPr>
        <w:t xml:space="preserve">, R. (2017) ‘Prevention, early intervention, and harm reduction of substance use in adolescents’, Indian journal of psychiatry, 59(1), pp. 111–118. Available at: </w:t>
      </w:r>
      <w:hyperlink r:id="rId41">
        <w:r w:rsidRPr="1EC678D9">
          <w:rPr>
            <w:rStyle w:val="Hyperlink"/>
            <w:rFonts w:ascii="Arial" w:eastAsia="Arial" w:hAnsi="Arial" w:cs="Arial"/>
          </w:rPr>
          <w:t>https://doi.org/10.4103/0019-5545.204444</w:t>
        </w:r>
      </w:hyperlink>
      <w:r w:rsidRPr="1EC678D9">
        <w:rPr>
          <w:rFonts w:ascii="Arial" w:eastAsia="Arial" w:hAnsi="Arial" w:cs="Arial"/>
        </w:rPr>
        <w:t>.</w:t>
      </w:r>
    </w:p>
    <w:p w14:paraId="54508967" w14:textId="5FAC4D54" w:rsidR="540F1010" w:rsidRDefault="540F1010" w:rsidP="1EC678D9">
      <w:pPr>
        <w:rPr>
          <w:rFonts w:ascii="Arial" w:eastAsia="Arial" w:hAnsi="Arial" w:cs="Arial"/>
        </w:rPr>
      </w:pPr>
    </w:p>
    <w:p w14:paraId="740243F2" w14:textId="408FB04B" w:rsidR="0559B97C" w:rsidRDefault="253CB59B"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w:t>
      </w:r>
      <w:r w:rsidR="3D6392CE" w:rsidRPr="1EC678D9">
        <w:rPr>
          <w:rFonts w:ascii="Arial" w:eastAsia="Arial" w:hAnsi="Arial" w:cs="Arial"/>
        </w:rPr>
        <w:t xml:space="preserve">James, P.D., Nash, M. and Comiskey, C.M. (2024) ‘Barriers and Enablers for Adolescents Accessing Substance‐Use Treatment: A Systematic Review and Narrative Synthesis’, </w:t>
      </w:r>
      <w:r w:rsidR="3D6392CE" w:rsidRPr="1EC678D9">
        <w:rPr>
          <w:rFonts w:ascii="Arial" w:eastAsia="Arial" w:hAnsi="Arial" w:cs="Arial"/>
          <w:i/>
          <w:iCs/>
        </w:rPr>
        <w:t>International journal of mental health nursing</w:t>
      </w:r>
      <w:r w:rsidR="3D6392CE" w:rsidRPr="1EC678D9">
        <w:rPr>
          <w:rFonts w:ascii="Arial" w:eastAsia="Arial" w:hAnsi="Arial" w:cs="Arial"/>
        </w:rPr>
        <w:t xml:space="preserve">, 33(6), pp. 1687–1710. Available at: </w:t>
      </w:r>
      <w:hyperlink r:id="rId42">
        <w:r w:rsidR="3D6392CE" w:rsidRPr="1EC678D9">
          <w:rPr>
            <w:rStyle w:val="Hyperlink"/>
            <w:rFonts w:ascii="Arial" w:eastAsia="Arial" w:hAnsi="Arial" w:cs="Arial"/>
          </w:rPr>
          <w:t>https://doi.org/10.1111/inm.13378</w:t>
        </w:r>
      </w:hyperlink>
      <w:r w:rsidR="3D6392CE" w:rsidRPr="1EC678D9">
        <w:rPr>
          <w:rFonts w:ascii="Arial" w:eastAsia="Arial" w:hAnsi="Arial" w:cs="Arial"/>
        </w:rPr>
        <w:t>.</w:t>
      </w:r>
    </w:p>
    <w:p w14:paraId="52325F03" w14:textId="182AC81C" w:rsidR="0559B97C" w:rsidRDefault="0559B97C" w:rsidP="1EC678D9">
      <w:pPr>
        <w:pStyle w:val="ListParagraph"/>
        <w:ind w:left="720"/>
        <w:rPr>
          <w:rFonts w:ascii="Arial" w:eastAsia="Arial" w:hAnsi="Arial" w:cs="Arial"/>
          <w:color w:val="000000" w:themeColor="text1"/>
        </w:rPr>
      </w:pPr>
    </w:p>
    <w:p w14:paraId="084DD22D" w14:textId="44A50F81" w:rsidR="0559B97C" w:rsidRDefault="601412EE"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Kruis, N.E., Seo, C. and Kim, B. (2019). Revisiting the Empirical Status of Social Learning Theory on Substance Use: A Systematic Review and Meta-Analysis. Substance Use &amp; Misuse, 55(4), pp.1–18.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://doi.org/10.1080/10826084.2019.1696821</w:t>
      </w:r>
      <w:proofErr w:type="gramEnd"/>
      <w:r w:rsidRPr="1EC678D9">
        <w:rPr>
          <w:rFonts w:ascii="Arial" w:eastAsia="Arial" w:hAnsi="Arial" w:cs="Arial"/>
        </w:rPr>
        <w:t>.</w:t>
      </w:r>
    </w:p>
    <w:p w14:paraId="291779C2" w14:textId="0B4768D9" w:rsidR="1EC678D9" w:rsidRDefault="1EC678D9" w:rsidP="1EC678D9">
      <w:pPr>
        <w:pStyle w:val="ListParagraph"/>
        <w:ind w:left="720"/>
        <w:rPr>
          <w:rFonts w:ascii="Arial" w:eastAsia="Arial" w:hAnsi="Arial" w:cs="Arial"/>
          <w:color w:val="000000" w:themeColor="text1"/>
        </w:rPr>
      </w:pPr>
    </w:p>
    <w:p w14:paraId="1C9910C6" w14:textId="22DB7400" w:rsidR="0559B97C" w:rsidRDefault="503E4E7E"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Klingemann, H. (2020). Successes and failures in treatment of substance abuse: Treatment system perspectives and lessons from the European continent. Nordic Studies on Alcohol and Drugs, 37(4), pp.323–337.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://doi.org/10.1177/1455072520941977</w:t>
      </w:r>
      <w:proofErr w:type="gramEnd"/>
      <w:r w:rsidRPr="1EC678D9">
        <w:rPr>
          <w:rFonts w:ascii="Arial" w:eastAsia="Arial" w:hAnsi="Arial" w:cs="Arial"/>
        </w:rPr>
        <w:t>.</w:t>
      </w:r>
    </w:p>
    <w:p w14:paraId="6F20340E" w14:textId="65B188C9" w:rsidR="0559B97C" w:rsidRDefault="0559B97C" w:rsidP="1EC678D9">
      <w:pPr>
        <w:pStyle w:val="ListParagraph"/>
        <w:ind w:left="360" w:firstLine="0"/>
        <w:rPr>
          <w:rFonts w:ascii="Arial" w:eastAsia="Arial" w:hAnsi="Arial" w:cs="Arial"/>
        </w:rPr>
      </w:pPr>
    </w:p>
    <w:p w14:paraId="621D9AF3" w14:textId="00A343B9" w:rsidR="0559B97C" w:rsidRDefault="700F773A"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Lander, L., Howsare, J. and Byrne, M. (2023). The impact of substance </w:t>
      </w:r>
      <w:proofErr w:type="gramStart"/>
      <w:r w:rsidRPr="1EC678D9">
        <w:rPr>
          <w:rFonts w:ascii="Arial" w:eastAsia="Arial" w:hAnsi="Arial" w:cs="Arial"/>
        </w:rPr>
        <w:t>use</w:t>
      </w:r>
      <w:proofErr w:type="gramEnd"/>
      <w:r w:rsidRPr="1EC678D9">
        <w:rPr>
          <w:rFonts w:ascii="Arial" w:eastAsia="Arial" w:hAnsi="Arial" w:cs="Arial"/>
        </w:rPr>
        <w:t xml:space="preserve"> disorders on families and children: From theory to practice. Social Work in Public </w:t>
      </w:r>
      <w:proofErr w:type="gramStart"/>
      <w:r w:rsidRPr="1EC678D9">
        <w:rPr>
          <w:rFonts w:ascii="Arial" w:eastAsia="Arial" w:hAnsi="Arial" w:cs="Arial"/>
        </w:rPr>
        <w:t>Health  28</w:t>
      </w:r>
      <w:proofErr w:type="gramEnd"/>
      <w:r w:rsidRPr="1EC678D9">
        <w:rPr>
          <w:rFonts w:ascii="Arial" w:eastAsia="Arial" w:hAnsi="Arial" w:cs="Arial"/>
        </w:rPr>
        <w:t xml:space="preserve">(3-4), pp.194–205.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://doi.org/10.1080/19371918.2013.759005</w:t>
      </w:r>
      <w:proofErr w:type="gramEnd"/>
      <w:r w:rsidRPr="1EC678D9">
        <w:rPr>
          <w:rFonts w:ascii="Arial" w:eastAsia="Arial" w:hAnsi="Arial" w:cs="Arial"/>
        </w:rPr>
        <w:t>.</w:t>
      </w:r>
    </w:p>
    <w:p w14:paraId="39928A50" w14:textId="08C2C83E" w:rsidR="0559B97C" w:rsidRDefault="0559B97C" w:rsidP="1EC678D9">
      <w:pPr>
        <w:pStyle w:val="ListParagraph"/>
        <w:ind w:left="720"/>
        <w:rPr>
          <w:rFonts w:ascii="Arial" w:eastAsia="Arial" w:hAnsi="Arial" w:cs="Arial"/>
        </w:rPr>
      </w:pPr>
    </w:p>
    <w:p w14:paraId="7D48AC1B" w14:textId="40142A6D" w:rsidR="0559B97C" w:rsidRDefault="1A1B9021"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Lowe, J., Liang, H., Riggs, C., Henson, J. and Elder, T. (2012). Community Partnership to Affect Substance Abuse among Native American Adolescents. The American Journal of Drug and Alcohol Abuse, 38(5), pp.450–455.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://doi.org/10.3109/00952990.2012.694534</w:t>
      </w:r>
      <w:proofErr w:type="gramEnd"/>
      <w:r w:rsidRPr="1EC678D9">
        <w:rPr>
          <w:rFonts w:ascii="Arial" w:eastAsia="Arial" w:hAnsi="Arial" w:cs="Arial"/>
        </w:rPr>
        <w:t>.</w:t>
      </w:r>
    </w:p>
    <w:p w14:paraId="46495EC2" w14:textId="3BDCE0A9" w:rsidR="068953FA" w:rsidRDefault="068953FA" w:rsidP="1EC678D9">
      <w:pPr>
        <w:pStyle w:val="ListParagraph"/>
        <w:ind w:left="360" w:firstLine="0"/>
        <w:rPr>
          <w:rFonts w:ascii="Arial" w:eastAsia="Arial" w:hAnsi="Arial" w:cs="Arial"/>
          <w:color w:val="000000" w:themeColor="text1"/>
        </w:rPr>
      </w:pPr>
    </w:p>
    <w:p w14:paraId="370F04EB" w14:textId="364B43E1" w:rsidR="068953FA" w:rsidRDefault="7DB3A863" w:rsidP="1EC678D9">
      <w:pPr>
        <w:pStyle w:val="ListParagraph"/>
        <w:numPr>
          <w:ilvl w:val="0"/>
          <w:numId w:val="1"/>
        </w:numPr>
        <w:rPr>
          <w:rFonts w:ascii="Arial" w:eastAsia="Arial" w:hAnsi="Arial" w:cs="Arial"/>
        </w:rPr>
      </w:pPr>
      <w:r w:rsidRPr="1EC678D9">
        <w:rPr>
          <w:rFonts w:ascii="Arial" w:eastAsia="Arial" w:hAnsi="Arial" w:cs="Arial"/>
        </w:rPr>
        <w:t xml:space="preserve">Layman, H.M. </w:t>
      </w:r>
      <w:r w:rsidRPr="1EC678D9">
        <w:rPr>
          <w:rFonts w:ascii="Arial" w:eastAsia="Arial" w:hAnsi="Arial" w:cs="Arial"/>
          <w:i/>
          <w:iCs/>
        </w:rPr>
        <w:t>et al.</w:t>
      </w:r>
      <w:r w:rsidRPr="1EC678D9">
        <w:rPr>
          <w:rFonts w:ascii="Arial" w:eastAsia="Arial" w:hAnsi="Arial" w:cs="Arial"/>
        </w:rPr>
        <w:t xml:space="preserve"> (2022) ‘Substance Use Among Youth During the COVID-19 Pandemic: </w:t>
      </w:r>
      <w:proofErr w:type="gramStart"/>
      <w:r w:rsidRPr="1EC678D9">
        <w:rPr>
          <w:rFonts w:ascii="Arial" w:eastAsia="Arial" w:hAnsi="Arial" w:cs="Arial"/>
        </w:rPr>
        <w:t>a</w:t>
      </w:r>
      <w:proofErr w:type="gramEnd"/>
      <w:r w:rsidRPr="1EC678D9">
        <w:rPr>
          <w:rFonts w:ascii="Arial" w:eastAsia="Arial" w:hAnsi="Arial" w:cs="Arial"/>
        </w:rPr>
        <w:t xml:space="preserve"> Systematic Review’, </w:t>
      </w:r>
      <w:r w:rsidRPr="1EC678D9">
        <w:rPr>
          <w:rFonts w:ascii="Arial" w:eastAsia="Arial" w:hAnsi="Arial" w:cs="Arial"/>
          <w:i/>
          <w:iCs/>
        </w:rPr>
        <w:t>Current psychiatry reports</w:t>
      </w:r>
      <w:r w:rsidRPr="1EC678D9">
        <w:rPr>
          <w:rFonts w:ascii="Arial" w:eastAsia="Arial" w:hAnsi="Arial" w:cs="Arial"/>
        </w:rPr>
        <w:t xml:space="preserve">, 24(6), pp. 307–324. Available at: </w:t>
      </w:r>
      <w:hyperlink r:id="rId43">
        <w:r w:rsidRPr="1EC678D9">
          <w:rPr>
            <w:rStyle w:val="Hyperlink"/>
            <w:rFonts w:ascii="Arial" w:eastAsia="Arial" w:hAnsi="Arial" w:cs="Arial"/>
          </w:rPr>
          <w:t>https://doi.org/10.1007/s11920-022-01338-z</w:t>
        </w:r>
      </w:hyperlink>
      <w:r w:rsidRPr="1EC678D9">
        <w:rPr>
          <w:rFonts w:ascii="Arial" w:eastAsia="Arial" w:hAnsi="Arial" w:cs="Arial"/>
        </w:rPr>
        <w:t>.</w:t>
      </w:r>
    </w:p>
    <w:p w14:paraId="0301CD5E" w14:textId="2DE184BD" w:rsidR="068953FA" w:rsidRDefault="068953FA" w:rsidP="1EC678D9">
      <w:pPr>
        <w:rPr>
          <w:rFonts w:ascii="Arial" w:eastAsia="Arial" w:hAnsi="Arial" w:cs="Arial"/>
        </w:rPr>
      </w:pPr>
    </w:p>
    <w:p w14:paraId="3A4A8A2A" w14:textId="78739BB0" w:rsidR="647E7F00" w:rsidRDefault="647E7F00" w:rsidP="1EC678D9">
      <w:pPr>
        <w:pStyle w:val="ListParagraph"/>
        <w:numPr>
          <w:ilvl w:val="0"/>
          <w:numId w:val="1"/>
        </w:numPr>
        <w:rPr>
          <w:rFonts w:ascii="Arial" w:eastAsia="Arial" w:hAnsi="Arial" w:cs="Arial"/>
        </w:rPr>
      </w:pPr>
      <w:r w:rsidRPr="1EC678D9">
        <w:rPr>
          <w:rFonts w:ascii="Arial" w:eastAsia="Arial" w:hAnsi="Arial" w:cs="Arial"/>
        </w:rPr>
        <w:t xml:space="preserve">Lancaster, T. (2021) ‘Academic Dishonesty or Academic Integrity? Using Natural Language Processing (NLP) Techniques to Investigate Positive Integrity in Academic Integrity Research’, Journal of academic ethics, 19(3), pp. 363–383. Available at: </w:t>
      </w:r>
      <w:hyperlink r:id="rId44">
        <w:r w:rsidRPr="1EC678D9">
          <w:rPr>
            <w:rStyle w:val="Hyperlink"/>
            <w:rFonts w:ascii="Arial" w:eastAsia="Arial" w:hAnsi="Arial" w:cs="Arial"/>
          </w:rPr>
          <w:t>https://doi.org/10.1007/s10805-021-09422-4</w:t>
        </w:r>
      </w:hyperlink>
      <w:r w:rsidRPr="1EC678D9">
        <w:rPr>
          <w:rFonts w:ascii="Arial" w:eastAsia="Arial" w:hAnsi="Arial" w:cs="Arial"/>
        </w:rPr>
        <w:t>.</w:t>
      </w:r>
    </w:p>
    <w:p w14:paraId="3EA41081" w14:textId="6072B426" w:rsidR="068953FA" w:rsidRDefault="068953FA" w:rsidP="1EC678D9">
      <w:pPr>
        <w:rPr>
          <w:rFonts w:ascii="Arial" w:eastAsia="Arial" w:hAnsi="Arial" w:cs="Arial"/>
        </w:rPr>
      </w:pPr>
    </w:p>
    <w:p w14:paraId="15DDCD02" w14:textId="135153A7" w:rsidR="109617C0" w:rsidRDefault="109617C0" w:rsidP="1EC678D9">
      <w:pPr>
        <w:pStyle w:val="ListParagraph"/>
        <w:numPr>
          <w:ilvl w:val="0"/>
          <w:numId w:val="1"/>
        </w:numPr>
        <w:rPr>
          <w:rFonts w:ascii="Arial" w:eastAsia="Arial" w:hAnsi="Arial" w:cs="Arial"/>
        </w:rPr>
      </w:pPr>
      <w:r w:rsidRPr="06329E2C">
        <w:rPr>
          <w:rFonts w:ascii="Arial" w:eastAsia="Arial" w:hAnsi="Arial" w:cs="Arial"/>
        </w:rPr>
        <w:t xml:space="preserve">Li, S., Hong, Y.-C. and Craig, S.D. (2023) ‘A Systematic Literature Review of Social Learning Theory in Online Learning Environments’, Educational psychology review, 35(4). Available at: </w:t>
      </w:r>
      <w:hyperlink r:id="rId45">
        <w:r w:rsidRPr="06329E2C">
          <w:rPr>
            <w:rStyle w:val="Hyperlink"/>
            <w:rFonts w:ascii="Arial" w:eastAsia="Arial" w:hAnsi="Arial" w:cs="Arial"/>
          </w:rPr>
          <w:t>https://doi.org/10.1007/s10648-023-09827-0</w:t>
        </w:r>
      </w:hyperlink>
      <w:r w:rsidRPr="06329E2C">
        <w:rPr>
          <w:rFonts w:ascii="Arial" w:eastAsia="Arial" w:hAnsi="Arial" w:cs="Arial"/>
        </w:rPr>
        <w:t>.</w:t>
      </w:r>
    </w:p>
    <w:p w14:paraId="2F45B988" w14:textId="2D68AF97" w:rsidR="0559B97C" w:rsidRDefault="0559B97C" w:rsidP="06329E2C">
      <w:pPr>
        <w:pStyle w:val="ListParagraph"/>
        <w:ind w:left="720"/>
        <w:rPr>
          <w:rFonts w:ascii="Arial" w:eastAsia="Arial" w:hAnsi="Arial" w:cs="Arial"/>
        </w:rPr>
      </w:pPr>
    </w:p>
    <w:p w14:paraId="7A6BF9C8" w14:textId="663485CE" w:rsidR="0559B97C" w:rsidRDefault="2DE113CF" w:rsidP="06329E2C">
      <w:pPr>
        <w:pStyle w:val="ListParagraph"/>
        <w:numPr>
          <w:ilvl w:val="0"/>
          <w:numId w:val="1"/>
        </w:numPr>
        <w:rPr>
          <w:rFonts w:ascii="Arial" w:eastAsia="Arial" w:hAnsi="Arial" w:cs="Arial"/>
          <w:color w:val="000000" w:themeColor="text1"/>
        </w:rPr>
      </w:pPr>
      <w:r w:rsidRPr="06329E2C">
        <w:rPr>
          <w:rFonts w:ascii="Arial" w:eastAsia="Arial" w:hAnsi="Arial" w:cs="Arial"/>
          <w:color w:val="000000" w:themeColor="text1"/>
        </w:rPr>
        <w:t xml:space="preserve">Legislation.gov.uk. (2001). </w:t>
      </w:r>
      <w:r w:rsidRPr="06329E2C">
        <w:rPr>
          <w:rFonts w:ascii="Arial" w:eastAsia="Arial" w:hAnsi="Arial" w:cs="Arial"/>
          <w:i/>
          <w:iCs/>
          <w:color w:val="000000" w:themeColor="text1"/>
        </w:rPr>
        <w:t>The National Treatment Agency (Establishment and Constitution) Order 2001</w:t>
      </w:r>
      <w:r w:rsidRPr="06329E2C">
        <w:rPr>
          <w:rFonts w:ascii="Arial" w:eastAsia="Arial" w:hAnsi="Arial" w:cs="Arial"/>
          <w:color w:val="000000" w:themeColor="text1"/>
        </w:rPr>
        <w:t xml:space="preserve">. Available at: </w:t>
      </w:r>
      <w:hyperlink r:id="rId46">
        <w:r w:rsidRPr="06329E2C">
          <w:rPr>
            <w:rStyle w:val="Hyperlink"/>
            <w:rFonts w:ascii="Arial" w:eastAsia="Arial" w:hAnsi="Arial" w:cs="Arial"/>
          </w:rPr>
          <w:t>https://www.legislation.gov.uk/uksi/2001/713/made/data.html</w:t>
        </w:r>
      </w:hyperlink>
      <w:r w:rsidRPr="06329E2C">
        <w:rPr>
          <w:rFonts w:ascii="Arial" w:eastAsia="Arial" w:hAnsi="Arial" w:cs="Arial"/>
          <w:color w:val="000000" w:themeColor="text1"/>
        </w:rPr>
        <w:t xml:space="preserve"> [Accessed: 10 Nov 2025].</w:t>
      </w:r>
    </w:p>
    <w:p w14:paraId="01A9DBD8" w14:textId="62DC53D4" w:rsidR="0559B97C" w:rsidRDefault="0559B97C" w:rsidP="0E260372">
      <w:pPr>
        <w:spacing w:before="240" w:after="240"/>
        <w:ind w:left="720"/>
        <w:rPr>
          <w:rFonts w:ascii="Calibri" w:eastAsia="Calibri" w:hAnsi="Calibri" w:cs="Calibri"/>
          <w:color w:val="000000" w:themeColor="text1"/>
        </w:rPr>
      </w:pPr>
    </w:p>
    <w:p w14:paraId="3DED0870" w14:textId="17613EAC" w:rsidR="0559B97C" w:rsidRDefault="60B6890D" w:rsidP="1EC678D9">
      <w:pPr>
        <w:pStyle w:val="ListParagraph"/>
        <w:numPr>
          <w:ilvl w:val="0"/>
          <w:numId w:val="1"/>
        </w:numPr>
        <w:rPr>
          <w:rFonts w:ascii="Arial" w:eastAsia="Arial" w:hAnsi="Arial" w:cs="Arial"/>
          <w:color w:val="000000" w:themeColor="text1"/>
        </w:rPr>
      </w:pPr>
      <w:proofErr w:type="spellStart"/>
      <w:r w:rsidRPr="1EC678D9">
        <w:rPr>
          <w:rFonts w:ascii="Arial" w:eastAsia="Arial" w:hAnsi="Arial" w:cs="Arial"/>
        </w:rPr>
        <w:t>Laqueur</w:t>
      </w:r>
      <w:proofErr w:type="spellEnd"/>
      <w:r w:rsidRPr="1EC678D9">
        <w:rPr>
          <w:rFonts w:ascii="Arial" w:eastAsia="Arial" w:hAnsi="Arial" w:cs="Arial"/>
        </w:rPr>
        <w:t xml:space="preserve">, H. (2015). Uses and Abuses of Drug Decriminalization in Portugal. Law &amp; Social Inquiry, 40(03), pp.746–781.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://doi.org/10.1111/lsi.12104</w:t>
      </w:r>
      <w:proofErr w:type="gramEnd"/>
      <w:r w:rsidRPr="1EC678D9">
        <w:rPr>
          <w:rFonts w:ascii="Arial" w:eastAsia="Arial" w:hAnsi="Arial" w:cs="Arial"/>
        </w:rPr>
        <w:t>.</w:t>
      </w:r>
    </w:p>
    <w:p w14:paraId="572EB7ED" w14:textId="1EB0057B" w:rsidR="0559B97C" w:rsidRDefault="0559B97C" w:rsidP="1EC678D9">
      <w:pPr>
        <w:rPr>
          <w:rFonts w:ascii="Arial" w:eastAsia="Arial" w:hAnsi="Arial" w:cs="Arial"/>
        </w:rPr>
      </w:pPr>
    </w:p>
    <w:p w14:paraId="60E66387" w14:textId="4EC1FD2E" w:rsidR="0559B97C" w:rsidRDefault="707278B8" w:rsidP="1EC678D9">
      <w:pPr>
        <w:pStyle w:val="ListParagraph"/>
        <w:numPr>
          <w:ilvl w:val="0"/>
          <w:numId w:val="1"/>
        </w:numPr>
        <w:rPr>
          <w:rFonts w:ascii="Arial" w:eastAsia="Arial" w:hAnsi="Arial" w:cs="Arial"/>
        </w:rPr>
      </w:pPr>
      <w:r w:rsidRPr="1EC678D9">
        <w:rPr>
          <w:rFonts w:ascii="Arial" w:eastAsia="Arial" w:hAnsi="Arial" w:cs="Arial"/>
        </w:rPr>
        <w:t xml:space="preserve">MacGregor, S. and Thickett, A. (2011) ‘Partnerships and communities in English drug policy: The challenge of deprivation’, The International journal of drug policy, 22(6), pp. 478–490. Available at: </w:t>
      </w:r>
      <w:hyperlink r:id="rId47">
        <w:r w:rsidRPr="1EC678D9">
          <w:rPr>
            <w:rStyle w:val="Hyperlink"/>
            <w:rFonts w:ascii="Arial" w:eastAsia="Arial" w:hAnsi="Arial" w:cs="Arial"/>
          </w:rPr>
          <w:t>https://doi.org/10.1016/j.drugpo.2011.06.003</w:t>
        </w:r>
      </w:hyperlink>
      <w:r w:rsidRPr="1EC678D9">
        <w:rPr>
          <w:rFonts w:ascii="Arial" w:eastAsia="Arial" w:hAnsi="Arial" w:cs="Arial"/>
        </w:rPr>
        <w:t>.</w:t>
      </w:r>
    </w:p>
    <w:p w14:paraId="0842D638" w14:textId="1DF71B7F" w:rsidR="5C95741F" w:rsidRDefault="5C95741F" w:rsidP="1EC678D9">
      <w:pPr>
        <w:rPr>
          <w:rFonts w:ascii="Arial" w:eastAsia="Arial" w:hAnsi="Arial" w:cs="Arial"/>
        </w:rPr>
      </w:pPr>
    </w:p>
    <w:p w14:paraId="5512935E" w14:textId="01BC60A9" w:rsidR="0559B97C" w:rsidRDefault="47AA4324"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 Mold, A. (2019). The historical context of drug use by young people. CRC Press eBooks, pp.9–15.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://doi.org/10.4324/9780429284304-2</w:t>
      </w:r>
      <w:proofErr w:type="gramEnd"/>
      <w:r w:rsidRPr="1EC678D9">
        <w:rPr>
          <w:rFonts w:ascii="Arial" w:eastAsia="Arial" w:hAnsi="Arial" w:cs="Arial"/>
        </w:rPr>
        <w:t>.</w:t>
      </w:r>
    </w:p>
    <w:p w14:paraId="45488E5B" w14:textId="7B5DDE42" w:rsidR="1EC678D9" w:rsidRDefault="1EC678D9" w:rsidP="1EC678D9">
      <w:pPr>
        <w:rPr>
          <w:rFonts w:ascii="Arial" w:eastAsia="Arial" w:hAnsi="Arial" w:cs="Arial"/>
        </w:rPr>
      </w:pPr>
    </w:p>
    <w:p w14:paraId="17EF91F9" w14:textId="2FCDD7E6" w:rsidR="0559B97C" w:rsidRDefault="47AA4324" w:rsidP="1EC678D9">
      <w:pPr>
        <w:pStyle w:val="ListParagraph"/>
        <w:numPr>
          <w:ilvl w:val="0"/>
          <w:numId w:val="1"/>
        </w:numPr>
        <w:rPr>
          <w:rFonts w:ascii="Arial" w:eastAsia="Arial" w:hAnsi="Arial" w:cs="Arial"/>
        </w:rPr>
      </w:pPr>
      <w:r w:rsidRPr="1EC678D9">
        <w:rPr>
          <w:rFonts w:ascii="Arial" w:eastAsia="Arial" w:hAnsi="Arial" w:cs="Arial"/>
        </w:rPr>
        <w:t>‌</w:t>
      </w:r>
      <w:r w:rsidR="17CF66C5" w:rsidRPr="1EC678D9">
        <w:rPr>
          <w:rFonts w:ascii="Arial" w:eastAsia="Arial" w:hAnsi="Arial" w:cs="Arial"/>
        </w:rPr>
        <w:t xml:space="preserve"> Mackieson, P., Shlonsky, A. and Connolly, M. (2019) ‘Increasing rigor and reducing bias in qualitative research: A document analysis of parliamentary debates using applied thematic analysis’, Qualitative social </w:t>
      </w:r>
      <w:proofErr w:type="gramStart"/>
      <w:r w:rsidR="17CF66C5" w:rsidRPr="1EC678D9">
        <w:rPr>
          <w:rFonts w:ascii="Arial" w:eastAsia="Arial" w:hAnsi="Arial" w:cs="Arial"/>
        </w:rPr>
        <w:t>work :</w:t>
      </w:r>
      <w:proofErr w:type="gramEnd"/>
      <w:r w:rsidR="17CF66C5" w:rsidRPr="1EC678D9">
        <w:rPr>
          <w:rFonts w:ascii="Arial" w:eastAsia="Arial" w:hAnsi="Arial" w:cs="Arial"/>
        </w:rPr>
        <w:t xml:space="preserve"> </w:t>
      </w:r>
      <w:proofErr w:type="gramStart"/>
      <w:r w:rsidR="17CF66C5" w:rsidRPr="1EC678D9">
        <w:rPr>
          <w:rFonts w:ascii="Arial" w:eastAsia="Arial" w:hAnsi="Arial" w:cs="Arial"/>
        </w:rPr>
        <w:t>QSW :</w:t>
      </w:r>
      <w:proofErr w:type="gramEnd"/>
      <w:r w:rsidR="17CF66C5" w:rsidRPr="1EC678D9">
        <w:rPr>
          <w:rFonts w:ascii="Arial" w:eastAsia="Arial" w:hAnsi="Arial" w:cs="Arial"/>
        </w:rPr>
        <w:t xml:space="preserve"> research and practice, 18(6), pp. 965–980. Available at: </w:t>
      </w:r>
      <w:hyperlink r:id="rId48">
        <w:r w:rsidR="17CF66C5" w:rsidRPr="1EC678D9">
          <w:rPr>
            <w:rStyle w:val="Hyperlink"/>
            <w:rFonts w:ascii="Arial" w:eastAsia="Arial" w:hAnsi="Arial" w:cs="Arial"/>
          </w:rPr>
          <w:t>https://doi.org/10.1177/1473325018786996</w:t>
        </w:r>
      </w:hyperlink>
      <w:r w:rsidR="17CF66C5" w:rsidRPr="1EC678D9">
        <w:rPr>
          <w:rFonts w:ascii="Arial" w:eastAsia="Arial" w:hAnsi="Arial" w:cs="Arial"/>
        </w:rPr>
        <w:t>.</w:t>
      </w:r>
    </w:p>
    <w:p w14:paraId="29972812" w14:textId="287848FF" w:rsidR="0559B97C" w:rsidRDefault="0559B97C" w:rsidP="1EC678D9">
      <w:pPr>
        <w:rPr>
          <w:rFonts w:ascii="Arial" w:eastAsia="Arial" w:hAnsi="Arial" w:cs="Arial"/>
        </w:rPr>
      </w:pPr>
    </w:p>
    <w:p w14:paraId="5CE0F97F" w14:textId="08E32837" w:rsidR="0559B97C" w:rsidRDefault="0D850D94"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McCrystal, P., Percy, A. and Higgins, K. (2007). Exclusion and Marginalisation in Adolescence: The Experience of School Exclusion on Drug Use and Antisocial </w:t>
      </w:r>
      <w:r w:rsidRPr="1EC678D9">
        <w:rPr>
          <w:rFonts w:ascii="Arial" w:eastAsia="Arial" w:hAnsi="Arial" w:cs="Arial"/>
        </w:rPr>
        <w:lastRenderedPageBreak/>
        <w:t xml:space="preserve">Behaviour. Journal of Youth Studies, 10(1), pp.35–54.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://doi.org/10.1080/13676260701196103</w:t>
      </w:r>
      <w:proofErr w:type="gramEnd"/>
      <w:r w:rsidRPr="1EC678D9">
        <w:rPr>
          <w:rFonts w:ascii="Arial" w:eastAsia="Arial" w:hAnsi="Arial" w:cs="Arial"/>
        </w:rPr>
        <w:t>.</w:t>
      </w:r>
    </w:p>
    <w:p w14:paraId="7506F468" w14:textId="40846C00" w:rsidR="068953FA" w:rsidRDefault="068953FA" w:rsidP="1EC678D9">
      <w:pPr>
        <w:rPr>
          <w:rFonts w:ascii="Arial" w:eastAsia="Arial" w:hAnsi="Arial" w:cs="Arial"/>
        </w:rPr>
      </w:pPr>
    </w:p>
    <w:p w14:paraId="480D30CA" w14:textId="1E0F0313" w:rsidR="20ACB7C5" w:rsidRDefault="20ACB7C5" w:rsidP="1EC678D9">
      <w:pPr>
        <w:pStyle w:val="ListParagraph"/>
        <w:numPr>
          <w:ilvl w:val="0"/>
          <w:numId w:val="1"/>
        </w:numPr>
        <w:rPr>
          <w:rFonts w:ascii="Arial" w:eastAsia="Arial" w:hAnsi="Arial" w:cs="Arial"/>
        </w:rPr>
      </w:pPr>
      <w:r w:rsidRPr="0E260372">
        <w:rPr>
          <w:rFonts w:ascii="Arial" w:eastAsia="Arial" w:hAnsi="Arial" w:cs="Arial"/>
        </w:rPr>
        <w:t xml:space="preserve">Nath, A. et al. (2022) ‘Substance Abuse Amongst Adolescents: An Issue of Public Health Significance’, </w:t>
      </w:r>
      <w:proofErr w:type="spellStart"/>
      <w:r w:rsidRPr="0E260372">
        <w:rPr>
          <w:rFonts w:ascii="Arial" w:eastAsia="Arial" w:hAnsi="Arial" w:cs="Arial"/>
        </w:rPr>
        <w:t>Curēus</w:t>
      </w:r>
      <w:proofErr w:type="spellEnd"/>
      <w:r w:rsidRPr="0E260372">
        <w:rPr>
          <w:rFonts w:ascii="Arial" w:eastAsia="Arial" w:hAnsi="Arial" w:cs="Arial"/>
        </w:rPr>
        <w:t xml:space="preserve">. [Preprint]. Available at: </w:t>
      </w:r>
      <w:hyperlink r:id="rId49">
        <w:r w:rsidRPr="0E260372">
          <w:rPr>
            <w:rStyle w:val="Hyperlink"/>
            <w:rFonts w:ascii="Arial" w:eastAsia="Arial" w:hAnsi="Arial" w:cs="Arial"/>
          </w:rPr>
          <w:t>https://doi.org/10.7759/cureus.31193</w:t>
        </w:r>
      </w:hyperlink>
      <w:r w:rsidRPr="0E260372">
        <w:rPr>
          <w:rFonts w:ascii="Arial" w:eastAsia="Arial" w:hAnsi="Arial" w:cs="Arial"/>
        </w:rPr>
        <w:t>.</w:t>
      </w:r>
    </w:p>
    <w:p w14:paraId="6CE4FFC6" w14:textId="613AA9A0" w:rsidR="068953FA" w:rsidRDefault="068953FA" w:rsidP="0E260372">
      <w:pPr>
        <w:pStyle w:val="ListParagraph"/>
        <w:ind w:left="720"/>
        <w:rPr>
          <w:rFonts w:ascii="Arial" w:eastAsia="Arial" w:hAnsi="Arial" w:cs="Arial"/>
        </w:rPr>
      </w:pPr>
    </w:p>
    <w:p w14:paraId="3EB49EF4" w14:textId="693F35F8" w:rsidR="068953FA" w:rsidRDefault="797AE99E" w:rsidP="0E260372">
      <w:pPr>
        <w:pStyle w:val="ListParagraph"/>
        <w:numPr>
          <w:ilvl w:val="0"/>
          <w:numId w:val="1"/>
        </w:numPr>
        <w:rPr>
          <w:rFonts w:ascii="Arial" w:eastAsia="Arial" w:hAnsi="Arial" w:cs="Arial"/>
          <w:color w:val="000000" w:themeColor="text1"/>
        </w:rPr>
      </w:pPr>
      <w:r w:rsidRPr="0E260372">
        <w:rPr>
          <w:rFonts w:ascii="Arial" w:eastAsia="Arial" w:hAnsi="Arial" w:cs="Arial"/>
          <w:color w:val="000000" w:themeColor="text1"/>
        </w:rPr>
        <w:t xml:space="preserve">NHS England (2020). </w:t>
      </w:r>
      <w:r w:rsidRPr="0E260372">
        <w:rPr>
          <w:rFonts w:ascii="Arial" w:eastAsia="Arial" w:hAnsi="Arial" w:cs="Arial"/>
          <w:i/>
          <w:iCs/>
          <w:color w:val="000000" w:themeColor="text1"/>
        </w:rPr>
        <w:t>Health Education England</w:t>
      </w:r>
      <w:r w:rsidRPr="0E260372">
        <w:rPr>
          <w:rFonts w:ascii="Arial" w:eastAsia="Arial" w:hAnsi="Arial" w:cs="Arial"/>
          <w:color w:val="000000" w:themeColor="text1"/>
        </w:rPr>
        <w:t xml:space="preserve">. [online] Health Education England. Available at: </w:t>
      </w:r>
      <w:hyperlink r:id="rId50">
        <w:r w:rsidRPr="0E260372">
          <w:rPr>
            <w:rStyle w:val="Hyperlink"/>
            <w:rFonts w:ascii="Arial" w:eastAsia="Arial" w:hAnsi="Arial" w:cs="Arial"/>
          </w:rPr>
          <w:t>https://www.hee.nhs.uk/</w:t>
        </w:r>
      </w:hyperlink>
      <w:r w:rsidRPr="0E260372">
        <w:rPr>
          <w:rFonts w:ascii="Arial" w:eastAsia="Arial" w:hAnsi="Arial" w:cs="Arial"/>
          <w:color w:val="000000" w:themeColor="text1"/>
        </w:rPr>
        <w:t>. (Accessed: 11 Nov 2025).</w:t>
      </w:r>
    </w:p>
    <w:p w14:paraId="3FB1D5A2" w14:textId="490B3074" w:rsidR="068953FA" w:rsidRDefault="068953FA" w:rsidP="0E260372">
      <w:pPr>
        <w:ind w:left="720"/>
        <w:rPr>
          <w:rFonts w:ascii="Arial" w:eastAsia="Arial" w:hAnsi="Arial" w:cs="Arial"/>
        </w:rPr>
      </w:pPr>
    </w:p>
    <w:p w14:paraId="6707F924" w14:textId="6979EB74" w:rsidR="0559B97C" w:rsidRDefault="0D850D94" w:rsidP="06329E2C">
      <w:pPr>
        <w:pStyle w:val="ListParagraph"/>
        <w:numPr>
          <w:ilvl w:val="0"/>
          <w:numId w:val="1"/>
        </w:numPr>
        <w:rPr>
          <w:rFonts w:ascii="Arial" w:eastAsia="Arial" w:hAnsi="Arial" w:cs="Arial"/>
          <w:color w:val="000000" w:themeColor="text1"/>
        </w:rPr>
      </w:pPr>
      <w:r w:rsidRPr="06329E2C">
        <w:rPr>
          <w:rFonts w:ascii="Arial" w:eastAsia="Arial" w:hAnsi="Arial" w:cs="Arial"/>
        </w:rPr>
        <w:t>‌</w:t>
      </w:r>
      <w:r w:rsidR="20EE5646" w:rsidRPr="06329E2C">
        <w:rPr>
          <w:rFonts w:ascii="Arial" w:eastAsia="Arial" w:hAnsi="Arial" w:cs="Arial"/>
        </w:rPr>
        <w:t xml:space="preserve">Nair, S. and Howlett, M. (2016) ‘From robustness to resilience: avoiding policy traps in the long term’, </w:t>
      </w:r>
      <w:r w:rsidR="20EE5646" w:rsidRPr="06329E2C">
        <w:rPr>
          <w:rFonts w:ascii="Arial" w:eastAsia="Arial" w:hAnsi="Arial" w:cs="Arial"/>
          <w:i/>
          <w:iCs/>
        </w:rPr>
        <w:t>Sustainability science</w:t>
      </w:r>
      <w:r w:rsidR="20EE5646" w:rsidRPr="06329E2C">
        <w:rPr>
          <w:rFonts w:ascii="Arial" w:eastAsia="Arial" w:hAnsi="Arial" w:cs="Arial"/>
        </w:rPr>
        <w:t xml:space="preserve">, 11(6), pp. 909–917. Available at: </w:t>
      </w:r>
      <w:hyperlink r:id="rId51">
        <w:r w:rsidR="20EE5646" w:rsidRPr="06329E2C">
          <w:rPr>
            <w:rStyle w:val="Hyperlink"/>
            <w:rFonts w:ascii="Arial" w:eastAsia="Arial" w:hAnsi="Arial" w:cs="Arial"/>
          </w:rPr>
          <w:t>https://doi.org/10.1007/s11625-016-0387-z</w:t>
        </w:r>
      </w:hyperlink>
      <w:r w:rsidR="20EE5646" w:rsidRPr="06329E2C">
        <w:rPr>
          <w:rFonts w:ascii="Arial" w:eastAsia="Arial" w:hAnsi="Arial" w:cs="Arial"/>
        </w:rPr>
        <w:t>.</w:t>
      </w:r>
    </w:p>
    <w:p w14:paraId="701AF0B7" w14:textId="5F3611F0" w:rsidR="0559B97C" w:rsidRDefault="0559B97C" w:rsidP="06329E2C">
      <w:pPr>
        <w:pStyle w:val="ListParagraph"/>
        <w:ind w:left="720"/>
        <w:rPr>
          <w:rFonts w:ascii="Arial" w:eastAsia="Arial" w:hAnsi="Arial" w:cs="Arial"/>
          <w:color w:val="000000" w:themeColor="text1"/>
        </w:rPr>
      </w:pPr>
    </w:p>
    <w:p w14:paraId="67AF1D33" w14:textId="4791D65F" w:rsidR="36D77720" w:rsidRDefault="36D77720" w:rsidP="06329E2C">
      <w:pPr>
        <w:pStyle w:val="ListParagraph"/>
        <w:numPr>
          <w:ilvl w:val="0"/>
          <w:numId w:val="1"/>
        </w:numPr>
        <w:rPr>
          <w:rFonts w:ascii="Arial" w:eastAsia="Arial" w:hAnsi="Arial" w:cs="Arial"/>
          <w:color w:val="000000" w:themeColor="text1"/>
        </w:rPr>
      </w:pPr>
      <w:r w:rsidRPr="06329E2C">
        <w:rPr>
          <w:rFonts w:ascii="Arial" w:eastAsia="Arial" w:hAnsi="Arial" w:cs="Arial"/>
        </w:rPr>
        <w:t>Office for Health Improvement &amp; Disparities (2024). Children and young people’s substance misuse treatment statistics 2023 to 2024: report.</w:t>
      </w:r>
      <w:r w:rsidR="7FD41819" w:rsidRPr="06329E2C">
        <w:rPr>
          <w:rFonts w:ascii="Arial" w:eastAsia="Arial" w:hAnsi="Arial" w:cs="Arial"/>
        </w:rPr>
        <w:t xml:space="preserve"> </w:t>
      </w:r>
      <w:r w:rsidRPr="06329E2C">
        <w:rPr>
          <w:rFonts w:ascii="Arial" w:eastAsia="Arial" w:hAnsi="Arial" w:cs="Arial"/>
        </w:rPr>
        <w:t xml:space="preserve">GOV.UK. Available at: </w:t>
      </w:r>
      <w:hyperlink r:id="rId52">
        <w:r w:rsidRPr="06329E2C">
          <w:rPr>
            <w:rStyle w:val="Hyperlink"/>
            <w:rFonts w:ascii="Arial" w:eastAsia="Arial" w:hAnsi="Arial" w:cs="Arial"/>
          </w:rPr>
          <w:t>https://www.gov.uk/government/statistics/substance-misuse-treatment-for-young-people-2023-to-2024/children-and-young-peoples-substance-misuse-treatment-statistics-2023-to-2024-report</w:t>
        </w:r>
      </w:hyperlink>
      <w:r w:rsidRPr="06329E2C">
        <w:rPr>
          <w:rFonts w:ascii="Arial" w:eastAsia="Arial" w:hAnsi="Arial" w:cs="Arial"/>
        </w:rPr>
        <w:t>.</w:t>
      </w:r>
      <w:r w:rsidR="1B2F8FED" w:rsidRPr="06329E2C">
        <w:rPr>
          <w:rFonts w:ascii="Arial" w:eastAsia="Arial" w:hAnsi="Arial" w:cs="Arial"/>
        </w:rPr>
        <w:t xml:space="preserve"> (Accessed: 24 Sep 2025).</w:t>
      </w:r>
    </w:p>
    <w:p w14:paraId="5F36E055" w14:textId="74687D5E" w:rsidR="06329E2C" w:rsidRDefault="06329E2C" w:rsidP="06329E2C">
      <w:pPr>
        <w:pStyle w:val="ListParagraph"/>
        <w:ind w:left="720"/>
        <w:rPr>
          <w:rFonts w:ascii="Arial" w:eastAsia="Arial" w:hAnsi="Arial" w:cs="Arial"/>
          <w:color w:val="000000" w:themeColor="text1"/>
        </w:rPr>
      </w:pPr>
    </w:p>
    <w:p w14:paraId="10B14F69" w14:textId="06C908F5" w:rsidR="36D77720" w:rsidRDefault="36D77720" w:rsidP="06329E2C">
      <w:pPr>
        <w:pStyle w:val="ListParagraph"/>
        <w:numPr>
          <w:ilvl w:val="0"/>
          <w:numId w:val="1"/>
        </w:numPr>
        <w:rPr>
          <w:rFonts w:ascii="Arial" w:eastAsia="Arial" w:hAnsi="Arial" w:cs="Arial"/>
        </w:rPr>
      </w:pPr>
      <w:r w:rsidRPr="06329E2C">
        <w:rPr>
          <w:rFonts w:ascii="Arial" w:eastAsia="Arial" w:hAnsi="Arial" w:cs="Arial"/>
        </w:rPr>
        <w:t>‌</w:t>
      </w:r>
      <w:r w:rsidR="5FC36351" w:rsidRPr="06329E2C">
        <w:rPr>
          <w:rFonts w:ascii="Arial" w:eastAsia="Arial" w:hAnsi="Arial" w:cs="Arial"/>
        </w:rPr>
        <w:t xml:space="preserve"> Paquin, V. et al. (2025) ‘Social and mental health pathways to institutional trust: A cohort study’, Social science &amp; medicine (1982), 379. Available at: </w:t>
      </w:r>
      <w:hyperlink r:id="rId53">
        <w:r w:rsidR="5FC36351" w:rsidRPr="06329E2C">
          <w:rPr>
            <w:rStyle w:val="Hyperlink"/>
            <w:rFonts w:ascii="Arial" w:eastAsia="Arial" w:hAnsi="Arial" w:cs="Arial"/>
          </w:rPr>
          <w:t>https://doi.org/10.1016/j.socscimed.2025.118199</w:t>
        </w:r>
      </w:hyperlink>
      <w:r w:rsidR="5FC36351" w:rsidRPr="06329E2C">
        <w:rPr>
          <w:rFonts w:ascii="Arial" w:eastAsia="Arial" w:hAnsi="Arial" w:cs="Arial"/>
        </w:rPr>
        <w:t>.</w:t>
      </w:r>
    </w:p>
    <w:p w14:paraId="1C430371" w14:textId="218BE98C" w:rsidR="06329E2C" w:rsidRDefault="06329E2C" w:rsidP="06329E2C">
      <w:pPr>
        <w:pStyle w:val="ListParagraph"/>
        <w:ind w:left="720"/>
        <w:rPr>
          <w:rFonts w:ascii="Arial" w:eastAsia="Arial" w:hAnsi="Arial" w:cs="Arial"/>
        </w:rPr>
      </w:pPr>
    </w:p>
    <w:p w14:paraId="034C412C" w14:textId="0473AF1D" w:rsidR="6F73D58C" w:rsidRDefault="6F73D58C" w:rsidP="06329E2C">
      <w:pPr>
        <w:pStyle w:val="ListParagraph"/>
        <w:numPr>
          <w:ilvl w:val="0"/>
          <w:numId w:val="1"/>
        </w:numPr>
        <w:rPr>
          <w:rFonts w:ascii="Arial" w:eastAsia="Arial" w:hAnsi="Arial" w:cs="Arial"/>
        </w:rPr>
      </w:pPr>
      <w:r w:rsidRPr="06329E2C">
        <w:rPr>
          <w:rFonts w:ascii="Arial" w:eastAsia="Arial" w:hAnsi="Arial" w:cs="Arial"/>
        </w:rPr>
        <w:t xml:space="preserve">Paat, Y.-F. (2013) ‘Working with Immigrant Children and Their Families: An Application of Bronfenbrenner’s Ecological Systems Theory’, </w:t>
      </w:r>
      <w:r w:rsidRPr="06329E2C">
        <w:rPr>
          <w:rFonts w:ascii="Arial" w:eastAsia="Arial" w:hAnsi="Arial" w:cs="Arial"/>
          <w:i/>
          <w:iCs/>
        </w:rPr>
        <w:t>Journal of human behaviour in the social environment</w:t>
      </w:r>
      <w:r w:rsidRPr="06329E2C">
        <w:rPr>
          <w:rFonts w:ascii="Arial" w:eastAsia="Arial" w:hAnsi="Arial" w:cs="Arial"/>
        </w:rPr>
        <w:t xml:space="preserve">, 23(8), pp. 954–966. Available at: </w:t>
      </w:r>
      <w:hyperlink r:id="rId54">
        <w:r w:rsidRPr="06329E2C">
          <w:rPr>
            <w:rStyle w:val="Hyperlink"/>
            <w:rFonts w:ascii="Arial" w:eastAsia="Arial" w:hAnsi="Arial" w:cs="Arial"/>
          </w:rPr>
          <w:t>https://doi.org/10.1080/10911359.2013.800007</w:t>
        </w:r>
      </w:hyperlink>
      <w:r w:rsidRPr="06329E2C">
        <w:rPr>
          <w:rFonts w:ascii="Arial" w:eastAsia="Arial" w:hAnsi="Arial" w:cs="Arial"/>
        </w:rPr>
        <w:t>.</w:t>
      </w:r>
    </w:p>
    <w:p w14:paraId="63AEC5FF" w14:textId="0617E3DA" w:rsidR="06329E2C" w:rsidRDefault="06329E2C" w:rsidP="06329E2C">
      <w:pPr>
        <w:pStyle w:val="ListParagraph"/>
        <w:ind w:left="720"/>
        <w:rPr>
          <w:rFonts w:ascii="Arial" w:eastAsia="Arial" w:hAnsi="Arial" w:cs="Arial"/>
        </w:rPr>
      </w:pPr>
    </w:p>
    <w:p w14:paraId="681369C9" w14:textId="2D63665B" w:rsidR="0559B97C" w:rsidRDefault="0559B97C" w:rsidP="1EC678D9">
      <w:pPr>
        <w:rPr>
          <w:rFonts w:ascii="Arial" w:eastAsia="Arial" w:hAnsi="Arial" w:cs="Arial"/>
        </w:rPr>
      </w:pPr>
    </w:p>
    <w:p w14:paraId="7E13DE42" w14:textId="4A812155" w:rsidR="4C36EC44" w:rsidRDefault="4C36EC44" w:rsidP="06329E2C">
      <w:pPr>
        <w:pStyle w:val="ListParagraph"/>
        <w:numPr>
          <w:ilvl w:val="0"/>
          <w:numId w:val="1"/>
        </w:numPr>
        <w:rPr>
          <w:rFonts w:ascii="Arial" w:eastAsia="Arial" w:hAnsi="Arial" w:cs="Arial"/>
          <w:color w:val="000000" w:themeColor="text1"/>
        </w:rPr>
      </w:pPr>
      <w:r w:rsidRPr="06329E2C">
        <w:rPr>
          <w:rFonts w:ascii="Arial" w:eastAsia="Arial" w:hAnsi="Arial" w:cs="Arial"/>
        </w:rPr>
        <w:t xml:space="preserve">Public Health England (2015). Improving young people’s health and wellbeing: a framework for public health. [online] GOV.UK. Available at: </w:t>
      </w:r>
      <w:hyperlink r:id="rId55">
        <w:r w:rsidRPr="06329E2C">
          <w:rPr>
            <w:rStyle w:val="Hyperlink"/>
            <w:rFonts w:ascii="Arial" w:eastAsia="Arial" w:hAnsi="Arial" w:cs="Arial"/>
          </w:rPr>
          <w:t>https://www.gov.uk/government/publications/improving-young-peoples-health-and-wellbeing-a-framework-for-public-health</w:t>
        </w:r>
      </w:hyperlink>
      <w:r w:rsidRPr="06329E2C">
        <w:rPr>
          <w:rFonts w:ascii="Arial" w:eastAsia="Arial" w:hAnsi="Arial" w:cs="Arial"/>
        </w:rPr>
        <w:t>.</w:t>
      </w:r>
      <w:r w:rsidR="0F14F7E3" w:rsidRPr="06329E2C">
        <w:rPr>
          <w:rFonts w:ascii="Arial" w:eastAsia="Arial" w:hAnsi="Arial" w:cs="Arial"/>
        </w:rPr>
        <w:t xml:space="preserve"> (Accessed: 29 Sep 2025).</w:t>
      </w:r>
    </w:p>
    <w:p w14:paraId="65D03F4E" w14:textId="04874DD2" w:rsidR="20CECBF3" w:rsidRDefault="20CECBF3" w:rsidP="1EC678D9">
      <w:pPr>
        <w:rPr>
          <w:rFonts w:ascii="Arial" w:eastAsia="Arial" w:hAnsi="Arial" w:cs="Arial"/>
        </w:rPr>
      </w:pPr>
    </w:p>
    <w:p w14:paraId="4CB69459" w14:textId="642F3293" w:rsidR="6AF6731C" w:rsidRDefault="6AF6731C"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Perry, C.L., Komro, K.A., Veblen-Mortenson, S., Bosma, L., Munson, K., Stigler, M., Lytle, L.A., Forster, J.L. and Welles, S.L. (2000). The Minnesota DARE PLUS Project: Creating Community Partnerships to Prevent Drug Use and Violence. Journal of School Health, 70(3), pp.84–88.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://doi.org/10.1111/j.1746-1561.2000.tb06451.x</w:t>
      </w:r>
      <w:proofErr w:type="gramEnd"/>
      <w:r w:rsidRPr="1EC678D9">
        <w:rPr>
          <w:rFonts w:ascii="Arial" w:eastAsia="Arial" w:hAnsi="Arial" w:cs="Arial"/>
        </w:rPr>
        <w:t>.</w:t>
      </w:r>
    </w:p>
    <w:p w14:paraId="1C7475B6" w14:textId="4C8EE0B6" w:rsidR="6AF6731C" w:rsidRDefault="6AF6731C" w:rsidP="0E260372">
      <w:pPr>
        <w:pStyle w:val="ListParagraph"/>
        <w:ind w:left="720"/>
        <w:rPr>
          <w:rFonts w:ascii="Arial" w:eastAsia="Arial" w:hAnsi="Arial" w:cs="Arial"/>
        </w:rPr>
      </w:pPr>
    </w:p>
    <w:p w14:paraId="0CC6B04F" w14:textId="7BC1EB0B" w:rsidR="03E81E05" w:rsidRDefault="4D2D3F05" w:rsidP="1EC678D9">
      <w:pPr>
        <w:pStyle w:val="ListParagraph"/>
        <w:numPr>
          <w:ilvl w:val="0"/>
          <w:numId w:val="1"/>
        </w:numPr>
        <w:rPr>
          <w:rFonts w:ascii="Arial" w:eastAsia="Arial" w:hAnsi="Arial" w:cs="Arial"/>
        </w:rPr>
      </w:pPr>
      <w:r w:rsidRPr="1EC678D9">
        <w:rPr>
          <w:rFonts w:ascii="Arial" w:eastAsia="Arial" w:hAnsi="Arial" w:cs="Arial"/>
        </w:rPr>
        <w:t xml:space="preserve">Rogowski, S. (2021) ‘Neoliberalism, austerity and social work with children and families: challenges and critical/radical possibilities’, Critical and radical social work, 9(3), pp. 353–367. Available at: </w:t>
      </w:r>
      <w:hyperlink r:id="rId56">
        <w:r w:rsidRPr="1EC678D9">
          <w:rPr>
            <w:rStyle w:val="Hyperlink"/>
            <w:rFonts w:ascii="Arial" w:eastAsia="Arial" w:hAnsi="Arial" w:cs="Arial"/>
          </w:rPr>
          <w:t>https://doi.org/10.1332/204986021X16109919707738</w:t>
        </w:r>
      </w:hyperlink>
      <w:r w:rsidRPr="1EC678D9">
        <w:rPr>
          <w:rFonts w:ascii="Arial" w:eastAsia="Arial" w:hAnsi="Arial" w:cs="Arial"/>
        </w:rPr>
        <w:t>.</w:t>
      </w:r>
    </w:p>
    <w:p w14:paraId="2636E3BB" w14:textId="208344DB" w:rsidR="03E81E05" w:rsidRDefault="03E81E05" w:rsidP="1EC678D9">
      <w:pPr>
        <w:rPr>
          <w:rFonts w:ascii="Arial" w:eastAsia="Arial" w:hAnsi="Arial" w:cs="Arial"/>
        </w:rPr>
      </w:pPr>
    </w:p>
    <w:p w14:paraId="3AB09B12" w14:textId="2C7D03D1" w:rsidR="0559B97C" w:rsidRDefault="0559B97C" w:rsidP="1EC678D9">
      <w:pPr>
        <w:rPr>
          <w:rFonts w:ascii="Arial" w:eastAsia="Arial" w:hAnsi="Arial" w:cs="Arial"/>
        </w:rPr>
      </w:pPr>
    </w:p>
    <w:p w14:paraId="7163FCC9" w14:textId="5B0E43B2" w:rsidR="579FB563" w:rsidRDefault="579FB563"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Stockings, E., Hall, W.D., Lynskey, M., Morley, K.I., Reavley, N., Strang, J., Patton, </w:t>
      </w:r>
      <w:r w:rsidRPr="1EC678D9">
        <w:rPr>
          <w:rFonts w:ascii="Arial" w:eastAsia="Arial" w:hAnsi="Arial" w:cs="Arial"/>
        </w:rPr>
        <w:lastRenderedPageBreak/>
        <w:t xml:space="preserve">G. and Degenhardt, L. (2016). Prevention, early intervention, harm reduction, and treatment of substance use in young people. The Lancet Psychiatry, 3(3), pp.280–296.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://doi.org/10.1016/s2215-0366(16)00002-x</w:t>
      </w:r>
      <w:proofErr w:type="gramEnd"/>
      <w:r w:rsidRPr="1EC678D9">
        <w:rPr>
          <w:rFonts w:ascii="Arial" w:eastAsia="Arial" w:hAnsi="Arial" w:cs="Arial"/>
        </w:rPr>
        <w:t>.</w:t>
      </w:r>
    </w:p>
    <w:p w14:paraId="2C4CC0ED" w14:textId="22CEF323" w:rsidR="03E81E05" w:rsidRDefault="03E81E05" w:rsidP="1EC678D9">
      <w:pPr>
        <w:rPr>
          <w:rFonts w:ascii="Arial" w:eastAsia="Arial" w:hAnsi="Arial" w:cs="Arial"/>
        </w:rPr>
      </w:pPr>
    </w:p>
    <w:p w14:paraId="165DF6BB" w14:textId="13251764" w:rsidR="5DBE67B2" w:rsidRDefault="5DBE67B2"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Sutherland, A. (2012). Is parental socio-economic status related to the initiation of substance abuse by young people in an English city? An event history analysis. Social Science &amp; Medicine, 74(7), pp.1053–1061.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://doi.org/10.1016/j.socscimed.2011.12.026</w:t>
      </w:r>
      <w:proofErr w:type="gramEnd"/>
      <w:r w:rsidRPr="1EC678D9">
        <w:rPr>
          <w:rFonts w:ascii="Arial" w:eastAsia="Arial" w:hAnsi="Arial" w:cs="Arial"/>
        </w:rPr>
        <w:t>.</w:t>
      </w:r>
    </w:p>
    <w:p w14:paraId="0CFCE796" w14:textId="0C2D404B" w:rsidR="5DBE67B2" w:rsidRDefault="5DBE67B2" w:rsidP="06329E2C">
      <w:pPr>
        <w:pStyle w:val="ListParagraph"/>
        <w:ind w:left="720"/>
        <w:rPr>
          <w:rFonts w:ascii="Arial" w:eastAsia="Arial" w:hAnsi="Arial" w:cs="Arial"/>
        </w:rPr>
      </w:pPr>
    </w:p>
    <w:p w14:paraId="55203FB4" w14:textId="025EFE71" w:rsidR="5C714093" w:rsidRDefault="5C714093"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Sussman, S., Earleywine, M., Wills, T., Cody, C., </w:t>
      </w:r>
      <w:proofErr w:type="spellStart"/>
      <w:r w:rsidRPr="1EC678D9">
        <w:rPr>
          <w:rFonts w:ascii="Arial" w:eastAsia="Arial" w:hAnsi="Arial" w:cs="Arial"/>
        </w:rPr>
        <w:t>Biglan</w:t>
      </w:r>
      <w:proofErr w:type="spellEnd"/>
      <w:r w:rsidRPr="1EC678D9">
        <w:rPr>
          <w:rFonts w:ascii="Arial" w:eastAsia="Arial" w:hAnsi="Arial" w:cs="Arial"/>
        </w:rPr>
        <w:t xml:space="preserve">, T., Dent, C.W. and Newcomb, M.D. (2004). The Motivation, Skills, and Decision-Making Model of ‘Drug Abuse’ Prevention. Substance Use &amp; Misuse, 39(10-12), pp.1971–2016.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://doi.org/10.1081/ja-200034769</w:t>
      </w:r>
      <w:proofErr w:type="gramEnd"/>
      <w:r w:rsidRPr="1EC678D9">
        <w:rPr>
          <w:rFonts w:ascii="Arial" w:eastAsia="Arial" w:hAnsi="Arial" w:cs="Arial"/>
        </w:rPr>
        <w:t>.</w:t>
      </w:r>
    </w:p>
    <w:p w14:paraId="7E48F63B" w14:textId="50EB8421" w:rsidR="1EC678D9" w:rsidRDefault="1EC678D9" w:rsidP="1EC678D9">
      <w:pPr>
        <w:rPr>
          <w:rFonts w:ascii="Arial" w:eastAsia="Arial" w:hAnsi="Arial" w:cs="Arial"/>
        </w:rPr>
      </w:pPr>
    </w:p>
    <w:p w14:paraId="6FD0A673" w14:textId="0ECB6374" w:rsidR="5C714093" w:rsidRDefault="5C714093" w:rsidP="1EC678D9">
      <w:pPr>
        <w:pStyle w:val="ListParagraph"/>
        <w:numPr>
          <w:ilvl w:val="0"/>
          <w:numId w:val="1"/>
        </w:numPr>
        <w:rPr>
          <w:rFonts w:ascii="Arial" w:eastAsia="Arial" w:hAnsi="Arial" w:cs="Arial"/>
        </w:rPr>
      </w:pPr>
      <w:r w:rsidRPr="1EC678D9">
        <w:rPr>
          <w:rFonts w:ascii="Arial" w:eastAsia="Arial" w:hAnsi="Arial" w:cs="Arial"/>
        </w:rPr>
        <w:t>‌</w:t>
      </w:r>
      <w:r w:rsidR="4D1843AD" w:rsidRPr="1EC678D9">
        <w:rPr>
          <w:rFonts w:ascii="Arial" w:eastAsia="Arial" w:hAnsi="Arial" w:cs="Arial"/>
        </w:rPr>
        <w:t xml:space="preserve"> </w:t>
      </w:r>
      <w:proofErr w:type="spellStart"/>
      <w:r w:rsidR="4D1843AD" w:rsidRPr="1EC678D9">
        <w:rPr>
          <w:rFonts w:ascii="Arial" w:eastAsia="Arial" w:hAnsi="Arial" w:cs="Arial"/>
        </w:rPr>
        <w:t>Sumnall</w:t>
      </w:r>
      <w:proofErr w:type="spellEnd"/>
      <w:r w:rsidR="4D1843AD" w:rsidRPr="1EC678D9">
        <w:rPr>
          <w:rFonts w:ascii="Arial" w:eastAsia="Arial" w:hAnsi="Arial" w:cs="Arial"/>
        </w:rPr>
        <w:t xml:space="preserve">, H.R. (2022) ‘Encouraging a “generational shift” in the UKs relationship with drugs. A commentary on the new UK drug strategy. What can be achieved with drug prevention?’, The International journal of drug policy, 109. Available at: </w:t>
      </w:r>
      <w:hyperlink r:id="rId57">
        <w:r w:rsidR="4D1843AD" w:rsidRPr="1EC678D9">
          <w:rPr>
            <w:rStyle w:val="Hyperlink"/>
            <w:rFonts w:ascii="Arial" w:eastAsia="Arial" w:hAnsi="Arial" w:cs="Arial"/>
          </w:rPr>
          <w:t>https://doi.org/10.1016/j.drugpo.2022.103841</w:t>
        </w:r>
      </w:hyperlink>
      <w:r w:rsidR="4D1843AD" w:rsidRPr="1EC678D9">
        <w:rPr>
          <w:rFonts w:ascii="Arial" w:eastAsia="Arial" w:hAnsi="Arial" w:cs="Arial"/>
        </w:rPr>
        <w:t>.</w:t>
      </w:r>
    </w:p>
    <w:p w14:paraId="328CE18B" w14:textId="6821B09F" w:rsidR="5C714093" w:rsidRDefault="5C714093" w:rsidP="1EC678D9">
      <w:pPr>
        <w:rPr>
          <w:rFonts w:ascii="Arial" w:eastAsia="Arial" w:hAnsi="Arial" w:cs="Arial"/>
        </w:rPr>
      </w:pPr>
    </w:p>
    <w:p w14:paraId="41B0C790" w14:textId="22848CD7" w:rsidR="4AD1927B" w:rsidRDefault="4AD1927B" w:rsidP="06329E2C">
      <w:pPr>
        <w:pStyle w:val="ListParagraph"/>
        <w:numPr>
          <w:ilvl w:val="0"/>
          <w:numId w:val="1"/>
        </w:numPr>
        <w:rPr>
          <w:rFonts w:ascii="Arial" w:eastAsia="Arial" w:hAnsi="Arial" w:cs="Arial"/>
          <w:color w:val="000000" w:themeColor="text1"/>
        </w:rPr>
      </w:pPr>
      <w:r w:rsidRPr="06329E2C">
        <w:rPr>
          <w:rFonts w:ascii="Arial" w:eastAsia="Arial" w:hAnsi="Arial" w:cs="Arial"/>
        </w:rPr>
        <w:t xml:space="preserve">Simonton, A.J., Young, C.C. and Johnson, K.E. (2018). Physical Activity Interventions to Decrease Substance Use in Youth: A Review of the Literature. Substance Use &amp; Misuse, 53(12), pp.2052–2068. </w:t>
      </w:r>
      <w:proofErr w:type="spellStart"/>
      <w:proofErr w:type="gramStart"/>
      <w:r w:rsidRPr="06329E2C">
        <w:rPr>
          <w:rFonts w:ascii="Arial" w:eastAsia="Arial" w:hAnsi="Arial" w:cs="Arial"/>
        </w:rPr>
        <w:t>doi:https</w:t>
      </w:r>
      <w:proofErr w:type="spellEnd"/>
      <w:r w:rsidRPr="06329E2C">
        <w:rPr>
          <w:rFonts w:ascii="Arial" w:eastAsia="Arial" w:hAnsi="Arial" w:cs="Arial"/>
        </w:rPr>
        <w:t>://doi.org/10.1080/10826084.2018.1452338</w:t>
      </w:r>
      <w:proofErr w:type="gramEnd"/>
      <w:r w:rsidRPr="06329E2C">
        <w:rPr>
          <w:rFonts w:ascii="Arial" w:eastAsia="Arial" w:hAnsi="Arial" w:cs="Arial"/>
        </w:rPr>
        <w:t>.</w:t>
      </w:r>
    </w:p>
    <w:p w14:paraId="1E482441" w14:textId="58B48986" w:rsidR="06329E2C" w:rsidRDefault="06329E2C" w:rsidP="06329E2C">
      <w:pPr>
        <w:pStyle w:val="ListParagraph"/>
        <w:ind w:left="720"/>
        <w:rPr>
          <w:rFonts w:ascii="Arial" w:eastAsia="Arial" w:hAnsi="Arial" w:cs="Arial"/>
          <w:color w:val="000000" w:themeColor="text1"/>
        </w:rPr>
      </w:pPr>
    </w:p>
    <w:p w14:paraId="2AFAAA74" w14:textId="5A8BB579" w:rsidR="03E81E05" w:rsidRDefault="4AD1927B" w:rsidP="1EC678D9">
      <w:pPr>
        <w:pStyle w:val="ListParagraph"/>
        <w:numPr>
          <w:ilvl w:val="0"/>
          <w:numId w:val="1"/>
        </w:numPr>
        <w:rPr>
          <w:rFonts w:ascii="Arial" w:eastAsia="Arial" w:hAnsi="Arial" w:cs="Arial"/>
        </w:rPr>
      </w:pPr>
      <w:r w:rsidRPr="06329E2C">
        <w:rPr>
          <w:rFonts w:ascii="Arial" w:eastAsia="Arial" w:hAnsi="Arial" w:cs="Arial"/>
        </w:rPr>
        <w:t>‌</w:t>
      </w:r>
      <w:r w:rsidR="121C7F46" w:rsidRPr="06329E2C">
        <w:rPr>
          <w:rFonts w:ascii="Arial" w:eastAsia="Arial" w:hAnsi="Arial" w:cs="Arial"/>
        </w:rPr>
        <w:t xml:space="preserve"> Stuever, J.F., 2024. Pillars of Youth Drug Abuse Prevention: Parents, Police, and Project Dare (Drug Abuse Resistance Education) (</w:t>
      </w:r>
      <w:proofErr w:type="gramStart"/>
      <w:r w:rsidR="121C7F46" w:rsidRPr="06329E2C">
        <w:rPr>
          <w:rFonts w:ascii="Arial" w:eastAsia="Arial" w:hAnsi="Arial" w:cs="Arial"/>
        </w:rPr>
        <w:t>Master's</w:t>
      </w:r>
      <w:proofErr w:type="gramEnd"/>
      <w:r w:rsidR="121C7F46" w:rsidRPr="06329E2C">
        <w:rPr>
          <w:rFonts w:ascii="Arial" w:eastAsia="Arial" w:hAnsi="Arial" w:cs="Arial"/>
        </w:rPr>
        <w:t xml:space="preserve"> thesis, The University of Wisconsin-Milwaukee).</w:t>
      </w:r>
    </w:p>
    <w:p w14:paraId="3EC42314" w14:textId="6A4F642A" w:rsidR="06329E2C" w:rsidRDefault="06329E2C" w:rsidP="06329E2C">
      <w:pPr>
        <w:pStyle w:val="ListParagraph"/>
        <w:ind w:left="720"/>
        <w:rPr>
          <w:rFonts w:ascii="Arial" w:eastAsia="Arial" w:hAnsi="Arial" w:cs="Arial"/>
        </w:rPr>
      </w:pPr>
    </w:p>
    <w:p w14:paraId="1CB40B7B" w14:textId="69BD1DDF" w:rsidR="0559B97C" w:rsidRDefault="1EF42C58"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Scher, B.D., Neufeld, S.D., Butler, A., Bonn, M., Zakimi, N., Farrell, J. and Greer, A. (2023). ‘Criminalization Causes the stigma’: Perspectives from People Who Use Drugs. Contemporary Drug Problems, [online] 50(3), pp.402–425.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://doi.org/10.1177/00914509231179226</w:t>
      </w:r>
      <w:proofErr w:type="gramEnd"/>
      <w:r w:rsidRPr="1EC678D9">
        <w:rPr>
          <w:rFonts w:ascii="Arial" w:eastAsia="Arial" w:hAnsi="Arial" w:cs="Arial"/>
        </w:rPr>
        <w:t>.</w:t>
      </w:r>
    </w:p>
    <w:p w14:paraId="562A837C" w14:textId="020676B9" w:rsidR="0559B97C" w:rsidRDefault="0559B97C" w:rsidP="1EC678D9">
      <w:pPr>
        <w:rPr>
          <w:rFonts w:ascii="Arial" w:eastAsia="Arial" w:hAnsi="Arial" w:cs="Arial"/>
        </w:rPr>
      </w:pPr>
    </w:p>
    <w:p w14:paraId="44EF60A5" w14:textId="556953BA" w:rsidR="579FB563" w:rsidRDefault="579FB563" w:rsidP="06329E2C">
      <w:pPr>
        <w:pStyle w:val="ListParagraph"/>
        <w:numPr>
          <w:ilvl w:val="0"/>
          <w:numId w:val="1"/>
        </w:numPr>
        <w:rPr>
          <w:rFonts w:ascii="Arial" w:eastAsia="Arial" w:hAnsi="Arial" w:cs="Arial"/>
          <w:color w:val="000000" w:themeColor="text1"/>
        </w:rPr>
      </w:pPr>
      <w:r w:rsidRPr="06329E2C">
        <w:rPr>
          <w:rFonts w:ascii="Arial" w:eastAsia="Arial" w:hAnsi="Arial" w:cs="Arial"/>
        </w:rPr>
        <w:t xml:space="preserve">Steele, D.W., Becker, S.J., Danko, K.J., Balk, E.M., Adam, G.P., Saldanha, I.J. and </w:t>
      </w:r>
      <w:proofErr w:type="spellStart"/>
      <w:r w:rsidRPr="06329E2C">
        <w:rPr>
          <w:rFonts w:ascii="Arial" w:eastAsia="Arial" w:hAnsi="Arial" w:cs="Arial"/>
        </w:rPr>
        <w:t>Trikalinos</w:t>
      </w:r>
      <w:proofErr w:type="spellEnd"/>
      <w:r w:rsidRPr="06329E2C">
        <w:rPr>
          <w:rFonts w:ascii="Arial" w:eastAsia="Arial" w:hAnsi="Arial" w:cs="Arial"/>
        </w:rPr>
        <w:t xml:space="preserve">, T.A. (2020). Brief </w:t>
      </w:r>
      <w:proofErr w:type="spellStart"/>
      <w:r w:rsidRPr="06329E2C">
        <w:rPr>
          <w:rFonts w:ascii="Arial" w:eastAsia="Arial" w:hAnsi="Arial" w:cs="Arial"/>
        </w:rPr>
        <w:t>Behavioral</w:t>
      </w:r>
      <w:proofErr w:type="spellEnd"/>
      <w:r w:rsidRPr="06329E2C">
        <w:rPr>
          <w:rFonts w:ascii="Arial" w:eastAsia="Arial" w:hAnsi="Arial" w:cs="Arial"/>
        </w:rPr>
        <w:t xml:space="preserve"> Interventions for Substance Use in Adolescents: A Meta-analysis. </w:t>
      </w:r>
      <w:proofErr w:type="spellStart"/>
      <w:r w:rsidRPr="06329E2C">
        <w:rPr>
          <w:rFonts w:ascii="Arial" w:eastAsia="Arial" w:hAnsi="Arial" w:cs="Arial"/>
        </w:rPr>
        <w:t>Pediatrics</w:t>
      </w:r>
      <w:proofErr w:type="spellEnd"/>
      <w:r w:rsidRPr="06329E2C">
        <w:rPr>
          <w:rFonts w:ascii="Arial" w:eastAsia="Arial" w:hAnsi="Arial" w:cs="Arial"/>
        </w:rPr>
        <w:t xml:space="preserve">, 146(4), p.e20200351. </w:t>
      </w:r>
      <w:proofErr w:type="spellStart"/>
      <w:proofErr w:type="gramStart"/>
      <w:r w:rsidRPr="06329E2C">
        <w:rPr>
          <w:rFonts w:ascii="Arial" w:eastAsia="Arial" w:hAnsi="Arial" w:cs="Arial"/>
        </w:rPr>
        <w:t>doi:https</w:t>
      </w:r>
      <w:proofErr w:type="spellEnd"/>
      <w:r w:rsidRPr="06329E2C">
        <w:rPr>
          <w:rFonts w:ascii="Arial" w:eastAsia="Arial" w:hAnsi="Arial" w:cs="Arial"/>
        </w:rPr>
        <w:t>://doi.org/10.1542/peds.2020-0351</w:t>
      </w:r>
      <w:proofErr w:type="gramEnd"/>
      <w:r w:rsidRPr="06329E2C">
        <w:rPr>
          <w:rFonts w:ascii="Arial" w:eastAsia="Arial" w:hAnsi="Arial" w:cs="Arial"/>
        </w:rPr>
        <w:t>.</w:t>
      </w:r>
    </w:p>
    <w:p w14:paraId="21E2E354" w14:textId="3B4B1D62" w:rsidR="06329E2C" w:rsidRDefault="06329E2C" w:rsidP="06329E2C">
      <w:pPr>
        <w:pStyle w:val="ListParagraph"/>
        <w:ind w:left="720"/>
        <w:rPr>
          <w:rFonts w:ascii="Arial" w:eastAsia="Arial" w:hAnsi="Arial" w:cs="Arial"/>
          <w:color w:val="000000" w:themeColor="text1"/>
        </w:rPr>
      </w:pPr>
    </w:p>
    <w:p w14:paraId="23FC7E57" w14:textId="37DF8070" w:rsidR="579FB563" w:rsidRDefault="579FB563"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 </w:t>
      </w:r>
      <w:proofErr w:type="spellStart"/>
      <w:r w:rsidRPr="1EC678D9">
        <w:rPr>
          <w:rFonts w:ascii="Arial" w:eastAsia="Arial" w:hAnsi="Arial" w:cs="Arial"/>
        </w:rPr>
        <w:t>Segrott</w:t>
      </w:r>
      <w:proofErr w:type="spellEnd"/>
      <w:r w:rsidRPr="1EC678D9">
        <w:rPr>
          <w:rFonts w:ascii="Arial" w:eastAsia="Arial" w:hAnsi="Arial" w:cs="Arial"/>
        </w:rPr>
        <w:t xml:space="preserve">, J. et al. (2014) ‘Preventing substance misuse: study protocol for a randomised controlled trial of the Strengthening Families Programme 10–14 UK (SFP 10–14 UK)’, BMC public health, 14(1). Available at: </w:t>
      </w:r>
      <w:hyperlink r:id="rId58">
        <w:r w:rsidRPr="1EC678D9">
          <w:rPr>
            <w:rStyle w:val="Hyperlink"/>
            <w:rFonts w:ascii="Arial" w:eastAsia="Arial" w:hAnsi="Arial" w:cs="Arial"/>
          </w:rPr>
          <w:t>https://doi.org/10.1186/1471-2458-14-49</w:t>
        </w:r>
      </w:hyperlink>
      <w:r w:rsidRPr="1EC678D9">
        <w:rPr>
          <w:rFonts w:ascii="Arial" w:eastAsia="Arial" w:hAnsi="Arial" w:cs="Arial"/>
        </w:rPr>
        <w:t>.</w:t>
      </w:r>
    </w:p>
    <w:p w14:paraId="4F67D722" w14:textId="22543D93" w:rsidR="0559B97C" w:rsidRDefault="0559B97C" w:rsidP="1EC678D9">
      <w:pPr>
        <w:rPr>
          <w:rFonts w:ascii="Arial" w:eastAsia="Arial" w:hAnsi="Arial" w:cs="Arial"/>
        </w:rPr>
      </w:pPr>
    </w:p>
    <w:p w14:paraId="415F375A" w14:textId="0AB8D511" w:rsidR="579FB563" w:rsidRDefault="579FB563" w:rsidP="1EC678D9">
      <w:pPr>
        <w:pStyle w:val="ListParagraph"/>
        <w:numPr>
          <w:ilvl w:val="0"/>
          <w:numId w:val="1"/>
        </w:numPr>
        <w:rPr>
          <w:rFonts w:ascii="Arial" w:eastAsia="Arial" w:hAnsi="Arial" w:cs="Arial"/>
          <w:color w:val="000000" w:themeColor="text1"/>
        </w:rPr>
      </w:pPr>
      <w:proofErr w:type="spellStart"/>
      <w:r w:rsidRPr="1EC678D9">
        <w:rPr>
          <w:rFonts w:ascii="Arial" w:eastAsia="Arial" w:hAnsi="Arial" w:cs="Arial"/>
        </w:rPr>
        <w:t>Segrott</w:t>
      </w:r>
      <w:proofErr w:type="spellEnd"/>
      <w:r w:rsidRPr="1EC678D9">
        <w:rPr>
          <w:rFonts w:ascii="Arial" w:eastAsia="Arial" w:hAnsi="Arial" w:cs="Arial"/>
        </w:rPr>
        <w:t>, J. et al. (2022) ‘Effectiveness of the Strengthening Families Programme in the UK at preventing substance misuse in 10–</w:t>
      </w:r>
      <w:proofErr w:type="gramStart"/>
      <w:r w:rsidRPr="1EC678D9">
        <w:rPr>
          <w:rFonts w:ascii="Arial" w:eastAsia="Arial" w:hAnsi="Arial" w:cs="Arial"/>
        </w:rPr>
        <w:t>14 year-olds</w:t>
      </w:r>
      <w:proofErr w:type="gramEnd"/>
      <w:r w:rsidRPr="1EC678D9">
        <w:rPr>
          <w:rFonts w:ascii="Arial" w:eastAsia="Arial" w:hAnsi="Arial" w:cs="Arial"/>
        </w:rPr>
        <w:t xml:space="preserve">: a pragmatic randomised controlled trial’, BMJ open, 12(2), pp. e049647-. Available at: </w:t>
      </w:r>
      <w:hyperlink r:id="rId59">
        <w:r w:rsidRPr="1EC678D9">
          <w:rPr>
            <w:rStyle w:val="Hyperlink"/>
            <w:rFonts w:ascii="Arial" w:eastAsia="Arial" w:hAnsi="Arial" w:cs="Arial"/>
          </w:rPr>
          <w:t>https://doi.org/10.1136/bmjopen-2021-049647</w:t>
        </w:r>
      </w:hyperlink>
      <w:r w:rsidRPr="1EC678D9">
        <w:rPr>
          <w:rFonts w:ascii="Arial" w:eastAsia="Arial" w:hAnsi="Arial" w:cs="Arial"/>
        </w:rPr>
        <w:t>.</w:t>
      </w:r>
    </w:p>
    <w:p w14:paraId="3737F15A" w14:textId="40FF7F9C" w:rsidR="0559B97C" w:rsidRDefault="0559B97C" w:rsidP="1EC678D9">
      <w:pPr>
        <w:rPr>
          <w:rFonts w:ascii="Arial" w:eastAsia="Arial" w:hAnsi="Arial" w:cs="Arial"/>
        </w:rPr>
      </w:pPr>
    </w:p>
    <w:p w14:paraId="3E520A9B" w14:textId="0A6FA097" w:rsidR="579FB563" w:rsidRDefault="579FB563" w:rsidP="1EC678D9">
      <w:pPr>
        <w:pStyle w:val="ListParagraph"/>
        <w:numPr>
          <w:ilvl w:val="0"/>
          <w:numId w:val="1"/>
        </w:numPr>
        <w:rPr>
          <w:rFonts w:ascii="Arial" w:eastAsia="Arial" w:hAnsi="Arial" w:cs="Arial"/>
          <w:color w:val="000000" w:themeColor="text1"/>
        </w:rPr>
      </w:pPr>
      <w:r w:rsidRPr="1EC678D9">
        <w:rPr>
          <w:rFonts w:ascii="Arial" w:eastAsia="Arial" w:hAnsi="Arial" w:cs="Arial"/>
        </w:rPr>
        <w:lastRenderedPageBreak/>
        <w:t xml:space="preserve">Sabharwal, R. and Miah, S.J. (2021). A new theoretical understanding of big data analytics capabilities in organizations: a thematic analysis. Journal of Big Data, [online] 8(1), pp.1–17.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://doi.org/10.1186/s40537-021-00543-6</w:t>
      </w:r>
      <w:proofErr w:type="gramEnd"/>
      <w:r w:rsidR="5BA26CDB" w:rsidRPr="1EC678D9">
        <w:rPr>
          <w:rFonts w:ascii="Arial" w:eastAsia="Arial" w:hAnsi="Arial" w:cs="Arial"/>
        </w:rPr>
        <w:t>.</w:t>
      </w:r>
    </w:p>
    <w:p w14:paraId="6CCF20E8" w14:textId="0F9BB162" w:rsidR="540F1010" w:rsidRDefault="540F1010" w:rsidP="1EC678D9">
      <w:pPr>
        <w:rPr>
          <w:rFonts w:ascii="Arial" w:eastAsia="Arial" w:hAnsi="Arial" w:cs="Arial"/>
        </w:rPr>
      </w:pPr>
    </w:p>
    <w:p w14:paraId="2533CC09" w14:textId="0DA9CE9D" w:rsidR="5BA26CDB" w:rsidRDefault="5BA26CDB" w:rsidP="1EC678D9">
      <w:pPr>
        <w:pStyle w:val="ListParagraph"/>
        <w:numPr>
          <w:ilvl w:val="0"/>
          <w:numId w:val="1"/>
        </w:numPr>
        <w:rPr>
          <w:rFonts w:ascii="Arial" w:eastAsia="Arial" w:hAnsi="Arial" w:cs="Arial"/>
        </w:rPr>
      </w:pPr>
      <w:r w:rsidRPr="06329E2C">
        <w:rPr>
          <w:rFonts w:ascii="Arial" w:eastAsia="Arial" w:hAnsi="Arial" w:cs="Arial"/>
        </w:rPr>
        <w:t xml:space="preserve">Simola, S. (2017) ‘Managing for academic integrity in higher education: Insights from </w:t>
      </w:r>
      <w:proofErr w:type="spellStart"/>
      <w:r w:rsidRPr="06329E2C">
        <w:rPr>
          <w:rFonts w:ascii="Arial" w:eastAsia="Arial" w:hAnsi="Arial" w:cs="Arial"/>
        </w:rPr>
        <w:t>behavioral</w:t>
      </w:r>
      <w:proofErr w:type="spellEnd"/>
      <w:r w:rsidRPr="06329E2C">
        <w:rPr>
          <w:rFonts w:ascii="Arial" w:eastAsia="Arial" w:hAnsi="Arial" w:cs="Arial"/>
        </w:rPr>
        <w:t xml:space="preserve"> ethics.’, Scholarship of teaching and learning in psychology., 3(1), pp. 43–57. Available at: </w:t>
      </w:r>
      <w:hyperlink r:id="rId60">
        <w:r w:rsidRPr="06329E2C">
          <w:rPr>
            <w:rStyle w:val="Hyperlink"/>
            <w:rFonts w:ascii="Arial" w:eastAsia="Arial" w:hAnsi="Arial" w:cs="Arial"/>
          </w:rPr>
          <w:t>https://doi.org/10.1037/stl0000076</w:t>
        </w:r>
      </w:hyperlink>
      <w:r w:rsidRPr="06329E2C">
        <w:rPr>
          <w:rFonts w:ascii="Arial" w:eastAsia="Arial" w:hAnsi="Arial" w:cs="Arial"/>
        </w:rPr>
        <w:t>.</w:t>
      </w:r>
    </w:p>
    <w:p w14:paraId="19A616FE" w14:textId="24C27808" w:rsidR="540F1010" w:rsidRDefault="540F1010" w:rsidP="06329E2C">
      <w:pPr>
        <w:pStyle w:val="ListParagraph"/>
        <w:ind w:left="720"/>
        <w:rPr>
          <w:rFonts w:ascii="Arial" w:eastAsia="Arial" w:hAnsi="Arial" w:cs="Arial"/>
        </w:rPr>
      </w:pPr>
    </w:p>
    <w:p w14:paraId="12C4580B" w14:textId="0B4EBDA4" w:rsidR="540F1010" w:rsidRDefault="0D72BFF8" w:rsidP="06329E2C">
      <w:pPr>
        <w:pStyle w:val="ListParagraph"/>
        <w:numPr>
          <w:ilvl w:val="0"/>
          <w:numId w:val="1"/>
        </w:numPr>
        <w:rPr>
          <w:rFonts w:ascii="Arial" w:eastAsia="Arial" w:hAnsi="Arial" w:cs="Arial"/>
        </w:rPr>
      </w:pPr>
      <w:r w:rsidRPr="06329E2C">
        <w:rPr>
          <w:rFonts w:ascii="Arial" w:eastAsia="Arial" w:hAnsi="Arial" w:cs="Arial"/>
        </w:rPr>
        <w:t xml:space="preserve">Schoenberger, S.F. </w:t>
      </w:r>
      <w:r w:rsidRPr="06329E2C">
        <w:rPr>
          <w:rFonts w:ascii="Arial" w:eastAsia="Arial" w:hAnsi="Arial" w:cs="Arial"/>
          <w:i/>
          <w:iCs/>
        </w:rPr>
        <w:t>et al.</w:t>
      </w:r>
      <w:r w:rsidRPr="06329E2C">
        <w:rPr>
          <w:rFonts w:ascii="Arial" w:eastAsia="Arial" w:hAnsi="Arial" w:cs="Arial"/>
        </w:rPr>
        <w:t xml:space="preserve"> (2022) ‘“My Life Isn’t Defined by Substance Use”: Recovery Perspectives Among Young Adults with Substance Use Disorder’, </w:t>
      </w:r>
      <w:r w:rsidRPr="06329E2C">
        <w:rPr>
          <w:rFonts w:ascii="Arial" w:eastAsia="Arial" w:hAnsi="Arial" w:cs="Arial"/>
          <w:i/>
          <w:iCs/>
        </w:rPr>
        <w:t xml:space="preserve">Journal of general internal </w:t>
      </w:r>
      <w:proofErr w:type="gramStart"/>
      <w:r w:rsidRPr="06329E2C">
        <w:rPr>
          <w:rFonts w:ascii="Arial" w:eastAsia="Arial" w:hAnsi="Arial" w:cs="Arial"/>
          <w:i/>
          <w:iCs/>
        </w:rPr>
        <w:t>medicine :</w:t>
      </w:r>
      <w:proofErr w:type="gramEnd"/>
      <w:r w:rsidRPr="06329E2C">
        <w:rPr>
          <w:rFonts w:ascii="Arial" w:eastAsia="Arial" w:hAnsi="Arial" w:cs="Arial"/>
          <w:i/>
          <w:iCs/>
        </w:rPr>
        <w:t xml:space="preserve"> JGIM</w:t>
      </w:r>
      <w:r w:rsidRPr="06329E2C">
        <w:rPr>
          <w:rFonts w:ascii="Arial" w:eastAsia="Arial" w:hAnsi="Arial" w:cs="Arial"/>
        </w:rPr>
        <w:t xml:space="preserve">, 37(4), pp. 816–822. Available at: </w:t>
      </w:r>
      <w:hyperlink r:id="rId61">
        <w:r w:rsidRPr="06329E2C">
          <w:rPr>
            <w:rStyle w:val="Hyperlink"/>
            <w:rFonts w:ascii="Arial" w:eastAsia="Arial" w:hAnsi="Arial" w:cs="Arial"/>
          </w:rPr>
          <w:t>https://doi.org/10.1007/s11606-021-06934-y</w:t>
        </w:r>
      </w:hyperlink>
      <w:r w:rsidRPr="06329E2C">
        <w:rPr>
          <w:rFonts w:ascii="Arial" w:eastAsia="Arial" w:hAnsi="Arial" w:cs="Arial"/>
        </w:rPr>
        <w:t>.</w:t>
      </w:r>
    </w:p>
    <w:p w14:paraId="627A0921" w14:textId="7AA3D2B8" w:rsidR="540F1010" w:rsidRDefault="540F1010" w:rsidP="06329E2C">
      <w:pPr>
        <w:pStyle w:val="ListParagraph"/>
        <w:ind w:left="720"/>
        <w:rPr>
          <w:rFonts w:ascii="Arial" w:eastAsia="Arial" w:hAnsi="Arial" w:cs="Arial"/>
        </w:rPr>
      </w:pPr>
    </w:p>
    <w:p w14:paraId="6AA670F9" w14:textId="763D50AB" w:rsidR="540F1010" w:rsidRDefault="540F1010" w:rsidP="06329E2C">
      <w:pPr>
        <w:pStyle w:val="ListParagraph"/>
        <w:ind w:left="720"/>
        <w:rPr>
          <w:rFonts w:ascii="Arial" w:eastAsia="Arial" w:hAnsi="Arial" w:cs="Arial"/>
        </w:rPr>
      </w:pPr>
    </w:p>
    <w:p w14:paraId="0480C6DD" w14:textId="04A6091F" w:rsidR="540F1010" w:rsidRDefault="26BB1C66" w:rsidP="06329E2C">
      <w:pPr>
        <w:pStyle w:val="ListParagraph"/>
        <w:numPr>
          <w:ilvl w:val="0"/>
          <w:numId w:val="1"/>
        </w:numPr>
        <w:rPr>
          <w:rFonts w:ascii="Arial" w:eastAsia="Arial" w:hAnsi="Arial" w:cs="Arial"/>
        </w:rPr>
      </w:pPr>
      <w:r w:rsidRPr="06329E2C">
        <w:rPr>
          <w:rFonts w:ascii="Arial" w:eastAsia="Arial" w:hAnsi="Arial" w:cs="Arial"/>
        </w:rPr>
        <w:t xml:space="preserve">Tinner, L. </w:t>
      </w:r>
      <w:r w:rsidRPr="06329E2C">
        <w:rPr>
          <w:rFonts w:ascii="Arial" w:eastAsia="Arial" w:hAnsi="Arial" w:cs="Arial"/>
          <w:i/>
          <w:iCs/>
        </w:rPr>
        <w:t>et al.</w:t>
      </w:r>
      <w:r w:rsidRPr="06329E2C">
        <w:rPr>
          <w:rFonts w:ascii="Arial" w:eastAsia="Arial" w:hAnsi="Arial" w:cs="Arial"/>
        </w:rPr>
        <w:t xml:space="preserve"> (2021) ‘Understanding adolescent health risk behaviour and socioeconomic position: A grounded theory study of UK young adults’, </w:t>
      </w:r>
      <w:r w:rsidRPr="06329E2C">
        <w:rPr>
          <w:rFonts w:ascii="Arial" w:eastAsia="Arial" w:hAnsi="Arial" w:cs="Arial"/>
          <w:i/>
          <w:iCs/>
        </w:rPr>
        <w:t>Sociology of health &amp; illness</w:t>
      </w:r>
      <w:r w:rsidRPr="06329E2C">
        <w:rPr>
          <w:rFonts w:ascii="Arial" w:eastAsia="Arial" w:hAnsi="Arial" w:cs="Arial"/>
        </w:rPr>
        <w:t xml:space="preserve">, 43(2), pp. 528–544. Available at: </w:t>
      </w:r>
      <w:hyperlink r:id="rId62">
        <w:r w:rsidRPr="06329E2C">
          <w:rPr>
            <w:rStyle w:val="Hyperlink"/>
            <w:rFonts w:ascii="Arial" w:eastAsia="Arial" w:hAnsi="Arial" w:cs="Arial"/>
          </w:rPr>
          <w:t>https://doi.org/10.1111/1467-9566.13240</w:t>
        </w:r>
      </w:hyperlink>
      <w:r w:rsidRPr="06329E2C">
        <w:rPr>
          <w:rFonts w:ascii="Arial" w:eastAsia="Arial" w:hAnsi="Arial" w:cs="Arial"/>
        </w:rPr>
        <w:t>.</w:t>
      </w:r>
    </w:p>
    <w:p w14:paraId="21C973E9" w14:textId="4A86C00D" w:rsidR="59AE6312" w:rsidRDefault="59AE6312" w:rsidP="0E260372">
      <w:pPr>
        <w:ind w:left="720"/>
        <w:rPr>
          <w:rFonts w:ascii="Arial" w:eastAsia="Arial" w:hAnsi="Arial" w:cs="Arial"/>
        </w:rPr>
      </w:pPr>
    </w:p>
    <w:p w14:paraId="41724395" w14:textId="12160DE6" w:rsidR="03986F4E" w:rsidRDefault="03986F4E"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Tinner, L., Caldwell, D., Hickman, M. and Campbell, R. (2021). Understanding adolescent health risk behaviour and socioeconomic position: A grounded theory study of UK young adults. Sociology of Health &amp; Illness, 43(2).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://doi.org/10.1111/1467-9566.13240</w:t>
      </w:r>
      <w:proofErr w:type="gramEnd"/>
      <w:r w:rsidRPr="1EC678D9">
        <w:rPr>
          <w:rFonts w:ascii="Arial" w:eastAsia="Arial" w:hAnsi="Arial" w:cs="Arial"/>
        </w:rPr>
        <w:t>.</w:t>
      </w:r>
    </w:p>
    <w:p w14:paraId="2C62B265" w14:textId="25186022" w:rsidR="03986F4E" w:rsidRDefault="03986F4E" w:rsidP="1EC678D9">
      <w:pPr>
        <w:rPr>
          <w:rFonts w:ascii="Arial" w:eastAsia="Arial" w:hAnsi="Arial" w:cs="Arial"/>
        </w:rPr>
      </w:pPr>
    </w:p>
    <w:p w14:paraId="04A26F9B" w14:textId="7576A0AC" w:rsidR="6FC7FBC1" w:rsidRDefault="6FC7FBC1"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Valentine, C., Bauld, L. and Walter, T. (2016). Bereavement Following Substance Misuse. OMEGA - Journal of Death and Dying, 72(4), pp.283–301.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://doi.org/10.1177/0030222815625174</w:t>
      </w:r>
      <w:proofErr w:type="gramEnd"/>
      <w:r w:rsidRPr="1EC678D9">
        <w:rPr>
          <w:rFonts w:ascii="Arial" w:eastAsia="Arial" w:hAnsi="Arial" w:cs="Arial"/>
        </w:rPr>
        <w:t>.</w:t>
      </w:r>
    </w:p>
    <w:p w14:paraId="3D2CF764" w14:textId="188F6F6B" w:rsidR="540F1010" w:rsidRDefault="540F1010" w:rsidP="1EC678D9">
      <w:pPr>
        <w:rPr>
          <w:rFonts w:ascii="Arial" w:eastAsia="Arial" w:hAnsi="Arial" w:cs="Arial"/>
        </w:rPr>
      </w:pPr>
    </w:p>
    <w:p w14:paraId="404B9973" w14:textId="43F6AD54" w:rsidR="6FC7FBC1" w:rsidRDefault="6FC7FBC1" w:rsidP="1EC678D9">
      <w:pPr>
        <w:pStyle w:val="ListParagraph"/>
        <w:numPr>
          <w:ilvl w:val="0"/>
          <w:numId w:val="1"/>
        </w:numPr>
        <w:rPr>
          <w:rFonts w:ascii="Arial" w:eastAsia="Arial" w:hAnsi="Arial" w:cs="Arial"/>
        </w:rPr>
      </w:pPr>
      <w:r w:rsidRPr="1EC678D9">
        <w:rPr>
          <w:rFonts w:ascii="Arial" w:eastAsia="Arial" w:hAnsi="Arial" w:cs="Arial"/>
        </w:rPr>
        <w:t>‌</w:t>
      </w:r>
      <w:r w:rsidR="2F7A5354" w:rsidRPr="1EC678D9">
        <w:rPr>
          <w:rFonts w:ascii="Arial" w:eastAsia="Arial" w:hAnsi="Arial" w:cs="Arial"/>
        </w:rPr>
        <w:t xml:space="preserve"> Verboom, B., Montgomery, P. and Bennett, S. (2016) ‘What factors affect evidence-informed policymaking in public health? Protocol for a systematic review of qualitative evidence using thematic synthesis’, Systematic reviews, 5(1). Available at: </w:t>
      </w:r>
      <w:hyperlink r:id="rId63">
        <w:r w:rsidR="2F7A5354" w:rsidRPr="1EC678D9">
          <w:rPr>
            <w:rStyle w:val="Hyperlink"/>
            <w:rFonts w:ascii="Arial" w:eastAsia="Arial" w:hAnsi="Arial" w:cs="Arial"/>
          </w:rPr>
          <w:t>https://doi.org/10.1186/s13643-016-0240-6</w:t>
        </w:r>
      </w:hyperlink>
      <w:r w:rsidR="2F7A5354" w:rsidRPr="1EC678D9">
        <w:rPr>
          <w:rFonts w:ascii="Arial" w:eastAsia="Arial" w:hAnsi="Arial" w:cs="Arial"/>
        </w:rPr>
        <w:t>.</w:t>
      </w:r>
    </w:p>
    <w:p w14:paraId="44996002" w14:textId="677B5D8D" w:rsidR="6FC7FBC1" w:rsidRDefault="6FC7FBC1" w:rsidP="1EC678D9">
      <w:pPr>
        <w:rPr>
          <w:rFonts w:ascii="Arial" w:eastAsia="Arial" w:hAnsi="Arial" w:cs="Arial"/>
        </w:rPr>
      </w:pPr>
    </w:p>
    <w:p w14:paraId="2A8A40CD" w14:textId="17940B00" w:rsidR="0559B97C" w:rsidRDefault="0559B97C" w:rsidP="1EC678D9">
      <w:pPr>
        <w:rPr>
          <w:rFonts w:ascii="Arial" w:eastAsia="Arial" w:hAnsi="Arial" w:cs="Arial"/>
        </w:rPr>
      </w:pPr>
    </w:p>
    <w:p w14:paraId="2F3ED30E" w14:textId="0FEF4125" w:rsidR="624B5656" w:rsidRDefault="624B5656"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Valdez, E.S., </w:t>
      </w:r>
      <w:proofErr w:type="spellStart"/>
      <w:r w:rsidRPr="1EC678D9">
        <w:rPr>
          <w:rFonts w:ascii="Arial" w:eastAsia="Arial" w:hAnsi="Arial" w:cs="Arial"/>
        </w:rPr>
        <w:t>Skobic</w:t>
      </w:r>
      <w:proofErr w:type="spellEnd"/>
      <w:r w:rsidRPr="1EC678D9">
        <w:rPr>
          <w:rFonts w:ascii="Arial" w:eastAsia="Arial" w:hAnsi="Arial" w:cs="Arial"/>
        </w:rPr>
        <w:t xml:space="preserve">, I., Valdez, L., O Garcia, D., </w:t>
      </w:r>
      <w:proofErr w:type="spellStart"/>
      <w:r w:rsidRPr="1EC678D9">
        <w:rPr>
          <w:rFonts w:ascii="Arial" w:eastAsia="Arial" w:hAnsi="Arial" w:cs="Arial"/>
        </w:rPr>
        <w:t>Korchmaros</w:t>
      </w:r>
      <w:proofErr w:type="spellEnd"/>
      <w:r w:rsidRPr="1EC678D9">
        <w:rPr>
          <w:rFonts w:ascii="Arial" w:eastAsia="Arial" w:hAnsi="Arial" w:cs="Arial"/>
        </w:rPr>
        <w:t xml:space="preserve">, J., Stevens, S., Sabo, S. and Carvajal, S. (2019). Youth Participatory Action Research for Youth Substance Use Prevention: A Systematic Review. Substance Use &amp; Misuse, 55(2), pp.314–328. </w:t>
      </w:r>
      <w:proofErr w:type="spellStart"/>
      <w:proofErr w:type="gramStart"/>
      <w:r w:rsidRPr="1EC678D9">
        <w:rPr>
          <w:rFonts w:ascii="Arial" w:eastAsia="Arial" w:hAnsi="Arial" w:cs="Arial"/>
        </w:rPr>
        <w:t>doi:https</w:t>
      </w:r>
      <w:proofErr w:type="spellEnd"/>
      <w:r w:rsidRPr="1EC678D9">
        <w:rPr>
          <w:rFonts w:ascii="Arial" w:eastAsia="Arial" w:hAnsi="Arial" w:cs="Arial"/>
        </w:rPr>
        <w:t>://doi.org/10.1080/10826084.2019.1668014</w:t>
      </w:r>
      <w:proofErr w:type="gramEnd"/>
      <w:r w:rsidR="1A45BB61" w:rsidRPr="1EC678D9">
        <w:rPr>
          <w:rFonts w:ascii="Arial" w:eastAsia="Arial" w:hAnsi="Arial" w:cs="Arial"/>
        </w:rPr>
        <w:t>.</w:t>
      </w:r>
    </w:p>
    <w:p w14:paraId="7C8899B7" w14:textId="3D185483" w:rsidR="1EC678D9" w:rsidRDefault="1EC678D9" w:rsidP="1EC678D9">
      <w:pPr>
        <w:pStyle w:val="ListParagraph"/>
        <w:ind w:left="720"/>
        <w:rPr>
          <w:rFonts w:ascii="Arial" w:eastAsia="Arial" w:hAnsi="Arial" w:cs="Arial"/>
          <w:color w:val="000000" w:themeColor="text1"/>
        </w:rPr>
      </w:pPr>
    </w:p>
    <w:p w14:paraId="70E71CDA" w14:textId="3DB0096D" w:rsidR="1A45BB61" w:rsidRDefault="1A45BB61" w:rsidP="1EC678D9">
      <w:pPr>
        <w:pStyle w:val="ListParagraph"/>
        <w:numPr>
          <w:ilvl w:val="0"/>
          <w:numId w:val="1"/>
        </w:numPr>
        <w:rPr>
          <w:rFonts w:ascii="Arial" w:eastAsia="Arial" w:hAnsi="Arial" w:cs="Arial"/>
        </w:rPr>
      </w:pPr>
      <w:r w:rsidRPr="06329E2C">
        <w:rPr>
          <w:rFonts w:ascii="Arial" w:eastAsia="Arial" w:hAnsi="Arial" w:cs="Arial"/>
        </w:rPr>
        <w:t xml:space="preserve">Volkow, N.D. and Blanco, C. (2023) ‘substance use disorders: a comprehensive update of classification, epidemiology, neurobiology, clinical aspects, treatment and prevention’, </w:t>
      </w:r>
      <w:r w:rsidRPr="06329E2C">
        <w:rPr>
          <w:rFonts w:ascii="Arial" w:eastAsia="Arial" w:hAnsi="Arial" w:cs="Arial"/>
          <w:i/>
          <w:iCs/>
        </w:rPr>
        <w:t>World psychiatry</w:t>
      </w:r>
      <w:r w:rsidRPr="06329E2C">
        <w:rPr>
          <w:rFonts w:ascii="Arial" w:eastAsia="Arial" w:hAnsi="Arial" w:cs="Arial"/>
        </w:rPr>
        <w:t xml:space="preserve">, 22(2), pp. 203–229. Available at: </w:t>
      </w:r>
      <w:hyperlink r:id="rId64">
        <w:r w:rsidRPr="06329E2C">
          <w:rPr>
            <w:rStyle w:val="Hyperlink"/>
            <w:rFonts w:ascii="Arial" w:eastAsia="Arial" w:hAnsi="Arial" w:cs="Arial"/>
          </w:rPr>
          <w:t>https://doi.org/10.1002/wps.21073</w:t>
        </w:r>
      </w:hyperlink>
      <w:r w:rsidRPr="06329E2C">
        <w:rPr>
          <w:rFonts w:ascii="Arial" w:eastAsia="Arial" w:hAnsi="Arial" w:cs="Arial"/>
        </w:rPr>
        <w:t>.</w:t>
      </w:r>
    </w:p>
    <w:p w14:paraId="6510A19A" w14:textId="372CD458" w:rsidR="06329E2C" w:rsidRDefault="06329E2C" w:rsidP="06329E2C">
      <w:pPr>
        <w:pStyle w:val="ListParagraph"/>
        <w:ind w:left="720"/>
        <w:rPr>
          <w:rFonts w:ascii="Arial" w:eastAsia="Arial" w:hAnsi="Arial" w:cs="Arial"/>
        </w:rPr>
      </w:pPr>
    </w:p>
    <w:p w14:paraId="718E618D" w14:textId="555BE891" w:rsidR="01AE34DF" w:rsidRDefault="01AE34DF" w:rsidP="06329E2C">
      <w:pPr>
        <w:pStyle w:val="ListParagraph"/>
        <w:numPr>
          <w:ilvl w:val="0"/>
          <w:numId w:val="1"/>
        </w:numPr>
        <w:rPr>
          <w:rFonts w:ascii="Arial" w:eastAsia="Arial" w:hAnsi="Arial" w:cs="Arial"/>
        </w:rPr>
      </w:pPr>
      <w:proofErr w:type="spellStart"/>
      <w:r w:rsidRPr="06329E2C">
        <w:rPr>
          <w:rFonts w:ascii="Arial" w:eastAsia="Arial" w:hAnsi="Arial" w:cs="Arial"/>
        </w:rPr>
        <w:t>Vearrier</w:t>
      </w:r>
      <w:proofErr w:type="spellEnd"/>
      <w:r w:rsidRPr="06329E2C">
        <w:rPr>
          <w:rFonts w:ascii="Arial" w:eastAsia="Arial" w:hAnsi="Arial" w:cs="Arial"/>
        </w:rPr>
        <w:t xml:space="preserve">, L. (2019) ‘The value of harm reduction for injection drug use: A clinical and public health ethics analysis’, </w:t>
      </w:r>
      <w:r w:rsidRPr="06329E2C">
        <w:rPr>
          <w:rFonts w:ascii="Arial" w:eastAsia="Arial" w:hAnsi="Arial" w:cs="Arial"/>
          <w:i/>
          <w:iCs/>
        </w:rPr>
        <w:t>Disease-a-month</w:t>
      </w:r>
      <w:r w:rsidRPr="06329E2C">
        <w:rPr>
          <w:rFonts w:ascii="Arial" w:eastAsia="Arial" w:hAnsi="Arial" w:cs="Arial"/>
        </w:rPr>
        <w:t xml:space="preserve">, 65(5), pp. 119–141. Available at: </w:t>
      </w:r>
      <w:hyperlink r:id="rId65">
        <w:r w:rsidRPr="06329E2C">
          <w:rPr>
            <w:rStyle w:val="Hyperlink"/>
            <w:rFonts w:ascii="Arial" w:eastAsia="Arial" w:hAnsi="Arial" w:cs="Arial"/>
          </w:rPr>
          <w:t>https://doi.org/10.1016/j.disamonth.2018.12.002</w:t>
        </w:r>
      </w:hyperlink>
      <w:r w:rsidRPr="06329E2C">
        <w:rPr>
          <w:rFonts w:ascii="Arial" w:eastAsia="Arial" w:hAnsi="Arial" w:cs="Arial"/>
        </w:rPr>
        <w:t>.</w:t>
      </w:r>
    </w:p>
    <w:p w14:paraId="3716C01E" w14:textId="40D95E7D" w:rsidR="06329E2C" w:rsidRDefault="06329E2C" w:rsidP="06329E2C">
      <w:pPr>
        <w:pStyle w:val="ListParagraph"/>
        <w:ind w:left="720"/>
        <w:rPr>
          <w:rFonts w:ascii="Arial" w:eastAsia="Arial" w:hAnsi="Arial" w:cs="Arial"/>
        </w:rPr>
      </w:pPr>
    </w:p>
    <w:p w14:paraId="7006A426" w14:textId="75BF959E" w:rsidR="1EC678D9" w:rsidRDefault="1EC678D9" w:rsidP="1EC678D9">
      <w:pPr>
        <w:pStyle w:val="ListParagraph"/>
        <w:ind w:left="720"/>
        <w:rPr>
          <w:rFonts w:ascii="Arial" w:eastAsia="Arial" w:hAnsi="Arial" w:cs="Arial"/>
          <w:color w:val="000000" w:themeColor="text1"/>
        </w:rPr>
      </w:pPr>
    </w:p>
    <w:p w14:paraId="7E264804" w14:textId="4198087E" w:rsidR="1EC678D9" w:rsidRDefault="1EC678D9" w:rsidP="1EC678D9">
      <w:pPr>
        <w:pStyle w:val="ListParagraph"/>
        <w:ind w:left="720"/>
        <w:rPr>
          <w:rFonts w:ascii="Arial" w:eastAsia="Arial" w:hAnsi="Arial" w:cs="Arial"/>
          <w:color w:val="000000" w:themeColor="text1"/>
        </w:rPr>
      </w:pPr>
    </w:p>
    <w:p w14:paraId="7300AF84" w14:textId="11C87F5D" w:rsidR="624B5656" w:rsidRDefault="624B5656" w:rsidP="1EC678D9">
      <w:pPr>
        <w:pStyle w:val="ListParagraph"/>
        <w:numPr>
          <w:ilvl w:val="0"/>
          <w:numId w:val="1"/>
        </w:numPr>
        <w:rPr>
          <w:rFonts w:ascii="Arial" w:eastAsia="Arial" w:hAnsi="Arial" w:cs="Arial"/>
        </w:rPr>
      </w:pPr>
      <w:r w:rsidRPr="1EC678D9">
        <w:rPr>
          <w:rFonts w:ascii="Arial" w:eastAsia="Arial" w:hAnsi="Arial" w:cs="Arial"/>
        </w:rPr>
        <w:t>‌</w:t>
      </w:r>
      <w:r w:rsidR="2C462FD3" w:rsidRPr="1EC678D9">
        <w:rPr>
          <w:rFonts w:ascii="Arial" w:eastAsia="Arial" w:hAnsi="Arial" w:cs="Arial"/>
        </w:rPr>
        <w:t xml:space="preserve"> Wilkhu, P., 2022. Investigating illicit drug use in adolescent students in England. Lancaster University (United Kingdom).</w:t>
      </w:r>
      <w:r w:rsidR="098A01E8" w:rsidRPr="1EC678D9">
        <w:rPr>
          <w:rFonts w:ascii="Arial" w:eastAsia="Arial" w:hAnsi="Arial" w:cs="Arial"/>
        </w:rPr>
        <w:t xml:space="preserve"> </w:t>
      </w:r>
    </w:p>
    <w:p w14:paraId="3CF9A06B" w14:textId="1ABBA0EF" w:rsidR="03E81E05" w:rsidRDefault="03E81E05" w:rsidP="1EC678D9">
      <w:pPr>
        <w:rPr>
          <w:rFonts w:ascii="Arial" w:eastAsia="Arial" w:hAnsi="Arial" w:cs="Arial"/>
        </w:rPr>
      </w:pPr>
    </w:p>
    <w:p w14:paraId="59337AA2" w14:textId="4F79374E" w:rsidR="0559B97C" w:rsidRDefault="0559B97C" w:rsidP="1EC678D9">
      <w:pPr>
        <w:rPr>
          <w:rFonts w:ascii="Arial" w:eastAsia="Arial" w:hAnsi="Arial" w:cs="Arial"/>
        </w:rPr>
      </w:pPr>
    </w:p>
    <w:p w14:paraId="4EE5A6E2" w14:textId="157C2855" w:rsidR="579FB563" w:rsidRDefault="579FB563"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 xml:space="preserve">Weitzel, E., Hopper, C. and Herridge, D. (2021) ‘Adolescent Gangs: Substance Misuse and Exposure to Adverse Childhood Experiences’, Psychiatry (Washington, D.C.), 84(1), pp. 33–45. Available at: </w:t>
      </w:r>
      <w:hyperlink r:id="rId66">
        <w:r w:rsidRPr="1EC678D9">
          <w:rPr>
            <w:rStyle w:val="Hyperlink"/>
            <w:rFonts w:ascii="Arial" w:eastAsia="Arial" w:hAnsi="Arial" w:cs="Arial"/>
          </w:rPr>
          <w:t>https://doi.org/10.1080/00332747.2020.1800291</w:t>
        </w:r>
      </w:hyperlink>
      <w:r w:rsidRPr="1EC678D9">
        <w:rPr>
          <w:rFonts w:ascii="Arial" w:eastAsia="Arial" w:hAnsi="Arial" w:cs="Arial"/>
        </w:rPr>
        <w:t>.</w:t>
      </w:r>
    </w:p>
    <w:p w14:paraId="6472BE23" w14:textId="65F47027" w:rsidR="1EC678D9" w:rsidRDefault="1EC678D9" w:rsidP="1EC678D9">
      <w:pPr>
        <w:rPr>
          <w:rFonts w:ascii="Arial" w:eastAsia="Arial" w:hAnsi="Arial" w:cs="Arial"/>
        </w:rPr>
      </w:pPr>
    </w:p>
    <w:p w14:paraId="616F1EE4" w14:textId="7873CFCD" w:rsidR="1EC678D9" w:rsidRDefault="54C0C27A" w:rsidP="0E260372">
      <w:pPr>
        <w:pStyle w:val="ListParagraph"/>
        <w:numPr>
          <w:ilvl w:val="0"/>
          <w:numId w:val="1"/>
        </w:numPr>
        <w:rPr>
          <w:rFonts w:ascii="Arial" w:eastAsia="Arial" w:hAnsi="Arial" w:cs="Arial"/>
        </w:rPr>
      </w:pPr>
      <w:r w:rsidRPr="0E260372">
        <w:rPr>
          <w:rFonts w:ascii="Arial" w:eastAsia="Arial" w:hAnsi="Arial" w:cs="Arial"/>
        </w:rPr>
        <w:t xml:space="preserve">Watts, L.L. et al. (2024) ‘A meta-analysis study on peer influence and adolescent substance use’, Current psychology (New Brunswick, N.J.), 43(5), pp. 3866–3881. Available at: </w:t>
      </w:r>
      <w:hyperlink r:id="rId67">
        <w:r w:rsidRPr="0E260372">
          <w:rPr>
            <w:rStyle w:val="Hyperlink"/>
            <w:rFonts w:ascii="Arial" w:eastAsia="Arial" w:hAnsi="Arial" w:cs="Arial"/>
          </w:rPr>
          <w:t>https://doi.org/10.1007/s12144-023-04944-z</w:t>
        </w:r>
      </w:hyperlink>
      <w:r w:rsidRPr="0E260372">
        <w:rPr>
          <w:rFonts w:ascii="Arial" w:eastAsia="Arial" w:hAnsi="Arial" w:cs="Arial"/>
        </w:rPr>
        <w:t>.</w:t>
      </w:r>
    </w:p>
    <w:p w14:paraId="34FBBE77" w14:textId="56773899" w:rsidR="1EC678D9" w:rsidRDefault="1EC678D9" w:rsidP="1EC678D9">
      <w:pPr>
        <w:rPr>
          <w:rFonts w:ascii="Arial" w:eastAsia="Arial" w:hAnsi="Arial" w:cs="Arial"/>
        </w:rPr>
      </w:pPr>
    </w:p>
    <w:p w14:paraId="715EF63A" w14:textId="66DD6474" w:rsidR="0559B97C" w:rsidRDefault="219A6B73" w:rsidP="1EC678D9">
      <w:pPr>
        <w:pStyle w:val="ListParagraph"/>
        <w:numPr>
          <w:ilvl w:val="0"/>
          <w:numId w:val="1"/>
        </w:numPr>
        <w:rPr>
          <w:rFonts w:ascii="Arial" w:eastAsia="Arial" w:hAnsi="Arial" w:cs="Arial"/>
          <w:color w:val="000000" w:themeColor="text1"/>
        </w:rPr>
      </w:pPr>
      <w:r w:rsidRPr="1EC678D9">
        <w:rPr>
          <w:rFonts w:ascii="Arial" w:eastAsia="Arial" w:hAnsi="Arial" w:cs="Arial"/>
        </w:rPr>
        <w:t>Yates, R. (2002). A Brief History of British Drug Policy, 1950-2001. Drugs: Education, Prevention and Policy, 9(2), pp.113–124:</w:t>
      </w:r>
      <w:r w:rsidR="0ACC8CFF" w:rsidRPr="1EC678D9">
        <w:rPr>
          <w:rFonts w:ascii="Arial" w:eastAsia="Arial" w:hAnsi="Arial" w:cs="Arial"/>
        </w:rPr>
        <w:t xml:space="preserve"> </w:t>
      </w:r>
      <w:hyperlink r:id="rId68">
        <w:r w:rsidR="0ACC8CFF" w:rsidRPr="1EC678D9">
          <w:rPr>
            <w:rStyle w:val="Hyperlink"/>
            <w:rFonts w:ascii="Arial" w:eastAsia="Arial" w:hAnsi="Arial" w:cs="Arial"/>
          </w:rPr>
          <w:t>https://</w:t>
        </w:r>
        <w:r w:rsidRPr="1EC678D9">
          <w:rPr>
            <w:rStyle w:val="Hyperlink"/>
            <w:rFonts w:ascii="Arial" w:eastAsia="Arial" w:hAnsi="Arial" w:cs="Arial"/>
          </w:rPr>
          <w:t>doi.org/10.1080/09687630110118478</w:t>
        </w:r>
      </w:hyperlink>
      <w:r w:rsidRPr="1EC678D9">
        <w:rPr>
          <w:rFonts w:ascii="Arial" w:eastAsia="Arial" w:hAnsi="Arial" w:cs="Arial"/>
        </w:rPr>
        <w:t>.</w:t>
      </w:r>
    </w:p>
    <w:p w14:paraId="0EB3CC13" w14:textId="33D52B24" w:rsidR="1EC678D9" w:rsidRDefault="1EC678D9" w:rsidP="1EC678D9">
      <w:pPr>
        <w:rPr>
          <w:rFonts w:ascii="Arial" w:eastAsia="Arial" w:hAnsi="Arial" w:cs="Arial"/>
        </w:rPr>
      </w:pPr>
    </w:p>
    <w:p w14:paraId="250201D9" w14:textId="53A91035" w:rsidR="0559B97C" w:rsidRDefault="219A6B73" w:rsidP="1EC678D9">
      <w:pPr>
        <w:pStyle w:val="ListParagraph"/>
        <w:numPr>
          <w:ilvl w:val="0"/>
          <w:numId w:val="1"/>
        </w:numPr>
        <w:rPr>
          <w:rFonts w:ascii="Arial" w:eastAsia="Arial" w:hAnsi="Arial" w:cs="Arial"/>
        </w:rPr>
      </w:pPr>
      <w:r w:rsidRPr="1EC678D9">
        <w:rPr>
          <w:rFonts w:ascii="Arial" w:eastAsia="Arial" w:hAnsi="Arial" w:cs="Arial"/>
        </w:rPr>
        <w:t>‌</w:t>
      </w:r>
      <w:r w:rsidR="40779456" w:rsidRPr="1EC678D9">
        <w:rPr>
          <w:rFonts w:ascii="Arial" w:eastAsia="Arial" w:hAnsi="Arial" w:cs="Arial"/>
        </w:rPr>
        <w:t xml:space="preserve"> Yoon, S. et al. (2018) ‘Vulnerability or resilience to early substance use among adolescents at risk: The roles of maltreatment and father involvement’, Child Abuse &amp; Neglect, 86, pp. 206–216. Available at: </w:t>
      </w:r>
      <w:hyperlink r:id="rId69">
        <w:r w:rsidR="40779456" w:rsidRPr="1EC678D9">
          <w:rPr>
            <w:rStyle w:val="Hyperlink"/>
            <w:rFonts w:ascii="Arial" w:eastAsia="Arial" w:hAnsi="Arial" w:cs="Arial"/>
          </w:rPr>
          <w:t>https://doi.org/10.1016/j.chiabu.2018.09.020</w:t>
        </w:r>
      </w:hyperlink>
      <w:r w:rsidR="40779456" w:rsidRPr="1EC678D9">
        <w:rPr>
          <w:rFonts w:ascii="Arial" w:eastAsia="Arial" w:hAnsi="Arial" w:cs="Arial"/>
        </w:rPr>
        <w:t>.</w:t>
      </w:r>
    </w:p>
    <w:p w14:paraId="18FF2427" w14:textId="04524AEF" w:rsidR="0559B97C" w:rsidRDefault="0559B97C" w:rsidP="1EC678D9">
      <w:pPr>
        <w:spacing w:before="240" w:after="240"/>
        <w:rPr>
          <w:rFonts w:ascii="Calibri" w:eastAsia="Calibri" w:hAnsi="Calibri" w:cs="Calibri"/>
          <w:color w:val="000000" w:themeColor="text1"/>
        </w:rPr>
      </w:pPr>
    </w:p>
    <w:p w14:paraId="5215A8AB" w14:textId="287E277C" w:rsidR="0559B97C" w:rsidRDefault="0559B97C" w:rsidP="03E81E05">
      <w:pPr>
        <w:rPr>
          <w:rFonts w:ascii="Arial" w:eastAsia="Arial" w:hAnsi="Arial" w:cs="Arial"/>
          <w:color w:val="000000" w:themeColor="text1"/>
        </w:rPr>
      </w:pPr>
    </w:p>
    <w:p w14:paraId="0421C68D" w14:textId="4909E92B" w:rsidR="579FB563" w:rsidRDefault="579FB563" w:rsidP="0559B97C">
      <w:pPr>
        <w:rPr>
          <w:rFonts w:eastAsia="Aptos" w:cs="Aptos"/>
          <w:color w:val="000000" w:themeColor="text1"/>
          <w:sz w:val="24"/>
          <w:szCs w:val="24"/>
        </w:rPr>
      </w:pPr>
      <w:r w:rsidRPr="0559B97C">
        <w:rPr>
          <w:rFonts w:eastAsia="Aptos" w:cs="Aptos"/>
          <w:color w:val="000000" w:themeColor="text1"/>
          <w:sz w:val="24"/>
          <w:szCs w:val="24"/>
        </w:rPr>
        <w:t>‌</w:t>
      </w:r>
    </w:p>
    <w:p w14:paraId="0B365496" w14:textId="4F66998D" w:rsidR="0559B97C" w:rsidRDefault="0559B97C" w:rsidP="0559B97C">
      <w:pPr>
        <w:rPr>
          <w:rFonts w:eastAsia="Aptos" w:cs="Aptos"/>
          <w:color w:val="000000" w:themeColor="text1"/>
          <w:sz w:val="24"/>
          <w:szCs w:val="24"/>
        </w:rPr>
      </w:pPr>
    </w:p>
    <w:p w14:paraId="11E41E01" w14:textId="07B8FCC4" w:rsidR="579FB563" w:rsidRDefault="579FB563" w:rsidP="0559B97C">
      <w:pPr>
        <w:rPr>
          <w:rFonts w:eastAsia="Aptos" w:cs="Aptos"/>
          <w:color w:val="000000" w:themeColor="text1"/>
          <w:sz w:val="24"/>
          <w:szCs w:val="24"/>
        </w:rPr>
      </w:pPr>
      <w:r>
        <w:br/>
      </w:r>
    </w:p>
    <w:p w14:paraId="474DC4D4" w14:textId="17339AC1" w:rsidR="0559B97C" w:rsidRDefault="0559B97C" w:rsidP="0E260372">
      <w:pPr>
        <w:spacing w:after="0"/>
      </w:pPr>
    </w:p>
    <w:p w14:paraId="34051C37" w14:textId="3C695050" w:rsidR="4C36EC44" w:rsidRDefault="4C36EC44" w:rsidP="0559B97C">
      <w:pPr>
        <w:spacing w:before="240" w:after="240"/>
        <w:rPr>
          <w:rFonts w:ascii="Calibri" w:eastAsia="Calibri" w:hAnsi="Calibri" w:cs="Calibri"/>
          <w:color w:val="000000" w:themeColor="text1"/>
        </w:rPr>
      </w:pPr>
      <w:r w:rsidRPr="0559B97C">
        <w:rPr>
          <w:rFonts w:ascii="Calibri" w:eastAsia="Calibri" w:hAnsi="Calibri" w:cs="Calibri"/>
          <w:color w:val="000000" w:themeColor="text1"/>
        </w:rPr>
        <w:t>‌</w:t>
      </w:r>
    </w:p>
    <w:p w14:paraId="40E4F320" w14:textId="465304D9" w:rsidR="0559B97C" w:rsidRDefault="0559B97C"/>
    <w:p w14:paraId="4032D788" w14:textId="6B67C199" w:rsidR="540F1010" w:rsidRDefault="540F1010" w:rsidP="540F1010">
      <w:pPr>
        <w:pStyle w:val="Heading1"/>
        <w:ind w:left="0"/>
      </w:pPr>
    </w:p>
    <w:p w14:paraId="3DFEE80F" w14:textId="14CA9046" w:rsidR="0E260372" w:rsidRDefault="0E260372" w:rsidP="0E260372">
      <w:pPr>
        <w:rPr>
          <w:rStyle w:val="Heading1Char"/>
        </w:rPr>
      </w:pPr>
    </w:p>
    <w:p w14:paraId="172DFECC" w14:textId="7DCD1073" w:rsidR="0E260372" w:rsidRDefault="0E260372" w:rsidP="0E260372">
      <w:pPr>
        <w:rPr>
          <w:rStyle w:val="Heading1Char"/>
        </w:rPr>
      </w:pPr>
    </w:p>
    <w:p w14:paraId="5ECE91CC" w14:textId="160B5D98" w:rsidR="0E260372" w:rsidRDefault="0E260372" w:rsidP="0E260372">
      <w:pPr>
        <w:rPr>
          <w:rStyle w:val="Heading1Char"/>
        </w:rPr>
      </w:pPr>
    </w:p>
    <w:p w14:paraId="41184E7A" w14:textId="091358F3" w:rsidR="0E260372" w:rsidRDefault="0E260372" w:rsidP="0E260372">
      <w:pPr>
        <w:rPr>
          <w:rStyle w:val="Heading1Char"/>
        </w:rPr>
      </w:pPr>
    </w:p>
    <w:p w14:paraId="56F3754A" w14:textId="7CA45109" w:rsidR="0E260372" w:rsidRDefault="0E260372" w:rsidP="0E260372">
      <w:pPr>
        <w:rPr>
          <w:rStyle w:val="Heading1Char"/>
        </w:rPr>
      </w:pPr>
    </w:p>
    <w:p w14:paraId="6D7584F3" w14:textId="2BF13A34" w:rsidR="00621776" w:rsidRPr="00A4007E" w:rsidRDefault="00621776" w:rsidP="00A4007E">
      <w:pPr>
        <w:pStyle w:val="Heading1"/>
      </w:pPr>
      <w:r w:rsidRPr="359E9537">
        <w:rPr>
          <w:rStyle w:val="Heading1Char"/>
          <w:b/>
          <w:bCs/>
        </w:rPr>
        <w:t>6.2 – Appendices</w:t>
      </w:r>
      <w:r>
        <w:t xml:space="preserve"> </w:t>
      </w:r>
    </w:p>
    <w:p w14:paraId="1E7E00F6" w14:textId="5D3F0E5D" w:rsidR="1E351A76" w:rsidRDefault="1E351A76" w:rsidP="359E9537">
      <w:pPr>
        <w:pStyle w:val="Heading2"/>
        <w:rPr>
          <w:rFonts w:ascii="Arial" w:eastAsia="Arial" w:hAnsi="Arial" w:cs="Arial"/>
          <w:color w:val="auto"/>
        </w:rPr>
      </w:pPr>
      <w:r w:rsidRPr="359E9537">
        <w:rPr>
          <w:rFonts w:ascii="Arial" w:eastAsia="Arial" w:hAnsi="Arial" w:cs="Arial"/>
          <w:color w:val="auto"/>
        </w:rPr>
        <w:t>Appendix A</w:t>
      </w:r>
    </w:p>
    <w:p w14:paraId="78D375C0" w14:textId="5954C64B" w:rsidR="008C38C3" w:rsidRDefault="435099D1" w:rsidP="0E260372">
      <w:pPr>
        <w:rPr>
          <w:rFonts w:ascii="Arial" w:eastAsia="Arial" w:hAnsi="Arial" w:cs="Arial"/>
          <w:b/>
          <w:bCs/>
          <w:sz w:val="28"/>
          <w:szCs w:val="28"/>
        </w:rPr>
      </w:pPr>
      <w:r w:rsidRPr="0E260372">
        <w:rPr>
          <w:rFonts w:ascii="Arial" w:eastAsia="Arial" w:hAnsi="Arial" w:cs="Arial"/>
          <w:b/>
          <w:bCs/>
          <w:sz w:val="28"/>
          <w:szCs w:val="28"/>
        </w:rPr>
        <w:t>Tracking Table</w:t>
      </w:r>
    </w:p>
    <w:tbl>
      <w:tblPr>
        <w:tblStyle w:val="TableGridLight"/>
        <w:tblW w:w="0" w:type="auto"/>
        <w:tblLayout w:type="fixed"/>
        <w:tblLook w:val="06A0" w:firstRow="1" w:lastRow="0" w:firstColumn="1" w:lastColumn="0" w:noHBand="1" w:noVBand="1"/>
      </w:tblPr>
      <w:tblGrid>
        <w:gridCol w:w="1803"/>
        <w:gridCol w:w="1803"/>
        <w:gridCol w:w="1803"/>
        <w:gridCol w:w="2130"/>
        <w:gridCol w:w="1592"/>
      </w:tblGrid>
      <w:tr w:rsidR="00DD6BC6" w:rsidRPr="00DD6BC6" w14:paraId="587128E2" w14:textId="77777777" w:rsidTr="004E2367">
        <w:trPr>
          <w:trHeight w:val="300"/>
        </w:trPr>
        <w:tc>
          <w:tcPr>
            <w:tcW w:w="1803" w:type="dxa"/>
            <w:shd w:val="clear" w:color="auto" w:fill="4472C4" w:themeFill="accent1"/>
          </w:tcPr>
          <w:p w14:paraId="5A3807CF" w14:textId="54DDF37A" w:rsidR="64B64E82" w:rsidRPr="00DD6BC6" w:rsidRDefault="64B64E82" w:rsidP="540F1010">
            <w:pPr>
              <w:rPr>
                <w:rFonts w:ascii="Arial" w:eastAsia="Arial" w:hAnsi="Arial" w:cs="Arial"/>
                <w:b/>
                <w:bCs/>
                <w:color w:val="FFFFFF" w:themeColor="background1"/>
              </w:rPr>
            </w:pPr>
            <w:r w:rsidRPr="00DD6BC6">
              <w:rPr>
                <w:rFonts w:ascii="Arial" w:eastAsia="Arial" w:hAnsi="Arial" w:cs="Arial"/>
                <w:b/>
                <w:bCs/>
                <w:color w:val="FFFFFF" w:themeColor="background1"/>
              </w:rPr>
              <w:t>Author (s) &amp; Year</w:t>
            </w:r>
          </w:p>
        </w:tc>
        <w:tc>
          <w:tcPr>
            <w:tcW w:w="1803" w:type="dxa"/>
            <w:shd w:val="clear" w:color="auto" w:fill="4472C4" w:themeFill="accent1"/>
          </w:tcPr>
          <w:p w14:paraId="239ED0E2" w14:textId="6D7ED6C9" w:rsidR="64B64E82" w:rsidRPr="00DD6BC6" w:rsidRDefault="64B64E82" w:rsidP="004E2367">
            <w:pPr>
              <w:tabs>
                <w:tab w:val="left" w:pos="930"/>
              </w:tabs>
              <w:rPr>
                <w:rFonts w:ascii="Arial" w:eastAsia="Arial" w:hAnsi="Arial" w:cs="Arial"/>
                <w:b/>
                <w:bCs/>
                <w:color w:val="FFFFFF" w:themeColor="background1"/>
              </w:rPr>
            </w:pPr>
            <w:r w:rsidRPr="00DD6BC6">
              <w:rPr>
                <w:rFonts w:ascii="Arial" w:eastAsia="Arial" w:hAnsi="Arial" w:cs="Arial"/>
                <w:b/>
                <w:bCs/>
                <w:color w:val="FFFFFF" w:themeColor="background1"/>
              </w:rPr>
              <w:t>Title</w:t>
            </w:r>
            <w:r w:rsidR="004E2367" w:rsidRPr="00DD6BC6">
              <w:rPr>
                <w:rFonts w:ascii="Arial" w:eastAsia="Arial" w:hAnsi="Arial" w:cs="Arial"/>
                <w:b/>
                <w:bCs/>
                <w:color w:val="FFFFFF" w:themeColor="background1"/>
              </w:rPr>
              <w:tab/>
            </w:r>
          </w:p>
        </w:tc>
        <w:tc>
          <w:tcPr>
            <w:tcW w:w="1803" w:type="dxa"/>
            <w:shd w:val="clear" w:color="auto" w:fill="4472C4" w:themeFill="accent1"/>
          </w:tcPr>
          <w:p w14:paraId="510FC029" w14:textId="6A158E71" w:rsidR="64B64E82" w:rsidRPr="00DD6BC6" w:rsidRDefault="64B64E82" w:rsidP="540F1010">
            <w:pPr>
              <w:rPr>
                <w:rFonts w:ascii="Arial" w:eastAsia="Arial" w:hAnsi="Arial" w:cs="Arial"/>
                <w:b/>
                <w:bCs/>
                <w:color w:val="FFFFFF" w:themeColor="background1"/>
              </w:rPr>
            </w:pPr>
            <w:r w:rsidRPr="00DD6BC6">
              <w:rPr>
                <w:rFonts w:ascii="Arial" w:eastAsia="Arial" w:hAnsi="Arial" w:cs="Arial"/>
                <w:b/>
                <w:bCs/>
                <w:color w:val="FFFFFF" w:themeColor="background1"/>
              </w:rPr>
              <w:t>Summary</w:t>
            </w:r>
          </w:p>
        </w:tc>
        <w:tc>
          <w:tcPr>
            <w:tcW w:w="2130" w:type="dxa"/>
            <w:shd w:val="clear" w:color="auto" w:fill="4472C4" w:themeFill="accent1"/>
          </w:tcPr>
          <w:p w14:paraId="26183F5A" w14:textId="642C7467" w:rsidR="64B64E82" w:rsidRPr="00DD6BC6" w:rsidRDefault="64B64E82" w:rsidP="540F1010">
            <w:pPr>
              <w:rPr>
                <w:rFonts w:ascii="Arial" w:eastAsia="Arial" w:hAnsi="Arial" w:cs="Arial"/>
                <w:b/>
                <w:bCs/>
                <w:color w:val="FFFFFF" w:themeColor="background1"/>
              </w:rPr>
            </w:pPr>
            <w:r w:rsidRPr="00DD6BC6">
              <w:rPr>
                <w:rFonts w:ascii="Arial" w:eastAsia="Arial" w:hAnsi="Arial" w:cs="Arial"/>
                <w:b/>
                <w:bCs/>
                <w:color w:val="FFFFFF" w:themeColor="background1"/>
              </w:rPr>
              <w:t>CRAAP</w:t>
            </w:r>
          </w:p>
        </w:tc>
        <w:tc>
          <w:tcPr>
            <w:tcW w:w="1592" w:type="dxa"/>
            <w:shd w:val="clear" w:color="auto" w:fill="4472C4" w:themeFill="accent1"/>
          </w:tcPr>
          <w:p w14:paraId="23BC00AA" w14:textId="5845D272" w:rsidR="64B64E82" w:rsidRPr="00DD6BC6" w:rsidRDefault="64B64E82" w:rsidP="1EC678D9">
            <w:pPr>
              <w:spacing w:line="240" w:lineRule="auto"/>
              <w:rPr>
                <w:rFonts w:ascii="Arial" w:eastAsia="Arial" w:hAnsi="Arial" w:cs="Arial"/>
                <w:b/>
                <w:bCs/>
                <w:color w:val="FFFFFF" w:themeColor="background1"/>
              </w:rPr>
            </w:pPr>
            <w:r w:rsidRPr="00DD6BC6">
              <w:rPr>
                <w:rFonts w:ascii="Arial" w:eastAsia="Arial" w:hAnsi="Arial" w:cs="Arial"/>
                <w:b/>
                <w:bCs/>
                <w:color w:val="FFFFFF" w:themeColor="background1"/>
              </w:rPr>
              <w:t>Link to Source</w:t>
            </w:r>
          </w:p>
        </w:tc>
      </w:tr>
      <w:tr w:rsidR="540F1010" w:rsidRPr="00A662B3" w14:paraId="36F5AAAF" w14:textId="77777777" w:rsidTr="00A662B3">
        <w:trPr>
          <w:trHeight w:val="300"/>
        </w:trPr>
        <w:tc>
          <w:tcPr>
            <w:tcW w:w="1803" w:type="dxa"/>
          </w:tcPr>
          <w:p w14:paraId="110E0F2A" w14:textId="39391CE8" w:rsidR="3979FFE5" w:rsidRPr="00A662B3" w:rsidRDefault="3979FFE5" w:rsidP="1EC678D9">
            <w:pPr>
              <w:spacing w:line="240" w:lineRule="auto"/>
              <w:jc w:val="left"/>
              <w:rPr>
                <w:rFonts w:ascii="Arial" w:eastAsia="Arial" w:hAnsi="Arial" w:cs="Arial"/>
                <w:sz w:val="18"/>
                <w:szCs w:val="18"/>
              </w:rPr>
            </w:pPr>
            <w:r w:rsidRPr="00A662B3">
              <w:rPr>
                <w:rFonts w:ascii="Arial" w:eastAsia="Arial" w:hAnsi="Arial" w:cs="Arial"/>
                <w:sz w:val="18"/>
                <w:szCs w:val="18"/>
              </w:rPr>
              <w:t>Office for Health Improvement Disparities (2024)</w:t>
            </w:r>
          </w:p>
        </w:tc>
        <w:tc>
          <w:tcPr>
            <w:tcW w:w="1803" w:type="dxa"/>
          </w:tcPr>
          <w:p w14:paraId="2BB03632" w14:textId="209A4C77" w:rsidR="29CB56C8" w:rsidRPr="00A662B3" w:rsidRDefault="29CB56C8" w:rsidP="1EC678D9">
            <w:pPr>
              <w:spacing w:line="240" w:lineRule="auto"/>
              <w:jc w:val="left"/>
              <w:rPr>
                <w:rFonts w:ascii="Arial" w:eastAsia="Arial" w:hAnsi="Arial" w:cs="Arial"/>
                <w:sz w:val="18"/>
                <w:szCs w:val="18"/>
              </w:rPr>
            </w:pPr>
            <w:r w:rsidRPr="00A662B3">
              <w:rPr>
                <w:rFonts w:ascii="Arial" w:eastAsia="Arial" w:hAnsi="Arial" w:cs="Arial"/>
                <w:sz w:val="18"/>
                <w:szCs w:val="18"/>
              </w:rPr>
              <w:t>Children and young people’s substance misuse treatment statistics 2023 to 2024: report (Government statistical report)</w:t>
            </w:r>
          </w:p>
        </w:tc>
        <w:tc>
          <w:tcPr>
            <w:tcW w:w="1803" w:type="dxa"/>
          </w:tcPr>
          <w:p w14:paraId="12FFBB6B" w14:textId="5013205D" w:rsidR="404801A0" w:rsidRPr="00A662B3" w:rsidRDefault="404801A0"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Presents the most recent national data on trends and treatment outcomes for teenage substance misuse in England. </w:t>
            </w:r>
          </w:p>
        </w:tc>
        <w:tc>
          <w:tcPr>
            <w:tcW w:w="2130" w:type="dxa"/>
          </w:tcPr>
          <w:p w14:paraId="436E23EB" w14:textId="30C3D613" w:rsidR="4D3AC7F7" w:rsidRPr="00A662B3" w:rsidRDefault="4D3AC7F7"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Currency: 2024 (latest data) </w:t>
            </w:r>
          </w:p>
          <w:p w14:paraId="496DF338" w14:textId="4EC2A0B5" w:rsidR="4D3AC7F7" w:rsidRPr="00A662B3" w:rsidRDefault="4D3AC7F7"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Relevance: Focused on UK youth </w:t>
            </w:r>
          </w:p>
          <w:p w14:paraId="649C5796" w14:textId="082121D6" w:rsidR="4D3AC7F7" w:rsidRPr="00A662B3" w:rsidRDefault="4D3AC7F7"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Authority: UK Government </w:t>
            </w:r>
          </w:p>
          <w:p w14:paraId="3374618B" w14:textId="2D3CE673" w:rsidR="4D3AC7F7" w:rsidRPr="00A662B3" w:rsidRDefault="4D3AC7F7"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Accuracy: Verified statistics </w:t>
            </w:r>
          </w:p>
          <w:p w14:paraId="2640DC4B" w14:textId="58D61913" w:rsidR="4D3AC7F7" w:rsidRPr="00A662B3" w:rsidRDefault="4D3AC7F7" w:rsidP="1EC678D9">
            <w:pPr>
              <w:spacing w:line="240" w:lineRule="auto"/>
              <w:jc w:val="left"/>
              <w:rPr>
                <w:rFonts w:ascii="Arial" w:eastAsia="Arial" w:hAnsi="Arial" w:cs="Arial"/>
                <w:sz w:val="18"/>
                <w:szCs w:val="18"/>
              </w:rPr>
            </w:pPr>
            <w:r w:rsidRPr="00A662B3">
              <w:rPr>
                <w:rFonts w:ascii="Arial" w:eastAsia="Arial" w:hAnsi="Arial" w:cs="Arial"/>
                <w:sz w:val="18"/>
                <w:szCs w:val="18"/>
              </w:rPr>
              <w:t>Purpose: Inform national policy</w:t>
            </w:r>
          </w:p>
        </w:tc>
        <w:tc>
          <w:tcPr>
            <w:tcW w:w="1592" w:type="dxa"/>
          </w:tcPr>
          <w:p w14:paraId="6BCD18BF" w14:textId="4C9A6089" w:rsidR="5EAFB8F8" w:rsidRPr="00A662B3" w:rsidRDefault="5EAFB8F8" w:rsidP="1EC678D9">
            <w:pPr>
              <w:spacing w:line="240" w:lineRule="auto"/>
              <w:rPr>
                <w:rFonts w:ascii="Arial" w:eastAsia="Arial" w:hAnsi="Arial" w:cs="Arial"/>
                <w:color w:val="4472C4" w:themeColor="accent1"/>
                <w:sz w:val="18"/>
                <w:szCs w:val="18"/>
                <w:u w:val="single"/>
              </w:rPr>
            </w:pPr>
            <w:r w:rsidRPr="00A662B3">
              <w:rPr>
                <w:rFonts w:ascii="Arial" w:eastAsia="Arial" w:hAnsi="Arial" w:cs="Arial"/>
                <w:color w:val="4471C4"/>
                <w:sz w:val="18"/>
                <w:szCs w:val="18"/>
                <w:u w:val="single"/>
              </w:rPr>
              <w:t>https://www.gov.uk/government/statistics/substance-misuse-treatment-for-young-people-2023-to-2024/children-and-young-peoples-substance-misuse-treatment-statistics-2023-to-2024-report</w:t>
            </w:r>
          </w:p>
        </w:tc>
      </w:tr>
      <w:tr w:rsidR="540F1010" w:rsidRPr="00A662B3" w14:paraId="5C72DD66" w14:textId="77777777" w:rsidTr="00A662B3">
        <w:trPr>
          <w:trHeight w:val="300"/>
        </w:trPr>
        <w:tc>
          <w:tcPr>
            <w:tcW w:w="1803" w:type="dxa"/>
          </w:tcPr>
          <w:p w14:paraId="6FA29F44" w14:textId="7347A431" w:rsidR="5EAFB8F8" w:rsidRPr="00A662B3" w:rsidRDefault="5EAFB8F8" w:rsidP="1EC678D9">
            <w:pPr>
              <w:jc w:val="left"/>
              <w:rPr>
                <w:rFonts w:ascii="Arial" w:eastAsia="Arial" w:hAnsi="Arial" w:cs="Arial"/>
                <w:sz w:val="18"/>
                <w:szCs w:val="18"/>
              </w:rPr>
            </w:pPr>
            <w:proofErr w:type="spellStart"/>
            <w:r w:rsidRPr="00A662B3">
              <w:rPr>
                <w:rFonts w:ascii="Arial" w:eastAsia="Arial" w:hAnsi="Arial" w:cs="Arial"/>
                <w:sz w:val="18"/>
                <w:szCs w:val="18"/>
              </w:rPr>
              <w:t>Segrott</w:t>
            </w:r>
            <w:proofErr w:type="spellEnd"/>
            <w:r w:rsidRPr="00A662B3">
              <w:rPr>
                <w:rFonts w:ascii="Arial" w:eastAsia="Arial" w:hAnsi="Arial" w:cs="Arial"/>
                <w:sz w:val="18"/>
                <w:szCs w:val="18"/>
              </w:rPr>
              <w:t>, J. et al. (2022)</w:t>
            </w:r>
          </w:p>
        </w:tc>
        <w:tc>
          <w:tcPr>
            <w:tcW w:w="1803" w:type="dxa"/>
          </w:tcPr>
          <w:p w14:paraId="1B715B3F" w14:textId="2A5DA463" w:rsidR="5EAFB8F8" w:rsidRPr="00A662B3" w:rsidRDefault="5EAFB8F8" w:rsidP="1EC678D9">
            <w:pPr>
              <w:spacing w:line="240" w:lineRule="auto"/>
              <w:jc w:val="left"/>
              <w:rPr>
                <w:rFonts w:ascii="Arial" w:eastAsia="Arial" w:hAnsi="Arial" w:cs="Arial"/>
                <w:sz w:val="18"/>
                <w:szCs w:val="18"/>
              </w:rPr>
            </w:pPr>
            <w:r w:rsidRPr="00A662B3">
              <w:rPr>
                <w:rFonts w:ascii="Arial" w:eastAsia="Arial" w:hAnsi="Arial" w:cs="Arial"/>
                <w:sz w:val="18"/>
                <w:szCs w:val="18"/>
              </w:rPr>
              <w:t>Effectiveness of the Strengthening Families Programme in the UK at preventing substance misuse in 10–14-year-olds: a pragmatic randomised controlled trial (Peer-reviewed journal article</w:t>
            </w:r>
          </w:p>
        </w:tc>
        <w:tc>
          <w:tcPr>
            <w:tcW w:w="1803" w:type="dxa"/>
          </w:tcPr>
          <w:p w14:paraId="27E773A7" w14:textId="575743F0" w:rsidR="62E87C20" w:rsidRPr="00A662B3" w:rsidRDefault="62E87C20" w:rsidP="1EC678D9">
            <w:pPr>
              <w:spacing w:line="240" w:lineRule="auto"/>
              <w:jc w:val="left"/>
              <w:rPr>
                <w:rFonts w:ascii="Arial" w:eastAsia="Arial" w:hAnsi="Arial" w:cs="Arial"/>
                <w:sz w:val="18"/>
                <w:szCs w:val="18"/>
              </w:rPr>
            </w:pPr>
            <w:r w:rsidRPr="00A662B3">
              <w:rPr>
                <w:rFonts w:ascii="Arial" w:eastAsia="Arial" w:hAnsi="Arial" w:cs="Arial"/>
                <w:sz w:val="18"/>
                <w:szCs w:val="18"/>
              </w:rPr>
              <w:t>Examines the efficacy of a family-based intervention in reducing substance abuse among young adolescents in the United Kingdom.</w:t>
            </w:r>
          </w:p>
        </w:tc>
        <w:tc>
          <w:tcPr>
            <w:tcW w:w="2130" w:type="dxa"/>
          </w:tcPr>
          <w:p w14:paraId="43F8D56D" w14:textId="2FE1D9F0" w:rsidR="62E87C20" w:rsidRPr="00A662B3" w:rsidRDefault="62E87C20"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Currency: 2022 </w:t>
            </w:r>
          </w:p>
          <w:p w14:paraId="470F4A1A" w14:textId="26D4A82D" w:rsidR="62E87C20" w:rsidRPr="00A662B3" w:rsidRDefault="62E87C20"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Relevance: UK prevention focus </w:t>
            </w:r>
          </w:p>
          <w:p w14:paraId="5A6D38BE" w14:textId="4D7EB923" w:rsidR="62E87C20" w:rsidRPr="00A662B3" w:rsidRDefault="62E87C20"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Authority: BMJ Open </w:t>
            </w:r>
          </w:p>
          <w:p w14:paraId="47703F02" w14:textId="24E8CDE5" w:rsidR="62E87C20" w:rsidRPr="00A662B3" w:rsidRDefault="62E87C20"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Accuracy: RCT evidence </w:t>
            </w:r>
          </w:p>
          <w:p w14:paraId="10AB3D59" w14:textId="4EAC6E11" w:rsidR="62E87C20" w:rsidRPr="00A662B3" w:rsidRDefault="62E87C20" w:rsidP="1EC678D9">
            <w:pPr>
              <w:spacing w:line="240" w:lineRule="auto"/>
              <w:jc w:val="left"/>
              <w:rPr>
                <w:rFonts w:ascii="Arial" w:eastAsia="Arial" w:hAnsi="Arial" w:cs="Arial"/>
                <w:sz w:val="18"/>
                <w:szCs w:val="18"/>
              </w:rPr>
            </w:pPr>
            <w:r w:rsidRPr="00A662B3">
              <w:rPr>
                <w:rFonts w:ascii="Arial" w:eastAsia="Arial" w:hAnsi="Arial" w:cs="Arial"/>
                <w:sz w:val="18"/>
                <w:szCs w:val="18"/>
              </w:rPr>
              <w:t>Purpose: Assess intervention outcomes</w:t>
            </w:r>
          </w:p>
        </w:tc>
        <w:tc>
          <w:tcPr>
            <w:tcW w:w="1592" w:type="dxa"/>
          </w:tcPr>
          <w:p w14:paraId="565D63C2" w14:textId="120681EB" w:rsidR="57AA6365" w:rsidRPr="00A662B3" w:rsidRDefault="57AA6365" w:rsidP="1EC678D9">
            <w:pPr>
              <w:rPr>
                <w:rFonts w:ascii="Arial" w:eastAsia="Arial" w:hAnsi="Arial" w:cs="Arial"/>
                <w:color w:val="000000" w:themeColor="text1"/>
                <w:sz w:val="18"/>
                <w:szCs w:val="18"/>
              </w:rPr>
            </w:pPr>
            <w:hyperlink r:id="rId70">
              <w:r w:rsidRPr="00A662B3">
                <w:rPr>
                  <w:rStyle w:val="Hyperlink"/>
                  <w:rFonts w:ascii="Arial" w:eastAsia="Arial" w:hAnsi="Arial" w:cs="Arial"/>
                  <w:sz w:val="18"/>
                  <w:szCs w:val="18"/>
                </w:rPr>
                <w:t>https://doi.org/10.1186/1471-2458-14-49</w:t>
              </w:r>
            </w:hyperlink>
            <w:r w:rsidRPr="00A662B3">
              <w:rPr>
                <w:rFonts w:ascii="Arial" w:eastAsia="Arial" w:hAnsi="Arial" w:cs="Arial"/>
                <w:color w:val="000000" w:themeColor="text1"/>
                <w:sz w:val="18"/>
                <w:szCs w:val="18"/>
              </w:rPr>
              <w:t>.</w:t>
            </w:r>
          </w:p>
        </w:tc>
      </w:tr>
      <w:tr w:rsidR="540F1010" w:rsidRPr="00A662B3" w14:paraId="05470FE0" w14:textId="77777777" w:rsidTr="00A662B3">
        <w:trPr>
          <w:trHeight w:val="300"/>
        </w:trPr>
        <w:tc>
          <w:tcPr>
            <w:tcW w:w="1803" w:type="dxa"/>
          </w:tcPr>
          <w:p w14:paraId="10E931AD" w14:textId="77052CBA" w:rsidR="176EFC52" w:rsidRPr="00A662B3" w:rsidRDefault="176EFC52" w:rsidP="1EC678D9">
            <w:pPr>
              <w:jc w:val="left"/>
              <w:rPr>
                <w:rFonts w:ascii="Arial" w:eastAsia="Arial" w:hAnsi="Arial" w:cs="Arial"/>
                <w:sz w:val="18"/>
                <w:szCs w:val="18"/>
              </w:rPr>
            </w:pPr>
            <w:r w:rsidRPr="00A662B3">
              <w:rPr>
                <w:rFonts w:ascii="Arial" w:eastAsia="Arial" w:hAnsi="Arial" w:cs="Arial"/>
                <w:sz w:val="18"/>
                <w:szCs w:val="18"/>
              </w:rPr>
              <w:t>Holland, A. et al. (2023)</w:t>
            </w:r>
          </w:p>
        </w:tc>
        <w:tc>
          <w:tcPr>
            <w:tcW w:w="1803" w:type="dxa"/>
          </w:tcPr>
          <w:p w14:paraId="24C381C5" w14:textId="0331B1D1" w:rsidR="176EFC52" w:rsidRPr="00A662B3" w:rsidRDefault="176EFC52" w:rsidP="1EC678D9">
            <w:pPr>
              <w:spacing w:line="240" w:lineRule="auto"/>
              <w:jc w:val="left"/>
              <w:rPr>
                <w:rFonts w:ascii="Arial" w:eastAsia="Arial" w:hAnsi="Arial" w:cs="Arial"/>
                <w:sz w:val="18"/>
                <w:szCs w:val="18"/>
              </w:rPr>
            </w:pPr>
            <w:r w:rsidRPr="00A662B3">
              <w:rPr>
                <w:rFonts w:ascii="Arial" w:eastAsia="Arial" w:hAnsi="Arial" w:cs="Arial"/>
                <w:sz w:val="18"/>
                <w:szCs w:val="18"/>
              </w:rPr>
              <w:t>Analysis of the UK Government’s 10-Year Drugs Strategy—a resource for practitioners and policymakers (Peer-reviewed policy analysis article)</w:t>
            </w:r>
          </w:p>
        </w:tc>
        <w:tc>
          <w:tcPr>
            <w:tcW w:w="1803" w:type="dxa"/>
          </w:tcPr>
          <w:p w14:paraId="52B53BCD" w14:textId="7C75BBC5" w:rsidR="176EFC52" w:rsidRPr="00A662B3" w:rsidRDefault="176EFC52" w:rsidP="1EC678D9">
            <w:pPr>
              <w:spacing w:line="240" w:lineRule="auto"/>
              <w:jc w:val="left"/>
              <w:rPr>
                <w:rFonts w:ascii="Arial" w:eastAsia="Arial" w:hAnsi="Arial" w:cs="Arial"/>
                <w:sz w:val="18"/>
                <w:szCs w:val="18"/>
              </w:rPr>
            </w:pPr>
            <w:r w:rsidRPr="00A662B3">
              <w:rPr>
                <w:rFonts w:ascii="Arial" w:eastAsia="Arial" w:hAnsi="Arial" w:cs="Arial"/>
                <w:sz w:val="18"/>
                <w:szCs w:val="18"/>
              </w:rPr>
              <w:t>Examines the impact of the UK's 10-year drug strategy on policy, prevention and professional practice.</w:t>
            </w:r>
          </w:p>
        </w:tc>
        <w:tc>
          <w:tcPr>
            <w:tcW w:w="2130" w:type="dxa"/>
          </w:tcPr>
          <w:p w14:paraId="3C3BFA97" w14:textId="036675CF" w:rsidR="176EFC52" w:rsidRPr="00A662B3" w:rsidRDefault="176EFC52" w:rsidP="1EC678D9">
            <w:pPr>
              <w:spacing w:line="240" w:lineRule="auto"/>
              <w:jc w:val="left"/>
              <w:rPr>
                <w:rFonts w:ascii="Arial" w:eastAsia="Arial" w:hAnsi="Arial" w:cs="Arial"/>
                <w:sz w:val="18"/>
                <w:szCs w:val="18"/>
              </w:rPr>
            </w:pPr>
            <w:r w:rsidRPr="00A662B3">
              <w:rPr>
                <w:rFonts w:ascii="Arial" w:eastAsia="Arial" w:hAnsi="Arial" w:cs="Arial"/>
                <w:sz w:val="18"/>
                <w:szCs w:val="18"/>
              </w:rPr>
              <w:t>Currency: 2023</w:t>
            </w:r>
          </w:p>
          <w:p w14:paraId="115FEE08" w14:textId="58DC2026" w:rsidR="176EFC52" w:rsidRPr="00A662B3" w:rsidRDefault="176EFC52"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Relevance: UK policy context </w:t>
            </w:r>
          </w:p>
          <w:p w14:paraId="4F74901E" w14:textId="5FC78C74" w:rsidR="176EFC52" w:rsidRPr="00A662B3" w:rsidRDefault="176EFC52"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Authority: Journal of Public Health </w:t>
            </w:r>
          </w:p>
          <w:p w14:paraId="6D9BAB16" w14:textId="5927A7BD" w:rsidR="176EFC52" w:rsidRPr="00A662B3" w:rsidRDefault="176EFC52"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Accuracy: Peer-reviewed </w:t>
            </w:r>
          </w:p>
          <w:p w14:paraId="38A52E9E" w14:textId="14A8EC6F" w:rsidR="176EFC52" w:rsidRPr="00A662B3" w:rsidRDefault="176EFC52" w:rsidP="1EC678D9">
            <w:pPr>
              <w:spacing w:line="240" w:lineRule="auto"/>
              <w:jc w:val="left"/>
              <w:rPr>
                <w:rFonts w:ascii="Arial" w:eastAsia="Arial" w:hAnsi="Arial" w:cs="Arial"/>
                <w:sz w:val="18"/>
                <w:szCs w:val="18"/>
              </w:rPr>
            </w:pPr>
            <w:r w:rsidRPr="00A662B3">
              <w:rPr>
                <w:rFonts w:ascii="Arial" w:eastAsia="Arial" w:hAnsi="Arial" w:cs="Arial"/>
                <w:sz w:val="18"/>
                <w:szCs w:val="18"/>
              </w:rPr>
              <w:t>Purpose: Evaluate policy framework</w:t>
            </w:r>
          </w:p>
        </w:tc>
        <w:tc>
          <w:tcPr>
            <w:tcW w:w="1592" w:type="dxa"/>
          </w:tcPr>
          <w:p w14:paraId="7DB1AE2F" w14:textId="7A3DF0ED" w:rsidR="176EFC52" w:rsidRPr="00A662B3" w:rsidRDefault="176EFC52" w:rsidP="1EC678D9">
            <w:pPr>
              <w:rPr>
                <w:rFonts w:ascii="Arial" w:eastAsia="Arial" w:hAnsi="Arial" w:cs="Arial"/>
                <w:sz w:val="18"/>
                <w:szCs w:val="18"/>
              </w:rPr>
            </w:pPr>
            <w:hyperlink r:id="rId71">
              <w:r w:rsidRPr="00A662B3">
                <w:rPr>
                  <w:rStyle w:val="Hyperlink"/>
                  <w:rFonts w:ascii="Arial" w:eastAsia="Arial" w:hAnsi="Arial" w:cs="Arial"/>
                  <w:sz w:val="18"/>
                  <w:szCs w:val="18"/>
                </w:rPr>
                <w:t>https://doi.org/10.1093/pubmed/fdac114</w:t>
              </w:r>
            </w:hyperlink>
            <w:r w:rsidRPr="00A662B3">
              <w:rPr>
                <w:rFonts w:ascii="Arial" w:eastAsia="Arial" w:hAnsi="Arial" w:cs="Arial"/>
                <w:sz w:val="18"/>
                <w:szCs w:val="18"/>
              </w:rPr>
              <w:t>.</w:t>
            </w:r>
          </w:p>
        </w:tc>
      </w:tr>
      <w:tr w:rsidR="540F1010" w:rsidRPr="00A662B3" w14:paraId="1F2A928D" w14:textId="77777777" w:rsidTr="00A662B3">
        <w:trPr>
          <w:trHeight w:val="300"/>
        </w:trPr>
        <w:tc>
          <w:tcPr>
            <w:tcW w:w="1803" w:type="dxa"/>
          </w:tcPr>
          <w:p w14:paraId="2E175FD6" w14:textId="13E03EFF" w:rsidR="176EFC52" w:rsidRPr="00A662B3" w:rsidRDefault="176EFC52" w:rsidP="1EC678D9">
            <w:pPr>
              <w:spacing w:line="240" w:lineRule="auto"/>
              <w:jc w:val="left"/>
              <w:rPr>
                <w:rFonts w:ascii="Arial" w:eastAsia="Arial" w:hAnsi="Arial" w:cs="Arial"/>
                <w:sz w:val="18"/>
                <w:szCs w:val="18"/>
              </w:rPr>
            </w:pPr>
            <w:r w:rsidRPr="00A662B3">
              <w:rPr>
                <w:rFonts w:ascii="Arial" w:eastAsia="Arial" w:hAnsi="Arial" w:cs="Arial"/>
                <w:sz w:val="18"/>
                <w:szCs w:val="18"/>
              </w:rPr>
              <w:t>Alderson, H. et al. (2019)</w:t>
            </w:r>
          </w:p>
        </w:tc>
        <w:tc>
          <w:tcPr>
            <w:tcW w:w="1803" w:type="dxa"/>
          </w:tcPr>
          <w:p w14:paraId="4FAA4838" w14:textId="7D430D21" w:rsidR="176EFC52" w:rsidRPr="00A662B3" w:rsidRDefault="176EFC52" w:rsidP="1EC678D9">
            <w:pPr>
              <w:spacing w:line="240" w:lineRule="auto"/>
              <w:jc w:val="left"/>
              <w:rPr>
                <w:rFonts w:ascii="Arial" w:eastAsia="Arial" w:hAnsi="Arial" w:cs="Arial"/>
                <w:sz w:val="18"/>
                <w:szCs w:val="18"/>
              </w:rPr>
            </w:pPr>
            <w:r w:rsidRPr="00A662B3">
              <w:rPr>
                <w:rFonts w:ascii="Arial" w:eastAsia="Arial" w:hAnsi="Arial" w:cs="Arial"/>
                <w:sz w:val="18"/>
                <w:szCs w:val="18"/>
              </w:rPr>
              <w:t>Key therapeutic factors to deliver behavioural change interventions for looked-after children and care leavers: a qualitative exploration (Peer-</w:t>
            </w:r>
            <w:r w:rsidRPr="00A662B3">
              <w:rPr>
                <w:rFonts w:ascii="Arial" w:eastAsia="Arial" w:hAnsi="Arial" w:cs="Arial"/>
                <w:sz w:val="18"/>
                <w:szCs w:val="18"/>
              </w:rPr>
              <w:lastRenderedPageBreak/>
              <w:t>reviewed qualitative study)</w:t>
            </w:r>
          </w:p>
        </w:tc>
        <w:tc>
          <w:tcPr>
            <w:tcW w:w="1803" w:type="dxa"/>
          </w:tcPr>
          <w:p w14:paraId="6B412B16" w14:textId="0D74A8F7" w:rsidR="575E0F03" w:rsidRPr="00A662B3" w:rsidRDefault="575E0F03" w:rsidP="1EC678D9">
            <w:pPr>
              <w:spacing w:line="240" w:lineRule="auto"/>
              <w:jc w:val="left"/>
              <w:rPr>
                <w:rFonts w:ascii="Arial" w:eastAsia="Arial" w:hAnsi="Arial" w:cs="Arial"/>
                <w:sz w:val="18"/>
                <w:szCs w:val="18"/>
              </w:rPr>
            </w:pPr>
            <w:r w:rsidRPr="00A662B3">
              <w:rPr>
                <w:rFonts w:ascii="Arial" w:eastAsia="Arial" w:hAnsi="Arial" w:cs="Arial"/>
                <w:sz w:val="18"/>
                <w:szCs w:val="18"/>
              </w:rPr>
              <w:lastRenderedPageBreak/>
              <w:t>Identifies therapeutic strategies that help looked-after youth reduce substance use by promoting behavioural change.</w:t>
            </w:r>
          </w:p>
        </w:tc>
        <w:tc>
          <w:tcPr>
            <w:tcW w:w="2130" w:type="dxa"/>
          </w:tcPr>
          <w:p w14:paraId="77B8952C" w14:textId="329D0C41" w:rsidR="575E0F03" w:rsidRPr="00A662B3" w:rsidRDefault="575E0F03"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Currency: 2019 </w:t>
            </w:r>
          </w:p>
          <w:p w14:paraId="3D8A5B0F" w14:textId="1B059A98" w:rsidR="575E0F03" w:rsidRPr="00A662B3" w:rsidRDefault="575E0F03"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Relevance: Focus on vulnerable youth </w:t>
            </w:r>
          </w:p>
          <w:p w14:paraId="230D67D9" w14:textId="3BD6D319" w:rsidR="575E0F03" w:rsidRPr="00A662B3" w:rsidRDefault="575E0F03"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Authority: BMC Medical Research Methodology </w:t>
            </w:r>
          </w:p>
          <w:p w14:paraId="39A863FE" w14:textId="495A8164" w:rsidR="575E0F03" w:rsidRPr="00A662B3" w:rsidRDefault="575E0F03"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Accuracy: Qualitative evidence </w:t>
            </w:r>
          </w:p>
          <w:p w14:paraId="725F98AD" w14:textId="290CD792" w:rsidR="575E0F03" w:rsidRPr="00A662B3" w:rsidRDefault="575E0F03" w:rsidP="1EC678D9">
            <w:pPr>
              <w:spacing w:line="240" w:lineRule="auto"/>
              <w:rPr>
                <w:rFonts w:ascii="Arial" w:eastAsia="Arial" w:hAnsi="Arial" w:cs="Arial"/>
                <w:sz w:val="18"/>
                <w:szCs w:val="18"/>
              </w:rPr>
            </w:pPr>
            <w:r w:rsidRPr="00A662B3">
              <w:rPr>
                <w:rFonts w:ascii="Arial" w:eastAsia="Arial" w:hAnsi="Arial" w:cs="Arial"/>
                <w:sz w:val="18"/>
                <w:szCs w:val="18"/>
              </w:rPr>
              <w:t>Purpose: Inform intervention design</w:t>
            </w:r>
          </w:p>
        </w:tc>
        <w:tc>
          <w:tcPr>
            <w:tcW w:w="1592" w:type="dxa"/>
          </w:tcPr>
          <w:p w14:paraId="459B8822" w14:textId="2BCA0D6F" w:rsidR="690A74AB" w:rsidRPr="00A662B3" w:rsidRDefault="690A74AB" w:rsidP="1EC678D9">
            <w:pPr>
              <w:jc w:val="left"/>
              <w:rPr>
                <w:rFonts w:ascii="Arial" w:eastAsia="Arial" w:hAnsi="Arial" w:cs="Arial"/>
                <w:sz w:val="18"/>
                <w:szCs w:val="18"/>
              </w:rPr>
            </w:pPr>
            <w:hyperlink r:id="rId72">
              <w:r w:rsidRPr="00A662B3">
                <w:rPr>
                  <w:rStyle w:val="Hyperlink"/>
                  <w:rFonts w:ascii="Arial" w:eastAsia="Arial" w:hAnsi="Arial" w:cs="Arial"/>
                  <w:sz w:val="18"/>
                  <w:szCs w:val="18"/>
                </w:rPr>
                <w:t>https://doi.org/10.1186/s12874-019-0674-3</w:t>
              </w:r>
            </w:hyperlink>
            <w:r w:rsidRPr="00A662B3">
              <w:rPr>
                <w:rFonts w:ascii="Arial" w:eastAsia="Arial" w:hAnsi="Arial" w:cs="Arial"/>
                <w:sz w:val="18"/>
                <w:szCs w:val="18"/>
              </w:rPr>
              <w:t>.</w:t>
            </w:r>
          </w:p>
          <w:p w14:paraId="01EC0332" w14:textId="2ABA26E3" w:rsidR="540F1010" w:rsidRPr="00A662B3" w:rsidRDefault="540F1010" w:rsidP="1EC678D9">
            <w:pPr>
              <w:rPr>
                <w:rFonts w:ascii="Arial" w:eastAsia="Arial" w:hAnsi="Arial" w:cs="Arial"/>
                <w:b/>
                <w:bCs/>
                <w:sz w:val="18"/>
                <w:szCs w:val="18"/>
              </w:rPr>
            </w:pPr>
          </w:p>
        </w:tc>
      </w:tr>
      <w:tr w:rsidR="540F1010" w:rsidRPr="00A662B3" w14:paraId="2281FB72" w14:textId="77777777" w:rsidTr="00A662B3">
        <w:trPr>
          <w:trHeight w:val="300"/>
        </w:trPr>
        <w:tc>
          <w:tcPr>
            <w:tcW w:w="1803" w:type="dxa"/>
          </w:tcPr>
          <w:p w14:paraId="3C41E6A0" w14:textId="537DAD53" w:rsidR="690A74AB" w:rsidRPr="00A662B3" w:rsidRDefault="690A74AB" w:rsidP="1EC678D9">
            <w:pPr>
              <w:jc w:val="left"/>
              <w:rPr>
                <w:rFonts w:ascii="Arial" w:eastAsia="Arial" w:hAnsi="Arial" w:cs="Arial"/>
                <w:sz w:val="18"/>
                <w:szCs w:val="18"/>
              </w:rPr>
            </w:pPr>
            <w:r w:rsidRPr="00A662B3">
              <w:rPr>
                <w:rFonts w:ascii="Arial" w:eastAsia="Arial" w:hAnsi="Arial" w:cs="Arial"/>
                <w:sz w:val="18"/>
                <w:szCs w:val="18"/>
              </w:rPr>
              <w:t>Stockings, E. et al. (2016)</w:t>
            </w:r>
          </w:p>
        </w:tc>
        <w:tc>
          <w:tcPr>
            <w:tcW w:w="1803" w:type="dxa"/>
          </w:tcPr>
          <w:p w14:paraId="721CA29F" w14:textId="77020C29" w:rsidR="690A74AB" w:rsidRPr="00A662B3" w:rsidRDefault="690A74AB" w:rsidP="1EC678D9">
            <w:pPr>
              <w:spacing w:line="240" w:lineRule="auto"/>
              <w:jc w:val="left"/>
              <w:rPr>
                <w:rFonts w:ascii="Arial" w:eastAsia="Arial" w:hAnsi="Arial" w:cs="Arial"/>
                <w:sz w:val="18"/>
                <w:szCs w:val="18"/>
              </w:rPr>
            </w:pPr>
            <w:r w:rsidRPr="00A662B3">
              <w:rPr>
                <w:rFonts w:ascii="Arial" w:eastAsia="Arial" w:hAnsi="Arial" w:cs="Arial"/>
                <w:sz w:val="18"/>
                <w:szCs w:val="18"/>
              </w:rPr>
              <w:t>Prevention, early intervention, harm reduction, and treatment of substance use in young people (Peer-reviewed systematic review)</w:t>
            </w:r>
          </w:p>
        </w:tc>
        <w:tc>
          <w:tcPr>
            <w:tcW w:w="1803" w:type="dxa"/>
          </w:tcPr>
          <w:p w14:paraId="31C426FF" w14:textId="4F5C3C78" w:rsidR="60AC8AC2" w:rsidRPr="00A662B3" w:rsidRDefault="60AC8AC2" w:rsidP="1EC678D9">
            <w:pPr>
              <w:spacing w:line="240" w:lineRule="auto"/>
              <w:jc w:val="left"/>
              <w:rPr>
                <w:rFonts w:ascii="Arial" w:eastAsia="Arial" w:hAnsi="Arial" w:cs="Arial"/>
                <w:sz w:val="18"/>
                <w:szCs w:val="18"/>
              </w:rPr>
            </w:pPr>
            <w:r w:rsidRPr="00A662B3">
              <w:rPr>
                <w:rFonts w:ascii="Arial" w:eastAsia="Arial" w:hAnsi="Arial" w:cs="Arial"/>
                <w:sz w:val="18"/>
                <w:szCs w:val="18"/>
              </w:rPr>
              <w:t>Summarises data from around the world regarding methods for treating and preventing teen substance use.</w:t>
            </w:r>
          </w:p>
        </w:tc>
        <w:tc>
          <w:tcPr>
            <w:tcW w:w="2130" w:type="dxa"/>
          </w:tcPr>
          <w:p w14:paraId="708556B4" w14:textId="7EDAD1A9" w:rsidR="60AC8AC2" w:rsidRPr="00A662B3" w:rsidRDefault="60AC8AC2"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Currency: 2016 </w:t>
            </w:r>
          </w:p>
          <w:p w14:paraId="4C95A6C0" w14:textId="009CB6AE" w:rsidR="60AC8AC2" w:rsidRPr="00A662B3" w:rsidRDefault="60AC8AC2"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Relevance: Adolescent substance misuse </w:t>
            </w:r>
          </w:p>
          <w:p w14:paraId="728B0E98" w14:textId="077E9450" w:rsidR="60AC8AC2" w:rsidRPr="00A662B3" w:rsidRDefault="60AC8AC2"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Authority: The Lancet Psychiatry </w:t>
            </w:r>
          </w:p>
          <w:p w14:paraId="5FB2EF5B" w14:textId="3CD7E76F" w:rsidR="60AC8AC2" w:rsidRPr="00A662B3" w:rsidRDefault="60AC8AC2"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Accuracy: Systematic review </w:t>
            </w:r>
          </w:p>
          <w:p w14:paraId="70EA1D66" w14:textId="0A6AC0BF" w:rsidR="60AC8AC2" w:rsidRPr="00A662B3" w:rsidRDefault="60AC8AC2" w:rsidP="1EC678D9">
            <w:pPr>
              <w:spacing w:line="240" w:lineRule="auto"/>
              <w:jc w:val="left"/>
              <w:rPr>
                <w:rFonts w:ascii="Arial" w:eastAsia="Arial" w:hAnsi="Arial" w:cs="Arial"/>
                <w:sz w:val="18"/>
                <w:szCs w:val="18"/>
              </w:rPr>
            </w:pPr>
            <w:r w:rsidRPr="00A662B3">
              <w:rPr>
                <w:rFonts w:ascii="Arial" w:eastAsia="Arial" w:hAnsi="Arial" w:cs="Arial"/>
                <w:sz w:val="18"/>
                <w:szCs w:val="18"/>
              </w:rPr>
              <w:t>Purpose: Provide evidence-based guidance</w:t>
            </w:r>
          </w:p>
        </w:tc>
        <w:tc>
          <w:tcPr>
            <w:tcW w:w="1592" w:type="dxa"/>
          </w:tcPr>
          <w:p w14:paraId="4C65C9C9" w14:textId="05D6C532" w:rsidR="7CD671A4" w:rsidRPr="00A662B3" w:rsidRDefault="7CD671A4" w:rsidP="1EC678D9">
            <w:pPr>
              <w:rPr>
                <w:rFonts w:ascii="Arial" w:eastAsia="Arial" w:hAnsi="Arial" w:cs="Arial"/>
                <w:color w:val="000000" w:themeColor="text1"/>
                <w:sz w:val="18"/>
                <w:szCs w:val="18"/>
              </w:rPr>
            </w:pPr>
            <w:proofErr w:type="spellStart"/>
            <w:proofErr w:type="gramStart"/>
            <w:r w:rsidRPr="00A662B3">
              <w:rPr>
                <w:rFonts w:ascii="Arial" w:eastAsia="Arial" w:hAnsi="Arial" w:cs="Arial"/>
                <w:color w:val="4471C4"/>
                <w:sz w:val="18"/>
                <w:szCs w:val="18"/>
                <w:u w:val="single"/>
              </w:rPr>
              <w:t>doi:https</w:t>
            </w:r>
            <w:proofErr w:type="spellEnd"/>
            <w:r w:rsidRPr="00A662B3">
              <w:rPr>
                <w:rFonts w:ascii="Arial" w:eastAsia="Arial" w:hAnsi="Arial" w:cs="Arial"/>
                <w:color w:val="4471C4"/>
                <w:sz w:val="18"/>
                <w:szCs w:val="18"/>
                <w:u w:val="single"/>
              </w:rPr>
              <w:t>://doi.org/10.1016/s2215-0366(16)00002-x</w:t>
            </w:r>
            <w:proofErr w:type="gramEnd"/>
          </w:p>
          <w:p w14:paraId="47ACE10D" w14:textId="5146C646" w:rsidR="7CD671A4" w:rsidRPr="00A662B3" w:rsidRDefault="7CD671A4" w:rsidP="1EC678D9">
            <w:pPr>
              <w:rPr>
                <w:rFonts w:ascii="Arial" w:eastAsia="Arial" w:hAnsi="Arial" w:cs="Arial"/>
                <w:color w:val="000000" w:themeColor="text1"/>
                <w:sz w:val="18"/>
                <w:szCs w:val="18"/>
                <w:u w:val="single"/>
              </w:rPr>
            </w:pPr>
          </w:p>
        </w:tc>
      </w:tr>
      <w:tr w:rsidR="1EC678D9" w:rsidRPr="00A662B3" w14:paraId="7604C525" w14:textId="77777777" w:rsidTr="00A662B3">
        <w:trPr>
          <w:trHeight w:val="300"/>
        </w:trPr>
        <w:tc>
          <w:tcPr>
            <w:tcW w:w="1803" w:type="dxa"/>
          </w:tcPr>
          <w:p w14:paraId="6A39E113" w14:textId="0D3CB2D4" w:rsidR="132FF86E" w:rsidRPr="00A662B3" w:rsidRDefault="132FF86E" w:rsidP="1EC678D9">
            <w:pPr>
              <w:jc w:val="left"/>
              <w:rPr>
                <w:rFonts w:ascii="Arial" w:eastAsia="Arial" w:hAnsi="Arial" w:cs="Arial"/>
                <w:sz w:val="18"/>
                <w:szCs w:val="18"/>
              </w:rPr>
            </w:pPr>
            <w:proofErr w:type="spellStart"/>
            <w:r w:rsidRPr="00A662B3">
              <w:rPr>
                <w:rFonts w:ascii="Arial" w:eastAsia="Arial" w:hAnsi="Arial" w:cs="Arial"/>
                <w:sz w:val="18"/>
                <w:szCs w:val="18"/>
              </w:rPr>
              <w:t>Sumnall</w:t>
            </w:r>
            <w:proofErr w:type="spellEnd"/>
            <w:r w:rsidRPr="00A662B3">
              <w:rPr>
                <w:rFonts w:ascii="Arial" w:eastAsia="Arial" w:hAnsi="Arial" w:cs="Arial"/>
                <w:sz w:val="18"/>
                <w:szCs w:val="18"/>
              </w:rPr>
              <w:t>, H.R. (2022)</w:t>
            </w:r>
          </w:p>
        </w:tc>
        <w:tc>
          <w:tcPr>
            <w:tcW w:w="1803" w:type="dxa"/>
          </w:tcPr>
          <w:p w14:paraId="3E3F235E" w14:textId="1F2F9D0D" w:rsidR="132FF86E" w:rsidRPr="00A662B3" w:rsidRDefault="132FF86E" w:rsidP="1EC678D9">
            <w:pPr>
              <w:spacing w:line="240" w:lineRule="auto"/>
              <w:jc w:val="left"/>
              <w:rPr>
                <w:rFonts w:ascii="Arial" w:eastAsia="Arial" w:hAnsi="Arial" w:cs="Arial"/>
                <w:sz w:val="18"/>
                <w:szCs w:val="18"/>
              </w:rPr>
            </w:pPr>
            <w:r w:rsidRPr="00A662B3">
              <w:rPr>
                <w:rFonts w:ascii="Arial" w:eastAsia="Arial" w:hAnsi="Arial" w:cs="Arial"/>
                <w:sz w:val="18"/>
                <w:szCs w:val="18"/>
              </w:rPr>
              <w:t>Encouraging a “generational shift” in the UK’s relationship with drugs: What can be achieved with drug prevention? (Peer-reviewed commentary article)</w:t>
            </w:r>
          </w:p>
        </w:tc>
        <w:tc>
          <w:tcPr>
            <w:tcW w:w="1803" w:type="dxa"/>
          </w:tcPr>
          <w:p w14:paraId="1458AF96" w14:textId="65CF9DAE" w:rsidR="132FF86E" w:rsidRPr="00A662B3" w:rsidRDefault="132FF86E" w:rsidP="1EC678D9">
            <w:pPr>
              <w:spacing w:line="240" w:lineRule="auto"/>
              <w:jc w:val="left"/>
              <w:rPr>
                <w:rFonts w:ascii="Arial" w:eastAsia="Arial" w:hAnsi="Arial" w:cs="Arial"/>
                <w:sz w:val="18"/>
                <w:szCs w:val="18"/>
              </w:rPr>
            </w:pPr>
            <w:r w:rsidRPr="00A662B3">
              <w:rPr>
                <w:rFonts w:ascii="Arial" w:eastAsia="Arial" w:hAnsi="Arial" w:cs="Arial"/>
                <w:sz w:val="18"/>
                <w:szCs w:val="18"/>
              </w:rPr>
              <w:t>Critically discusses the UK’s new drug strategy, assessing the realistic potential of prevention programmes to transform youth attitudes toward substance use.</w:t>
            </w:r>
          </w:p>
        </w:tc>
        <w:tc>
          <w:tcPr>
            <w:tcW w:w="2130" w:type="dxa"/>
          </w:tcPr>
          <w:p w14:paraId="333D24CB" w14:textId="468EEB9C" w:rsidR="132FF86E" w:rsidRPr="00A662B3" w:rsidRDefault="132FF86E"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Currency: 2022 </w:t>
            </w:r>
          </w:p>
          <w:p w14:paraId="73797AFF" w14:textId="0490A19E" w:rsidR="132FF86E" w:rsidRPr="00A662B3" w:rsidRDefault="132FF86E"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Relevance: Directly analyses UK prevention policy </w:t>
            </w:r>
          </w:p>
          <w:p w14:paraId="08C4B7E1" w14:textId="4695C0DE" w:rsidR="132FF86E" w:rsidRPr="00A662B3" w:rsidRDefault="132FF86E"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Authority: International Journal of Drug Policy </w:t>
            </w:r>
          </w:p>
          <w:p w14:paraId="756A8484" w14:textId="72EB803D" w:rsidR="132FF86E" w:rsidRPr="00A662B3" w:rsidRDefault="132FF86E"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Accuracy: Peer-reviewed expert commentary </w:t>
            </w:r>
          </w:p>
          <w:p w14:paraId="17757A42" w14:textId="2F4C2741" w:rsidR="132FF86E" w:rsidRPr="00A662B3" w:rsidRDefault="132FF86E" w:rsidP="1EC678D9">
            <w:pPr>
              <w:spacing w:line="240" w:lineRule="auto"/>
              <w:jc w:val="left"/>
              <w:rPr>
                <w:rFonts w:ascii="Arial" w:eastAsia="Arial" w:hAnsi="Arial" w:cs="Arial"/>
                <w:sz w:val="18"/>
                <w:szCs w:val="18"/>
              </w:rPr>
            </w:pPr>
            <w:r w:rsidRPr="00A662B3">
              <w:rPr>
                <w:rFonts w:ascii="Arial" w:eastAsia="Arial" w:hAnsi="Arial" w:cs="Arial"/>
                <w:sz w:val="18"/>
                <w:szCs w:val="18"/>
              </w:rPr>
              <w:t>Purpose: Evaluate national prevention strategy</w:t>
            </w:r>
          </w:p>
        </w:tc>
        <w:tc>
          <w:tcPr>
            <w:tcW w:w="1592" w:type="dxa"/>
          </w:tcPr>
          <w:p w14:paraId="0938CF54" w14:textId="7655B5A1" w:rsidR="132FF86E" w:rsidRPr="00A662B3" w:rsidRDefault="132FF86E" w:rsidP="1EC678D9">
            <w:pPr>
              <w:rPr>
                <w:rFonts w:ascii="Arial" w:eastAsia="Arial" w:hAnsi="Arial" w:cs="Arial"/>
                <w:sz w:val="18"/>
                <w:szCs w:val="18"/>
              </w:rPr>
            </w:pPr>
            <w:hyperlink r:id="rId73">
              <w:r w:rsidRPr="00A662B3">
                <w:rPr>
                  <w:rStyle w:val="Hyperlink"/>
                  <w:rFonts w:ascii="Arial" w:eastAsia="Arial" w:hAnsi="Arial" w:cs="Arial"/>
                  <w:sz w:val="18"/>
                  <w:szCs w:val="18"/>
                </w:rPr>
                <w:t>https://doi.org/10.1016/j.drugpo.2022.103841</w:t>
              </w:r>
            </w:hyperlink>
            <w:r w:rsidRPr="00A662B3">
              <w:rPr>
                <w:rFonts w:ascii="Arial" w:eastAsia="Arial" w:hAnsi="Arial" w:cs="Arial"/>
                <w:sz w:val="18"/>
                <w:szCs w:val="18"/>
              </w:rPr>
              <w:t>.</w:t>
            </w:r>
          </w:p>
        </w:tc>
      </w:tr>
      <w:tr w:rsidR="1EC678D9" w:rsidRPr="00A662B3" w14:paraId="74C8EABB" w14:textId="77777777" w:rsidTr="00A662B3">
        <w:trPr>
          <w:trHeight w:val="300"/>
        </w:trPr>
        <w:tc>
          <w:tcPr>
            <w:tcW w:w="1803" w:type="dxa"/>
          </w:tcPr>
          <w:tbl>
            <w:tblPr>
              <w:tblW w:w="0" w:type="auto"/>
              <w:tblLayout w:type="fixed"/>
              <w:tblLook w:val="06A0" w:firstRow="1" w:lastRow="0" w:firstColumn="1" w:lastColumn="0" w:noHBand="1" w:noVBand="1"/>
            </w:tblPr>
            <w:tblGrid>
              <w:gridCol w:w="1593"/>
            </w:tblGrid>
            <w:tr w:rsidR="1EC678D9" w:rsidRPr="00A662B3" w14:paraId="578C2737" w14:textId="77777777" w:rsidTr="1EC678D9">
              <w:trPr>
                <w:trHeight w:val="300"/>
              </w:trPr>
              <w:tc>
                <w:tcPr>
                  <w:tcW w:w="1593" w:type="dxa"/>
                  <w:vAlign w:val="center"/>
                </w:tcPr>
                <w:p w14:paraId="3C22AF93" w14:textId="627C8913" w:rsidR="1EC678D9" w:rsidRPr="00A662B3" w:rsidRDefault="1EC678D9" w:rsidP="1EC678D9">
                  <w:pPr>
                    <w:rPr>
                      <w:rFonts w:ascii="Arial" w:eastAsia="Arial" w:hAnsi="Arial" w:cs="Arial"/>
                      <w:sz w:val="18"/>
                      <w:szCs w:val="18"/>
                    </w:rPr>
                  </w:pPr>
                </w:p>
              </w:tc>
            </w:tr>
            <w:tr w:rsidR="1EC678D9" w:rsidRPr="00A662B3" w14:paraId="381C8383" w14:textId="77777777" w:rsidTr="1EC678D9">
              <w:trPr>
                <w:trHeight w:val="300"/>
              </w:trPr>
              <w:tc>
                <w:tcPr>
                  <w:tcW w:w="1593" w:type="dxa"/>
                  <w:vAlign w:val="center"/>
                </w:tcPr>
                <w:p w14:paraId="3D8865BA" w14:textId="7E8B0ABB" w:rsidR="1EC678D9" w:rsidRPr="00A662B3" w:rsidRDefault="1EC678D9" w:rsidP="1EC678D9">
                  <w:pPr>
                    <w:spacing w:after="0"/>
                    <w:rPr>
                      <w:rFonts w:ascii="Arial" w:eastAsia="Arial" w:hAnsi="Arial" w:cs="Arial"/>
                      <w:sz w:val="18"/>
                      <w:szCs w:val="18"/>
                    </w:rPr>
                  </w:pPr>
                  <w:r w:rsidRPr="00A662B3">
                    <w:rPr>
                      <w:rFonts w:ascii="Arial" w:eastAsia="Arial" w:hAnsi="Arial" w:cs="Arial"/>
                      <w:sz w:val="18"/>
                      <w:szCs w:val="18"/>
                    </w:rPr>
                    <w:t>Judith Watson et al. (2017)</w:t>
                  </w:r>
                </w:p>
              </w:tc>
            </w:tr>
          </w:tbl>
          <w:p w14:paraId="680EAEEF" w14:textId="23A260ED" w:rsidR="1EC678D9" w:rsidRPr="00A662B3" w:rsidRDefault="1EC678D9" w:rsidP="1EC678D9">
            <w:pPr>
              <w:jc w:val="left"/>
              <w:rPr>
                <w:rFonts w:ascii="Arial" w:eastAsia="Arial" w:hAnsi="Arial" w:cs="Arial"/>
                <w:sz w:val="18"/>
                <w:szCs w:val="18"/>
              </w:rPr>
            </w:pPr>
          </w:p>
        </w:tc>
        <w:tc>
          <w:tcPr>
            <w:tcW w:w="1803" w:type="dxa"/>
          </w:tcPr>
          <w:p w14:paraId="66F0DA08" w14:textId="5EFBDC48" w:rsidR="6E9FE475" w:rsidRPr="00A662B3" w:rsidRDefault="6E9FE475" w:rsidP="1EC678D9">
            <w:pPr>
              <w:spacing w:line="240" w:lineRule="auto"/>
              <w:jc w:val="left"/>
              <w:rPr>
                <w:rFonts w:ascii="Arial" w:eastAsia="Arial" w:hAnsi="Arial" w:cs="Arial"/>
                <w:sz w:val="18"/>
                <w:szCs w:val="18"/>
              </w:rPr>
            </w:pPr>
            <w:r w:rsidRPr="00A662B3">
              <w:rPr>
                <w:rFonts w:ascii="Arial" w:eastAsia="Arial" w:hAnsi="Arial" w:cs="Arial"/>
                <w:sz w:val="18"/>
                <w:szCs w:val="18"/>
              </w:rPr>
              <w:t>Youth social behaviour and network therapy (Y-SBNT): Adaptation of a family and social network intervention for young people who misuse alcohol and drugs – a randomised controlled feasibility trial (Peer-reviewed empirical trial)</w:t>
            </w:r>
          </w:p>
        </w:tc>
        <w:tc>
          <w:tcPr>
            <w:tcW w:w="1803" w:type="dxa"/>
          </w:tcPr>
          <w:p w14:paraId="431FC525" w14:textId="1DDBAD3E" w:rsidR="6E9FE475" w:rsidRPr="00A662B3" w:rsidRDefault="6E9FE475" w:rsidP="1EC678D9">
            <w:pPr>
              <w:spacing w:line="240" w:lineRule="auto"/>
              <w:jc w:val="left"/>
              <w:rPr>
                <w:rFonts w:ascii="Arial" w:eastAsia="Arial" w:hAnsi="Arial" w:cs="Arial"/>
                <w:sz w:val="18"/>
                <w:szCs w:val="18"/>
              </w:rPr>
            </w:pPr>
            <w:r w:rsidRPr="00A662B3">
              <w:rPr>
                <w:rFonts w:ascii="Arial" w:eastAsia="Arial" w:hAnsi="Arial" w:cs="Arial"/>
                <w:sz w:val="18"/>
                <w:szCs w:val="18"/>
              </w:rPr>
              <w:t>Explores the feasibility and outcomes of a social network-based therapy designed to reduce alcohol and drug misuse among young people in the UK.</w:t>
            </w:r>
          </w:p>
        </w:tc>
        <w:tc>
          <w:tcPr>
            <w:tcW w:w="2130" w:type="dxa"/>
          </w:tcPr>
          <w:p w14:paraId="5D36BE77" w14:textId="37501F1C" w:rsidR="6E9FE475" w:rsidRPr="00A662B3" w:rsidRDefault="6E9FE475"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Currency: 2017 </w:t>
            </w:r>
          </w:p>
          <w:p w14:paraId="0D9B4117" w14:textId="037A0F8E" w:rsidR="6E9FE475" w:rsidRPr="00A662B3" w:rsidRDefault="6E9FE475"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Relevance: Focus on UK youth intervention </w:t>
            </w:r>
          </w:p>
          <w:p w14:paraId="0AD8F0BC" w14:textId="3B9EB975" w:rsidR="6E9FE475" w:rsidRPr="00A662B3" w:rsidRDefault="6E9FE475"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Authority: Health Technology Assessment Journal </w:t>
            </w:r>
          </w:p>
          <w:p w14:paraId="10B76829" w14:textId="7442BD84" w:rsidR="6E9FE475" w:rsidRPr="00A662B3" w:rsidRDefault="6E9FE475" w:rsidP="1EC678D9">
            <w:pPr>
              <w:spacing w:line="240" w:lineRule="auto"/>
              <w:jc w:val="left"/>
              <w:rPr>
                <w:rFonts w:ascii="Arial" w:eastAsia="Arial" w:hAnsi="Arial" w:cs="Arial"/>
                <w:sz w:val="18"/>
                <w:szCs w:val="18"/>
              </w:rPr>
            </w:pPr>
            <w:r w:rsidRPr="00A662B3">
              <w:rPr>
                <w:rFonts w:ascii="Arial" w:eastAsia="Arial" w:hAnsi="Arial" w:cs="Arial"/>
                <w:sz w:val="18"/>
                <w:szCs w:val="18"/>
              </w:rPr>
              <w:t xml:space="preserve">Accuracy: Peer-reviewed RCT </w:t>
            </w:r>
          </w:p>
          <w:p w14:paraId="4DA47236" w14:textId="258ECF42" w:rsidR="6E9FE475" w:rsidRPr="00A662B3" w:rsidRDefault="6E9FE475" w:rsidP="1EC678D9">
            <w:pPr>
              <w:spacing w:line="240" w:lineRule="auto"/>
              <w:jc w:val="left"/>
              <w:rPr>
                <w:rFonts w:ascii="Arial" w:eastAsia="Arial" w:hAnsi="Arial" w:cs="Arial"/>
                <w:sz w:val="18"/>
                <w:szCs w:val="18"/>
              </w:rPr>
            </w:pPr>
            <w:r w:rsidRPr="00A662B3">
              <w:rPr>
                <w:rFonts w:ascii="Arial" w:eastAsia="Arial" w:hAnsi="Arial" w:cs="Arial"/>
                <w:sz w:val="18"/>
                <w:szCs w:val="18"/>
              </w:rPr>
              <w:t>Purpose: Test intervention effectiveness</w:t>
            </w:r>
          </w:p>
        </w:tc>
        <w:tc>
          <w:tcPr>
            <w:tcW w:w="1592" w:type="dxa"/>
          </w:tcPr>
          <w:p w14:paraId="10F41CC0" w14:textId="2E7EC674" w:rsidR="6E9FE475" w:rsidRPr="00A662B3" w:rsidRDefault="6E9FE475" w:rsidP="1EC678D9">
            <w:pPr>
              <w:rPr>
                <w:rFonts w:ascii="Arial" w:eastAsia="Arial" w:hAnsi="Arial" w:cs="Arial"/>
                <w:color w:val="000000" w:themeColor="text1"/>
                <w:sz w:val="18"/>
                <w:szCs w:val="18"/>
              </w:rPr>
            </w:pPr>
            <w:hyperlink r:id="rId74">
              <w:r w:rsidRPr="00A662B3">
                <w:rPr>
                  <w:rStyle w:val="Hyperlink"/>
                  <w:rFonts w:ascii="Arial" w:eastAsia="Arial" w:hAnsi="Arial" w:cs="Arial"/>
                  <w:sz w:val="18"/>
                  <w:szCs w:val="18"/>
                </w:rPr>
                <w:t>https://doi.org/10.3310/hta21150</w:t>
              </w:r>
            </w:hyperlink>
            <w:r w:rsidRPr="00A662B3">
              <w:rPr>
                <w:rFonts w:ascii="Arial" w:eastAsia="Arial" w:hAnsi="Arial" w:cs="Arial"/>
                <w:color w:val="000000" w:themeColor="text1"/>
                <w:sz w:val="18"/>
                <w:szCs w:val="18"/>
              </w:rPr>
              <w:t>.</w:t>
            </w:r>
          </w:p>
        </w:tc>
      </w:tr>
    </w:tbl>
    <w:p w14:paraId="09DB3DC7" w14:textId="1D613327" w:rsidR="1EC678D9" w:rsidRDefault="1EC678D9" w:rsidP="1EC678D9">
      <w:pPr>
        <w:rPr>
          <w:rFonts w:ascii="Arial" w:eastAsia="Arial" w:hAnsi="Arial" w:cs="Arial"/>
          <w:b/>
          <w:bCs/>
          <w:sz w:val="24"/>
          <w:szCs w:val="24"/>
        </w:rPr>
      </w:pPr>
    </w:p>
    <w:p w14:paraId="180EECEF" w14:textId="227A1AD5" w:rsidR="1EC678D9" w:rsidRDefault="1EC678D9" w:rsidP="1EC678D9">
      <w:pPr>
        <w:spacing w:line="240" w:lineRule="auto"/>
        <w:rPr>
          <w:rFonts w:ascii="Arial" w:eastAsia="Arial" w:hAnsi="Arial" w:cs="Arial"/>
          <w:b/>
          <w:bCs/>
          <w:sz w:val="24"/>
          <w:szCs w:val="24"/>
        </w:rPr>
      </w:pPr>
    </w:p>
    <w:p w14:paraId="6156F6F2" w14:textId="66384566" w:rsidR="0E260372" w:rsidRDefault="0E260372" w:rsidP="0E260372">
      <w:pPr>
        <w:spacing w:line="240" w:lineRule="auto"/>
        <w:rPr>
          <w:rFonts w:ascii="Arial" w:eastAsia="Arial" w:hAnsi="Arial" w:cs="Arial"/>
          <w:b/>
          <w:bCs/>
          <w:sz w:val="24"/>
          <w:szCs w:val="24"/>
        </w:rPr>
      </w:pPr>
    </w:p>
    <w:p w14:paraId="0C1B95F7" w14:textId="1966C977" w:rsidR="0E260372" w:rsidRDefault="0E260372" w:rsidP="0E260372">
      <w:pPr>
        <w:spacing w:line="240" w:lineRule="auto"/>
        <w:rPr>
          <w:rFonts w:ascii="Arial" w:eastAsia="Arial" w:hAnsi="Arial" w:cs="Arial"/>
          <w:b/>
          <w:bCs/>
          <w:sz w:val="24"/>
          <w:szCs w:val="24"/>
        </w:rPr>
      </w:pPr>
    </w:p>
    <w:p w14:paraId="48F88A02" w14:textId="71405B82" w:rsidR="0E260372" w:rsidRDefault="0E260372" w:rsidP="0E260372">
      <w:pPr>
        <w:spacing w:line="240" w:lineRule="auto"/>
        <w:rPr>
          <w:rFonts w:ascii="Arial" w:eastAsia="Arial" w:hAnsi="Arial" w:cs="Arial"/>
          <w:b/>
          <w:bCs/>
          <w:sz w:val="24"/>
          <w:szCs w:val="24"/>
        </w:rPr>
      </w:pPr>
    </w:p>
    <w:p w14:paraId="05E0C79B" w14:textId="4F8C053B" w:rsidR="0E260372" w:rsidRDefault="0E260372" w:rsidP="0E260372">
      <w:pPr>
        <w:spacing w:line="240" w:lineRule="auto"/>
        <w:rPr>
          <w:rFonts w:ascii="Arial" w:eastAsia="Arial" w:hAnsi="Arial" w:cs="Arial"/>
          <w:b/>
          <w:bCs/>
          <w:sz w:val="24"/>
          <w:szCs w:val="24"/>
        </w:rPr>
      </w:pPr>
    </w:p>
    <w:p w14:paraId="221939F2" w14:textId="49F69F21" w:rsidR="0E260372" w:rsidRDefault="0E260372" w:rsidP="0E260372">
      <w:pPr>
        <w:spacing w:line="240" w:lineRule="auto"/>
        <w:rPr>
          <w:rFonts w:ascii="Arial" w:eastAsia="Arial" w:hAnsi="Arial" w:cs="Arial"/>
          <w:b/>
          <w:bCs/>
          <w:sz w:val="24"/>
          <w:szCs w:val="24"/>
        </w:rPr>
      </w:pPr>
    </w:p>
    <w:p w14:paraId="2099F957" w14:textId="640883EC" w:rsidR="0E260372" w:rsidRDefault="0E260372" w:rsidP="0E260372">
      <w:pPr>
        <w:spacing w:line="240" w:lineRule="auto"/>
        <w:rPr>
          <w:rFonts w:ascii="Arial" w:eastAsia="Arial" w:hAnsi="Arial" w:cs="Arial"/>
          <w:b/>
          <w:bCs/>
          <w:sz w:val="24"/>
          <w:szCs w:val="24"/>
        </w:rPr>
      </w:pPr>
    </w:p>
    <w:p w14:paraId="68899C8C" w14:textId="07907F66" w:rsidR="0E260372" w:rsidRDefault="0E260372" w:rsidP="0E260372">
      <w:pPr>
        <w:spacing w:line="240" w:lineRule="auto"/>
        <w:rPr>
          <w:rFonts w:ascii="Arial" w:eastAsia="Arial" w:hAnsi="Arial" w:cs="Arial"/>
          <w:b/>
          <w:bCs/>
          <w:sz w:val="24"/>
          <w:szCs w:val="24"/>
        </w:rPr>
      </w:pPr>
    </w:p>
    <w:p w14:paraId="1B253278" w14:textId="1F7A05CE" w:rsidR="0E260372" w:rsidRDefault="0E260372" w:rsidP="0E260372">
      <w:pPr>
        <w:spacing w:line="240" w:lineRule="auto"/>
        <w:rPr>
          <w:rFonts w:ascii="Arial" w:eastAsia="Arial" w:hAnsi="Arial" w:cs="Arial"/>
          <w:b/>
          <w:bCs/>
          <w:sz w:val="24"/>
          <w:szCs w:val="24"/>
        </w:rPr>
      </w:pPr>
    </w:p>
    <w:p w14:paraId="28056E74" w14:textId="2AE8C726" w:rsidR="0E260372" w:rsidRDefault="0E260372" w:rsidP="0E260372">
      <w:pPr>
        <w:spacing w:line="240" w:lineRule="auto"/>
        <w:rPr>
          <w:rFonts w:ascii="Arial" w:eastAsia="Arial" w:hAnsi="Arial" w:cs="Arial"/>
          <w:b/>
          <w:bCs/>
          <w:sz w:val="24"/>
          <w:szCs w:val="24"/>
        </w:rPr>
      </w:pPr>
    </w:p>
    <w:p w14:paraId="04852A74" w14:textId="04C8DA8F" w:rsidR="0E260372" w:rsidRDefault="0E260372" w:rsidP="0E260372">
      <w:pPr>
        <w:spacing w:line="240" w:lineRule="auto"/>
        <w:rPr>
          <w:rFonts w:ascii="Arial" w:eastAsia="Arial" w:hAnsi="Arial" w:cs="Arial"/>
          <w:b/>
          <w:bCs/>
          <w:sz w:val="24"/>
          <w:szCs w:val="24"/>
        </w:rPr>
      </w:pPr>
    </w:p>
    <w:p w14:paraId="18A020E7" w14:textId="552091D5" w:rsidR="0E260372" w:rsidRDefault="0E260372" w:rsidP="0E260372">
      <w:pPr>
        <w:spacing w:line="240" w:lineRule="auto"/>
        <w:rPr>
          <w:rFonts w:ascii="Arial" w:eastAsia="Arial" w:hAnsi="Arial" w:cs="Arial"/>
          <w:b/>
          <w:bCs/>
          <w:sz w:val="24"/>
          <w:szCs w:val="24"/>
        </w:rPr>
      </w:pPr>
    </w:p>
    <w:p w14:paraId="4DA36ED8" w14:textId="2178603F" w:rsidR="0E260372" w:rsidRDefault="0E260372" w:rsidP="0E260372">
      <w:pPr>
        <w:spacing w:line="240" w:lineRule="auto"/>
        <w:rPr>
          <w:rFonts w:ascii="Arial" w:eastAsia="Arial" w:hAnsi="Arial" w:cs="Arial"/>
          <w:b/>
          <w:bCs/>
          <w:sz w:val="24"/>
          <w:szCs w:val="24"/>
        </w:rPr>
      </w:pPr>
    </w:p>
    <w:p w14:paraId="6FC354CF" w14:textId="34B1698E" w:rsidR="0E260372" w:rsidRDefault="0E260372" w:rsidP="0E260372">
      <w:pPr>
        <w:spacing w:line="240" w:lineRule="auto"/>
        <w:rPr>
          <w:rFonts w:ascii="Arial" w:eastAsia="Arial" w:hAnsi="Arial" w:cs="Arial"/>
          <w:b/>
          <w:bCs/>
          <w:sz w:val="24"/>
          <w:szCs w:val="24"/>
        </w:rPr>
      </w:pPr>
    </w:p>
    <w:p w14:paraId="0CBB4CB0" w14:textId="529B040E" w:rsidR="0E260372" w:rsidRDefault="0E260372" w:rsidP="0E260372">
      <w:pPr>
        <w:spacing w:line="240" w:lineRule="auto"/>
        <w:rPr>
          <w:rFonts w:ascii="Arial" w:eastAsia="Arial" w:hAnsi="Arial" w:cs="Arial"/>
          <w:b/>
          <w:bCs/>
          <w:sz w:val="24"/>
          <w:szCs w:val="24"/>
        </w:rPr>
      </w:pPr>
    </w:p>
    <w:p w14:paraId="78D21097" w14:textId="3FDEB2AC" w:rsidR="0E260372" w:rsidRDefault="0E260372" w:rsidP="0E260372">
      <w:pPr>
        <w:spacing w:line="240" w:lineRule="auto"/>
        <w:rPr>
          <w:rFonts w:ascii="Arial" w:eastAsia="Arial" w:hAnsi="Arial" w:cs="Arial"/>
          <w:b/>
          <w:bCs/>
          <w:sz w:val="24"/>
          <w:szCs w:val="24"/>
        </w:rPr>
      </w:pPr>
    </w:p>
    <w:p w14:paraId="5897EAF0" w14:textId="7E5E31FE" w:rsidR="0E260372" w:rsidRDefault="0E260372" w:rsidP="0E260372">
      <w:pPr>
        <w:spacing w:line="240" w:lineRule="auto"/>
        <w:rPr>
          <w:rFonts w:ascii="Arial" w:eastAsia="Arial" w:hAnsi="Arial" w:cs="Arial"/>
          <w:b/>
          <w:bCs/>
          <w:sz w:val="24"/>
          <w:szCs w:val="24"/>
        </w:rPr>
      </w:pPr>
    </w:p>
    <w:p w14:paraId="640D49E2" w14:textId="085A2029" w:rsidR="0E260372" w:rsidRDefault="0E260372" w:rsidP="0E260372">
      <w:pPr>
        <w:spacing w:line="240" w:lineRule="auto"/>
        <w:rPr>
          <w:rFonts w:ascii="Arial" w:eastAsia="Arial" w:hAnsi="Arial" w:cs="Arial"/>
          <w:b/>
          <w:bCs/>
          <w:sz w:val="24"/>
          <w:szCs w:val="24"/>
        </w:rPr>
      </w:pPr>
    </w:p>
    <w:p w14:paraId="50BD2F1D" w14:textId="5E585456" w:rsidR="3610BE06" w:rsidRDefault="3610BE06" w:rsidP="359E9537">
      <w:pPr>
        <w:pStyle w:val="Heading2"/>
        <w:rPr>
          <w:rFonts w:ascii="Arial" w:eastAsia="Arial" w:hAnsi="Arial" w:cs="Arial"/>
          <w:color w:val="auto"/>
        </w:rPr>
      </w:pPr>
      <w:r w:rsidRPr="359E9537">
        <w:rPr>
          <w:rFonts w:ascii="Arial" w:eastAsia="Arial" w:hAnsi="Arial" w:cs="Arial"/>
          <w:color w:val="auto"/>
        </w:rPr>
        <w:t>Appendix B</w:t>
      </w:r>
    </w:p>
    <w:p w14:paraId="0D5F3838" w14:textId="08A23C7F" w:rsidR="008C38C3" w:rsidRDefault="21EBB099" w:rsidP="0E260372">
      <w:pPr>
        <w:spacing w:line="240" w:lineRule="auto"/>
        <w:rPr>
          <w:rFonts w:ascii="Arial" w:eastAsia="Arial" w:hAnsi="Arial" w:cs="Arial"/>
          <w:sz w:val="28"/>
          <w:szCs w:val="28"/>
        </w:rPr>
      </w:pPr>
      <w:r w:rsidRPr="0E260372">
        <w:rPr>
          <w:rFonts w:ascii="Arial" w:eastAsia="Arial" w:hAnsi="Arial" w:cs="Arial"/>
          <w:b/>
          <w:bCs/>
          <w:sz w:val="28"/>
          <w:szCs w:val="28"/>
        </w:rPr>
        <w:t>Summary Table</w:t>
      </w:r>
    </w:p>
    <w:p w14:paraId="4E647AF3" w14:textId="20BB2C25" w:rsidR="008C38C3" w:rsidRPr="008C38C3" w:rsidRDefault="008C38C3" w:rsidP="1EC678D9">
      <w:pPr>
        <w:pStyle w:val="Heading1"/>
      </w:pPr>
    </w:p>
    <w:tbl>
      <w:tblPr>
        <w:tblStyle w:val="PlainTable1"/>
        <w:tblW w:w="0" w:type="auto"/>
        <w:tblLayout w:type="fixed"/>
        <w:tblLook w:val="06A0" w:firstRow="1" w:lastRow="0" w:firstColumn="1" w:lastColumn="0" w:noHBand="1" w:noVBand="1"/>
      </w:tblPr>
      <w:tblGrid>
        <w:gridCol w:w="1127"/>
        <w:gridCol w:w="1127"/>
        <w:gridCol w:w="1127"/>
        <w:gridCol w:w="1125"/>
        <w:gridCol w:w="1129"/>
        <w:gridCol w:w="1127"/>
        <w:gridCol w:w="1125"/>
        <w:gridCol w:w="1246"/>
      </w:tblGrid>
      <w:tr w:rsidR="1EC678D9" w14:paraId="4B6D2C39" w14:textId="77777777" w:rsidTr="00DD6BC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7" w:type="dxa"/>
            <w:shd w:val="clear" w:color="auto" w:fill="4472C4" w:themeFill="accent1"/>
          </w:tcPr>
          <w:p w14:paraId="11B258E7" w14:textId="46B18FE6" w:rsidR="39D54DBA" w:rsidRDefault="39D54DBA" w:rsidP="1EC678D9">
            <w:pPr>
              <w:spacing w:line="240" w:lineRule="auto"/>
              <w:rPr>
                <w:rFonts w:ascii="Arial" w:eastAsia="Arial" w:hAnsi="Arial" w:cs="Arial"/>
                <w:b w:val="0"/>
                <w:bCs w:val="0"/>
                <w:color w:val="FFFFFF" w:themeColor="background1"/>
                <w:sz w:val="18"/>
                <w:szCs w:val="18"/>
              </w:rPr>
            </w:pPr>
            <w:r w:rsidRPr="1EC678D9">
              <w:rPr>
                <w:rFonts w:ascii="Arial" w:eastAsia="Arial" w:hAnsi="Arial" w:cs="Arial"/>
                <w:b w:val="0"/>
                <w:bCs w:val="0"/>
                <w:color w:val="FFFFFF" w:themeColor="background1"/>
                <w:sz w:val="18"/>
                <w:szCs w:val="18"/>
              </w:rPr>
              <w:t>Author&amp; Year</w:t>
            </w:r>
          </w:p>
        </w:tc>
        <w:tc>
          <w:tcPr>
            <w:tcW w:w="1127" w:type="dxa"/>
            <w:shd w:val="clear" w:color="auto" w:fill="4472C4" w:themeFill="accent1"/>
          </w:tcPr>
          <w:p w14:paraId="7C368FED" w14:textId="677463C0" w:rsidR="35B7550D" w:rsidRDefault="35B7550D" w:rsidP="1EC678D9">
            <w:pPr>
              <w:spacing w:line="24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FFFFFF" w:themeColor="background1"/>
                <w:sz w:val="18"/>
                <w:szCs w:val="18"/>
              </w:rPr>
            </w:pPr>
            <w:r w:rsidRPr="1EC678D9">
              <w:rPr>
                <w:rFonts w:ascii="Arial" w:eastAsia="Arial" w:hAnsi="Arial" w:cs="Arial"/>
                <w:b w:val="0"/>
                <w:bCs w:val="0"/>
                <w:color w:val="FFFFFF" w:themeColor="background1"/>
                <w:sz w:val="18"/>
                <w:szCs w:val="18"/>
              </w:rPr>
              <w:t>Article Title</w:t>
            </w:r>
          </w:p>
        </w:tc>
        <w:tc>
          <w:tcPr>
            <w:tcW w:w="1127" w:type="dxa"/>
            <w:shd w:val="clear" w:color="auto" w:fill="4472C4" w:themeFill="accent1"/>
          </w:tcPr>
          <w:p w14:paraId="44D429A9" w14:textId="392D32FF" w:rsidR="35B7550D" w:rsidRDefault="35B7550D" w:rsidP="1EC678D9">
            <w:pPr>
              <w:spacing w:line="24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FFFFFF" w:themeColor="background1"/>
                <w:sz w:val="18"/>
                <w:szCs w:val="18"/>
              </w:rPr>
            </w:pPr>
            <w:r w:rsidRPr="1EC678D9">
              <w:rPr>
                <w:rFonts w:ascii="Arial" w:eastAsia="Arial" w:hAnsi="Arial" w:cs="Arial"/>
                <w:b w:val="0"/>
                <w:bCs w:val="0"/>
                <w:color w:val="FFFFFF" w:themeColor="background1"/>
                <w:sz w:val="18"/>
                <w:szCs w:val="18"/>
              </w:rPr>
              <w:t>Type of Study</w:t>
            </w:r>
          </w:p>
        </w:tc>
        <w:tc>
          <w:tcPr>
            <w:tcW w:w="1125" w:type="dxa"/>
            <w:shd w:val="clear" w:color="auto" w:fill="4472C4" w:themeFill="accent1"/>
          </w:tcPr>
          <w:p w14:paraId="272CA7F8" w14:textId="0E8EA62C" w:rsidR="35B7550D" w:rsidRDefault="35B7550D" w:rsidP="1EC678D9">
            <w:pPr>
              <w:spacing w:line="24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FFFFFF" w:themeColor="background1"/>
                <w:sz w:val="18"/>
                <w:szCs w:val="18"/>
              </w:rPr>
            </w:pPr>
            <w:r w:rsidRPr="1EC678D9">
              <w:rPr>
                <w:rFonts w:ascii="Arial" w:eastAsia="Arial" w:hAnsi="Arial" w:cs="Arial"/>
                <w:b w:val="0"/>
                <w:bCs w:val="0"/>
                <w:color w:val="FFFFFF" w:themeColor="background1"/>
                <w:sz w:val="18"/>
                <w:szCs w:val="18"/>
              </w:rPr>
              <w:t>Research Method &amp; Sample Size</w:t>
            </w:r>
          </w:p>
        </w:tc>
        <w:tc>
          <w:tcPr>
            <w:tcW w:w="1129" w:type="dxa"/>
            <w:shd w:val="clear" w:color="auto" w:fill="4472C4" w:themeFill="accent1"/>
          </w:tcPr>
          <w:p w14:paraId="70F95026" w14:textId="1DB808B5" w:rsidR="35B7550D" w:rsidRDefault="35B7550D" w:rsidP="1EC678D9">
            <w:pPr>
              <w:spacing w:line="24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FFFFFF" w:themeColor="background1"/>
                <w:sz w:val="18"/>
                <w:szCs w:val="18"/>
              </w:rPr>
            </w:pPr>
            <w:r w:rsidRPr="1EC678D9">
              <w:rPr>
                <w:rFonts w:ascii="Arial" w:eastAsia="Arial" w:hAnsi="Arial" w:cs="Arial"/>
                <w:b w:val="0"/>
                <w:bCs w:val="0"/>
                <w:color w:val="FFFFFF" w:themeColor="background1"/>
                <w:sz w:val="18"/>
                <w:szCs w:val="18"/>
              </w:rPr>
              <w:t>Strength and Limitations</w:t>
            </w:r>
          </w:p>
        </w:tc>
        <w:tc>
          <w:tcPr>
            <w:tcW w:w="1127" w:type="dxa"/>
            <w:shd w:val="clear" w:color="auto" w:fill="4472C4" w:themeFill="accent1"/>
          </w:tcPr>
          <w:p w14:paraId="1D677C96" w14:textId="7E131A94" w:rsidR="35B7550D" w:rsidRDefault="35B7550D" w:rsidP="1EC678D9">
            <w:pPr>
              <w:spacing w:line="24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FFFFFF" w:themeColor="background1"/>
                <w:sz w:val="18"/>
                <w:szCs w:val="18"/>
              </w:rPr>
            </w:pPr>
            <w:r w:rsidRPr="1EC678D9">
              <w:rPr>
                <w:rFonts w:ascii="Arial" w:eastAsia="Arial" w:hAnsi="Arial" w:cs="Arial"/>
                <w:b w:val="0"/>
                <w:bCs w:val="0"/>
                <w:color w:val="FFFFFF" w:themeColor="background1"/>
                <w:sz w:val="18"/>
                <w:szCs w:val="18"/>
              </w:rPr>
              <w:t>Main Findings</w:t>
            </w:r>
          </w:p>
        </w:tc>
        <w:tc>
          <w:tcPr>
            <w:tcW w:w="1125" w:type="dxa"/>
            <w:shd w:val="clear" w:color="auto" w:fill="4472C4" w:themeFill="accent1"/>
          </w:tcPr>
          <w:p w14:paraId="605D641B" w14:textId="2A1FF886" w:rsidR="35B7550D" w:rsidRDefault="35B7550D" w:rsidP="1EC678D9">
            <w:pPr>
              <w:spacing w:line="24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FFFFFF" w:themeColor="background1"/>
                <w:sz w:val="18"/>
                <w:szCs w:val="18"/>
              </w:rPr>
            </w:pPr>
            <w:r w:rsidRPr="1EC678D9">
              <w:rPr>
                <w:rFonts w:ascii="Arial" w:eastAsia="Arial" w:hAnsi="Arial" w:cs="Arial"/>
                <w:b w:val="0"/>
                <w:bCs w:val="0"/>
                <w:color w:val="FFFFFF" w:themeColor="background1"/>
                <w:sz w:val="18"/>
                <w:szCs w:val="18"/>
              </w:rPr>
              <w:t>Keywords and Codes</w:t>
            </w:r>
          </w:p>
        </w:tc>
        <w:tc>
          <w:tcPr>
            <w:tcW w:w="1246" w:type="dxa"/>
            <w:shd w:val="clear" w:color="auto" w:fill="4472C4" w:themeFill="accent1"/>
          </w:tcPr>
          <w:p w14:paraId="2B0D16AD" w14:textId="0DB7AB6E" w:rsidR="35B7550D" w:rsidRDefault="35B7550D" w:rsidP="1EC678D9">
            <w:pPr>
              <w:spacing w:line="24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FFFFFF" w:themeColor="background1"/>
                <w:sz w:val="18"/>
                <w:szCs w:val="18"/>
              </w:rPr>
            </w:pPr>
            <w:r w:rsidRPr="1EC678D9">
              <w:rPr>
                <w:rFonts w:ascii="Arial" w:eastAsia="Arial" w:hAnsi="Arial" w:cs="Arial"/>
                <w:b w:val="0"/>
                <w:bCs w:val="0"/>
                <w:color w:val="FFFFFF" w:themeColor="background1"/>
                <w:sz w:val="18"/>
                <w:szCs w:val="18"/>
              </w:rPr>
              <w:t>Notes and Comments</w:t>
            </w:r>
          </w:p>
        </w:tc>
      </w:tr>
      <w:tr w:rsidR="1EC678D9" w14:paraId="369BAE26" w14:textId="77777777" w:rsidTr="00DD6BC6">
        <w:trPr>
          <w:trHeight w:val="300"/>
        </w:trPr>
        <w:tc>
          <w:tcPr>
            <w:cnfStyle w:val="001000000000" w:firstRow="0" w:lastRow="0" w:firstColumn="1" w:lastColumn="0" w:oddVBand="0" w:evenVBand="0" w:oddHBand="0" w:evenHBand="0" w:firstRowFirstColumn="0" w:firstRowLastColumn="0" w:lastRowFirstColumn="0" w:lastRowLastColumn="0"/>
            <w:tcW w:w="1127" w:type="dxa"/>
          </w:tcPr>
          <w:p w14:paraId="68825E47" w14:textId="1EE05993" w:rsidR="36FEB016" w:rsidRDefault="36FEB016" w:rsidP="1EC678D9">
            <w:pPr>
              <w:spacing w:line="240" w:lineRule="auto"/>
              <w:rPr>
                <w:rFonts w:ascii="Arial" w:eastAsia="Arial" w:hAnsi="Arial" w:cs="Arial"/>
                <w:sz w:val="16"/>
                <w:szCs w:val="16"/>
              </w:rPr>
            </w:pPr>
            <w:r w:rsidRPr="1EC678D9">
              <w:rPr>
                <w:rFonts w:ascii="Arial" w:eastAsia="Arial" w:hAnsi="Arial" w:cs="Arial"/>
                <w:sz w:val="16"/>
                <w:szCs w:val="16"/>
              </w:rPr>
              <w:t>Office for Health Improvement &amp; Disparities (2024)</w:t>
            </w:r>
          </w:p>
        </w:tc>
        <w:tc>
          <w:tcPr>
            <w:tcW w:w="1127" w:type="dxa"/>
          </w:tcPr>
          <w:p w14:paraId="0D83169C" w14:textId="79F7882A" w:rsidR="36FEB016" w:rsidRDefault="36FEB016"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Children and young people’s substance misuse treatment statistics 2023 to 2024: report</w:t>
            </w:r>
          </w:p>
        </w:tc>
        <w:tc>
          <w:tcPr>
            <w:tcW w:w="1127" w:type="dxa"/>
          </w:tcPr>
          <w:p w14:paraId="50A1986B" w14:textId="5C28DEB9" w:rsidR="36FEB016" w:rsidRDefault="36FEB016"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Government Statistical Report</w:t>
            </w:r>
          </w:p>
        </w:tc>
        <w:tc>
          <w:tcPr>
            <w:tcW w:w="1125" w:type="dxa"/>
          </w:tcPr>
          <w:p w14:paraId="6A19B26E" w14:textId="597EE0E5" w:rsidR="273B9829" w:rsidRDefault="273B9829"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National data collection on substance misuse treatment among young people in England</w:t>
            </w:r>
          </w:p>
        </w:tc>
        <w:tc>
          <w:tcPr>
            <w:tcW w:w="1129" w:type="dxa"/>
          </w:tcPr>
          <w:p w14:paraId="5F7421CB" w14:textId="6F374B52" w:rsidR="4E7DCE50" w:rsidRDefault="4E7DCE5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Strength: Provides comprehensive, current national data. Limitation: Lacks qualitative insights into lived experiences.</w:t>
            </w:r>
          </w:p>
        </w:tc>
        <w:tc>
          <w:tcPr>
            <w:tcW w:w="1127" w:type="dxa"/>
          </w:tcPr>
          <w:p w14:paraId="7F6D0894" w14:textId="30C97B66" w:rsidR="4E7DCE50" w:rsidRDefault="4E7DCE5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Reveals trends in youth treatment engagement and highlights continued prevalence of substance misuse among adolescents.</w:t>
            </w:r>
          </w:p>
        </w:tc>
        <w:tc>
          <w:tcPr>
            <w:tcW w:w="1125" w:type="dxa"/>
          </w:tcPr>
          <w:p w14:paraId="188D5C71" w14:textId="14497F38" w:rsidR="3E84879A" w:rsidRDefault="3E84879A"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w:t>
            </w:r>
            <w:r w:rsidR="4E7DCE50" w:rsidRPr="1EC678D9">
              <w:rPr>
                <w:rFonts w:ascii="Arial" w:eastAsia="Arial" w:hAnsi="Arial" w:cs="Arial"/>
                <w:sz w:val="16"/>
                <w:szCs w:val="16"/>
              </w:rPr>
              <w:t>tatistics, youth treatment, national trends</w:t>
            </w:r>
          </w:p>
        </w:tc>
        <w:tc>
          <w:tcPr>
            <w:tcW w:w="1246" w:type="dxa"/>
          </w:tcPr>
          <w:p w14:paraId="18CCCCFF" w14:textId="06E6BE08" w:rsidR="4E7DCE50" w:rsidRDefault="4E7DCE5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Serves as a foundational source for understanding the current scale and direction of youth substance misuse in England. Theme: National Data &amp; Trends.</w:t>
            </w:r>
          </w:p>
        </w:tc>
      </w:tr>
      <w:tr w:rsidR="1EC678D9" w14:paraId="68F4CC2A" w14:textId="77777777" w:rsidTr="00DD6BC6">
        <w:trPr>
          <w:trHeight w:val="300"/>
        </w:trPr>
        <w:tc>
          <w:tcPr>
            <w:cnfStyle w:val="001000000000" w:firstRow="0" w:lastRow="0" w:firstColumn="1" w:lastColumn="0" w:oddVBand="0" w:evenVBand="0" w:oddHBand="0" w:evenHBand="0" w:firstRowFirstColumn="0" w:firstRowLastColumn="0" w:lastRowFirstColumn="0" w:lastRowLastColumn="0"/>
            <w:tcW w:w="1127" w:type="dxa"/>
          </w:tcPr>
          <w:p w14:paraId="42750D84" w14:textId="4F8E0340" w:rsidR="064EB206" w:rsidRDefault="064EB206" w:rsidP="1EC678D9">
            <w:pPr>
              <w:spacing w:line="240" w:lineRule="auto"/>
              <w:rPr>
                <w:rFonts w:ascii="Arial" w:eastAsia="Arial" w:hAnsi="Arial" w:cs="Arial"/>
                <w:sz w:val="16"/>
                <w:szCs w:val="16"/>
              </w:rPr>
            </w:pPr>
            <w:proofErr w:type="spellStart"/>
            <w:r w:rsidRPr="1EC678D9">
              <w:rPr>
                <w:rFonts w:ascii="Arial" w:eastAsia="Arial" w:hAnsi="Arial" w:cs="Arial"/>
                <w:sz w:val="16"/>
                <w:szCs w:val="16"/>
              </w:rPr>
              <w:t>Segrott</w:t>
            </w:r>
            <w:proofErr w:type="spellEnd"/>
            <w:r w:rsidRPr="1EC678D9">
              <w:rPr>
                <w:rFonts w:ascii="Arial" w:eastAsia="Arial" w:hAnsi="Arial" w:cs="Arial"/>
                <w:sz w:val="16"/>
                <w:szCs w:val="16"/>
              </w:rPr>
              <w:t xml:space="preserve"> et al. (2022)</w:t>
            </w:r>
          </w:p>
        </w:tc>
        <w:tc>
          <w:tcPr>
            <w:tcW w:w="1127" w:type="dxa"/>
          </w:tcPr>
          <w:p w14:paraId="32F596D1" w14:textId="184431C6" w:rsidR="73E7525D" w:rsidRDefault="73E7525D"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Effectiveness of the Strengthening Families Programme in the UK at preventing substance misuse in 10–</w:t>
            </w:r>
            <w:r w:rsidR="0D8E76E2" w:rsidRPr="1EC678D9">
              <w:rPr>
                <w:rFonts w:ascii="Arial" w:eastAsia="Arial" w:hAnsi="Arial" w:cs="Arial"/>
                <w:sz w:val="16"/>
                <w:szCs w:val="16"/>
              </w:rPr>
              <w:t>14-year-olds</w:t>
            </w:r>
            <w:r w:rsidRPr="1EC678D9">
              <w:rPr>
                <w:rFonts w:ascii="Arial" w:eastAsia="Arial" w:hAnsi="Arial" w:cs="Arial"/>
                <w:sz w:val="16"/>
                <w:szCs w:val="16"/>
              </w:rPr>
              <w:t>: a pragmatic randomised controlled trial</w:t>
            </w:r>
          </w:p>
        </w:tc>
        <w:tc>
          <w:tcPr>
            <w:tcW w:w="1127" w:type="dxa"/>
          </w:tcPr>
          <w:p w14:paraId="77B3700E" w14:textId="1A423BAB" w:rsidR="73E7525D" w:rsidRDefault="73E7525D" w:rsidP="1EC678D9">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Quantitative – Randomised Controlled Trial (RCT)</w:t>
            </w:r>
          </w:p>
        </w:tc>
        <w:tc>
          <w:tcPr>
            <w:tcW w:w="1125" w:type="dxa"/>
          </w:tcPr>
          <w:p w14:paraId="03F33B8E" w14:textId="5CABAAA2" w:rsidR="73E7525D" w:rsidRDefault="73E7525D" w:rsidP="1EC678D9">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Mixed-method evaluation involving families of 10–14-year-olds across multiple UK regions</w:t>
            </w:r>
          </w:p>
        </w:tc>
        <w:tc>
          <w:tcPr>
            <w:tcW w:w="1129" w:type="dxa"/>
          </w:tcPr>
          <w:p w14:paraId="19CA52DB" w14:textId="26911086" w:rsidR="73E7525D" w:rsidRDefault="73E7525D" w:rsidP="1EC678D9">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Strength: Strong experimental design enhances validity. Limitation: Limited long-term follow-up data.</w:t>
            </w:r>
          </w:p>
        </w:tc>
        <w:tc>
          <w:tcPr>
            <w:tcW w:w="1127" w:type="dxa"/>
          </w:tcPr>
          <w:p w14:paraId="4CD5E1AE" w14:textId="5EFC40A9" w:rsidR="73E7525D" w:rsidRDefault="73E7525D" w:rsidP="1EC678D9">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Demonstrates significant reduction in early substance use through family-based prevention interventions.</w:t>
            </w:r>
          </w:p>
        </w:tc>
        <w:tc>
          <w:tcPr>
            <w:tcW w:w="1125" w:type="dxa"/>
          </w:tcPr>
          <w:p w14:paraId="309D79CB" w14:textId="5E5CEB23" w:rsidR="0E86CA29" w:rsidRDefault="0E86CA29" w:rsidP="1EC678D9">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F</w:t>
            </w:r>
            <w:r w:rsidR="73E7525D" w:rsidRPr="1EC678D9">
              <w:rPr>
                <w:rFonts w:ascii="Arial" w:eastAsia="Arial" w:hAnsi="Arial" w:cs="Arial"/>
                <w:sz w:val="16"/>
                <w:szCs w:val="16"/>
              </w:rPr>
              <w:t>amily intervention, prevention, adolescent behaviour</w:t>
            </w:r>
          </w:p>
        </w:tc>
        <w:tc>
          <w:tcPr>
            <w:tcW w:w="1246" w:type="dxa"/>
          </w:tcPr>
          <w:p w14:paraId="72917F1D" w14:textId="2062E341" w:rsidR="73E7525D" w:rsidRDefault="73E7525D" w:rsidP="1EC678D9">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Provides robust evidence for family-centred approaches in reducing youth substance misuse. Theme: Family and Prevention.</w:t>
            </w:r>
          </w:p>
        </w:tc>
      </w:tr>
      <w:tr w:rsidR="1EC678D9" w14:paraId="0474EAB5" w14:textId="77777777" w:rsidTr="00DD6BC6">
        <w:trPr>
          <w:trHeight w:val="300"/>
        </w:trPr>
        <w:tc>
          <w:tcPr>
            <w:cnfStyle w:val="001000000000" w:firstRow="0" w:lastRow="0" w:firstColumn="1" w:lastColumn="0" w:oddVBand="0" w:evenVBand="0" w:oddHBand="0" w:evenHBand="0" w:firstRowFirstColumn="0" w:firstRowLastColumn="0" w:lastRowFirstColumn="0" w:lastRowLastColumn="0"/>
            <w:tcW w:w="1127" w:type="dxa"/>
          </w:tcPr>
          <w:p w14:paraId="6CFB825E" w14:textId="1A0B1D77" w:rsidR="05502E1A" w:rsidRDefault="05502E1A" w:rsidP="1EC678D9">
            <w:pPr>
              <w:spacing w:line="240" w:lineRule="auto"/>
              <w:jc w:val="left"/>
              <w:rPr>
                <w:rFonts w:ascii="Arial" w:eastAsia="Arial" w:hAnsi="Arial" w:cs="Arial"/>
                <w:sz w:val="16"/>
                <w:szCs w:val="16"/>
              </w:rPr>
            </w:pPr>
            <w:r w:rsidRPr="1EC678D9">
              <w:rPr>
                <w:rFonts w:ascii="Arial" w:eastAsia="Arial" w:hAnsi="Arial" w:cs="Arial"/>
                <w:sz w:val="16"/>
                <w:szCs w:val="16"/>
              </w:rPr>
              <w:t>Holland et al. (2023)</w:t>
            </w:r>
          </w:p>
        </w:tc>
        <w:tc>
          <w:tcPr>
            <w:tcW w:w="1127" w:type="dxa"/>
          </w:tcPr>
          <w:p w14:paraId="2EA68562" w14:textId="30BD1660" w:rsidR="165ECB97" w:rsidRDefault="165ECB97" w:rsidP="1EC678D9">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Analysis of the UK Government’s 10-Year Drugs Strategy—a resource for practitioners and policymakers</w:t>
            </w:r>
          </w:p>
        </w:tc>
        <w:tc>
          <w:tcPr>
            <w:tcW w:w="1127" w:type="dxa"/>
          </w:tcPr>
          <w:p w14:paraId="7E758278" w14:textId="3D2F042F" w:rsidR="165ECB97" w:rsidRDefault="165ECB97"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Policy Analysis – Peer-reviewed Article</w:t>
            </w:r>
          </w:p>
        </w:tc>
        <w:tc>
          <w:tcPr>
            <w:tcW w:w="1125" w:type="dxa"/>
          </w:tcPr>
          <w:p w14:paraId="0F9677BF" w14:textId="0DB13E69" w:rsidR="165ECB97" w:rsidRDefault="165ECB97"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Documentary and critical analysis of the UK Government’s 10-year drug strategy</w:t>
            </w:r>
          </w:p>
        </w:tc>
        <w:tc>
          <w:tcPr>
            <w:tcW w:w="1129" w:type="dxa"/>
          </w:tcPr>
          <w:p w14:paraId="53521245" w14:textId="00221842" w:rsidR="165ECB97" w:rsidRDefault="165ECB97"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Strength: Offers in-depth critique of national policy direction. Limitation: Relies on secondary data and lacks participant evidence.</w:t>
            </w:r>
          </w:p>
        </w:tc>
        <w:tc>
          <w:tcPr>
            <w:tcW w:w="1127" w:type="dxa"/>
          </w:tcPr>
          <w:p w14:paraId="4D6EAD23" w14:textId="16F6C0F7" w:rsidR="165ECB97" w:rsidRDefault="165ECB97"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Identifies limited investment in youth prevention and need for stronger evidence-based practice in the national strategy.</w:t>
            </w:r>
          </w:p>
        </w:tc>
        <w:tc>
          <w:tcPr>
            <w:tcW w:w="1125" w:type="dxa"/>
          </w:tcPr>
          <w:p w14:paraId="70D5C6DD" w14:textId="393036AB" w:rsidR="7609BC98" w:rsidRDefault="7609BC98"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P</w:t>
            </w:r>
            <w:r w:rsidR="165ECB97" w:rsidRPr="1EC678D9">
              <w:rPr>
                <w:rFonts w:ascii="Arial" w:eastAsia="Arial" w:hAnsi="Arial" w:cs="Arial"/>
                <w:sz w:val="16"/>
                <w:szCs w:val="16"/>
              </w:rPr>
              <w:t>olicy, prevention, strategy evaluation</w:t>
            </w:r>
          </w:p>
        </w:tc>
        <w:tc>
          <w:tcPr>
            <w:tcW w:w="1246" w:type="dxa"/>
          </w:tcPr>
          <w:p w14:paraId="22AEB23E" w14:textId="287E2508" w:rsidR="165ECB97" w:rsidRDefault="165ECB97"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Highlights systemic challenges and policy gaps shaping youth-focused drug interventions. Theme: Policy and Governance.</w:t>
            </w:r>
          </w:p>
        </w:tc>
      </w:tr>
      <w:tr w:rsidR="1EC678D9" w14:paraId="6746CD17" w14:textId="77777777" w:rsidTr="00DD6BC6">
        <w:trPr>
          <w:trHeight w:val="300"/>
        </w:trPr>
        <w:tc>
          <w:tcPr>
            <w:cnfStyle w:val="001000000000" w:firstRow="0" w:lastRow="0" w:firstColumn="1" w:lastColumn="0" w:oddVBand="0" w:evenVBand="0" w:oddHBand="0" w:evenHBand="0" w:firstRowFirstColumn="0" w:firstRowLastColumn="0" w:lastRowFirstColumn="0" w:lastRowLastColumn="0"/>
            <w:tcW w:w="1127" w:type="dxa"/>
          </w:tcPr>
          <w:p w14:paraId="1E814F9A" w14:textId="46FAC5CC" w:rsidR="4ADC0AE8" w:rsidRDefault="4ADC0AE8" w:rsidP="1EC678D9">
            <w:pPr>
              <w:spacing w:line="240" w:lineRule="auto"/>
              <w:jc w:val="left"/>
              <w:rPr>
                <w:rFonts w:ascii="Arial" w:eastAsia="Arial" w:hAnsi="Arial" w:cs="Arial"/>
                <w:sz w:val="16"/>
                <w:szCs w:val="16"/>
              </w:rPr>
            </w:pPr>
            <w:r w:rsidRPr="1EC678D9">
              <w:rPr>
                <w:rFonts w:ascii="Arial" w:eastAsia="Arial" w:hAnsi="Arial" w:cs="Arial"/>
                <w:sz w:val="16"/>
                <w:szCs w:val="16"/>
              </w:rPr>
              <w:t>Alderson et al. (2019)</w:t>
            </w:r>
          </w:p>
        </w:tc>
        <w:tc>
          <w:tcPr>
            <w:tcW w:w="1127" w:type="dxa"/>
          </w:tcPr>
          <w:p w14:paraId="48A652E9" w14:textId="02DD0194" w:rsidR="39DF5BA6" w:rsidRDefault="39DF5BA6"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 xml:space="preserve">Key therapeutic factors to deliver behavioural change </w:t>
            </w:r>
            <w:r w:rsidRPr="1EC678D9">
              <w:rPr>
                <w:rFonts w:ascii="Arial" w:eastAsia="Arial" w:hAnsi="Arial" w:cs="Arial"/>
                <w:sz w:val="16"/>
                <w:szCs w:val="16"/>
              </w:rPr>
              <w:lastRenderedPageBreak/>
              <w:t>interventions for looked-after children and care leavers: a qualitative exploration</w:t>
            </w:r>
          </w:p>
        </w:tc>
        <w:tc>
          <w:tcPr>
            <w:tcW w:w="1127" w:type="dxa"/>
          </w:tcPr>
          <w:p w14:paraId="626B0368" w14:textId="4CFDE2B1" w:rsidR="39DF5BA6" w:rsidRDefault="39DF5BA6"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lastRenderedPageBreak/>
              <w:t>Qualitative Study</w:t>
            </w:r>
          </w:p>
        </w:tc>
        <w:tc>
          <w:tcPr>
            <w:tcW w:w="1125" w:type="dxa"/>
          </w:tcPr>
          <w:p w14:paraId="2CBAC3A1" w14:textId="6BBAE8A9" w:rsidR="39DF5BA6" w:rsidRDefault="39DF5BA6"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Semi-structured interviews with practitioners and looked-</w:t>
            </w:r>
            <w:r w:rsidRPr="1EC678D9">
              <w:rPr>
                <w:rFonts w:ascii="Arial" w:eastAsia="Arial" w:hAnsi="Arial" w:cs="Arial"/>
                <w:sz w:val="16"/>
                <w:szCs w:val="16"/>
              </w:rPr>
              <w:lastRenderedPageBreak/>
              <w:t>after young people</w:t>
            </w:r>
          </w:p>
        </w:tc>
        <w:tc>
          <w:tcPr>
            <w:tcW w:w="1129" w:type="dxa"/>
          </w:tcPr>
          <w:p w14:paraId="14890D12" w14:textId="3904D652" w:rsidR="39DF5BA6" w:rsidRDefault="39DF5BA6"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lastRenderedPageBreak/>
              <w:t xml:space="preserve">Strength: Captures nuanced perspectives from vulnerable </w:t>
            </w:r>
            <w:r w:rsidRPr="1EC678D9">
              <w:rPr>
                <w:rFonts w:ascii="Arial" w:eastAsia="Arial" w:hAnsi="Arial" w:cs="Arial"/>
                <w:sz w:val="16"/>
                <w:szCs w:val="16"/>
              </w:rPr>
              <w:lastRenderedPageBreak/>
              <w:t>youth. Limitation: Small, context-specific sample limits generalisation.</w:t>
            </w:r>
          </w:p>
        </w:tc>
        <w:tc>
          <w:tcPr>
            <w:tcW w:w="1127" w:type="dxa"/>
          </w:tcPr>
          <w:p w14:paraId="17B1A65F" w14:textId="1F9910F5" w:rsidR="39DF5BA6" w:rsidRDefault="39DF5BA6"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lastRenderedPageBreak/>
              <w:t xml:space="preserve">Emphasises trust, empathy, and consistent relationships </w:t>
            </w:r>
            <w:r w:rsidRPr="1EC678D9">
              <w:rPr>
                <w:rFonts w:ascii="Arial" w:eastAsia="Arial" w:hAnsi="Arial" w:cs="Arial"/>
                <w:sz w:val="16"/>
                <w:szCs w:val="16"/>
              </w:rPr>
              <w:lastRenderedPageBreak/>
              <w:t>as core to reducing substance use among looked-after youth.</w:t>
            </w:r>
          </w:p>
        </w:tc>
        <w:tc>
          <w:tcPr>
            <w:tcW w:w="1125" w:type="dxa"/>
          </w:tcPr>
          <w:p w14:paraId="4B645691" w14:textId="268D7576" w:rsidR="39DF5BA6" w:rsidRDefault="39DF5BA6"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lastRenderedPageBreak/>
              <w:t>Looked-after children, behavioural change, therapeutic support</w:t>
            </w:r>
          </w:p>
        </w:tc>
        <w:tc>
          <w:tcPr>
            <w:tcW w:w="1246" w:type="dxa"/>
          </w:tcPr>
          <w:p w14:paraId="453DD134" w14:textId="66CB425A" w:rsidR="39DF5BA6" w:rsidRDefault="39DF5BA6"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 xml:space="preserve">Provides insight into relational mechanisms supporting behavioural </w:t>
            </w:r>
            <w:r w:rsidRPr="1EC678D9">
              <w:rPr>
                <w:rFonts w:ascii="Arial" w:eastAsia="Arial" w:hAnsi="Arial" w:cs="Arial"/>
                <w:sz w:val="16"/>
                <w:szCs w:val="16"/>
              </w:rPr>
              <w:lastRenderedPageBreak/>
              <w:t>change. Theme: Vulnerable Youth and Care Systems.</w:t>
            </w:r>
          </w:p>
        </w:tc>
      </w:tr>
      <w:tr w:rsidR="1EC678D9" w14:paraId="60CA1D08" w14:textId="77777777" w:rsidTr="00DD6BC6">
        <w:trPr>
          <w:trHeight w:val="300"/>
        </w:trPr>
        <w:tc>
          <w:tcPr>
            <w:cnfStyle w:val="001000000000" w:firstRow="0" w:lastRow="0" w:firstColumn="1" w:lastColumn="0" w:oddVBand="0" w:evenVBand="0" w:oddHBand="0" w:evenHBand="0" w:firstRowFirstColumn="0" w:firstRowLastColumn="0" w:lastRowFirstColumn="0" w:lastRowLastColumn="0"/>
            <w:tcW w:w="1127" w:type="dxa"/>
          </w:tcPr>
          <w:p w14:paraId="6F1D6EC2" w14:textId="65E7AA4E" w:rsidR="7F3E46A1" w:rsidRDefault="7F3E46A1" w:rsidP="1EC678D9">
            <w:pPr>
              <w:spacing w:line="240" w:lineRule="auto"/>
              <w:jc w:val="left"/>
              <w:rPr>
                <w:rFonts w:ascii="Arial" w:eastAsia="Arial" w:hAnsi="Arial" w:cs="Arial"/>
                <w:sz w:val="16"/>
                <w:szCs w:val="16"/>
              </w:rPr>
            </w:pPr>
            <w:r w:rsidRPr="1EC678D9">
              <w:rPr>
                <w:rFonts w:ascii="Arial" w:eastAsia="Arial" w:hAnsi="Arial" w:cs="Arial"/>
                <w:sz w:val="16"/>
                <w:szCs w:val="16"/>
              </w:rPr>
              <w:lastRenderedPageBreak/>
              <w:t>Stockings et al. (2016)</w:t>
            </w:r>
          </w:p>
        </w:tc>
        <w:tc>
          <w:tcPr>
            <w:tcW w:w="1127" w:type="dxa"/>
          </w:tcPr>
          <w:p w14:paraId="0E0B5849" w14:textId="3B357F44" w:rsidR="7F3E46A1" w:rsidRDefault="7F3E46A1" w:rsidP="1EC678D9">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Prevention, early intervention, harm reduction, and treatment of substance use in young people</w:t>
            </w:r>
          </w:p>
        </w:tc>
        <w:tc>
          <w:tcPr>
            <w:tcW w:w="1127" w:type="dxa"/>
          </w:tcPr>
          <w:p w14:paraId="5838D172" w14:textId="57CB24C8" w:rsidR="7F3E46A1" w:rsidRDefault="7F3E46A1"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Systematic Review – Peer-reviewed</w:t>
            </w:r>
          </w:p>
        </w:tc>
        <w:tc>
          <w:tcPr>
            <w:tcW w:w="1125" w:type="dxa"/>
          </w:tcPr>
          <w:p w14:paraId="001F50AD" w14:textId="210BB217" w:rsidR="7F3E46A1" w:rsidRDefault="7F3E46A1"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Comprehensive review of international evidence on youth prevention and treatment programmes</w:t>
            </w:r>
          </w:p>
        </w:tc>
        <w:tc>
          <w:tcPr>
            <w:tcW w:w="1129" w:type="dxa"/>
          </w:tcPr>
          <w:p w14:paraId="7A60D144" w14:textId="5E73EF00" w:rsidR="7F3E46A1" w:rsidRDefault="7F3E46A1"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Strength: Synthesises global data to identify effective approaches. Limitation: Contextual differences limit UK-specific applicability.</w:t>
            </w:r>
          </w:p>
        </w:tc>
        <w:tc>
          <w:tcPr>
            <w:tcW w:w="1127" w:type="dxa"/>
          </w:tcPr>
          <w:p w14:paraId="30BDFA96" w14:textId="46300E2E" w:rsidR="7F3E46A1" w:rsidRDefault="7F3E46A1"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Finds multi-component, early interventions most effective in reducing youth substance misuse.</w:t>
            </w:r>
          </w:p>
        </w:tc>
        <w:tc>
          <w:tcPr>
            <w:tcW w:w="1125" w:type="dxa"/>
          </w:tcPr>
          <w:p w14:paraId="24B907DD" w14:textId="070DE1AC" w:rsidR="7F3E46A1" w:rsidRDefault="7F3E46A1"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Prevention, harm reduction, treatment</w:t>
            </w:r>
          </w:p>
        </w:tc>
        <w:tc>
          <w:tcPr>
            <w:tcW w:w="1246" w:type="dxa"/>
          </w:tcPr>
          <w:p w14:paraId="1254C80D" w14:textId="2D9C9D6E" w:rsidR="7F3E46A1" w:rsidRDefault="7F3E46A1"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Offers strong empirical basis for multi-level prevention frameworks. Theme: Global Evidence &amp; Early Intervention.</w:t>
            </w:r>
          </w:p>
        </w:tc>
      </w:tr>
      <w:tr w:rsidR="1EC678D9" w14:paraId="0224950C" w14:textId="77777777" w:rsidTr="00DD6BC6">
        <w:trPr>
          <w:trHeight w:val="300"/>
        </w:trPr>
        <w:tc>
          <w:tcPr>
            <w:cnfStyle w:val="001000000000" w:firstRow="0" w:lastRow="0" w:firstColumn="1" w:lastColumn="0" w:oddVBand="0" w:evenVBand="0" w:oddHBand="0" w:evenHBand="0" w:firstRowFirstColumn="0" w:firstRowLastColumn="0" w:lastRowFirstColumn="0" w:lastRowLastColumn="0"/>
            <w:tcW w:w="1127" w:type="dxa"/>
          </w:tcPr>
          <w:p w14:paraId="35241308" w14:textId="7E9A4BEB" w:rsidR="032009C0" w:rsidRDefault="032009C0" w:rsidP="1EC678D9">
            <w:pPr>
              <w:spacing w:line="240" w:lineRule="auto"/>
              <w:jc w:val="left"/>
              <w:rPr>
                <w:rFonts w:ascii="Arial" w:eastAsia="Arial" w:hAnsi="Arial" w:cs="Arial"/>
                <w:sz w:val="16"/>
                <w:szCs w:val="16"/>
              </w:rPr>
            </w:pPr>
            <w:r w:rsidRPr="1EC678D9">
              <w:rPr>
                <w:rFonts w:ascii="Arial" w:eastAsia="Arial" w:hAnsi="Arial" w:cs="Arial"/>
                <w:sz w:val="16"/>
                <w:szCs w:val="16"/>
              </w:rPr>
              <w:t>Judith Watson et al. (2017)</w:t>
            </w:r>
          </w:p>
        </w:tc>
        <w:tc>
          <w:tcPr>
            <w:tcW w:w="1127" w:type="dxa"/>
          </w:tcPr>
          <w:p w14:paraId="7E4D3DB2" w14:textId="478D8268" w:rsidR="032009C0" w:rsidRDefault="032009C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Youth Social Behaviour and Network Therapy (Y-SBNT): Adaptation of a family and social network intervention for young people who misuse alcohol and drugs – a randomised controlled feasibility trial</w:t>
            </w:r>
          </w:p>
        </w:tc>
        <w:tc>
          <w:tcPr>
            <w:tcW w:w="1127" w:type="dxa"/>
          </w:tcPr>
          <w:p w14:paraId="1415B9BF" w14:textId="44890EE2" w:rsidR="032009C0" w:rsidRDefault="032009C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Quantitative – Randomised Controlled Trial (Feasibility Study)</w:t>
            </w:r>
          </w:p>
        </w:tc>
        <w:tc>
          <w:tcPr>
            <w:tcW w:w="1125" w:type="dxa"/>
          </w:tcPr>
          <w:p w14:paraId="0E87A8CA" w14:textId="098028BE" w:rsidR="032009C0" w:rsidRDefault="032009C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Trial with young people misusing substances, supported by family and social networks</w:t>
            </w:r>
          </w:p>
        </w:tc>
        <w:tc>
          <w:tcPr>
            <w:tcW w:w="1129" w:type="dxa"/>
          </w:tcPr>
          <w:p w14:paraId="13DAAD13" w14:textId="520307F3" w:rsidR="032009C0" w:rsidRDefault="032009C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Strength: Tests feasibility and acceptability of a novel intervention. Limitation: Small-scale study with limited statistical power.</w:t>
            </w:r>
          </w:p>
        </w:tc>
        <w:tc>
          <w:tcPr>
            <w:tcW w:w="1127" w:type="dxa"/>
          </w:tcPr>
          <w:p w14:paraId="3EDE2A47" w14:textId="0B7604EF" w:rsidR="032009C0" w:rsidRDefault="032009C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Shows that social network and family involvement can enhance engagement and recovery among young substance users.</w:t>
            </w:r>
          </w:p>
        </w:tc>
        <w:tc>
          <w:tcPr>
            <w:tcW w:w="1125" w:type="dxa"/>
          </w:tcPr>
          <w:p w14:paraId="64D9F293" w14:textId="0BBB19F0" w:rsidR="032009C0" w:rsidRDefault="032009C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Social network, family support, youth intervention</w:t>
            </w:r>
          </w:p>
        </w:tc>
        <w:tc>
          <w:tcPr>
            <w:tcW w:w="1246" w:type="dxa"/>
          </w:tcPr>
          <w:p w14:paraId="3B262FF7" w14:textId="6245F8BE" w:rsidR="032009C0" w:rsidRDefault="032009C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Supports the role of relational and network-based interventions in treatment design. Theme: Social Networks and Intervention Feasibility.</w:t>
            </w:r>
          </w:p>
          <w:p w14:paraId="3EC1F7C6" w14:textId="4CF4096A" w:rsidR="1EC678D9" w:rsidRDefault="1EC678D9"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p>
          <w:p w14:paraId="53505BD8" w14:textId="3AB8D2F2" w:rsidR="1EC678D9" w:rsidRDefault="1EC678D9"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p>
          <w:p w14:paraId="72CA49E1" w14:textId="0E44444D" w:rsidR="1EC678D9" w:rsidRDefault="1EC678D9"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p>
          <w:p w14:paraId="4B21DA8C" w14:textId="314CC23D" w:rsidR="1EC678D9" w:rsidRDefault="1EC678D9"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p>
          <w:p w14:paraId="152BBF0B" w14:textId="2A3BBAB8" w:rsidR="1EC678D9" w:rsidRDefault="1EC678D9"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p>
          <w:p w14:paraId="51442B61" w14:textId="0BF60D55" w:rsidR="1EC678D9" w:rsidRDefault="1EC678D9"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p>
          <w:p w14:paraId="134BF63D" w14:textId="3D036C87" w:rsidR="1EC678D9" w:rsidRDefault="1EC678D9"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p>
          <w:p w14:paraId="345653C7" w14:textId="3E95E2D2" w:rsidR="1EC678D9" w:rsidRDefault="1EC678D9"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p>
          <w:p w14:paraId="5716AA89" w14:textId="3D57CF86" w:rsidR="1EC678D9" w:rsidRDefault="1EC678D9"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p>
          <w:p w14:paraId="3C9E89C6" w14:textId="7E6AA022" w:rsidR="1EC678D9" w:rsidRDefault="1EC678D9"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p>
          <w:p w14:paraId="3AEF72DC" w14:textId="561DF9C2" w:rsidR="1EC678D9" w:rsidRDefault="1EC678D9"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p>
          <w:p w14:paraId="64C3FA7D" w14:textId="42B814CF" w:rsidR="1EC678D9" w:rsidRDefault="1EC678D9"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p>
        </w:tc>
      </w:tr>
      <w:tr w:rsidR="1EC678D9" w14:paraId="7234645E" w14:textId="77777777" w:rsidTr="00DD6BC6">
        <w:trPr>
          <w:trHeight w:val="300"/>
        </w:trPr>
        <w:tc>
          <w:tcPr>
            <w:cnfStyle w:val="001000000000" w:firstRow="0" w:lastRow="0" w:firstColumn="1" w:lastColumn="0" w:oddVBand="0" w:evenVBand="0" w:oddHBand="0" w:evenHBand="0" w:firstRowFirstColumn="0" w:firstRowLastColumn="0" w:lastRowFirstColumn="0" w:lastRowLastColumn="0"/>
            <w:tcW w:w="1127" w:type="dxa"/>
          </w:tcPr>
          <w:p w14:paraId="74272A67" w14:textId="25EE48A8" w:rsidR="61F6E6A3" w:rsidRDefault="61F6E6A3" w:rsidP="1EC678D9">
            <w:pPr>
              <w:spacing w:line="240" w:lineRule="auto"/>
              <w:jc w:val="left"/>
              <w:rPr>
                <w:rFonts w:ascii="Arial" w:eastAsia="Arial" w:hAnsi="Arial" w:cs="Arial"/>
                <w:sz w:val="16"/>
                <w:szCs w:val="16"/>
              </w:rPr>
            </w:pPr>
            <w:r w:rsidRPr="1EC678D9">
              <w:rPr>
                <w:rFonts w:ascii="Arial" w:eastAsia="Arial" w:hAnsi="Arial" w:cs="Arial"/>
                <w:sz w:val="16"/>
                <w:szCs w:val="16"/>
              </w:rPr>
              <w:t>Volkow &amp; Blanco (2023)</w:t>
            </w:r>
          </w:p>
        </w:tc>
        <w:tc>
          <w:tcPr>
            <w:tcW w:w="1127" w:type="dxa"/>
          </w:tcPr>
          <w:p w14:paraId="098739DD" w14:textId="51B60747" w:rsidR="61F6E6A3" w:rsidRDefault="61F6E6A3" w:rsidP="1EC678D9">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Substance Use Disorders: A Comprehensive Update of Classification, Epidemiology, Neurobiology, Clinical Aspects, Treatment and Prevention</w:t>
            </w:r>
          </w:p>
        </w:tc>
        <w:tc>
          <w:tcPr>
            <w:tcW w:w="1127" w:type="dxa"/>
          </w:tcPr>
          <w:p w14:paraId="6721493D" w14:textId="62384905" w:rsidR="61F6E6A3" w:rsidRDefault="61F6E6A3"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Peer-Reviewed Journal Article</w:t>
            </w:r>
          </w:p>
        </w:tc>
        <w:tc>
          <w:tcPr>
            <w:tcW w:w="1125" w:type="dxa"/>
          </w:tcPr>
          <w:p w14:paraId="2A4C9866" w14:textId="7E9C06A9" w:rsidR="1282FDCB" w:rsidRDefault="1282FDCB"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Literature review synthesising epidemiological and neurobiological evidence</w:t>
            </w:r>
          </w:p>
        </w:tc>
        <w:tc>
          <w:tcPr>
            <w:tcW w:w="1129" w:type="dxa"/>
          </w:tcPr>
          <w:p w14:paraId="599125A9" w14:textId="3FBD3CE9" w:rsidR="1282FDCB" w:rsidRDefault="1282FDCB"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Strength: Comprehensive theoretical scope. Limitation: Limited adolescent-specific UK focus. |</w:t>
            </w:r>
          </w:p>
        </w:tc>
        <w:tc>
          <w:tcPr>
            <w:tcW w:w="1127" w:type="dxa"/>
          </w:tcPr>
          <w:p w14:paraId="17A53B75" w14:textId="278FE456" w:rsidR="472E8598" w:rsidRDefault="472E8598"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Substance misuse results from complex neurobiological and social factors requiring integrated prevention.</w:t>
            </w:r>
          </w:p>
        </w:tc>
        <w:tc>
          <w:tcPr>
            <w:tcW w:w="1125" w:type="dxa"/>
          </w:tcPr>
          <w:p w14:paraId="41448504" w14:textId="0749E474" w:rsidR="68D90E2F" w:rsidRDefault="68D90E2F"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Substance use, neurobiology, prevention.</w:t>
            </w:r>
          </w:p>
        </w:tc>
        <w:tc>
          <w:tcPr>
            <w:tcW w:w="1246" w:type="dxa"/>
          </w:tcPr>
          <w:p w14:paraId="1E5716F7" w14:textId="02B93470" w:rsidR="68D90E2F" w:rsidRDefault="68D90E2F"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rPr>
              <w:t>Provides theoretical foundation for understanding substance misuse causes.</w:t>
            </w:r>
          </w:p>
        </w:tc>
      </w:tr>
      <w:tr w:rsidR="1EC678D9" w14:paraId="4A817D1F" w14:textId="77777777" w:rsidTr="00DD6BC6">
        <w:trPr>
          <w:trHeight w:val="300"/>
        </w:trPr>
        <w:tc>
          <w:tcPr>
            <w:cnfStyle w:val="001000000000" w:firstRow="0" w:lastRow="0" w:firstColumn="1" w:lastColumn="0" w:oddVBand="0" w:evenVBand="0" w:oddHBand="0" w:evenHBand="0" w:firstRowFirstColumn="0" w:firstRowLastColumn="0" w:lastRowFirstColumn="0" w:lastRowLastColumn="0"/>
            <w:tcW w:w="1127" w:type="dxa"/>
          </w:tcPr>
          <w:p w14:paraId="6349D741" w14:textId="4042FA0E" w:rsidR="2171D6E0" w:rsidRDefault="2171D6E0" w:rsidP="1EC678D9">
            <w:pPr>
              <w:spacing w:line="240" w:lineRule="auto"/>
              <w:jc w:val="left"/>
              <w:rPr>
                <w:rFonts w:ascii="Arial" w:eastAsia="Arial" w:hAnsi="Arial" w:cs="Arial"/>
                <w:sz w:val="16"/>
                <w:szCs w:val="16"/>
              </w:rPr>
            </w:pPr>
            <w:r w:rsidRPr="1EC678D9">
              <w:rPr>
                <w:rFonts w:ascii="Arial" w:eastAsia="Arial" w:hAnsi="Arial" w:cs="Arial"/>
                <w:sz w:val="16"/>
                <w:szCs w:val="16"/>
                <w:lang w:val="en-US"/>
              </w:rPr>
              <w:t>Becker &amp; Rice (2022)</w:t>
            </w:r>
          </w:p>
        </w:tc>
        <w:tc>
          <w:tcPr>
            <w:tcW w:w="1127" w:type="dxa"/>
          </w:tcPr>
          <w:p w14:paraId="390D623E" w14:textId="3F37FBD8" w:rsidR="2171D6E0" w:rsidRDefault="2171D6E0" w:rsidP="1EC678D9">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lang w:val="en-US"/>
              </w:rPr>
              <w:t>Youth Vaping: A Review and Update on Global Epidemiology, Physical and Behavioral Health Risks, and Clinical Considerations</w:t>
            </w:r>
          </w:p>
        </w:tc>
        <w:tc>
          <w:tcPr>
            <w:tcW w:w="1127" w:type="dxa"/>
          </w:tcPr>
          <w:p w14:paraId="17C67567" w14:textId="25047646" w:rsidR="2171D6E0" w:rsidRDefault="2171D6E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lang w:val="en-US"/>
              </w:rPr>
              <w:t>Peer-Reviewed Journal Article</w:t>
            </w:r>
          </w:p>
        </w:tc>
        <w:tc>
          <w:tcPr>
            <w:tcW w:w="1125" w:type="dxa"/>
          </w:tcPr>
          <w:p w14:paraId="36C6189B" w14:textId="601DF468" w:rsidR="2171D6E0" w:rsidRDefault="2171D6E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lang w:val="en-US"/>
              </w:rPr>
              <w:t>Systematic review of international data on youth vaping</w:t>
            </w:r>
          </w:p>
        </w:tc>
        <w:tc>
          <w:tcPr>
            <w:tcW w:w="1129" w:type="dxa"/>
          </w:tcPr>
          <w:p w14:paraId="0969F446" w14:textId="7E4898E1" w:rsidR="2171D6E0" w:rsidRDefault="2171D6E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lang w:val="en-US"/>
              </w:rPr>
              <w:t>Strength: Comprehensive global perspective. Limitation: Minimal UK-specific data.</w:t>
            </w:r>
          </w:p>
        </w:tc>
        <w:tc>
          <w:tcPr>
            <w:tcW w:w="1127" w:type="dxa"/>
          </w:tcPr>
          <w:p w14:paraId="4F2ADC61" w14:textId="7E54684F" w:rsidR="2171D6E0" w:rsidRDefault="2171D6E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lang w:val="en-US"/>
              </w:rPr>
              <w:t xml:space="preserve">Vaping presents significant physical and </w:t>
            </w:r>
            <w:proofErr w:type="spellStart"/>
            <w:r w:rsidRPr="1EC678D9">
              <w:rPr>
                <w:rFonts w:ascii="Arial" w:eastAsia="Arial" w:hAnsi="Arial" w:cs="Arial"/>
                <w:sz w:val="16"/>
                <w:szCs w:val="16"/>
                <w:lang w:val="en-US"/>
              </w:rPr>
              <w:t>behavioural</w:t>
            </w:r>
            <w:proofErr w:type="spellEnd"/>
            <w:r w:rsidRPr="1EC678D9">
              <w:rPr>
                <w:rFonts w:ascii="Arial" w:eastAsia="Arial" w:hAnsi="Arial" w:cs="Arial"/>
                <w:sz w:val="16"/>
                <w:szCs w:val="16"/>
                <w:lang w:val="en-US"/>
              </w:rPr>
              <w:t xml:space="preserve"> health risks for adolescents.</w:t>
            </w:r>
          </w:p>
        </w:tc>
        <w:tc>
          <w:tcPr>
            <w:tcW w:w="1125" w:type="dxa"/>
          </w:tcPr>
          <w:p w14:paraId="19A6577F" w14:textId="6B1DE937" w:rsidR="2171D6E0" w:rsidRDefault="2171D6E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lang w:val="en-US"/>
              </w:rPr>
              <w:t xml:space="preserve">vaping, adolescent health, </w:t>
            </w:r>
            <w:proofErr w:type="spellStart"/>
            <w:r w:rsidRPr="1EC678D9">
              <w:rPr>
                <w:rFonts w:ascii="Arial" w:eastAsia="Arial" w:hAnsi="Arial" w:cs="Arial"/>
                <w:sz w:val="16"/>
                <w:szCs w:val="16"/>
                <w:lang w:val="en-US"/>
              </w:rPr>
              <w:t>behavioural</w:t>
            </w:r>
            <w:proofErr w:type="spellEnd"/>
            <w:r w:rsidRPr="1EC678D9">
              <w:rPr>
                <w:rFonts w:ascii="Arial" w:eastAsia="Arial" w:hAnsi="Arial" w:cs="Arial"/>
                <w:sz w:val="16"/>
                <w:szCs w:val="16"/>
                <w:lang w:val="en-US"/>
              </w:rPr>
              <w:t xml:space="preserve"> risk</w:t>
            </w:r>
          </w:p>
        </w:tc>
        <w:tc>
          <w:tcPr>
            <w:tcW w:w="1246" w:type="dxa"/>
          </w:tcPr>
          <w:p w14:paraId="32B6C5AB" w14:textId="722F8A81" w:rsidR="2171D6E0" w:rsidRDefault="2171D6E0"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1EC678D9">
              <w:rPr>
                <w:rFonts w:ascii="Arial" w:eastAsia="Arial" w:hAnsi="Arial" w:cs="Arial"/>
                <w:sz w:val="16"/>
                <w:szCs w:val="16"/>
                <w:lang w:val="en-US"/>
              </w:rPr>
              <w:t xml:space="preserve">Highlights emerging youth risk </w:t>
            </w:r>
            <w:proofErr w:type="spellStart"/>
            <w:r w:rsidRPr="1EC678D9">
              <w:rPr>
                <w:rFonts w:ascii="Arial" w:eastAsia="Arial" w:hAnsi="Arial" w:cs="Arial"/>
                <w:sz w:val="16"/>
                <w:szCs w:val="16"/>
                <w:lang w:val="en-US"/>
              </w:rPr>
              <w:t>behaviours</w:t>
            </w:r>
            <w:proofErr w:type="spellEnd"/>
            <w:r w:rsidRPr="1EC678D9">
              <w:rPr>
                <w:rFonts w:ascii="Arial" w:eastAsia="Arial" w:hAnsi="Arial" w:cs="Arial"/>
                <w:sz w:val="16"/>
                <w:szCs w:val="16"/>
                <w:lang w:val="en-US"/>
              </w:rPr>
              <w:t>. Theme: Health Risks.</w:t>
            </w:r>
          </w:p>
        </w:tc>
      </w:tr>
      <w:tr w:rsidR="1EC678D9" w14:paraId="05E9C0EE" w14:textId="77777777" w:rsidTr="00DD6BC6">
        <w:trPr>
          <w:trHeight w:val="300"/>
        </w:trPr>
        <w:tc>
          <w:tcPr>
            <w:cnfStyle w:val="001000000000" w:firstRow="0" w:lastRow="0" w:firstColumn="1" w:lastColumn="0" w:oddVBand="0" w:evenVBand="0" w:oddHBand="0" w:evenHBand="0" w:firstRowFirstColumn="0" w:firstRowLastColumn="0" w:lastRowFirstColumn="0" w:lastRowLastColumn="0"/>
            <w:tcW w:w="1127" w:type="dxa"/>
          </w:tcPr>
          <w:p w14:paraId="15A44CFD" w14:textId="1F001A15" w:rsidR="1E88EBF2" w:rsidRDefault="1E88EBF2" w:rsidP="1EC678D9">
            <w:pPr>
              <w:spacing w:line="240" w:lineRule="auto"/>
              <w:jc w:val="left"/>
              <w:rPr>
                <w:rFonts w:ascii="Arial" w:eastAsia="Arial" w:hAnsi="Arial" w:cs="Arial"/>
                <w:sz w:val="16"/>
                <w:szCs w:val="16"/>
                <w:lang w:val="en-US"/>
              </w:rPr>
            </w:pPr>
            <w:r w:rsidRPr="1EC678D9">
              <w:rPr>
                <w:rFonts w:ascii="Arial" w:eastAsia="Arial" w:hAnsi="Arial" w:cs="Arial"/>
                <w:sz w:val="16"/>
                <w:szCs w:val="16"/>
                <w:lang w:val="en-US"/>
              </w:rPr>
              <w:lastRenderedPageBreak/>
              <w:t>Babor et al. (2022)</w:t>
            </w:r>
          </w:p>
        </w:tc>
        <w:tc>
          <w:tcPr>
            <w:tcW w:w="1127" w:type="dxa"/>
          </w:tcPr>
          <w:p w14:paraId="25F596A7" w14:textId="5FC8931C" w:rsidR="1E88EBF2" w:rsidRDefault="1E88EBF2" w:rsidP="1EC678D9">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Alcohol: No Ordinary Commodity A Summary of the Third Edition</w:t>
            </w:r>
          </w:p>
        </w:tc>
        <w:tc>
          <w:tcPr>
            <w:tcW w:w="1127" w:type="dxa"/>
          </w:tcPr>
          <w:p w14:paraId="035E9CAB" w14:textId="191B39FC" w:rsidR="1E88EBF2" w:rsidRDefault="1E88EBF2"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Academic Book Summary (Peer-Reviewed)</w:t>
            </w:r>
          </w:p>
        </w:tc>
        <w:tc>
          <w:tcPr>
            <w:tcW w:w="1125" w:type="dxa"/>
          </w:tcPr>
          <w:p w14:paraId="6FB2F97D" w14:textId="347EFA89" w:rsidR="1E88EBF2" w:rsidRDefault="1E88EBF2"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Review and synthesis of global alcohol policy and prevention data</w:t>
            </w:r>
          </w:p>
        </w:tc>
        <w:tc>
          <w:tcPr>
            <w:tcW w:w="1129" w:type="dxa"/>
          </w:tcPr>
          <w:p w14:paraId="331E4451" w14:textId="5C67D1B4" w:rsidR="1E88EBF2" w:rsidRDefault="1E88EBF2"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Strength: Authoritative policy synthesis. Limitation: Broad global scope, not youth focused.</w:t>
            </w:r>
          </w:p>
        </w:tc>
        <w:tc>
          <w:tcPr>
            <w:tcW w:w="1127" w:type="dxa"/>
          </w:tcPr>
          <w:p w14:paraId="3E389971" w14:textId="591F15B6" w:rsidR="1E88EBF2" w:rsidRDefault="1E88EBF2"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Demonstrates that strong alcohol regulation effectively reduces misuse and harm.</w:t>
            </w:r>
          </w:p>
        </w:tc>
        <w:tc>
          <w:tcPr>
            <w:tcW w:w="1125" w:type="dxa"/>
          </w:tcPr>
          <w:p w14:paraId="7AD66C23" w14:textId="23442404" w:rsidR="1E88EBF2" w:rsidRDefault="1E88EBF2"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alcohol policy, prevention, harm reduction</w:t>
            </w:r>
          </w:p>
        </w:tc>
        <w:tc>
          <w:tcPr>
            <w:tcW w:w="1246" w:type="dxa"/>
          </w:tcPr>
          <w:p w14:paraId="1ACF8BB7" w14:textId="0E5D135A" w:rsidR="1E88EBF2" w:rsidRDefault="1E88EBF2"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Useful for comparing UK and global policy frameworks. Theme: Policy Frameworks.</w:t>
            </w:r>
          </w:p>
        </w:tc>
      </w:tr>
      <w:tr w:rsidR="1EC678D9" w14:paraId="64264765" w14:textId="77777777" w:rsidTr="00DD6BC6">
        <w:trPr>
          <w:trHeight w:val="300"/>
        </w:trPr>
        <w:tc>
          <w:tcPr>
            <w:cnfStyle w:val="001000000000" w:firstRow="0" w:lastRow="0" w:firstColumn="1" w:lastColumn="0" w:oddVBand="0" w:evenVBand="0" w:oddHBand="0" w:evenHBand="0" w:firstRowFirstColumn="0" w:firstRowLastColumn="0" w:lastRowFirstColumn="0" w:lastRowLastColumn="0"/>
            <w:tcW w:w="1127" w:type="dxa"/>
          </w:tcPr>
          <w:p w14:paraId="7E36C041" w14:textId="6204A3CA" w:rsidR="1E88EBF2" w:rsidRDefault="1E88EBF2" w:rsidP="1EC678D9">
            <w:pPr>
              <w:spacing w:line="240" w:lineRule="auto"/>
              <w:jc w:val="left"/>
              <w:rPr>
                <w:rFonts w:ascii="Arial" w:eastAsia="Arial" w:hAnsi="Arial" w:cs="Arial"/>
                <w:sz w:val="16"/>
                <w:szCs w:val="16"/>
                <w:lang w:val="en-US"/>
              </w:rPr>
            </w:pPr>
            <w:r w:rsidRPr="1EC678D9">
              <w:rPr>
                <w:rFonts w:ascii="Arial" w:eastAsia="Arial" w:hAnsi="Arial" w:cs="Arial"/>
                <w:sz w:val="16"/>
                <w:szCs w:val="16"/>
                <w:lang w:val="en-US"/>
              </w:rPr>
              <w:t>James, Nash &amp; Comiskey (2024)</w:t>
            </w:r>
          </w:p>
        </w:tc>
        <w:tc>
          <w:tcPr>
            <w:tcW w:w="1127" w:type="dxa"/>
          </w:tcPr>
          <w:p w14:paraId="660B9A48" w14:textId="632FF278" w:rsidR="1E88EBF2" w:rsidRDefault="1E88EBF2" w:rsidP="1EC678D9">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Barriers and Enablers for Adolescents Accessing Substance</w:t>
            </w:r>
            <w:r w:rsidRPr="1EC678D9">
              <w:rPr>
                <w:rFonts w:ascii="Cambria Math" w:eastAsia="Arial" w:hAnsi="Cambria Math" w:cs="Cambria Math"/>
                <w:sz w:val="16"/>
                <w:szCs w:val="16"/>
                <w:lang w:val="en-US"/>
              </w:rPr>
              <w:t>‐</w:t>
            </w:r>
            <w:r w:rsidRPr="1EC678D9">
              <w:rPr>
                <w:rFonts w:ascii="Arial" w:eastAsia="Arial" w:hAnsi="Arial" w:cs="Arial"/>
                <w:sz w:val="16"/>
                <w:szCs w:val="16"/>
                <w:lang w:val="en-US"/>
              </w:rPr>
              <w:t>Use Treatment: A Systematic Review and Narrative Synthesis</w:t>
            </w:r>
          </w:p>
        </w:tc>
        <w:tc>
          <w:tcPr>
            <w:tcW w:w="1127" w:type="dxa"/>
          </w:tcPr>
          <w:p w14:paraId="3705FD77" w14:textId="4A6E34DC" w:rsidR="1E88EBF2" w:rsidRDefault="1E88EBF2"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Peer-Reviewed Journal Article</w:t>
            </w:r>
          </w:p>
        </w:tc>
        <w:tc>
          <w:tcPr>
            <w:tcW w:w="1125" w:type="dxa"/>
          </w:tcPr>
          <w:p w14:paraId="0F313525" w14:textId="49C5DCCE" w:rsidR="1E88EBF2" w:rsidRDefault="1E88EBF2"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Systematic review and narrative synthesis of adolescent treatment studies</w:t>
            </w:r>
          </w:p>
        </w:tc>
        <w:tc>
          <w:tcPr>
            <w:tcW w:w="1129" w:type="dxa"/>
          </w:tcPr>
          <w:p w14:paraId="59F1BF79" w14:textId="6EAFBA13" w:rsidR="1E88EBF2" w:rsidRDefault="1E88EBF2"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Strength: In-depth synthesis of treatment access issues. Limitation: Variation in study quality.</w:t>
            </w:r>
          </w:p>
        </w:tc>
        <w:tc>
          <w:tcPr>
            <w:tcW w:w="1127" w:type="dxa"/>
          </w:tcPr>
          <w:p w14:paraId="6C672462" w14:textId="2718FDBC" w:rsidR="1E88EBF2" w:rsidRDefault="1E88EBF2"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Stigma, accessibility, and family support are key to treatment engagement.</w:t>
            </w:r>
          </w:p>
        </w:tc>
        <w:tc>
          <w:tcPr>
            <w:tcW w:w="1125" w:type="dxa"/>
          </w:tcPr>
          <w:p w14:paraId="4DE38CD3" w14:textId="1F45199C" w:rsidR="1E88EBF2" w:rsidRDefault="1E88EBF2"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treatment access, barriers, enablers</w:t>
            </w:r>
          </w:p>
        </w:tc>
        <w:tc>
          <w:tcPr>
            <w:tcW w:w="1246" w:type="dxa"/>
          </w:tcPr>
          <w:p w14:paraId="5C303858" w14:textId="1D3C77C7" w:rsidR="1E88EBF2" w:rsidRDefault="1E88EBF2"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Supports Theme 3 (Access to Support and Intervention Services).</w:t>
            </w:r>
          </w:p>
        </w:tc>
      </w:tr>
      <w:tr w:rsidR="1EC678D9" w14:paraId="4C5BD09F" w14:textId="77777777" w:rsidTr="00DD6BC6">
        <w:trPr>
          <w:trHeight w:val="300"/>
        </w:trPr>
        <w:tc>
          <w:tcPr>
            <w:cnfStyle w:val="001000000000" w:firstRow="0" w:lastRow="0" w:firstColumn="1" w:lastColumn="0" w:oddVBand="0" w:evenVBand="0" w:oddHBand="0" w:evenHBand="0" w:firstRowFirstColumn="0" w:firstRowLastColumn="0" w:lastRowFirstColumn="0" w:lastRowLastColumn="0"/>
            <w:tcW w:w="1127" w:type="dxa"/>
          </w:tcPr>
          <w:p w14:paraId="277D0900" w14:textId="1DD42888" w:rsidR="1EC678D9" w:rsidRDefault="1EC678D9" w:rsidP="1EC678D9">
            <w:pPr>
              <w:rPr>
                <w:rFonts w:ascii="Arial" w:eastAsia="Arial" w:hAnsi="Arial" w:cs="Arial"/>
                <w:sz w:val="16"/>
                <w:szCs w:val="16"/>
                <w:lang w:val="en-US"/>
              </w:rPr>
            </w:pPr>
            <w:r w:rsidRPr="1EC678D9">
              <w:rPr>
                <w:rFonts w:ascii="Arial" w:eastAsia="Arial" w:hAnsi="Arial" w:cs="Arial"/>
                <w:sz w:val="16"/>
                <w:szCs w:val="16"/>
                <w:lang w:val="en-US"/>
              </w:rPr>
              <w:t>Layman et al. (2022)</w:t>
            </w:r>
          </w:p>
        </w:tc>
        <w:tc>
          <w:tcPr>
            <w:tcW w:w="1127" w:type="dxa"/>
          </w:tcPr>
          <w:p w14:paraId="0CD0638E" w14:textId="7421C4BF" w:rsidR="232B57F3" w:rsidRDefault="232B57F3" w:rsidP="1EC678D9">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Substance Use Among Youth During the COVID-19 Pandemic: A Systematic Review</w:t>
            </w:r>
          </w:p>
        </w:tc>
        <w:tc>
          <w:tcPr>
            <w:tcW w:w="1127" w:type="dxa"/>
          </w:tcPr>
          <w:p w14:paraId="2E69C23C" w14:textId="606D2F73" w:rsidR="232B57F3" w:rsidRDefault="232B57F3"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Peer-Reviewed Journal Article</w:t>
            </w:r>
          </w:p>
        </w:tc>
        <w:tc>
          <w:tcPr>
            <w:tcW w:w="1125" w:type="dxa"/>
          </w:tcPr>
          <w:p w14:paraId="75BAACC0" w14:textId="6434CD06" w:rsidR="232B57F3" w:rsidRDefault="232B57F3"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Systematic review of global youth substance uses during COVID-19</w:t>
            </w:r>
          </w:p>
        </w:tc>
        <w:tc>
          <w:tcPr>
            <w:tcW w:w="1129" w:type="dxa"/>
          </w:tcPr>
          <w:p w14:paraId="35666F4B" w14:textId="67C2A010" w:rsidR="232B57F3" w:rsidRDefault="232B57F3"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Strength: Timely and comprehensive. Limitation: Findings limited to pandemic period.</w:t>
            </w:r>
          </w:p>
        </w:tc>
        <w:tc>
          <w:tcPr>
            <w:tcW w:w="1127" w:type="dxa"/>
          </w:tcPr>
          <w:p w14:paraId="6A68FF24" w14:textId="6B513B9F" w:rsidR="232B57F3" w:rsidRDefault="232B57F3"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Isolation and stress increased adolescent substance use during COVID-19.</w:t>
            </w:r>
          </w:p>
        </w:tc>
        <w:tc>
          <w:tcPr>
            <w:tcW w:w="1125" w:type="dxa"/>
          </w:tcPr>
          <w:p w14:paraId="1B15A40F" w14:textId="338050BB" w:rsidR="232B57F3" w:rsidRDefault="232B57F3"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COVID-19, youth substance use, mental health</w:t>
            </w:r>
          </w:p>
        </w:tc>
        <w:tc>
          <w:tcPr>
            <w:tcW w:w="1246" w:type="dxa"/>
          </w:tcPr>
          <w:p w14:paraId="69F193EB" w14:textId="41652AEE" w:rsidR="232B57F3" w:rsidRDefault="232B57F3" w:rsidP="1EC678D9">
            <w:pPr>
              <w:spacing w:line="24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lang w:val="en-US"/>
              </w:rPr>
            </w:pPr>
            <w:r w:rsidRPr="1EC678D9">
              <w:rPr>
                <w:rFonts w:ascii="Arial" w:eastAsia="Arial" w:hAnsi="Arial" w:cs="Arial"/>
                <w:sz w:val="16"/>
                <w:szCs w:val="16"/>
                <w:lang w:val="en-US"/>
              </w:rPr>
              <w:t>Links to Theme 1 (Social Determinants and Peer Impact).</w:t>
            </w:r>
          </w:p>
        </w:tc>
      </w:tr>
    </w:tbl>
    <w:p w14:paraId="12AE4BE7" w14:textId="5EFCB931" w:rsidR="008C38C3" w:rsidRPr="008C38C3" w:rsidRDefault="008C38C3" w:rsidP="1EC678D9">
      <w:pPr>
        <w:pStyle w:val="Heading1"/>
        <w:ind w:left="0"/>
        <w:rPr>
          <w:rFonts w:ascii="Aptos" w:hAnsi="Aptos"/>
        </w:rPr>
      </w:pPr>
    </w:p>
    <w:p w14:paraId="74EBDF03" w14:textId="749B804B" w:rsidR="008C38C3" w:rsidRPr="008C38C3" w:rsidRDefault="008C38C3" w:rsidP="1EC678D9"/>
    <w:p w14:paraId="6EC1FFE9" w14:textId="417E5DDE" w:rsidR="008C38C3" w:rsidRPr="008C38C3" w:rsidRDefault="008C38C3" w:rsidP="1EC678D9">
      <w:pPr>
        <w:pStyle w:val="Heading1"/>
        <w:ind w:left="0"/>
        <w:rPr>
          <w:rFonts w:ascii="Aptos" w:hAnsi="Aptos"/>
        </w:rPr>
      </w:pPr>
    </w:p>
    <w:p w14:paraId="12CAA0A4" w14:textId="72672ECC" w:rsidR="008C38C3" w:rsidRPr="008C38C3" w:rsidRDefault="008C38C3" w:rsidP="1EC678D9">
      <w:pPr>
        <w:pStyle w:val="Heading1"/>
        <w:ind w:left="0"/>
        <w:rPr>
          <w:rFonts w:ascii="Aptos" w:hAnsi="Aptos"/>
        </w:rPr>
      </w:pPr>
    </w:p>
    <w:p w14:paraId="48F7B53E" w14:textId="5ED4EDF7" w:rsidR="008C38C3" w:rsidRPr="008C38C3" w:rsidRDefault="008C38C3" w:rsidP="1EC678D9">
      <w:pPr>
        <w:pStyle w:val="Heading1"/>
        <w:ind w:left="0"/>
        <w:rPr>
          <w:rFonts w:ascii="Aptos" w:hAnsi="Aptos"/>
        </w:rPr>
      </w:pPr>
    </w:p>
    <w:p w14:paraId="15EBE60F" w14:textId="1F7292C4" w:rsidR="008C38C3" w:rsidRPr="008C38C3" w:rsidRDefault="008C38C3" w:rsidP="1EC678D9">
      <w:pPr>
        <w:pStyle w:val="Heading1"/>
        <w:ind w:left="0"/>
        <w:rPr>
          <w:rFonts w:ascii="Aptos" w:hAnsi="Aptos"/>
        </w:rPr>
      </w:pPr>
    </w:p>
    <w:p w14:paraId="44C11371" w14:textId="4294EBE6" w:rsidR="008C38C3" w:rsidRPr="008C38C3" w:rsidRDefault="008C38C3" w:rsidP="1EC678D9">
      <w:pPr>
        <w:pStyle w:val="Heading1"/>
        <w:ind w:left="0"/>
        <w:rPr>
          <w:rFonts w:ascii="Aptos" w:hAnsi="Aptos"/>
        </w:rPr>
      </w:pPr>
    </w:p>
    <w:p w14:paraId="5198A13F" w14:textId="267EF176" w:rsidR="008C38C3" w:rsidRPr="008C38C3" w:rsidRDefault="008C38C3" w:rsidP="1EC678D9">
      <w:pPr>
        <w:pStyle w:val="Heading1"/>
        <w:ind w:left="0"/>
        <w:rPr>
          <w:rFonts w:ascii="Aptos" w:hAnsi="Aptos"/>
        </w:rPr>
      </w:pPr>
    </w:p>
    <w:p w14:paraId="471E2B3B" w14:textId="1C54FA64" w:rsidR="008C38C3" w:rsidRPr="008C38C3" w:rsidRDefault="008C38C3" w:rsidP="1EC678D9">
      <w:pPr>
        <w:pStyle w:val="Heading1"/>
        <w:ind w:left="0"/>
        <w:rPr>
          <w:rFonts w:ascii="Aptos" w:hAnsi="Aptos"/>
        </w:rPr>
      </w:pPr>
    </w:p>
    <w:p w14:paraId="3B904133" w14:textId="46C2B38B" w:rsidR="008C38C3" w:rsidRPr="008C38C3" w:rsidRDefault="008C38C3" w:rsidP="1EC678D9">
      <w:pPr>
        <w:pStyle w:val="Heading1"/>
        <w:ind w:left="0"/>
        <w:rPr>
          <w:rFonts w:ascii="Aptos" w:hAnsi="Aptos"/>
        </w:rPr>
      </w:pPr>
    </w:p>
    <w:p w14:paraId="54DF1B88" w14:textId="6FEAB112" w:rsidR="008C38C3" w:rsidRPr="008C38C3" w:rsidRDefault="008C38C3" w:rsidP="1EC678D9">
      <w:pPr>
        <w:pStyle w:val="Heading1"/>
        <w:ind w:left="0"/>
        <w:rPr>
          <w:rFonts w:ascii="Aptos" w:hAnsi="Aptos"/>
        </w:rPr>
      </w:pPr>
    </w:p>
    <w:p w14:paraId="7B6E1AAA" w14:textId="1497103E" w:rsidR="008C38C3" w:rsidRPr="008C38C3" w:rsidRDefault="008C38C3" w:rsidP="1EC678D9">
      <w:pPr>
        <w:pStyle w:val="Heading1"/>
        <w:ind w:left="0"/>
        <w:rPr>
          <w:rFonts w:ascii="Aptos" w:hAnsi="Aptos"/>
        </w:rPr>
      </w:pPr>
    </w:p>
    <w:p w14:paraId="3DBE6F6A" w14:textId="4A9D7697" w:rsidR="008C38C3" w:rsidRPr="008C38C3" w:rsidRDefault="008C38C3" w:rsidP="1EC678D9">
      <w:pPr>
        <w:pStyle w:val="Heading1"/>
        <w:ind w:left="0"/>
        <w:rPr>
          <w:rFonts w:ascii="Aptos" w:hAnsi="Aptos"/>
        </w:rPr>
      </w:pPr>
    </w:p>
    <w:p w14:paraId="1B480C19" w14:textId="576250C3" w:rsidR="008C38C3" w:rsidRPr="008C38C3" w:rsidRDefault="008C38C3" w:rsidP="1EC678D9">
      <w:pPr>
        <w:pStyle w:val="Heading1"/>
        <w:ind w:left="0"/>
        <w:rPr>
          <w:rFonts w:ascii="Aptos" w:hAnsi="Aptos"/>
        </w:rPr>
      </w:pPr>
    </w:p>
    <w:p w14:paraId="3558FEA5" w14:textId="62846FF0" w:rsidR="008C38C3" w:rsidRPr="008C38C3" w:rsidRDefault="008C38C3" w:rsidP="1EC678D9">
      <w:pPr>
        <w:pStyle w:val="Heading1"/>
        <w:ind w:left="0"/>
        <w:rPr>
          <w:rFonts w:ascii="Aptos" w:hAnsi="Aptos"/>
        </w:rPr>
      </w:pPr>
    </w:p>
    <w:p w14:paraId="0CFDFCB2" w14:textId="3E47884A" w:rsidR="008C38C3" w:rsidRPr="008C38C3" w:rsidRDefault="008C38C3" w:rsidP="1EC678D9">
      <w:pPr>
        <w:pStyle w:val="Heading1"/>
        <w:ind w:left="0"/>
        <w:rPr>
          <w:rFonts w:ascii="Aptos" w:hAnsi="Aptos"/>
        </w:rPr>
      </w:pPr>
    </w:p>
    <w:p w14:paraId="2B5AA83A" w14:textId="56CB587B" w:rsidR="008C38C3" w:rsidRPr="008C38C3" w:rsidRDefault="008C38C3" w:rsidP="1EC678D9">
      <w:pPr>
        <w:pStyle w:val="Heading1"/>
        <w:ind w:left="0"/>
        <w:rPr>
          <w:rFonts w:ascii="Aptos" w:hAnsi="Aptos"/>
        </w:rPr>
      </w:pPr>
    </w:p>
    <w:p w14:paraId="62513F88" w14:textId="002FB6B2" w:rsidR="008C38C3" w:rsidRPr="008C38C3" w:rsidRDefault="008C38C3" w:rsidP="1EC678D9">
      <w:pPr>
        <w:pStyle w:val="Heading1"/>
        <w:ind w:left="0"/>
        <w:rPr>
          <w:rFonts w:ascii="Aptos" w:hAnsi="Aptos"/>
        </w:rPr>
      </w:pPr>
    </w:p>
    <w:p w14:paraId="1033E52D" w14:textId="0D390D86" w:rsidR="008C38C3" w:rsidRPr="008C38C3" w:rsidRDefault="008C38C3" w:rsidP="1EC678D9">
      <w:pPr>
        <w:pStyle w:val="Heading1"/>
        <w:ind w:left="0"/>
        <w:rPr>
          <w:rFonts w:ascii="Aptos" w:hAnsi="Aptos"/>
        </w:rPr>
      </w:pPr>
    </w:p>
    <w:p w14:paraId="40A7B68C" w14:textId="5F8A7ADB" w:rsidR="008C38C3" w:rsidRPr="008C38C3" w:rsidRDefault="008C38C3" w:rsidP="1EC678D9">
      <w:pPr>
        <w:pStyle w:val="Heading1"/>
        <w:ind w:left="0"/>
        <w:rPr>
          <w:rFonts w:ascii="Aptos" w:hAnsi="Aptos"/>
        </w:rPr>
      </w:pPr>
    </w:p>
    <w:p w14:paraId="21223375" w14:textId="63E213D1" w:rsidR="008C38C3" w:rsidRPr="008C38C3" w:rsidRDefault="008C38C3" w:rsidP="1EC678D9">
      <w:pPr>
        <w:pStyle w:val="Heading1"/>
        <w:ind w:left="0"/>
        <w:rPr>
          <w:rFonts w:ascii="Aptos" w:hAnsi="Aptos"/>
        </w:rPr>
      </w:pPr>
    </w:p>
    <w:p w14:paraId="61A523B7" w14:textId="013EE19D" w:rsidR="008C38C3" w:rsidRPr="008C38C3" w:rsidRDefault="008C38C3" w:rsidP="1EC678D9">
      <w:pPr>
        <w:pStyle w:val="Heading1"/>
        <w:ind w:left="0"/>
        <w:rPr>
          <w:rFonts w:ascii="Aptos" w:hAnsi="Aptos"/>
        </w:rPr>
      </w:pPr>
    </w:p>
    <w:p w14:paraId="377FB70A" w14:textId="19162670" w:rsidR="008C38C3" w:rsidRPr="008C38C3" w:rsidRDefault="008C38C3" w:rsidP="1EC678D9">
      <w:pPr>
        <w:pStyle w:val="Heading1"/>
        <w:ind w:left="0"/>
        <w:rPr>
          <w:rFonts w:ascii="Aptos" w:hAnsi="Aptos"/>
        </w:rPr>
      </w:pPr>
    </w:p>
    <w:p w14:paraId="1A3A0EF1" w14:textId="299C7CEF" w:rsidR="008C38C3" w:rsidRPr="008C38C3" w:rsidRDefault="008C38C3" w:rsidP="1EC678D9">
      <w:pPr>
        <w:pStyle w:val="Heading1"/>
        <w:ind w:left="0"/>
        <w:rPr>
          <w:rFonts w:ascii="Aptos" w:hAnsi="Aptos"/>
        </w:rPr>
      </w:pPr>
    </w:p>
    <w:p w14:paraId="15410DF9" w14:textId="3E4F486E" w:rsidR="008C38C3" w:rsidRPr="008C38C3" w:rsidRDefault="008C38C3" w:rsidP="1EC678D9">
      <w:pPr>
        <w:pStyle w:val="Heading1"/>
        <w:ind w:left="0"/>
        <w:rPr>
          <w:rFonts w:ascii="Aptos" w:hAnsi="Aptos"/>
        </w:rPr>
      </w:pPr>
    </w:p>
    <w:p w14:paraId="70C7CA0C" w14:textId="77777777" w:rsidR="008C38C3" w:rsidRPr="008C38C3" w:rsidRDefault="008C38C3" w:rsidP="008C38C3"/>
    <w:sectPr w:rsidR="008C38C3" w:rsidRPr="008C38C3">
      <w:headerReference w:type="default" r:id="rId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B8BF9" w14:textId="77777777" w:rsidR="00CD4E37" w:rsidRDefault="00CD4E37" w:rsidP="00211184">
      <w:pPr>
        <w:spacing w:after="0" w:line="240" w:lineRule="auto"/>
      </w:pPr>
      <w:r>
        <w:separator/>
      </w:r>
    </w:p>
  </w:endnote>
  <w:endnote w:type="continuationSeparator" w:id="0">
    <w:p w14:paraId="7400899D" w14:textId="77777777" w:rsidR="00CD4E37" w:rsidRDefault="00CD4E37"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51946" w14:textId="77777777" w:rsidR="00CD4E37" w:rsidRDefault="00CD4E37" w:rsidP="00211184">
      <w:pPr>
        <w:spacing w:after="0" w:line="240" w:lineRule="auto"/>
      </w:pPr>
      <w:r>
        <w:separator/>
      </w:r>
    </w:p>
  </w:footnote>
  <w:footnote w:type="continuationSeparator" w:id="0">
    <w:p w14:paraId="2486065D" w14:textId="77777777" w:rsidR="00CD4E37" w:rsidRDefault="00CD4E37" w:rsidP="002111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E260372" w14:paraId="6CF74E2D" w14:textId="77777777" w:rsidTr="0E260372">
      <w:trPr>
        <w:trHeight w:val="300"/>
      </w:trPr>
      <w:tc>
        <w:tcPr>
          <w:tcW w:w="3005" w:type="dxa"/>
        </w:tcPr>
        <w:p w14:paraId="217D0EAB" w14:textId="2D04D8C1" w:rsidR="0E260372" w:rsidRDefault="0E260372" w:rsidP="0E260372">
          <w:pPr>
            <w:pStyle w:val="Header"/>
            <w:ind w:left="-115"/>
            <w:jc w:val="left"/>
          </w:pPr>
        </w:p>
      </w:tc>
      <w:tc>
        <w:tcPr>
          <w:tcW w:w="3005" w:type="dxa"/>
        </w:tcPr>
        <w:p w14:paraId="7EA9B68E" w14:textId="3E360206" w:rsidR="0E260372" w:rsidRDefault="0E260372" w:rsidP="0E260372">
          <w:pPr>
            <w:pStyle w:val="Header"/>
            <w:jc w:val="center"/>
          </w:pPr>
        </w:p>
      </w:tc>
      <w:tc>
        <w:tcPr>
          <w:tcW w:w="3005" w:type="dxa"/>
        </w:tcPr>
        <w:p w14:paraId="52229C1C" w14:textId="73E8CE87" w:rsidR="0E260372" w:rsidRDefault="0E260372" w:rsidP="0E260372">
          <w:pPr>
            <w:pStyle w:val="Header"/>
            <w:ind w:right="-115"/>
            <w:jc w:val="right"/>
          </w:pPr>
        </w:p>
      </w:tc>
    </w:tr>
  </w:tbl>
  <w:p w14:paraId="6A16E6DC" w14:textId="743D03D3" w:rsidR="0E260372" w:rsidRDefault="0E260372" w:rsidP="0E2603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E260372" w14:paraId="6D271E0B" w14:textId="77777777" w:rsidTr="0E260372">
      <w:trPr>
        <w:trHeight w:val="300"/>
      </w:trPr>
      <w:tc>
        <w:tcPr>
          <w:tcW w:w="3005" w:type="dxa"/>
        </w:tcPr>
        <w:p w14:paraId="48FD7272" w14:textId="09E0EC59" w:rsidR="0E260372" w:rsidRDefault="0E260372" w:rsidP="0E260372">
          <w:pPr>
            <w:pStyle w:val="Header"/>
            <w:ind w:left="-115"/>
            <w:jc w:val="left"/>
          </w:pPr>
        </w:p>
      </w:tc>
      <w:tc>
        <w:tcPr>
          <w:tcW w:w="3005" w:type="dxa"/>
        </w:tcPr>
        <w:p w14:paraId="03E9C948" w14:textId="7B0951AD" w:rsidR="0E260372" w:rsidRDefault="0E260372" w:rsidP="0E260372">
          <w:pPr>
            <w:pStyle w:val="Header"/>
            <w:jc w:val="center"/>
          </w:pPr>
        </w:p>
      </w:tc>
      <w:tc>
        <w:tcPr>
          <w:tcW w:w="3005" w:type="dxa"/>
        </w:tcPr>
        <w:p w14:paraId="408F6D13" w14:textId="4C117F7C" w:rsidR="0E260372" w:rsidRDefault="0E260372" w:rsidP="0E260372">
          <w:pPr>
            <w:pStyle w:val="Header"/>
            <w:ind w:right="-115"/>
            <w:jc w:val="right"/>
          </w:pPr>
        </w:p>
      </w:tc>
    </w:tr>
  </w:tbl>
  <w:p w14:paraId="2737AA94" w14:textId="3F87E575" w:rsidR="0E260372" w:rsidRDefault="0E260372" w:rsidP="0E260372">
    <w:pPr>
      <w:pStyle w:val="Header"/>
    </w:pPr>
  </w:p>
</w:hdr>
</file>

<file path=word/intelligence2.xml><?xml version="1.0" encoding="utf-8"?>
<int2:intelligence xmlns:int2="http://schemas.microsoft.com/office/intelligence/2020/intelligence" xmlns:oel="http://schemas.microsoft.com/office/2019/extlst">
  <int2:observations>
    <int2:textHash int2:hashCode="AUnHGz6kytTeNS" int2:id="TDHcIXdM">
      <int2:state int2:value="Rejected" int2:type="spell"/>
    </int2:textHash>
    <int2:textHash int2:hashCode="q5WVTgmxFJh9O4" int2:id="X2ziW9DF">
      <int2:state int2:value="Rejected" int2:type="spell"/>
    </int2:textHash>
    <int2:textHash int2:hashCode="PLZtS9B8ew8ND3" int2:id="k194qjDb">
      <int2:state int2:value="Rejected" int2:type="spell"/>
    </int2:textHash>
    <int2:textHash int2:hashCode="XSUiEPxXFZ9tOg" int2:id="qTnOfhuh">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632E"/>
    <w:multiLevelType w:val="hybridMultilevel"/>
    <w:tmpl w:val="DDDA9E72"/>
    <w:lvl w:ilvl="0" w:tplc="00029416">
      <w:start w:val="1"/>
      <w:numFmt w:val="decimal"/>
      <w:lvlText w:val="%1."/>
      <w:lvlJc w:val="left"/>
      <w:pPr>
        <w:ind w:left="720" w:hanging="360"/>
      </w:pPr>
    </w:lvl>
    <w:lvl w:ilvl="1" w:tplc="B1769972">
      <w:start w:val="1"/>
      <w:numFmt w:val="lowerLetter"/>
      <w:lvlText w:val="%2."/>
      <w:lvlJc w:val="left"/>
      <w:pPr>
        <w:ind w:left="1440" w:hanging="360"/>
      </w:pPr>
    </w:lvl>
    <w:lvl w:ilvl="2" w:tplc="2C202C10">
      <w:start w:val="1"/>
      <w:numFmt w:val="lowerRoman"/>
      <w:lvlText w:val="%3."/>
      <w:lvlJc w:val="right"/>
      <w:pPr>
        <w:ind w:left="2160" w:hanging="180"/>
      </w:pPr>
    </w:lvl>
    <w:lvl w:ilvl="3" w:tplc="BF4084B6">
      <w:start w:val="1"/>
      <w:numFmt w:val="decimal"/>
      <w:lvlText w:val="%4."/>
      <w:lvlJc w:val="left"/>
      <w:pPr>
        <w:ind w:left="2880" w:hanging="360"/>
      </w:pPr>
    </w:lvl>
    <w:lvl w:ilvl="4" w:tplc="CC8EF8AC">
      <w:start w:val="1"/>
      <w:numFmt w:val="lowerLetter"/>
      <w:lvlText w:val="%5."/>
      <w:lvlJc w:val="left"/>
      <w:pPr>
        <w:ind w:left="3600" w:hanging="360"/>
      </w:pPr>
    </w:lvl>
    <w:lvl w:ilvl="5" w:tplc="8C72756A">
      <w:start w:val="1"/>
      <w:numFmt w:val="lowerRoman"/>
      <w:lvlText w:val="%6."/>
      <w:lvlJc w:val="right"/>
      <w:pPr>
        <w:ind w:left="4320" w:hanging="180"/>
      </w:pPr>
    </w:lvl>
    <w:lvl w:ilvl="6" w:tplc="E77E72FE">
      <w:start w:val="1"/>
      <w:numFmt w:val="decimal"/>
      <w:lvlText w:val="%7."/>
      <w:lvlJc w:val="left"/>
      <w:pPr>
        <w:ind w:left="5040" w:hanging="360"/>
      </w:pPr>
    </w:lvl>
    <w:lvl w:ilvl="7" w:tplc="EB501A9A">
      <w:start w:val="1"/>
      <w:numFmt w:val="lowerLetter"/>
      <w:lvlText w:val="%8."/>
      <w:lvlJc w:val="left"/>
      <w:pPr>
        <w:ind w:left="5760" w:hanging="360"/>
      </w:pPr>
    </w:lvl>
    <w:lvl w:ilvl="8" w:tplc="D9926264">
      <w:start w:val="1"/>
      <w:numFmt w:val="lowerRoman"/>
      <w:lvlText w:val="%9."/>
      <w:lvlJc w:val="right"/>
      <w:pPr>
        <w:ind w:left="6480" w:hanging="180"/>
      </w:pPr>
    </w:lvl>
  </w:abstractNum>
  <w:abstractNum w:abstractNumId="1" w15:restartNumberingAfterBreak="0">
    <w:nsid w:val="0A721ED4"/>
    <w:multiLevelType w:val="hybridMultilevel"/>
    <w:tmpl w:val="FDE61C22"/>
    <w:lvl w:ilvl="0" w:tplc="96AA9EEA">
      <w:start w:val="1"/>
      <w:numFmt w:val="bullet"/>
      <w:lvlText w:val=""/>
      <w:lvlJc w:val="left"/>
      <w:pPr>
        <w:ind w:left="720" w:hanging="360"/>
      </w:pPr>
      <w:rPr>
        <w:rFonts w:ascii="Symbol" w:hAnsi="Symbol" w:hint="default"/>
      </w:rPr>
    </w:lvl>
    <w:lvl w:ilvl="1" w:tplc="20387586">
      <w:start w:val="1"/>
      <w:numFmt w:val="bullet"/>
      <w:lvlText w:val="o"/>
      <w:lvlJc w:val="left"/>
      <w:pPr>
        <w:ind w:left="1440" w:hanging="360"/>
      </w:pPr>
      <w:rPr>
        <w:rFonts w:ascii="Courier New" w:hAnsi="Courier New" w:hint="default"/>
      </w:rPr>
    </w:lvl>
    <w:lvl w:ilvl="2" w:tplc="29482AE8">
      <w:start w:val="1"/>
      <w:numFmt w:val="bullet"/>
      <w:lvlText w:val=""/>
      <w:lvlJc w:val="left"/>
      <w:pPr>
        <w:ind w:left="2160" w:hanging="360"/>
      </w:pPr>
      <w:rPr>
        <w:rFonts w:ascii="Wingdings" w:hAnsi="Wingdings" w:hint="default"/>
      </w:rPr>
    </w:lvl>
    <w:lvl w:ilvl="3" w:tplc="7C5EA8D0">
      <w:start w:val="1"/>
      <w:numFmt w:val="bullet"/>
      <w:lvlText w:val=""/>
      <w:lvlJc w:val="left"/>
      <w:pPr>
        <w:ind w:left="2880" w:hanging="360"/>
      </w:pPr>
      <w:rPr>
        <w:rFonts w:ascii="Symbol" w:hAnsi="Symbol" w:hint="default"/>
      </w:rPr>
    </w:lvl>
    <w:lvl w:ilvl="4" w:tplc="C1CC351C">
      <w:start w:val="1"/>
      <w:numFmt w:val="bullet"/>
      <w:lvlText w:val="o"/>
      <w:lvlJc w:val="left"/>
      <w:pPr>
        <w:ind w:left="3600" w:hanging="360"/>
      </w:pPr>
      <w:rPr>
        <w:rFonts w:ascii="Courier New" w:hAnsi="Courier New" w:hint="default"/>
      </w:rPr>
    </w:lvl>
    <w:lvl w:ilvl="5" w:tplc="EB6C10B8">
      <w:start w:val="1"/>
      <w:numFmt w:val="bullet"/>
      <w:lvlText w:val=""/>
      <w:lvlJc w:val="left"/>
      <w:pPr>
        <w:ind w:left="4320" w:hanging="360"/>
      </w:pPr>
      <w:rPr>
        <w:rFonts w:ascii="Wingdings" w:hAnsi="Wingdings" w:hint="default"/>
      </w:rPr>
    </w:lvl>
    <w:lvl w:ilvl="6" w:tplc="CA36EEE0">
      <w:start w:val="1"/>
      <w:numFmt w:val="bullet"/>
      <w:lvlText w:val=""/>
      <w:lvlJc w:val="left"/>
      <w:pPr>
        <w:ind w:left="5040" w:hanging="360"/>
      </w:pPr>
      <w:rPr>
        <w:rFonts w:ascii="Symbol" w:hAnsi="Symbol" w:hint="default"/>
      </w:rPr>
    </w:lvl>
    <w:lvl w:ilvl="7" w:tplc="B594787A">
      <w:start w:val="1"/>
      <w:numFmt w:val="bullet"/>
      <w:lvlText w:val="o"/>
      <w:lvlJc w:val="left"/>
      <w:pPr>
        <w:ind w:left="5760" w:hanging="360"/>
      </w:pPr>
      <w:rPr>
        <w:rFonts w:ascii="Courier New" w:hAnsi="Courier New" w:hint="default"/>
      </w:rPr>
    </w:lvl>
    <w:lvl w:ilvl="8" w:tplc="76CCD3B2">
      <w:start w:val="1"/>
      <w:numFmt w:val="bullet"/>
      <w:lvlText w:val=""/>
      <w:lvlJc w:val="left"/>
      <w:pPr>
        <w:ind w:left="6480" w:hanging="360"/>
      </w:pPr>
      <w:rPr>
        <w:rFonts w:ascii="Wingdings" w:hAnsi="Wingdings" w:hint="default"/>
      </w:rPr>
    </w:lvl>
  </w:abstractNum>
  <w:abstractNum w:abstractNumId="2"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98148064">
    <w:abstractNumId w:val="0"/>
  </w:num>
  <w:num w:numId="2" w16cid:durableId="1833566289">
    <w:abstractNumId w:val="1"/>
  </w:num>
  <w:num w:numId="3" w16cid:durableId="73359902">
    <w:abstractNumId w:val="2"/>
  </w:num>
  <w:num w:numId="4" w16cid:durableId="1454127918">
    <w:abstractNumId w:val="4"/>
  </w:num>
  <w:num w:numId="5" w16cid:durableId="747188340">
    <w:abstractNumId w:val="5"/>
  </w:num>
  <w:num w:numId="6" w16cid:durableId="1919750537">
    <w:abstractNumId w:val="6"/>
  </w:num>
  <w:num w:numId="7" w16cid:durableId="881479433">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6CA2"/>
    <w:rsid w:val="000264A2"/>
    <w:rsid w:val="00026927"/>
    <w:rsid w:val="0002E182"/>
    <w:rsid w:val="0003767E"/>
    <w:rsid w:val="000400E4"/>
    <w:rsid w:val="00047679"/>
    <w:rsid w:val="00063B4C"/>
    <w:rsid w:val="000D05D8"/>
    <w:rsid w:val="000D0641"/>
    <w:rsid w:val="000D2B00"/>
    <w:rsid w:val="0014306A"/>
    <w:rsid w:val="00157A3F"/>
    <w:rsid w:val="001601E6"/>
    <w:rsid w:val="001C3AF6"/>
    <w:rsid w:val="001C4FCA"/>
    <w:rsid w:val="001D1485"/>
    <w:rsid w:val="001D35A3"/>
    <w:rsid w:val="001F19A6"/>
    <w:rsid w:val="00211184"/>
    <w:rsid w:val="0021364B"/>
    <w:rsid w:val="00246F96"/>
    <w:rsid w:val="0025020C"/>
    <w:rsid w:val="00256951"/>
    <w:rsid w:val="00270584"/>
    <w:rsid w:val="00277A9D"/>
    <w:rsid w:val="00283154"/>
    <w:rsid w:val="002865F5"/>
    <w:rsid w:val="00292A36"/>
    <w:rsid w:val="00297C2F"/>
    <w:rsid w:val="002D64A3"/>
    <w:rsid w:val="002D72D8"/>
    <w:rsid w:val="002E7101"/>
    <w:rsid w:val="002F5E53"/>
    <w:rsid w:val="003104F9"/>
    <w:rsid w:val="00312A5A"/>
    <w:rsid w:val="003135AD"/>
    <w:rsid w:val="00393F39"/>
    <w:rsid w:val="003A0318"/>
    <w:rsid w:val="003A66FD"/>
    <w:rsid w:val="003A68DF"/>
    <w:rsid w:val="003B1E32"/>
    <w:rsid w:val="003D3773"/>
    <w:rsid w:val="003E5404"/>
    <w:rsid w:val="003E8118"/>
    <w:rsid w:val="003F03C3"/>
    <w:rsid w:val="00445AB4"/>
    <w:rsid w:val="00452501"/>
    <w:rsid w:val="00494345"/>
    <w:rsid w:val="004BAF2F"/>
    <w:rsid w:val="004C1323"/>
    <w:rsid w:val="004D4021"/>
    <w:rsid w:val="004E2367"/>
    <w:rsid w:val="0050366F"/>
    <w:rsid w:val="005119DE"/>
    <w:rsid w:val="0052596E"/>
    <w:rsid w:val="00525FCB"/>
    <w:rsid w:val="005446BF"/>
    <w:rsid w:val="0055147E"/>
    <w:rsid w:val="00570DE6"/>
    <w:rsid w:val="005B3EDE"/>
    <w:rsid w:val="005B6E67"/>
    <w:rsid w:val="005C5E80"/>
    <w:rsid w:val="005D7A1E"/>
    <w:rsid w:val="005E1650"/>
    <w:rsid w:val="00600038"/>
    <w:rsid w:val="00604A87"/>
    <w:rsid w:val="00621776"/>
    <w:rsid w:val="00621872"/>
    <w:rsid w:val="00636D9A"/>
    <w:rsid w:val="0067739A"/>
    <w:rsid w:val="00685748"/>
    <w:rsid w:val="006A3F0D"/>
    <w:rsid w:val="006A4515"/>
    <w:rsid w:val="006C1B0B"/>
    <w:rsid w:val="006C78AA"/>
    <w:rsid w:val="006D7226"/>
    <w:rsid w:val="006E51B6"/>
    <w:rsid w:val="006F04D4"/>
    <w:rsid w:val="006F4AB2"/>
    <w:rsid w:val="006F7848"/>
    <w:rsid w:val="007063BA"/>
    <w:rsid w:val="007103FE"/>
    <w:rsid w:val="00730C3C"/>
    <w:rsid w:val="0073280B"/>
    <w:rsid w:val="00735607"/>
    <w:rsid w:val="00750B5B"/>
    <w:rsid w:val="00752FE0"/>
    <w:rsid w:val="0077163A"/>
    <w:rsid w:val="00785752"/>
    <w:rsid w:val="007A59C8"/>
    <w:rsid w:val="007A712E"/>
    <w:rsid w:val="007C246B"/>
    <w:rsid w:val="007C685B"/>
    <w:rsid w:val="007D2105"/>
    <w:rsid w:val="007F2D28"/>
    <w:rsid w:val="007F7847"/>
    <w:rsid w:val="00804B94"/>
    <w:rsid w:val="00807B11"/>
    <w:rsid w:val="0082760D"/>
    <w:rsid w:val="00880B2D"/>
    <w:rsid w:val="00883AB0"/>
    <w:rsid w:val="00894108"/>
    <w:rsid w:val="00896848"/>
    <w:rsid w:val="008B1DFA"/>
    <w:rsid w:val="008C38C3"/>
    <w:rsid w:val="008D6F0F"/>
    <w:rsid w:val="008E24DE"/>
    <w:rsid w:val="008E7B2E"/>
    <w:rsid w:val="008F4555"/>
    <w:rsid w:val="00912EEA"/>
    <w:rsid w:val="00916814"/>
    <w:rsid w:val="0094221E"/>
    <w:rsid w:val="00995444"/>
    <w:rsid w:val="009B3929"/>
    <w:rsid w:val="009D06C5"/>
    <w:rsid w:val="009D534C"/>
    <w:rsid w:val="009D728C"/>
    <w:rsid w:val="009E5B14"/>
    <w:rsid w:val="00A077C0"/>
    <w:rsid w:val="00A2688D"/>
    <w:rsid w:val="00A4007E"/>
    <w:rsid w:val="00A5738F"/>
    <w:rsid w:val="00A657F5"/>
    <w:rsid w:val="00A662B3"/>
    <w:rsid w:val="00A71552"/>
    <w:rsid w:val="00A90A7A"/>
    <w:rsid w:val="00AA1F09"/>
    <w:rsid w:val="00AA437C"/>
    <w:rsid w:val="00AB78F0"/>
    <w:rsid w:val="00B01396"/>
    <w:rsid w:val="00B2418B"/>
    <w:rsid w:val="00B26973"/>
    <w:rsid w:val="00B5045C"/>
    <w:rsid w:val="00B575E2"/>
    <w:rsid w:val="00B7073C"/>
    <w:rsid w:val="00B76A90"/>
    <w:rsid w:val="00B858A1"/>
    <w:rsid w:val="00BB65AC"/>
    <w:rsid w:val="00BD2909"/>
    <w:rsid w:val="00BE7CCB"/>
    <w:rsid w:val="00C142ED"/>
    <w:rsid w:val="00C17A49"/>
    <w:rsid w:val="00C73079"/>
    <w:rsid w:val="00C91479"/>
    <w:rsid w:val="00CA49F6"/>
    <w:rsid w:val="00CB3AF6"/>
    <w:rsid w:val="00CB3C13"/>
    <w:rsid w:val="00CD4E37"/>
    <w:rsid w:val="00CE3FD1"/>
    <w:rsid w:val="00CE620E"/>
    <w:rsid w:val="00CF1ED5"/>
    <w:rsid w:val="00D10EBB"/>
    <w:rsid w:val="00D13A82"/>
    <w:rsid w:val="00D13DB7"/>
    <w:rsid w:val="00D232F5"/>
    <w:rsid w:val="00D306AF"/>
    <w:rsid w:val="00D868B7"/>
    <w:rsid w:val="00D970DE"/>
    <w:rsid w:val="00DB5727"/>
    <w:rsid w:val="00DB71AC"/>
    <w:rsid w:val="00DC00D1"/>
    <w:rsid w:val="00DD02A4"/>
    <w:rsid w:val="00DD6BC6"/>
    <w:rsid w:val="00DE1A02"/>
    <w:rsid w:val="00E05924"/>
    <w:rsid w:val="00E05C6C"/>
    <w:rsid w:val="00E157E1"/>
    <w:rsid w:val="00E2182C"/>
    <w:rsid w:val="00E325CF"/>
    <w:rsid w:val="00E34A7A"/>
    <w:rsid w:val="00E34F8E"/>
    <w:rsid w:val="00E40B0D"/>
    <w:rsid w:val="00E65DCD"/>
    <w:rsid w:val="00E71420"/>
    <w:rsid w:val="00E94DA0"/>
    <w:rsid w:val="00EA5CC3"/>
    <w:rsid w:val="00EA60B6"/>
    <w:rsid w:val="00EB3847"/>
    <w:rsid w:val="00EF6341"/>
    <w:rsid w:val="00F054D4"/>
    <w:rsid w:val="00F0560A"/>
    <w:rsid w:val="00F158D7"/>
    <w:rsid w:val="00F20EE5"/>
    <w:rsid w:val="00F44833"/>
    <w:rsid w:val="00F544B0"/>
    <w:rsid w:val="00F67C87"/>
    <w:rsid w:val="00F84C23"/>
    <w:rsid w:val="00F90336"/>
    <w:rsid w:val="00FD3DE0"/>
    <w:rsid w:val="00FD7729"/>
    <w:rsid w:val="00FD7C22"/>
    <w:rsid w:val="00FE5C58"/>
    <w:rsid w:val="00FE77B3"/>
    <w:rsid w:val="010FDA78"/>
    <w:rsid w:val="012F69AB"/>
    <w:rsid w:val="0155AFB3"/>
    <w:rsid w:val="017ACB95"/>
    <w:rsid w:val="01817A26"/>
    <w:rsid w:val="01AE34DF"/>
    <w:rsid w:val="01CCFAD1"/>
    <w:rsid w:val="01D94BF8"/>
    <w:rsid w:val="01F119D3"/>
    <w:rsid w:val="01FB5B7F"/>
    <w:rsid w:val="023DAD81"/>
    <w:rsid w:val="026AA3B8"/>
    <w:rsid w:val="02910469"/>
    <w:rsid w:val="029F9216"/>
    <w:rsid w:val="02B5D908"/>
    <w:rsid w:val="02C00E46"/>
    <w:rsid w:val="02C4DCD3"/>
    <w:rsid w:val="02ED10C7"/>
    <w:rsid w:val="03014E81"/>
    <w:rsid w:val="031FA62A"/>
    <w:rsid w:val="032009C0"/>
    <w:rsid w:val="0322E782"/>
    <w:rsid w:val="0326B72E"/>
    <w:rsid w:val="033066C3"/>
    <w:rsid w:val="034594C8"/>
    <w:rsid w:val="034C64D3"/>
    <w:rsid w:val="036051FC"/>
    <w:rsid w:val="03743827"/>
    <w:rsid w:val="0377E7E3"/>
    <w:rsid w:val="038EAC61"/>
    <w:rsid w:val="03986F4E"/>
    <w:rsid w:val="039AE750"/>
    <w:rsid w:val="03C0B1C4"/>
    <w:rsid w:val="03C2D0BC"/>
    <w:rsid w:val="03CA431D"/>
    <w:rsid w:val="03E81E05"/>
    <w:rsid w:val="0402499C"/>
    <w:rsid w:val="0404C3AC"/>
    <w:rsid w:val="04289B40"/>
    <w:rsid w:val="044D44FD"/>
    <w:rsid w:val="04844BCE"/>
    <w:rsid w:val="04B026EE"/>
    <w:rsid w:val="04D4A056"/>
    <w:rsid w:val="052CF724"/>
    <w:rsid w:val="054BC4DF"/>
    <w:rsid w:val="05502E1A"/>
    <w:rsid w:val="0559B97C"/>
    <w:rsid w:val="055C25BE"/>
    <w:rsid w:val="0565955C"/>
    <w:rsid w:val="05900560"/>
    <w:rsid w:val="05AEB29A"/>
    <w:rsid w:val="05BC2AFF"/>
    <w:rsid w:val="05C48B45"/>
    <w:rsid w:val="05CCBB8C"/>
    <w:rsid w:val="05E73FE3"/>
    <w:rsid w:val="05EDAACE"/>
    <w:rsid w:val="05EDB332"/>
    <w:rsid w:val="06329E2C"/>
    <w:rsid w:val="063428E5"/>
    <w:rsid w:val="0648D878"/>
    <w:rsid w:val="064EB206"/>
    <w:rsid w:val="065A5AE8"/>
    <w:rsid w:val="067FC926"/>
    <w:rsid w:val="068953FA"/>
    <w:rsid w:val="06B270E9"/>
    <w:rsid w:val="06CD90BF"/>
    <w:rsid w:val="06CE707A"/>
    <w:rsid w:val="06D26C68"/>
    <w:rsid w:val="06F75C94"/>
    <w:rsid w:val="06F97993"/>
    <w:rsid w:val="07067568"/>
    <w:rsid w:val="072205D5"/>
    <w:rsid w:val="0750BD0D"/>
    <w:rsid w:val="075B0CAC"/>
    <w:rsid w:val="075CFE01"/>
    <w:rsid w:val="075EE89C"/>
    <w:rsid w:val="077252D4"/>
    <w:rsid w:val="0779A626"/>
    <w:rsid w:val="0780A8A6"/>
    <w:rsid w:val="08397839"/>
    <w:rsid w:val="084042BB"/>
    <w:rsid w:val="08650CAB"/>
    <w:rsid w:val="08A21EFE"/>
    <w:rsid w:val="08AC5BA5"/>
    <w:rsid w:val="08B7E39E"/>
    <w:rsid w:val="08BBB6C9"/>
    <w:rsid w:val="08D01A08"/>
    <w:rsid w:val="09021DD4"/>
    <w:rsid w:val="093CD4FA"/>
    <w:rsid w:val="094FE748"/>
    <w:rsid w:val="098A01E8"/>
    <w:rsid w:val="09923234"/>
    <w:rsid w:val="09AE0719"/>
    <w:rsid w:val="09E05C09"/>
    <w:rsid w:val="09F90C53"/>
    <w:rsid w:val="09FD9683"/>
    <w:rsid w:val="0A01AB10"/>
    <w:rsid w:val="0A0AF45B"/>
    <w:rsid w:val="0A679D3B"/>
    <w:rsid w:val="0A709CED"/>
    <w:rsid w:val="0A7AF720"/>
    <w:rsid w:val="0A91419A"/>
    <w:rsid w:val="0ACC8CFF"/>
    <w:rsid w:val="0AE9D61B"/>
    <w:rsid w:val="0B162158"/>
    <w:rsid w:val="0B352F47"/>
    <w:rsid w:val="0B44645B"/>
    <w:rsid w:val="0B53F019"/>
    <w:rsid w:val="0B638E13"/>
    <w:rsid w:val="0B6CC5F4"/>
    <w:rsid w:val="0B95A192"/>
    <w:rsid w:val="0B9AD016"/>
    <w:rsid w:val="0B9FA2A1"/>
    <w:rsid w:val="0BB3B1FA"/>
    <w:rsid w:val="0BBC55E9"/>
    <w:rsid w:val="0BC52F2A"/>
    <w:rsid w:val="0BEF9589"/>
    <w:rsid w:val="0C157CD8"/>
    <w:rsid w:val="0C1F994D"/>
    <w:rsid w:val="0C412385"/>
    <w:rsid w:val="0C55637E"/>
    <w:rsid w:val="0C58D12E"/>
    <w:rsid w:val="0C5E6CDA"/>
    <w:rsid w:val="0C955FB1"/>
    <w:rsid w:val="0C9FFECC"/>
    <w:rsid w:val="0CA5D118"/>
    <w:rsid w:val="0CAAE9DE"/>
    <w:rsid w:val="0CC85995"/>
    <w:rsid w:val="0CC954E3"/>
    <w:rsid w:val="0D05A2B3"/>
    <w:rsid w:val="0D2FEE42"/>
    <w:rsid w:val="0D3FC11A"/>
    <w:rsid w:val="0D4AC356"/>
    <w:rsid w:val="0D5A53B2"/>
    <w:rsid w:val="0D72BFF8"/>
    <w:rsid w:val="0D73939C"/>
    <w:rsid w:val="0D850D94"/>
    <w:rsid w:val="0D8803AF"/>
    <w:rsid w:val="0D8E76E2"/>
    <w:rsid w:val="0D91A72F"/>
    <w:rsid w:val="0D960E6D"/>
    <w:rsid w:val="0DA28A5C"/>
    <w:rsid w:val="0DBF03D7"/>
    <w:rsid w:val="0DC39744"/>
    <w:rsid w:val="0DDD6D96"/>
    <w:rsid w:val="0DFAB8C9"/>
    <w:rsid w:val="0E260372"/>
    <w:rsid w:val="0E4B0460"/>
    <w:rsid w:val="0E66EC2B"/>
    <w:rsid w:val="0E78C921"/>
    <w:rsid w:val="0E8220E9"/>
    <w:rsid w:val="0E86CA29"/>
    <w:rsid w:val="0E90527A"/>
    <w:rsid w:val="0EEC462F"/>
    <w:rsid w:val="0F02000F"/>
    <w:rsid w:val="0F0503C4"/>
    <w:rsid w:val="0F0697E0"/>
    <w:rsid w:val="0F105504"/>
    <w:rsid w:val="0F14F7E3"/>
    <w:rsid w:val="0F2ED553"/>
    <w:rsid w:val="0F3644FB"/>
    <w:rsid w:val="0F5D9496"/>
    <w:rsid w:val="0F66C0E1"/>
    <w:rsid w:val="0F6E1445"/>
    <w:rsid w:val="0F7C0229"/>
    <w:rsid w:val="0FAD111A"/>
    <w:rsid w:val="0FB9B0DA"/>
    <w:rsid w:val="0FC940DC"/>
    <w:rsid w:val="0FD9254F"/>
    <w:rsid w:val="0FDAECC7"/>
    <w:rsid w:val="0FF30EC0"/>
    <w:rsid w:val="100D9684"/>
    <w:rsid w:val="10208131"/>
    <w:rsid w:val="10217218"/>
    <w:rsid w:val="10316033"/>
    <w:rsid w:val="10399F3E"/>
    <w:rsid w:val="106110C4"/>
    <w:rsid w:val="1062E658"/>
    <w:rsid w:val="1083158D"/>
    <w:rsid w:val="109617C0"/>
    <w:rsid w:val="10A61A36"/>
    <w:rsid w:val="10C34217"/>
    <w:rsid w:val="10D4117C"/>
    <w:rsid w:val="10E7F7E8"/>
    <w:rsid w:val="11404875"/>
    <w:rsid w:val="11818CF4"/>
    <w:rsid w:val="11A3D19D"/>
    <w:rsid w:val="11A8FF5B"/>
    <w:rsid w:val="11B30BDB"/>
    <w:rsid w:val="11D2FBCB"/>
    <w:rsid w:val="11EAAD1D"/>
    <w:rsid w:val="11FFBC06"/>
    <w:rsid w:val="12066CC5"/>
    <w:rsid w:val="121C7F46"/>
    <w:rsid w:val="12262519"/>
    <w:rsid w:val="1242608B"/>
    <w:rsid w:val="1282FDCB"/>
    <w:rsid w:val="128C8BBE"/>
    <w:rsid w:val="128D0A3D"/>
    <w:rsid w:val="128D588D"/>
    <w:rsid w:val="129E379C"/>
    <w:rsid w:val="129ED736"/>
    <w:rsid w:val="12A64DCA"/>
    <w:rsid w:val="12B8A802"/>
    <w:rsid w:val="12EBF799"/>
    <w:rsid w:val="13161679"/>
    <w:rsid w:val="131DC124"/>
    <w:rsid w:val="132A64BD"/>
    <w:rsid w:val="132DEA46"/>
    <w:rsid w:val="132FF86E"/>
    <w:rsid w:val="13322659"/>
    <w:rsid w:val="138BAC1C"/>
    <w:rsid w:val="138DE08E"/>
    <w:rsid w:val="13A7385E"/>
    <w:rsid w:val="13BF4B92"/>
    <w:rsid w:val="13D3F4EC"/>
    <w:rsid w:val="14057C6C"/>
    <w:rsid w:val="140AE70E"/>
    <w:rsid w:val="1439FA44"/>
    <w:rsid w:val="146D5B28"/>
    <w:rsid w:val="147CB2B3"/>
    <w:rsid w:val="1487D130"/>
    <w:rsid w:val="149DCFC7"/>
    <w:rsid w:val="149E6E9A"/>
    <w:rsid w:val="14BDA4D9"/>
    <w:rsid w:val="14CCD933"/>
    <w:rsid w:val="1504F64D"/>
    <w:rsid w:val="1538D07C"/>
    <w:rsid w:val="153FB95C"/>
    <w:rsid w:val="15C741D1"/>
    <w:rsid w:val="15D3D844"/>
    <w:rsid w:val="161F60F1"/>
    <w:rsid w:val="162048DF"/>
    <w:rsid w:val="164E2F47"/>
    <w:rsid w:val="1659FF87"/>
    <w:rsid w:val="165E4708"/>
    <w:rsid w:val="165ECB97"/>
    <w:rsid w:val="1683DA55"/>
    <w:rsid w:val="169E2945"/>
    <w:rsid w:val="16E002B7"/>
    <w:rsid w:val="16E93348"/>
    <w:rsid w:val="173B0F5A"/>
    <w:rsid w:val="17679E8F"/>
    <w:rsid w:val="176C2803"/>
    <w:rsid w:val="176EFC52"/>
    <w:rsid w:val="1781B12E"/>
    <w:rsid w:val="1798D4C2"/>
    <w:rsid w:val="17CF66C5"/>
    <w:rsid w:val="17D28A29"/>
    <w:rsid w:val="17E2516A"/>
    <w:rsid w:val="17FCE164"/>
    <w:rsid w:val="1815B11B"/>
    <w:rsid w:val="183E1761"/>
    <w:rsid w:val="185A052E"/>
    <w:rsid w:val="185AE0DC"/>
    <w:rsid w:val="18D2C78A"/>
    <w:rsid w:val="1924C694"/>
    <w:rsid w:val="19433215"/>
    <w:rsid w:val="194BC229"/>
    <w:rsid w:val="196605FF"/>
    <w:rsid w:val="197683D5"/>
    <w:rsid w:val="198FA886"/>
    <w:rsid w:val="1997C58F"/>
    <w:rsid w:val="19B6CAF7"/>
    <w:rsid w:val="19BAEEDF"/>
    <w:rsid w:val="19E01CE1"/>
    <w:rsid w:val="19EA6813"/>
    <w:rsid w:val="19F9346E"/>
    <w:rsid w:val="1A067D57"/>
    <w:rsid w:val="1A13BC7D"/>
    <w:rsid w:val="1A144DA5"/>
    <w:rsid w:val="1A19D4ED"/>
    <w:rsid w:val="1A1B9021"/>
    <w:rsid w:val="1A45BB61"/>
    <w:rsid w:val="1A520BB4"/>
    <w:rsid w:val="1A5995A3"/>
    <w:rsid w:val="1AA14F92"/>
    <w:rsid w:val="1AB37459"/>
    <w:rsid w:val="1AB44921"/>
    <w:rsid w:val="1ABA6123"/>
    <w:rsid w:val="1ADC9ADE"/>
    <w:rsid w:val="1AE08F6B"/>
    <w:rsid w:val="1AEF642F"/>
    <w:rsid w:val="1AF07FF6"/>
    <w:rsid w:val="1B02C649"/>
    <w:rsid w:val="1B02C9C5"/>
    <w:rsid w:val="1B155159"/>
    <w:rsid w:val="1B2F8FED"/>
    <w:rsid w:val="1B73DE7A"/>
    <w:rsid w:val="1B9AF5E5"/>
    <w:rsid w:val="1B9F5EB4"/>
    <w:rsid w:val="1BB2FD74"/>
    <w:rsid w:val="1BB5B1F5"/>
    <w:rsid w:val="1BE1C2B0"/>
    <w:rsid w:val="1BE9127D"/>
    <w:rsid w:val="1C11D4C5"/>
    <w:rsid w:val="1C1AAB6E"/>
    <w:rsid w:val="1C22D624"/>
    <w:rsid w:val="1C3BDDDE"/>
    <w:rsid w:val="1C993E8C"/>
    <w:rsid w:val="1CB0F3B6"/>
    <w:rsid w:val="1CCB49F2"/>
    <w:rsid w:val="1CCCF695"/>
    <w:rsid w:val="1CE47432"/>
    <w:rsid w:val="1D20EF3A"/>
    <w:rsid w:val="1D29F72A"/>
    <w:rsid w:val="1D32C9FB"/>
    <w:rsid w:val="1D52CDFF"/>
    <w:rsid w:val="1D574293"/>
    <w:rsid w:val="1D585490"/>
    <w:rsid w:val="1D596D3F"/>
    <w:rsid w:val="1D85A257"/>
    <w:rsid w:val="1DC7C19E"/>
    <w:rsid w:val="1DE7E803"/>
    <w:rsid w:val="1DF28420"/>
    <w:rsid w:val="1DF36945"/>
    <w:rsid w:val="1E0DC7F3"/>
    <w:rsid w:val="1E351A76"/>
    <w:rsid w:val="1E4CD74E"/>
    <w:rsid w:val="1E5496D4"/>
    <w:rsid w:val="1E88EBF2"/>
    <w:rsid w:val="1E975725"/>
    <w:rsid w:val="1EB18E41"/>
    <w:rsid w:val="1EC678D9"/>
    <w:rsid w:val="1EDAE312"/>
    <w:rsid w:val="1EE3A5B0"/>
    <w:rsid w:val="1EF42C58"/>
    <w:rsid w:val="1F0656B0"/>
    <w:rsid w:val="1F13250A"/>
    <w:rsid w:val="1F1A5F83"/>
    <w:rsid w:val="1F27C9E9"/>
    <w:rsid w:val="1F312399"/>
    <w:rsid w:val="1F6022F4"/>
    <w:rsid w:val="1F7D0671"/>
    <w:rsid w:val="1FA63537"/>
    <w:rsid w:val="1FABFC6F"/>
    <w:rsid w:val="1FC4D872"/>
    <w:rsid w:val="1FC68BA4"/>
    <w:rsid w:val="1FDC9C15"/>
    <w:rsid w:val="1FDF44B0"/>
    <w:rsid w:val="1FE4250D"/>
    <w:rsid w:val="1FE55523"/>
    <w:rsid w:val="1FF1DA8B"/>
    <w:rsid w:val="200A7A6A"/>
    <w:rsid w:val="20189B49"/>
    <w:rsid w:val="203EF788"/>
    <w:rsid w:val="20902643"/>
    <w:rsid w:val="209E9823"/>
    <w:rsid w:val="20A044E7"/>
    <w:rsid w:val="20ACB7C5"/>
    <w:rsid w:val="20BD290A"/>
    <w:rsid w:val="20CECBF3"/>
    <w:rsid w:val="20E3C6AF"/>
    <w:rsid w:val="20EE5646"/>
    <w:rsid w:val="21198F5F"/>
    <w:rsid w:val="212F8A93"/>
    <w:rsid w:val="2145CCE4"/>
    <w:rsid w:val="214DD674"/>
    <w:rsid w:val="216268D9"/>
    <w:rsid w:val="2164DD81"/>
    <w:rsid w:val="2171D6E0"/>
    <w:rsid w:val="21934BB4"/>
    <w:rsid w:val="219A6B73"/>
    <w:rsid w:val="219CEF78"/>
    <w:rsid w:val="21B6E255"/>
    <w:rsid w:val="21B7C1B4"/>
    <w:rsid w:val="21CC71BB"/>
    <w:rsid w:val="21EBB099"/>
    <w:rsid w:val="222B4358"/>
    <w:rsid w:val="22375EC0"/>
    <w:rsid w:val="2258B0A9"/>
    <w:rsid w:val="22727278"/>
    <w:rsid w:val="22BC3DFA"/>
    <w:rsid w:val="22CB14C0"/>
    <w:rsid w:val="232B57F3"/>
    <w:rsid w:val="2365B28A"/>
    <w:rsid w:val="237B7AE0"/>
    <w:rsid w:val="239098D7"/>
    <w:rsid w:val="23B41F69"/>
    <w:rsid w:val="23ECE5B0"/>
    <w:rsid w:val="241CE402"/>
    <w:rsid w:val="241FA7A9"/>
    <w:rsid w:val="2420F318"/>
    <w:rsid w:val="24438194"/>
    <w:rsid w:val="244C1A2B"/>
    <w:rsid w:val="246DFC4E"/>
    <w:rsid w:val="2471E322"/>
    <w:rsid w:val="2472128E"/>
    <w:rsid w:val="2479EDAE"/>
    <w:rsid w:val="24857199"/>
    <w:rsid w:val="248AEEC5"/>
    <w:rsid w:val="24A50109"/>
    <w:rsid w:val="24E4479E"/>
    <w:rsid w:val="25043DBE"/>
    <w:rsid w:val="2531F5D2"/>
    <w:rsid w:val="253CB59B"/>
    <w:rsid w:val="2566DF4B"/>
    <w:rsid w:val="2574181B"/>
    <w:rsid w:val="257C8B62"/>
    <w:rsid w:val="2586EBB0"/>
    <w:rsid w:val="25B2DA46"/>
    <w:rsid w:val="25E87111"/>
    <w:rsid w:val="25F13235"/>
    <w:rsid w:val="25F2779B"/>
    <w:rsid w:val="25F7FEB5"/>
    <w:rsid w:val="260B52AF"/>
    <w:rsid w:val="261E8BA8"/>
    <w:rsid w:val="26230260"/>
    <w:rsid w:val="26469ACA"/>
    <w:rsid w:val="2649EDCD"/>
    <w:rsid w:val="26565490"/>
    <w:rsid w:val="265CC3CD"/>
    <w:rsid w:val="269A3E10"/>
    <w:rsid w:val="26A230FC"/>
    <w:rsid w:val="26A9AFDF"/>
    <w:rsid w:val="26BB1C66"/>
    <w:rsid w:val="26E6376D"/>
    <w:rsid w:val="27120972"/>
    <w:rsid w:val="273B9829"/>
    <w:rsid w:val="273D8534"/>
    <w:rsid w:val="277C2B09"/>
    <w:rsid w:val="279615E0"/>
    <w:rsid w:val="27A5CA21"/>
    <w:rsid w:val="27A9E3B1"/>
    <w:rsid w:val="27AB38A6"/>
    <w:rsid w:val="27EA4D3E"/>
    <w:rsid w:val="281B67A4"/>
    <w:rsid w:val="28323BDF"/>
    <w:rsid w:val="2843F2DB"/>
    <w:rsid w:val="28B0B7F9"/>
    <w:rsid w:val="28BE903D"/>
    <w:rsid w:val="28CA71CB"/>
    <w:rsid w:val="28D5EF00"/>
    <w:rsid w:val="28D9F054"/>
    <w:rsid w:val="28DEAC3F"/>
    <w:rsid w:val="28F3A4F9"/>
    <w:rsid w:val="28F7C84B"/>
    <w:rsid w:val="290351A8"/>
    <w:rsid w:val="290F96D7"/>
    <w:rsid w:val="29224538"/>
    <w:rsid w:val="29410AD9"/>
    <w:rsid w:val="29686EF7"/>
    <w:rsid w:val="297778E3"/>
    <w:rsid w:val="29A079A9"/>
    <w:rsid w:val="29B0AD18"/>
    <w:rsid w:val="29CB56C8"/>
    <w:rsid w:val="29D24C06"/>
    <w:rsid w:val="29D4ABEA"/>
    <w:rsid w:val="2A6B097F"/>
    <w:rsid w:val="2A90796C"/>
    <w:rsid w:val="2AF42305"/>
    <w:rsid w:val="2AF77C86"/>
    <w:rsid w:val="2AFB1EEE"/>
    <w:rsid w:val="2B2D71CE"/>
    <w:rsid w:val="2B69CE60"/>
    <w:rsid w:val="2B83C3DB"/>
    <w:rsid w:val="2B97A06C"/>
    <w:rsid w:val="2BAA16D5"/>
    <w:rsid w:val="2BC979D4"/>
    <w:rsid w:val="2BCE6911"/>
    <w:rsid w:val="2BCECA81"/>
    <w:rsid w:val="2BD697E8"/>
    <w:rsid w:val="2C462FD3"/>
    <w:rsid w:val="2C7457DD"/>
    <w:rsid w:val="2C91BFEF"/>
    <w:rsid w:val="2CA7D497"/>
    <w:rsid w:val="2CD9CF64"/>
    <w:rsid w:val="2D070FEA"/>
    <w:rsid w:val="2D0D8BA6"/>
    <w:rsid w:val="2D48953B"/>
    <w:rsid w:val="2D4F3F9D"/>
    <w:rsid w:val="2D5F74E3"/>
    <w:rsid w:val="2D73A3C6"/>
    <w:rsid w:val="2D938896"/>
    <w:rsid w:val="2D961145"/>
    <w:rsid w:val="2DB27331"/>
    <w:rsid w:val="2DCABE44"/>
    <w:rsid w:val="2DE113CF"/>
    <w:rsid w:val="2E167740"/>
    <w:rsid w:val="2E22B539"/>
    <w:rsid w:val="2E233083"/>
    <w:rsid w:val="2E40AF55"/>
    <w:rsid w:val="2E5BF246"/>
    <w:rsid w:val="2E6C832A"/>
    <w:rsid w:val="2E713240"/>
    <w:rsid w:val="2E78B4C5"/>
    <w:rsid w:val="2E89268D"/>
    <w:rsid w:val="2E8EDAED"/>
    <w:rsid w:val="2E910E82"/>
    <w:rsid w:val="2E9A8B5D"/>
    <w:rsid w:val="2E9B9B1A"/>
    <w:rsid w:val="2E9E9297"/>
    <w:rsid w:val="2EA1D60C"/>
    <w:rsid w:val="2ECABE9B"/>
    <w:rsid w:val="2EDC2B6C"/>
    <w:rsid w:val="2EF1CB30"/>
    <w:rsid w:val="2F1351E6"/>
    <w:rsid w:val="2F34A0BE"/>
    <w:rsid w:val="2F42285E"/>
    <w:rsid w:val="2F5AFD5F"/>
    <w:rsid w:val="2F72CE8E"/>
    <w:rsid w:val="2F7A5354"/>
    <w:rsid w:val="2F8804CC"/>
    <w:rsid w:val="2FCD53BF"/>
    <w:rsid w:val="2FD2515A"/>
    <w:rsid w:val="2FD28F51"/>
    <w:rsid w:val="2FDA4B19"/>
    <w:rsid w:val="2FF094C4"/>
    <w:rsid w:val="300F8D82"/>
    <w:rsid w:val="301EE76B"/>
    <w:rsid w:val="302AAB49"/>
    <w:rsid w:val="304560FC"/>
    <w:rsid w:val="304564DB"/>
    <w:rsid w:val="306430F0"/>
    <w:rsid w:val="306E2E96"/>
    <w:rsid w:val="3098336C"/>
    <w:rsid w:val="30AA502B"/>
    <w:rsid w:val="30BB890D"/>
    <w:rsid w:val="30C6766D"/>
    <w:rsid w:val="30CDA18C"/>
    <w:rsid w:val="30D71DF0"/>
    <w:rsid w:val="312499DB"/>
    <w:rsid w:val="315741BB"/>
    <w:rsid w:val="31965DB9"/>
    <w:rsid w:val="31A0855E"/>
    <w:rsid w:val="31A1D9E1"/>
    <w:rsid w:val="31ABE992"/>
    <w:rsid w:val="31B540B1"/>
    <w:rsid w:val="3247873F"/>
    <w:rsid w:val="325F65AD"/>
    <w:rsid w:val="326EAB99"/>
    <w:rsid w:val="327C7534"/>
    <w:rsid w:val="328F3B65"/>
    <w:rsid w:val="3291EB6D"/>
    <w:rsid w:val="3294B585"/>
    <w:rsid w:val="329ECD99"/>
    <w:rsid w:val="32A22B1E"/>
    <w:rsid w:val="32B019A9"/>
    <w:rsid w:val="32B13821"/>
    <w:rsid w:val="32BDE7EC"/>
    <w:rsid w:val="32DE0946"/>
    <w:rsid w:val="331E7964"/>
    <w:rsid w:val="331EC123"/>
    <w:rsid w:val="332E9F86"/>
    <w:rsid w:val="3332761A"/>
    <w:rsid w:val="337EC930"/>
    <w:rsid w:val="33CC2A69"/>
    <w:rsid w:val="33CF0A88"/>
    <w:rsid w:val="33E84AED"/>
    <w:rsid w:val="34103A1B"/>
    <w:rsid w:val="342D40AB"/>
    <w:rsid w:val="34837CE1"/>
    <w:rsid w:val="349D6C37"/>
    <w:rsid w:val="34ADAFF5"/>
    <w:rsid w:val="34CF7EBE"/>
    <w:rsid w:val="34DEC4BF"/>
    <w:rsid w:val="35049FB9"/>
    <w:rsid w:val="350E673A"/>
    <w:rsid w:val="351CF0F0"/>
    <w:rsid w:val="35224967"/>
    <w:rsid w:val="35235B80"/>
    <w:rsid w:val="352970FB"/>
    <w:rsid w:val="3546D0C8"/>
    <w:rsid w:val="358CB8DD"/>
    <w:rsid w:val="35980E56"/>
    <w:rsid w:val="359E9537"/>
    <w:rsid w:val="35ADB392"/>
    <w:rsid w:val="35B7550D"/>
    <w:rsid w:val="35C79441"/>
    <w:rsid w:val="3610BE06"/>
    <w:rsid w:val="3623E750"/>
    <w:rsid w:val="36300812"/>
    <w:rsid w:val="3646FC20"/>
    <w:rsid w:val="36569995"/>
    <w:rsid w:val="365A93C7"/>
    <w:rsid w:val="366D3E4B"/>
    <w:rsid w:val="36885F0F"/>
    <w:rsid w:val="36AE9A17"/>
    <w:rsid w:val="36AFE4B7"/>
    <w:rsid w:val="36D5AF6A"/>
    <w:rsid w:val="36D77720"/>
    <w:rsid w:val="36FEB016"/>
    <w:rsid w:val="3720B711"/>
    <w:rsid w:val="37639B16"/>
    <w:rsid w:val="37943171"/>
    <w:rsid w:val="37A060FA"/>
    <w:rsid w:val="37B88578"/>
    <w:rsid w:val="37BFB54A"/>
    <w:rsid w:val="37C10D9E"/>
    <w:rsid w:val="37CA271B"/>
    <w:rsid w:val="37CD88F5"/>
    <w:rsid w:val="37F241AC"/>
    <w:rsid w:val="38013C4F"/>
    <w:rsid w:val="382F5150"/>
    <w:rsid w:val="3860AB3F"/>
    <w:rsid w:val="38619953"/>
    <w:rsid w:val="389CC2F9"/>
    <w:rsid w:val="38A18560"/>
    <w:rsid w:val="38A5E089"/>
    <w:rsid w:val="38EBE792"/>
    <w:rsid w:val="38F4DF8B"/>
    <w:rsid w:val="38FE7751"/>
    <w:rsid w:val="39002582"/>
    <w:rsid w:val="391295F4"/>
    <w:rsid w:val="39240D84"/>
    <w:rsid w:val="393E5F91"/>
    <w:rsid w:val="396D4FE4"/>
    <w:rsid w:val="3979FFE5"/>
    <w:rsid w:val="39B0F5FC"/>
    <w:rsid w:val="39B9DA3C"/>
    <w:rsid w:val="39D05F87"/>
    <w:rsid w:val="39D54DBA"/>
    <w:rsid w:val="39DF5BA6"/>
    <w:rsid w:val="39F6F96D"/>
    <w:rsid w:val="3A274035"/>
    <w:rsid w:val="3A30AEE9"/>
    <w:rsid w:val="3A3F99BB"/>
    <w:rsid w:val="3AB58F90"/>
    <w:rsid w:val="3AD932E3"/>
    <w:rsid w:val="3B03ECE6"/>
    <w:rsid w:val="3B39FEFA"/>
    <w:rsid w:val="3B69904A"/>
    <w:rsid w:val="3B720B46"/>
    <w:rsid w:val="3B79FE02"/>
    <w:rsid w:val="3B7B557A"/>
    <w:rsid w:val="3BABD03A"/>
    <w:rsid w:val="3BC562C9"/>
    <w:rsid w:val="3BD71052"/>
    <w:rsid w:val="3C0E73C5"/>
    <w:rsid w:val="3C610D62"/>
    <w:rsid w:val="3C6DA5DA"/>
    <w:rsid w:val="3C700587"/>
    <w:rsid w:val="3C80BDED"/>
    <w:rsid w:val="3C97DBFE"/>
    <w:rsid w:val="3CC3B088"/>
    <w:rsid w:val="3CCA986D"/>
    <w:rsid w:val="3CCDA186"/>
    <w:rsid w:val="3CF1BA4E"/>
    <w:rsid w:val="3CF489FA"/>
    <w:rsid w:val="3D0515B9"/>
    <w:rsid w:val="3D28B6FA"/>
    <w:rsid w:val="3D2C0450"/>
    <w:rsid w:val="3D379BA2"/>
    <w:rsid w:val="3D6392CE"/>
    <w:rsid w:val="3D9C9447"/>
    <w:rsid w:val="3DD98999"/>
    <w:rsid w:val="3DEAC3E9"/>
    <w:rsid w:val="3DFB2F65"/>
    <w:rsid w:val="3E1BB6FA"/>
    <w:rsid w:val="3E1FFD9B"/>
    <w:rsid w:val="3E240FAF"/>
    <w:rsid w:val="3E30E254"/>
    <w:rsid w:val="3E598AFD"/>
    <w:rsid w:val="3E61C57E"/>
    <w:rsid w:val="3E84879A"/>
    <w:rsid w:val="3E864E0D"/>
    <w:rsid w:val="3E9FD1CD"/>
    <w:rsid w:val="3EA7198C"/>
    <w:rsid w:val="3EBE84F7"/>
    <w:rsid w:val="3ED01DB6"/>
    <w:rsid w:val="3EE06CDB"/>
    <w:rsid w:val="3F8120D1"/>
    <w:rsid w:val="3F9586C7"/>
    <w:rsid w:val="3FADC0DF"/>
    <w:rsid w:val="3FBA2A5E"/>
    <w:rsid w:val="3FBACBF3"/>
    <w:rsid w:val="3FDC8D06"/>
    <w:rsid w:val="3FFC5A6C"/>
    <w:rsid w:val="400A3294"/>
    <w:rsid w:val="404801A0"/>
    <w:rsid w:val="4065034C"/>
    <w:rsid w:val="406CB5D8"/>
    <w:rsid w:val="406FC6E1"/>
    <w:rsid w:val="40779456"/>
    <w:rsid w:val="40912CA3"/>
    <w:rsid w:val="40B51CD5"/>
    <w:rsid w:val="40B88DB2"/>
    <w:rsid w:val="40C5CCED"/>
    <w:rsid w:val="40CAA6D6"/>
    <w:rsid w:val="40E26CE9"/>
    <w:rsid w:val="410072D9"/>
    <w:rsid w:val="4132C566"/>
    <w:rsid w:val="417DA327"/>
    <w:rsid w:val="417E09F3"/>
    <w:rsid w:val="419AFC48"/>
    <w:rsid w:val="419BDE85"/>
    <w:rsid w:val="419E0056"/>
    <w:rsid w:val="41C47FBF"/>
    <w:rsid w:val="41E15609"/>
    <w:rsid w:val="41ECBD57"/>
    <w:rsid w:val="41F4DC42"/>
    <w:rsid w:val="4222CCF8"/>
    <w:rsid w:val="424D2768"/>
    <w:rsid w:val="425482C0"/>
    <w:rsid w:val="4259FF76"/>
    <w:rsid w:val="42681A9B"/>
    <w:rsid w:val="428150FB"/>
    <w:rsid w:val="428BFE98"/>
    <w:rsid w:val="428F2F02"/>
    <w:rsid w:val="429A991F"/>
    <w:rsid w:val="42CBD391"/>
    <w:rsid w:val="42D0CFFC"/>
    <w:rsid w:val="42E6813E"/>
    <w:rsid w:val="42F68E0C"/>
    <w:rsid w:val="43021B02"/>
    <w:rsid w:val="43145AA1"/>
    <w:rsid w:val="43200127"/>
    <w:rsid w:val="435099D1"/>
    <w:rsid w:val="43542B72"/>
    <w:rsid w:val="438E93C9"/>
    <w:rsid w:val="43BF6D55"/>
    <w:rsid w:val="43CDE8A1"/>
    <w:rsid w:val="43D17E43"/>
    <w:rsid w:val="43E512EB"/>
    <w:rsid w:val="440E0080"/>
    <w:rsid w:val="4429F070"/>
    <w:rsid w:val="44653E85"/>
    <w:rsid w:val="44A1B2FD"/>
    <w:rsid w:val="44A3C79C"/>
    <w:rsid w:val="44A43571"/>
    <w:rsid w:val="450C5DC1"/>
    <w:rsid w:val="4529CDA1"/>
    <w:rsid w:val="4541DDC8"/>
    <w:rsid w:val="45482026"/>
    <w:rsid w:val="45A5044C"/>
    <w:rsid w:val="45AB236E"/>
    <w:rsid w:val="45DD1005"/>
    <w:rsid w:val="4693DD6C"/>
    <w:rsid w:val="46B63EF6"/>
    <w:rsid w:val="46DC4516"/>
    <w:rsid w:val="46EFF9C4"/>
    <w:rsid w:val="47188588"/>
    <w:rsid w:val="4725D2DA"/>
    <w:rsid w:val="472E8598"/>
    <w:rsid w:val="472EEE30"/>
    <w:rsid w:val="473787BE"/>
    <w:rsid w:val="475DB4FC"/>
    <w:rsid w:val="47642124"/>
    <w:rsid w:val="4766CD4C"/>
    <w:rsid w:val="476C00FE"/>
    <w:rsid w:val="477F406E"/>
    <w:rsid w:val="479D6B9B"/>
    <w:rsid w:val="47A4DA9D"/>
    <w:rsid w:val="47AA4324"/>
    <w:rsid w:val="47C317EB"/>
    <w:rsid w:val="47F7FF2B"/>
    <w:rsid w:val="4807AC0D"/>
    <w:rsid w:val="481059C1"/>
    <w:rsid w:val="488B42F9"/>
    <w:rsid w:val="48C43704"/>
    <w:rsid w:val="49043E3B"/>
    <w:rsid w:val="49132DC8"/>
    <w:rsid w:val="492B8257"/>
    <w:rsid w:val="493246E4"/>
    <w:rsid w:val="495F7ECF"/>
    <w:rsid w:val="495F8D8B"/>
    <w:rsid w:val="496823C5"/>
    <w:rsid w:val="499EBB08"/>
    <w:rsid w:val="49A3ED83"/>
    <w:rsid w:val="49ADF592"/>
    <w:rsid w:val="49BCDEE3"/>
    <w:rsid w:val="49BEC666"/>
    <w:rsid w:val="49C77D65"/>
    <w:rsid w:val="49CD874E"/>
    <w:rsid w:val="49D1783C"/>
    <w:rsid w:val="49EB0DD1"/>
    <w:rsid w:val="49F99BBF"/>
    <w:rsid w:val="4A067A9F"/>
    <w:rsid w:val="4A1864B8"/>
    <w:rsid w:val="4A1AEB98"/>
    <w:rsid w:val="4A3A8602"/>
    <w:rsid w:val="4A3B9C2B"/>
    <w:rsid w:val="4A6A387E"/>
    <w:rsid w:val="4AA420B7"/>
    <w:rsid w:val="4ABC089B"/>
    <w:rsid w:val="4AC863E0"/>
    <w:rsid w:val="4ACBDBC8"/>
    <w:rsid w:val="4AD1927B"/>
    <w:rsid w:val="4ADC0AE8"/>
    <w:rsid w:val="4B177860"/>
    <w:rsid w:val="4B4C48E2"/>
    <w:rsid w:val="4B942E2D"/>
    <w:rsid w:val="4BF485BA"/>
    <w:rsid w:val="4BFEA59D"/>
    <w:rsid w:val="4C0EE53F"/>
    <w:rsid w:val="4C1A1B25"/>
    <w:rsid w:val="4C233373"/>
    <w:rsid w:val="4C234C1E"/>
    <w:rsid w:val="4C2991C1"/>
    <w:rsid w:val="4C36EC44"/>
    <w:rsid w:val="4C3AA1EE"/>
    <w:rsid w:val="4C6872A2"/>
    <w:rsid w:val="4CA41DBA"/>
    <w:rsid w:val="4CABAAB2"/>
    <w:rsid w:val="4CE1181B"/>
    <w:rsid w:val="4D0F8D35"/>
    <w:rsid w:val="4D1843AD"/>
    <w:rsid w:val="4D2D3F05"/>
    <w:rsid w:val="4D3AC7F7"/>
    <w:rsid w:val="4D540996"/>
    <w:rsid w:val="4D6DA981"/>
    <w:rsid w:val="4D7EC218"/>
    <w:rsid w:val="4D85BCB3"/>
    <w:rsid w:val="4D86A1A5"/>
    <w:rsid w:val="4D9FF3CF"/>
    <w:rsid w:val="4DB993C3"/>
    <w:rsid w:val="4DBF7C0D"/>
    <w:rsid w:val="4DF9BCBC"/>
    <w:rsid w:val="4E232F94"/>
    <w:rsid w:val="4E2BC903"/>
    <w:rsid w:val="4E7DCE50"/>
    <w:rsid w:val="4E853794"/>
    <w:rsid w:val="4E8A2782"/>
    <w:rsid w:val="4E944178"/>
    <w:rsid w:val="4EC3D2C1"/>
    <w:rsid w:val="4F257FED"/>
    <w:rsid w:val="4F26DC6A"/>
    <w:rsid w:val="4F3B82DB"/>
    <w:rsid w:val="4F50BF3A"/>
    <w:rsid w:val="4F6625BA"/>
    <w:rsid w:val="4F9B540D"/>
    <w:rsid w:val="4FA6C6B8"/>
    <w:rsid w:val="4FABA9ED"/>
    <w:rsid w:val="4FB3D4C8"/>
    <w:rsid w:val="4FB9EE06"/>
    <w:rsid w:val="4FDB4316"/>
    <w:rsid w:val="4FF2DF7E"/>
    <w:rsid w:val="4FF9ABE6"/>
    <w:rsid w:val="500ACC3D"/>
    <w:rsid w:val="501230C1"/>
    <w:rsid w:val="501F5FF1"/>
    <w:rsid w:val="5024E879"/>
    <w:rsid w:val="503E4E7E"/>
    <w:rsid w:val="504EAADF"/>
    <w:rsid w:val="505388F5"/>
    <w:rsid w:val="505F9BDA"/>
    <w:rsid w:val="506EB6CB"/>
    <w:rsid w:val="509B0342"/>
    <w:rsid w:val="50A78599"/>
    <w:rsid w:val="50AADF5F"/>
    <w:rsid w:val="50AEB663"/>
    <w:rsid w:val="50C40BD4"/>
    <w:rsid w:val="50C5086D"/>
    <w:rsid w:val="50DD4355"/>
    <w:rsid w:val="50EA2C30"/>
    <w:rsid w:val="50EA6213"/>
    <w:rsid w:val="50FDBEE9"/>
    <w:rsid w:val="514163A6"/>
    <w:rsid w:val="5155DA6B"/>
    <w:rsid w:val="515D6B1C"/>
    <w:rsid w:val="516956FA"/>
    <w:rsid w:val="5171B2C2"/>
    <w:rsid w:val="522B7C42"/>
    <w:rsid w:val="524C218B"/>
    <w:rsid w:val="5263B69E"/>
    <w:rsid w:val="526F6A6E"/>
    <w:rsid w:val="52A46F7A"/>
    <w:rsid w:val="52BAE674"/>
    <w:rsid w:val="52DA9D71"/>
    <w:rsid w:val="5310A8C9"/>
    <w:rsid w:val="534D7E5E"/>
    <w:rsid w:val="535B4FBC"/>
    <w:rsid w:val="5373C1F4"/>
    <w:rsid w:val="5379DD31"/>
    <w:rsid w:val="538D40E8"/>
    <w:rsid w:val="53BBC521"/>
    <w:rsid w:val="53F546A3"/>
    <w:rsid w:val="53F5A3B6"/>
    <w:rsid w:val="540F1010"/>
    <w:rsid w:val="547277E1"/>
    <w:rsid w:val="548A454C"/>
    <w:rsid w:val="54C0C27A"/>
    <w:rsid w:val="54D11A16"/>
    <w:rsid w:val="54D96F91"/>
    <w:rsid w:val="54DEC9DD"/>
    <w:rsid w:val="54E37156"/>
    <w:rsid w:val="54E53492"/>
    <w:rsid w:val="5509634F"/>
    <w:rsid w:val="5511EDB2"/>
    <w:rsid w:val="551984FF"/>
    <w:rsid w:val="551B7123"/>
    <w:rsid w:val="55211CCB"/>
    <w:rsid w:val="5536B6FF"/>
    <w:rsid w:val="55466136"/>
    <w:rsid w:val="554CE5C7"/>
    <w:rsid w:val="55851985"/>
    <w:rsid w:val="55B3B97B"/>
    <w:rsid w:val="55D1F926"/>
    <w:rsid w:val="55D95E44"/>
    <w:rsid w:val="55E64411"/>
    <w:rsid w:val="55ED73ED"/>
    <w:rsid w:val="560245F3"/>
    <w:rsid w:val="5603E352"/>
    <w:rsid w:val="56246203"/>
    <w:rsid w:val="56323055"/>
    <w:rsid w:val="565B02DC"/>
    <w:rsid w:val="56C0F35F"/>
    <w:rsid w:val="56D0826D"/>
    <w:rsid w:val="56ED6BA9"/>
    <w:rsid w:val="56EEF02F"/>
    <w:rsid w:val="5710320C"/>
    <w:rsid w:val="57225B70"/>
    <w:rsid w:val="5736EA40"/>
    <w:rsid w:val="575E0F03"/>
    <w:rsid w:val="5768F81B"/>
    <w:rsid w:val="577BB9D6"/>
    <w:rsid w:val="579FB563"/>
    <w:rsid w:val="57AA6365"/>
    <w:rsid w:val="57B2CE69"/>
    <w:rsid w:val="582F42D1"/>
    <w:rsid w:val="5830F343"/>
    <w:rsid w:val="5847FB52"/>
    <w:rsid w:val="58545293"/>
    <w:rsid w:val="58681C52"/>
    <w:rsid w:val="58730B5B"/>
    <w:rsid w:val="58848838"/>
    <w:rsid w:val="58A20B12"/>
    <w:rsid w:val="58AD2B21"/>
    <w:rsid w:val="58AFE2B1"/>
    <w:rsid w:val="58B4D696"/>
    <w:rsid w:val="592DD458"/>
    <w:rsid w:val="593C191C"/>
    <w:rsid w:val="594A9E0D"/>
    <w:rsid w:val="594EDB21"/>
    <w:rsid w:val="5974E8EF"/>
    <w:rsid w:val="59818D1D"/>
    <w:rsid w:val="59865EA0"/>
    <w:rsid w:val="59A1AAC1"/>
    <w:rsid w:val="59AE6312"/>
    <w:rsid w:val="59D0235E"/>
    <w:rsid w:val="59D6DC6A"/>
    <w:rsid w:val="59EB92FB"/>
    <w:rsid w:val="59F17DB7"/>
    <w:rsid w:val="59F7ACED"/>
    <w:rsid w:val="59FF335E"/>
    <w:rsid w:val="5A1403C6"/>
    <w:rsid w:val="5A420337"/>
    <w:rsid w:val="5A5A1879"/>
    <w:rsid w:val="5A5A4871"/>
    <w:rsid w:val="5A5AFE37"/>
    <w:rsid w:val="5A5ED2B1"/>
    <w:rsid w:val="5A5F5B11"/>
    <w:rsid w:val="5A6EB43E"/>
    <w:rsid w:val="5A77D9C2"/>
    <w:rsid w:val="5A7EA818"/>
    <w:rsid w:val="5A928D55"/>
    <w:rsid w:val="5AC77D77"/>
    <w:rsid w:val="5AC970AB"/>
    <w:rsid w:val="5AF09E18"/>
    <w:rsid w:val="5B393D04"/>
    <w:rsid w:val="5B704B1B"/>
    <w:rsid w:val="5B7BF8A8"/>
    <w:rsid w:val="5B9CC2BE"/>
    <w:rsid w:val="5BA26CDB"/>
    <w:rsid w:val="5BA397E4"/>
    <w:rsid w:val="5BB28B04"/>
    <w:rsid w:val="5BB6EBB9"/>
    <w:rsid w:val="5BB8B542"/>
    <w:rsid w:val="5BBD12AF"/>
    <w:rsid w:val="5BD720D8"/>
    <w:rsid w:val="5BDD373C"/>
    <w:rsid w:val="5BED84F2"/>
    <w:rsid w:val="5BF622BA"/>
    <w:rsid w:val="5C166399"/>
    <w:rsid w:val="5C2294DB"/>
    <w:rsid w:val="5C2C573F"/>
    <w:rsid w:val="5C3311A3"/>
    <w:rsid w:val="5C3E8012"/>
    <w:rsid w:val="5C42203A"/>
    <w:rsid w:val="5C55E797"/>
    <w:rsid w:val="5C5D94CC"/>
    <w:rsid w:val="5C714093"/>
    <w:rsid w:val="5C7983AF"/>
    <w:rsid w:val="5C95741F"/>
    <w:rsid w:val="5C9C620C"/>
    <w:rsid w:val="5CB5B3B9"/>
    <w:rsid w:val="5CE22035"/>
    <w:rsid w:val="5CE32991"/>
    <w:rsid w:val="5D8A9E9E"/>
    <w:rsid w:val="5DBE67B2"/>
    <w:rsid w:val="5DD23525"/>
    <w:rsid w:val="5DD89EF9"/>
    <w:rsid w:val="5DDD93E7"/>
    <w:rsid w:val="5DFDF729"/>
    <w:rsid w:val="5DFFBF77"/>
    <w:rsid w:val="5E08FCAB"/>
    <w:rsid w:val="5E3E5B54"/>
    <w:rsid w:val="5E4469E3"/>
    <w:rsid w:val="5E8B7FD6"/>
    <w:rsid w:val="5EA2FEC1"/>
    <w:rsid w:val="5EAFB8F8"/>
    <w:rsid w:val="5EB26C4F"/>
    <w:rsid w:val="5EF07A8C"/>
    <w:rsid w:val="5F0066A6"/>
    <w:rsid w:val="5F09946F"/>
    <w:rsid w:val="5F0AC74C"/>
    <w:rsid w:val="5F2BD345"/>
    <w:rsid w:val="5F54D2D3"/>
    <w:rsid w:val="5F571A68"/>
    <w:rsid w:val="5F5EF4BB"/>
    <w:rsid w:val="5F6DF6AE"/>
    <w:rsid w:val="5F9C330D"/>
    <w:rsid w:val="5FA4A1AB"/>
    <w:rsid w:val="5FACCCFC"/>
    <w:rsid w:val="5FC36351"/>
    <w:rsid w:val="5FC78EE9"/>
    <w:rsid w:val="5FD40C1B"/>
    <w:rsid w:val="601412EE"/>
    <w:rsid w:val="604611FE"/>
    <w:rsid w:val="60663C3C"/>
    <w:rsid w:val="606B1181"/>
    <w:rsid w:val="607878F3"/>
    <w:rsid w:val="607D91CC"/>
    <w:rsid w:val="608CDA68"/>
    <w:rsid w:val="60A0984D"/>
    <w:rsid w:val="60AC8AC2"/>
    <w:rsid w:val="60B3AD28"/>
    <w:rsid w:val="60B54CB8"/>
    <w:rsid w:val="60B6890D"/>
    <w:rsid w:val="60C491B0"/>
    <w:rsid w:val="617E6321"/>
    <w:rsid w:val="618325C2"/>
    <w:rsid w:val="61DC5AA4"/>
    <w:rsid w:val="61EDBEF5"/>
    <w:rsid w:val="61F6E6A3"/>
    <w:rsid w:val="6207E543"/>
    <w:rsid w:val="622E52B0"/>
    <w:rsid w:val="624B5656"/>
    <w:rsid w:val="62747416"/>
    <w:rsid w:val="62926D97"/>
    <w:rsid w:val="62A6B4A6"/>
    <w:rsid w:val="62C44101"/>
    <w:rsid w:val="62D283A4"/>
    <w:rsid w:val="62E87C20"/>
    <w:rsid w:val="6316C65D"/>
    <w:rsid w:val="632D96C1"/>
    <w:rsid w:val="63313B37"/>
    <w:rsid w:val="639F74D4"/>
    <w:rsid w:val="639FE3D0"/>
    <w:rsid w:val="63C8A8DA"/>
    <w:rsid w:val="63CCCC13"/>
    <w:rsid w:val="63D419DA"/>
    <w:rsid w:val="64211D27"/>
    <w:rsid w:val="643F3E92"/>
    <w:rsid w:val="64514EA7"/>
    <w:rsid w:val="647E7F00"/>
    <w:rsid w:val="6482C185"/>
    <w:rsid w:val="64AD686A"/>
    <w:rsid w:val="64B64E82"/>
    <w:rsid w:val="64BFB0EF"/>
    <w:rsid w:val="64CD0D2E"/>
    <w:rsid w:val="64E05D1A"/>
    <w:rsid w:val="64F8F800"/>
    <w:rsid w:val="652B7887"/>
    <w:rsid w:val="654CE109"/>
    <w:rsid w:val="6566DE41"/>
    <w:rsid w:val="656F944D"/>
    <w:rsid w:val="658C6E75"/>
    <w:rsid w:val="659141C8"/>
    <w:rsid w:val="65BC1704"/>
    <w:rsid w:val="65BD25FC"/>
    <w:rsid w:val="65CF6895"/>
    <w:rsid w:val="661C69F2"/>
    <w:rsid w:val="662F85DD"/>
    <w:rsid w:val="665129F8"/>
    <w:rsid w:val="6671F729"/>
    <w:rsid w:val="6677B420"/>
    <w:rsid w:val="66BF57E2"/>
    <w:rsid w:val="66CCDDEF"/>
    <w:rsid w:val="66E01842"/>
    <w:rsid w:val="670F850D"/>
    <w:rsid w:val="67217185"/>
    <w:rsid w:val="67446016"/>
    <w:rsid w:val="677BA90E"/>
    <w:rsid w:val="679BD53C"/>
    <w:rsid w:val="67BA8334"/>
    <w:rsid w:val="67CDDD40"/>
    <w:rsid w:val="67DBEA7D"/>
    <w:rsid w:val="67E085AB"/>
    <w:rsid w:val="67EA54BA"/>
    <w:rsid w:val="68507C02"/>
    <w:rsid w:val="687DAF7C"/>
    <w:rsid w:val="689788D2"/>
    <w:rsid w:val="689A350B"/>
    <w:rsid w:val="689C220A"/>
    <w:rsid w:val="68A7E971"/>
    <w:rsid w:val="68B94C2F"/>
    <w:rsid w:val="68C543C3"/>
    <w:rsid w:val="68D90E2F"/>
    <w:rsid w:val="68F823AE"/>
    <w:rsid w:val="690A74AB"/>
    <w:rsid w:val="6925C2A5"/>
    <w:rsid w:val="6941D06E"/>
    <w:rsid w:val="69552AF0"/>
    <w:rsid w:val="6956C7EE"/>
    <w:rsid w:val="6961C5B1"/>
    <w:rsid w:val="69A0B32E"/>
    <w:rsid w:val="69B81777"/>
    <w:rsid w:val="69BBAEBF"/>
    <w:rsid w:val="69BCF007"/>
    <w:rsid w:val="69C14A13"/>
    <w:rsid w:val="69CBE5BB"/>
    <w:rsid w:val="69E42DBE"/>
    <w:rsid w:val="69E97986"/>
    <w:rsid w:val="69EE5EBE"/>
    <w:rsid w:val="6A15A0F9"/>
    <w:rsid w:val="6A2D45F2"/>
    <w:rsid w:val="6A543D23"/>
    <w:rsid w:val="6A77AAA8"/>
    <w:rsid w:val="6A7E4814"/>
    <w:rsid w:val="6A864F61"/>
    <w:rsid w:val="6A9418F5"/>
    <w:rsid w:val="6AB47516"/>
    <w:rsid w:val="6AC07B70"/>
    <w:rsid w:val="6ACC2816"/>
    <w:rsid w:val="6AD041E1"/>
    <w:rsid w:val="6AF6731C"/>
    <w:rsid w:val="6AF7B8D0"/>
    <w:rsid w:val="6AF87D59"/>
    <w:rsid w:val="6B11FEC9"/>
    <w:rsid w:val="6B8F1CD9"/>
    <w:rsid w:val="6B97EB3A"/>
    <w:rsid w:val="6BE3363F"/>
    <w:rsid w:val="6BF24FCE"/>
    <w:rsid w:val="6BFB4FC5"/>
    <w:rsid w:val="6C34584F"/>
    <w:rsid w:val="6C51D5AF"/>
    <w:rsid w:val="6C7F55DD"/>
    <w:rsid w:val="6CAB2A73"/>
    <w:rsid w:val="6CAD0246"/>
    <w:rsid w:val="6CC7BD1F"/>
    <w:rsid w:val="6CDC17A1"/>
    <w:rsid w:val="6CE11B53"/>
    <w:rsid w:val="6D5108E1"/>
    <w:rsid w:val="6D51ADAC"/>
    <w:rsid w:val="6D52A3D4"/>
    <w:rsid w:val="6D64E20B"/>
    <w:rsid w:val="6D709CF7"/>
    <w:rsid w:val="6D72F561"/>
    <w:rsid w:val="6DA366E4"/>
    <w:rsid w:val="6DD0475C"/>
    <w:rsid w:val="6DFF7044"/>
    <w:rsid w:val="6E05CAC8"/>
    <w:rsid w:val="6E1665BA"/>
    <w:rsid w:val="6E44999E"/>
    <w:rsid w:val="6E47EBD2"/>
    <w:rsid w:val="6E57B277"/>
    <w:rsid w:val="6E926AC4"/>
    <w:rsid w:val="6E9FE475"/>
    <w:rsid w:val="6EA0A71B"/>
    <w:rsid w:val="6ED568EA"/>
    <w:rsid w:val="6ED638CE"/>
    <w:rsid w:val="6EDB6D16"/>
    <w:rsid w:val="6EE22078"/>
    <w:rsid w:val="6EE56AA6"/>
    <w:rsid w:val="6EEAE645"/>
    <w:rsid w:val="6EF6F5F9"/>
    <w:rsid w:val="6F0C7382"/>
    <w:rsid w:val="6F17F142"/>
    <w:rsid w:val="6F24A623"/>
    <w:rsid w:val="6F52A29D"/>
    <w:rsid w:val="6F73D58C"/>
    <w:rsid w:val="6F77601D"/>
    <w:rsid w:val="6F8A741B"/>
    <w:rsid w:val="6F9431CD"/>
    <w:rsid w:val="6FB5E91F"/>
    <w:rsid w:val="6FBA8C9F"/>
    <w:rsid w:val="6FC7FBC1"/>
    <w:rsid w:val="6FF6AD19"/>
    <w:rsid w:val="70037A16"/>
    <w:rsid w:val="700F773A"/>
    <w:rsid w:val="701685D2"/>
    <w:rsid w:val="702056B2"/>
    <w:rsid w:val="704847EC"/>
    <w:rsid w:val="705783BC"/>
    <w:rsid w:val="705CD8A8"/>
    <w:rsid w:val="70640161"/>
    <w:rsid w:val="7071E7A6"/>
    <w:rsid w:val="707278B8"/>
    <w:rsid w:val="7081B7D1"/>
    <w:rsid w:val="70AA1747"/>
    <w:rsid w:val="70AA7F76"/>
    <w:rsid w:val="70AD651E"/>
    <w:rsid w:val="70F1D1E3"/>
    <w:rsid w:val="7119B56D"/>
    <w:rsid w:val="7122220A"/>
    <w:rsid w:val="713BAE05"/>
    <w:rsid w:val="715673E0"/>
    <w:rsid w:val="71603711"/>
    <w:rsid w:val="716D0D23"/>
    <w:rsid w:val="71A2AAEE"/>
    <w:rsid w:val="71A8CAC7"/>
    <w:rsid w:val="71C1CECF"/>
    <w:rsid w:val="71ECAE38"/>
    <w:rsid w:val="7204B23D"/>
    <w:rsid w:val="7235F94F"/>
    <w:rsid w:val="724502EB"/>
    <w:rsid w:val="7264BA8E"/>
    <w:rsid w:val="72708BC2"/>
    <w:rsid w:val="727D6BB3"/>
    <w:rsid w:val="72A68D91"/>
    <w:rsid w:val="72AC6890"/>
    <w:rsid w:val="72C67370"/>
    <w:rsid w:val="72D7700F"/>
    <w:rsid w:val="72E9197C"/>
    <w:rsid w:val="72FD4C13"/>
    <w:rsid w:val="7305B601"/>
    <w:rsid w:val="7326E5D3"/>
    <w:rsid w:val="733685D1"/>
    <w:rsid w:val="733BB7CE"/>
    <w:rsid w:val="733DD7E9"/>
    <w:rsid w:val="73518B1C"/>
    <w:rsid w:val="736684D8"/>
    <w:rsid w:val="73687DD6"/>
    <w:rsid w:val="736F1894"/>
    <w:rsid w:val="73841B18"/>
    <w:rsid w:val="73AE968D"/>
    <w:rsid w:val="73B1A10B"/>
    <w:rsid w:val="73CE7BE9"/>
    <w:rsid w:val="73D598CB"/>
    <w:rsid w:val="73E7525D"/>
    <w:rsid w:val="73E93AA1"/>
    <w:rsid w:val="7406CE9D"/>
    <w:rsid w:val="74594726"/>
    <w:rsid w:val="7470B75F"/>
    <w:rsid w:val="747FA745"/>
    <w:rsid w:val="748FD95B"/>
    <w:rsid w:val="749704ED"/>
    <w:rsid w:val="74CB95F3"/>
    <w:rsid w:val="75061FD0"/>
    <w:rsid w:val="75182790"/>
    <w:rsid w:val="75539DF8"/>
    <w:rsid w:val="75761E70"/>
    <w:rsid w:val="757B3770"/>
    <w:rsid w:val="75888085"/>
    <w:rsid w:val="759DCFD6"/>
    <w:rsid w:val="75DB9877"/>
    <w:rsid w:val="76098AFC"/>
    <w:rsid w:val="7609BC98"/>
    <w:rsid w:val="76296051"/>
    <w:rsid w:val="764F379A"/>
    <w:rsid w:val="76672259"/>
    <w:rsid w:val="76756FBD"/>
    <w:rsid w:val="767D1BCC"/>
    <w:rsid w:val="768ED5BB"/>
    <w:rsid w:val="7697872F"/>
    <w:rsid w:val="76ACABE6"/>
    <w:rsid w:val="76C95509"/>
    <w:rsid w:val="76FEBF71"/>
    <w:rsid w:val="771E76F9"/>
    <w:rsid w:val="772FA54E"/>
    <w:rsid w:val="775EA3F1"/>
    <w:rsid w:val="779554AE"/>
    <w:rsid w:val="77A2B178"/>
    <w:rsid w:val="77A56390"/>
    <w:rsid w:val="77A99EE9"/>
    <w:rsid w:val="77B26662"/>
    <w:rsid w:val="77B73F07"/>
    <w:rsid w:val="77C4714A"/>
    <w:rsid w:val="77CA6A28"/>
    <w:rsid w:val="7827DED7"/>
    <w:rsid w:val="7829083F"/>
    <w:rsid w:val="7843E0B2"/>
    <w:rsid w:val="7886AB74"/>
    <w:rsid w:val="78E56D32"/>
    <w:rsid w:val="78F6A2A7"/>
    <w:rsid w:val="7908333C"/>
    <w:rsid w:val="7908E743"/>
    <w:rsid w:val="79231576"/>
    <w:rsid w:val="79409A53"/>
    <w:rsid w:val="795F437D"/>
    <w:rsid w:val="797AE99E"/>
    <w:rsid w:val="79884EF1"/>
    <w:rsid w:val="79BC7616"/>
    <w:rsid w:val="79BE2929"/>
    <w:rsid w:val="79C20701"/>
    <w:rsid w:val="79F4C477"/>
    <w:rsid w:val="7A086977"/>
    <w:rsid w:val="7A4154F1"/>
    <w:rsid w:val="7A521923"/>
    <w:rsid w:val="7A5F7377"/>
    <w:rsid w:val="7A684142"/>
    <w:rsid w:val="7A96B7A7"/>
    <w:rsid w:val="7ABDCDD3"/>
    <w:rsid w:val="7ACA39E5"/>
    <w:rsid w:val="7AF35F75"/>
    <w:rsid w:val="7AF6F819"/>
    <w:rsid w:val="7AF884E0"/>
    <w:rsid w:val="7B13DE42"/>
    <w:rsid w:val="7B254398"/>
    <w:rsid w:val="7B3E57C4"/>
    <w:rsid w:val="7B4F1833"/>
    <w:rsid w:val="7B95A151"/>
    <w:rsid w:val="7B9F21A4"/>
    <w:rsid w:val="7BED7836"/>
    <w:rsid w:val="7C268BFD"/>
    <w:rsid w:val="7C4D1F56"/>
    <w:rsid w:val="7C6CEBC1"/>
    <w:rsid w:val="7C73FA19"/>
    <w:rsid w:val="7C79CA37"/>
    <w:rsid w:val="7C7D91F0"/>
    <w:rsid w:val="7C8C716F"/>
    <w:rsid w:val="7CAD79F7"/>
    <w:rsid w:val="7CBEE75B"/>
    <w:rsid w:val="7CC1DA4D"/>
    <w:rsid w:val="7CD671A4"/>
    <w:rsid w:val="7CD88BB8"/>
    <w:rsid w:val="7CE00CE7"/>
    <w:rsid w:val="7D117B0C"/>
    <w:rsid w:val="7D28C4BB"/>
    <w:rsid w:val="7D3071B6"/>
    <w:rsid w:val="7D636CDE"/>
    <w:rsid w:val="7DA38BDF"/>
    <w:rsid w:val="7DB3A863"/>
    <w:rsid w:val="7DCD5029"/>
    <w:rsid w:val="7DD91C0B"/>
    <w:rsid w:val="7DDDDFD7"/>
    <w:rsid w:val="7DE1531A"/>
    <w:rsid w:val="7DF796E0"/>
    <w:rsid w:val="7DF858F5"/>
    <w:rsid w:val="7DFA6568"/>
    <w:rsid w:val="7E0643A0"/>
    <w:rsid w:val="7E19A169"/>
    <w:rsid w:val="7E413B2F"/>
    <w:rsid w:val="7E5908FA"/>
    <w:rsid w:val="7E76502F"/>
    <w:rsid w:val="7EB608DB"/>
    <w:rsid w:val="7EEE2783"/>
    <w:rsid w:val="7EF4BAA6"/>
    <w:rsid w:val="7F113C8B"/>
    <w:rsid w:val="7F1951EB"/>
    <w:rsid w:val="7F3E46A1"/>
    <w:rsid w:val="7F4744BB"/>
    <w:rsid w:val="7F4770F3"/>
    <w:rsid w:val="7F7C417B"/>
    <w:rsid w:val="7FA64B03"/>
    <w:rsid w:val="7FCAD8BE"/>
    <w:rsid w:val="7FD19083"/>
    <w:rsid w:val="7FD41819"/>
    <w:rsid w:val="7FE6355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5BE28544-DB60-4145-AD59-3636C1440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uiPriority w:val="39"/>
    <w:unhideWhenUsed/>
    <w:rsid w:val="0E260372"/>
    <w:pPr>
      <w:spacing w:after="100"/>
    </w:pPr>
  </w:style>
  <w:style w:type="paragraph" w:styleId="TOC2">
    <w:name w:val="toc 2"/>
    <w:basedOn w:val="Normal"/>
    <w:next w:val="Normal"/>
    <w:uiPriority w:val="39"/>
    <w:unhideWhenUsed/>
    <w:rsid w:val="0E260372"/>
    <w:pPr>
      <w:spacing w:after="100"/>
      <w:ind w:left="220"/>
    </w:pPr>
  </w:style>
  <w:style w:type="paragraph" w:styleId="TOC3">
    <w:name w:val="toc 3"/>
    <w:basedOn w:val="Normal"/>
    <w:next w:val="Normal"/>
    <w:uiPriority w:val="39"/>
    <w:unhideWhenUsed/>
    <w:rsid w:val="0E260372"/>
    <w:pPr>
      <w:spacing w:after="100"/>
      <w:ind w:left="440"/>
    </w:pPr>
  </w:style>
  <w:style w:type="paragraph" w:styleId="TOCHeading">
    <w:name w:val="TOC Heading"/>
    <w:basedOn w:val="Heading1"/>
    <w:next w:val="Normal"/>
    <w:uiPriority w:val="39"/>
    <w:unhideWhenUsed/>
    <w:qFormat/>
    <w:rsid w:val="008E24DE"/>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table" w:styleId="GridTable1Light">
    <w:name w:val="Grid Table 1 Light"/>
    <w:basedOn w:val="TableNormal"/>
    <w:uiPriority w:val="46"/>
    <w:rsid w:val="0028315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A662B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D6BC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542/peds.2022-057992" TargetMode="External"/><Relationship Id="rId21" Type="http://schemas.openxmlformats.org/officeDocument/2006/relationships/hyperlink" Target="https://doi.org/10.1111/jcpp.12145" TargetMode="External"/><Relationship Id="rId42" Type="http://schemas.openxmlformats.org/officeDocument/2006/relationships/hyperlink" Target="https://doi.org/10.1111/inm.13378" TargetMode="External"/><Relationship Id="rId47" Type="http://schemas.openxmlformats.org/officeDocument/2006/relationships/hyperlink" Target="https://doi.org/10.1016/j.drugpo.2011.06.003" TargetMode="External"/><Relationship Id="rId63" Type="http://schemas.openxmlformats.org/officeDocument/2006/relationships/hyperlink" Target="https://doi.org/10.1186/s13643-016-0240-6" TargetMode="External"/><Relationship Id="rId68" Type="http://schemas.openxmlformats.org/officeDocument/2006/relationships/hyperlink" Target="https://doi.org/10.1080/09687630110118478" TargetMode="External"/><Relationship Id="rId16" Type="http://schemas.openxmlformats.org/officeDocument/2006/relationships/hyperlink" Target="https://doi.org/10.1186/s12874-019-0674-3" TargetMode="External"/><Relationship Id="rId11" Type="http://schemas.openxmlformats.org/officeDocument/2006/relationships/image" Target="media/image1.png"/><Relationship Id="rId24" Type="http://schemas.openxmlformats.org/officeDocument/2006/relationships/hyperlink" Target="https://doi.org/10.1016/j.cptl.2018.03.019" TargetMode="External"/><Relationship Id="rId32" Type="http://schemas.openxmlformats.org/officeDocument/2006/relationships/hyperlink" Target="https://doi.org/10.1108/DAT-11-2018-0068" TargetMode="External"/><Relationship Id="rId37" Type="http://schemas.openxmlformats.org/officeDocument/2006/relationships/hyperlink" Target="https://doi.org/10.1016/j.acap.2021.05.026" TargetMode="External"/><Relationship Id="rId40" Type="http://schemas.openxmlformats.org/officeDocument/2006/relationships/hyperlink" Target="https://eric.ed.gov/?id=ED594190" TargetMode="External"/><Relationship Id="rId45" Type="http://schemas.openxmlformats.org/officeDocument/2006/relationships/hyperlink" Target="https://doi.org/10.1007/s10648-023-09827-0" TargetMode="External"/><Relationship Id="rId53" Type="http://schemas.openxmlformats.org/officeDocument/2006/relationships/hyperlink" Target="https://doi.org/10.1016/j.socscimed.2025.118199" TargetMode="External"/><Relationship Id="rId58" Type="http://schemas.openxmlformats.org/officeDocument/2006/relationships/hyperlink" Target="https://doi.org/10.1186/1471-2458-14-49" TargetMode="External"/><Relationship Id="rId66" Type="http://schemas.openxmlformats.org/officeDocument/2006/relationships/hyperlink" Target="https://doi.org/10.1080/00332747.2020.1800291" TargetMode="External"/><Relationship Id="rId74" Type="http://schemas.openxmlformats.org/officeDocument/2006/relationships/hyperlink" Target="https://doi.org/10.3310/hta21150" TargetMode="External"/><Relationship Id="rId5" Type="http://schemas.openxmlformats.org/officeDocument/2006/relationships/numbering" Target="numbering.xml"/><Relationship Id="rId61" Type="http://schemas.openxmlformats.org/officeDocument/2006/relationships/hyperlink" Target="https://doi.org/10.1007/s11606-021-06934-y" TargetMode="External"/><Relationship Id="rId19" Type="http://schemas.openxmlformats.org/officeDocument/2006/relationships/hyperlink" Target="https://doi.org/10.1111/add.16003" TargetMode="External"/><Relationship Id="rId14" Type="http://schemas.openxmlformats.org/officeDocument/2006/relationships/hyperlink" Target="https://doi.org/10.1093/jamia/ocaa148" TargetMode="External"/><Relationship Id="rId22" Type="http://schemas.openxmlformats.org/officeDocument/2006/relationships/hyperlink" Target="https://doi.org/10.1016/S0140-6736(16)00619-X" TargetMode="External"/><Relationship Id="rId27" Type="http://schemas.openxmlformats.org/officeDocument/2006/relationships/hyperlink" Target="https://www.gov.uk/government/publications/working-together-to-safeguard-children--2" TargetMode="External"/><Relationship Id="rId30" Type="http://schemas.openxmlformats.org/officeDocument/2006/relationships/hyperlink" Target="https://doi.org/10.1016/j.jclinepi.2017.10.022" TargetMode="External"/><Relationship Id="rId35" Type="http://schemas.openxmlformats.org/officeDocument/2006/relationships/hyperlink" Target="https://doi.org/10.1080/13603116.2019.1607913" TargetMode="External"/><Relationship Id="rId43" Type="http://schemas.openxmlformats.org/officeDocument/2006/relationships/hyperlink" Target="https://doi.org/10.1007/s11920-022-01338-z" TargetMode="External"/><Relationship Id="rId48" Type="http://schemas.openxmlformats.org/officeDocument/2006/relationships/hyperlink" Target="https://doi.org/10.1177/1473325018786996" TargetMode="External"/><Relationship Id="rId56" Type="http://schemas.openxmlformats.org/officeDocument/2006/relationships/hyperlink" Target="https://doi.org/10.1332/204986021X16109919707738" TargetMode="External"/><Relationship Id="rId64" Type="http://schemas.openxmlformats.org/officeDocument/2006/relationships/hyperlink" Target="https://doi.org/10.1002/wps.21073" TargetMode="External"/><Relationship Id="rId69" Type="http://schemas.openxmlformats.org/officeDocument/2006/relationships/hyperlink" Target="https://doi.org/10.1016/j.chiabu.2018.09.020"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doi.org/10.1007/s11625-016-0387-z" TargetMode="External"/><Relationship Id="rId72" Type="http://schemas.openxmlformats.org/officeDocument/2006/relationships/hyperlink" Target="https://doi.org/10.1186/s12874-019-0674-3"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doi.org/10.7759/cureus.32316" TargetMode="External"/><Relationship Id="rId25" Type="http://schemas.openxmlformats.org/officeDocument/2006/relationships/hyperlink" Target="https://doi.org/10.1093/pnasnexus/pgae191" TargetMode="External"/><Relationship Id="rId33" Type="http://schemas.openxmlformats.org/officeDocument/2006/relationships/hyperlink" Target="https://www.gov.uk/government/publications/from-harm-to-hope-a-10-year-drugs-plan-to-cut-crime-and-save-lives" TargetMode="External"/><Relationship Id="rId38" Type="http://schemas.openxmlformats.org/officeDocument/2006/relationships/hyperlink" Target="https://doi.org/10.1093/pubmed/fdac114" TargetMode="External"/><Relationship Id="rId46" Type="http://schemas.openxmlformats.org/officeDocument/2006/relationships/hyperlink" Target="https://www.legislation.gov.uk/uksi/2001/713/made/data.html" TargetMode="External"/><Relationship Id="rId59" Type="http://schemas.openxmlformats.org/officeDocument/2006/relationships/hyperlink" Target="https://doi.org/10.1136/bmjopen-2021-049647" TargetMode="External"/><Relationship Id="rId67" Type="http://schemas.openxmlformats.org/officeDocument/2006/relationships/hyperlink" Target="https://doi.org/10.1007/s12144-023-04944-z" TargetMode="External"/><Relationship Id="rId20" Type="http://schemas.openxmlformats.org/officeDocument/2006/relationships/hyperlink" Target="https://doi.org/10.56687/9781447358299" TargetMode="External"/><Relationship Id="rId41" Type="http://schemas.openxmlformats.org/officeDocument/2006/relationships/hyperlink" Target="https://doi.org/10.4103/0019-5545.204444" TargetMode="External"/><Relationship Id="rId54" Type="http://schemas.openxmlformats.org/officeDocument/2006/relationships/hyperlink" Target="https://doi.org/10.1080/10911359.2013.800007" TargetMode="External"/><Relationship Id="rId62" Type="http://schemas.openxmlformats.org/officeDocument/2006/relationships/hyperlink" Target="https://doi.org/10.1111/1467-9566.13240" TargetMode="External"/><Relationship Id="rId70" Type="http://schemas.openxmlformats.org/officeDocument/2006/relationships/hyperlink" Target="https://doi.org/10.1186/1471-2458-14-49" TargetMode="External"/><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3389/fpsyg.2016.01380" TargetMode="External"/><Relationship Id="rId23" Type="http://schemas.openxmlformats.org/officeDocument/2006/relationships/hyperlink" Target="https://doi.org/10.1186/s13643-017-0625-1" TargetMode="External"/><Relationship Id="rId28" Type="http://schemas.openxmlformats.org/officeDocument/2006/relationships/hyperlink" Target="https://doi.org/10.1002/14651858.CD009113" TargetMode="External"/><Relationship Id="rId36" Type="http://schemas.openxmlformats.org/officeDocument/2006/relationships/hyperlink" Target="https://doi.org/10.3310/phr08130" TargetMode="External"/><Relationship Id="rId49" Type="http://schemas.openxmlformats.org/officeDocument/2006/relationships/hyperlink" Target="https://doi.org/10.7759/cureus.31193" TargetMode="External"/><Relationship Id="rId57" Type="http://schemas.openxmlformats.org/officeDocument/2006/relationships/hyperlink" Target="https://doi.org/10.1016/j.drugpo.2022.103841" TargetMode="External"/><Relationship Id="rId10" Type="http://schemas.openxmlformats.org/officeDocument/2006/relationships/endnotes" Target="endnotes.xml"/><Relationship Id="rId31" Type="http://schemas.openxmlformats.org/officeDocument/2006/relationships/hyperlink" Target="https://doi.org/10.1111/add.13957" TargetMode="External"/><Relationship Id="rId44" Type="http://schemas.openxmlformats.org/officeDocument/2006/relationships/hyperlink" Target="https://doi.org/10.1007/s10805-021-09422-4" TargetMode="External"/><Relationship Id="rId52" Type="http://schemas.openxmlformats.org/officeDocument/2006/relationships/hyperlink" Target="https://www.gov.uk/government/statistics/substance-misuse-treatment-for-young-people-2023-to-2024/children-and-young-peoples-substance-misuse-treatment-statistics-2023-to-2024-report" TargetMode="External"/><Relationship Id="rId60" Type="http://schemas.openxmlformats.org/officeDocument/2006/relationships/hyperlink" Target="https://doi.org/10.1037/stl0000076" TargetMode="External"/><Relationship Id="rId65" Type="http://schemas.openxmlformats.org/officeDocument/2006/relationships/hyperlink" Target="https://doi.org/10.1016/j.disamonth.2018.12.002" TargetMode="External"/><Relationship Id="rId73" Type="http://schemas.openxmlformats.org/officeDocument/2006/relationships/hyperlink" Target="https://doi.org/10.1016/j.drugpo.2022.103841" TargetMode="External"/><Relationship Id="rId78"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doi.org/10.1007/s00431-021-04220-x" TargetMode="External"/><Relationship Id="rId39" Type="http://schemas.openxmlformats.org/officeDocument/2006/relationships/hyperlink" Target="https://doi.org/10.3310/hta21150" TargetMode="External"/><Relationship Id="rId34" Type="http://schemas.openxmlformats.org/officeDocument/2006/relationships/hyperlink" Target="https://www.gov.uk/government/publications/from-harm-to-hope-a-10-year-drugs-plan-to-cut-crime-and-save-lives" TargetMode="External"/><Relationship Id="rId50" Type="http://schemas.openxmlformats.org/officeDocument/2006/relationships/hyperlink" Target="https://www.hee.nhs.uk/" TargetMode="External"/><Relationship Id="rId55" Type="http://schemas.openxmlformats.org/officeDocument/2006/relationships/hyperlink" Target="https://www.gov.uk/government/publications/improving-young-peoples-health-and-wellbeing-a-framework-for-public-health"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doi.org/10.1093/pubmed/fdac114" TargetMode="External"/><Relationship Id="rId2" Type="http://schemas.openxmlformats.org/officeDocument/2006/relationships/customXml" Target="../customXml/item2.xml"/><Relationship Id="rId29" Type="http://schemas.openxmlformats.org/officeDocument/2006/relationships/hyperlink" Target="https://doi.org/10.1177/14773708187752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152e11bedca90b70e043f4249d99b31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79267b11a18d92162dfbc5f6442620a7"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D0DD75-58FF-4FF7-BFB3-29C344AD11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F02E35-76AC-4C85-8FE6-23108E4E5E3E}">
  <ds:schemaRefs>
    <ds:schemaRef ds:uri="http://schemas.microsoft.com/office/2006/documentManagement/types"/>
    <ds:schemaRef ds:uri="http://purl.org/dc/elements/1.1/"/>
    <ds:schemaRef ds:uri="http://purl.org/dc/terms/"/>
    <ds:schemaRef ds:uri="d8e79d84-78fb-44a9-92e9-d04bdd8f0359"/>
    <ds:schemaRef ds:uri="04c7059f-bde8-4ce9-bb0f-e52888740953"/>
    <ds:schemaRef ds:uri="http://schemas.microsoft.com/office/2006/metadata/properties"/>
    <ds:schemaRef ds:uri="http://schemas.microsoft.com/office/infopath/2007/PartnerControls"/>
    <ds:schemaRef ds:uri="http://purl.org/dc/dcmitype/"/>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customXml/itemProps4.xml><?xml version="1.0" encoding="utf-8"?>
<ds:datastoreItem xmlns:ds="http://schemas.openxmlformats.org/officeDocument/2006/customXml" ds:itemID="{CDEE50B5-5676-4197-BADB-AE3AD552EA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17852</Words>
  <Characters>101757</Characters>
  <Application>Microsoft Office Word</Application>
  <DocSecurity>0</DocSecurity>
  <Lines>847</Lines>
  <Paragraphs>238</Paragraphs>
  <ScaleCrop>false</ScaleCrop>
  <Company>University of Wales Trinity Saint David</Company>
  <LinksUpToDate>false</LinksUpToDate>
  <CharactersWithSpaces>119371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Shahana Islam (2209436)</cp:lastModifiedBy>
  <cp:revision>2</cp:revision>
  <dcterms:created xsi:type="dcterms:W3CDTF">2025-11-12T19:36:00Z</dcterms:created>
  <dcterms:modified xsi:type="dcterms:W3CDTF">2025-11-12T19:36:00Z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