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85388C" w:rsidRDefault="00000000" w14:paraId="1037C559" w14:textId="77777777">
      <w:pPr>
        <w:spacing w:after="0" w:line="480" w:lineRule="auto"/>
        <w:jc w:val="center"/>
        <w:rPr>
          <w:rFonts w:ascii="Times New Roman" w:hAnsi="Times New Roman" w:eastAsia="Times New Roman" w:cs="Times New Roman"/>
        </w:rPr>
      </w:pPr>
      <w:r>
        <w:rPr>
          <w:rFonts w:ascii="Times New Roman" w:hAnsi="Times New Roman" w:eastAsia="Times New Roman" w:cs="Times New Roman"/>
          <w:noProof/>
        </w:rPr>
        <w:drawing>
          <wp:inline distT="0" distB="0" distL="0" distR="0" wp14:anchorId="4D0E70F4" wp14:editId="3E1030F5">
            <wp:extent cx="3209925" cy="1428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09925" cy="1428750"/>
                    </a:xfrm>
                    <a:prstGeom prst="rect">
                      <a:avLst/>
                    </a:prstGeom>
                    <a:ln/>
                  </pic:spPr>
                </pic:pic>
              </a:graphicData>
            </a:graphic>
          </wp:inline>
        </w:drawing>
      </w:r>
    </w:p>
    <w:p w:rsidR="0085388C" w:rsidRDefault="0085388C" w14:paraId="469AA659" w14:textId="77777777">
      <w:pPr>
        <w:spacing w:after="0" w:line="480" w:lineRule="auto"/>
        <w:jc w:val="center"/>
        <w:rPr>
          <w:rFonts w:ascii="Times New Roman" w:hAnsi="Times New Roman" w:eastAsia="Times New Roman" w:cs="Times New Roman"/>
        </w:rPr>
      </w:pPr>
    </w:p>
    <w:p w:rsidR="0085388C" w:rsidRDefault="00000000" w14:paraId="35EC74F5" w14:textId="77777777">
      <w:pPr>
        <w:spacing w:after="0" w:line="480" w:lineRule="auto"/>
        <w:jc w:val="center"/>
        <w:rPr>
          <w:rFonts w:ascii="Times New Roman" w:hAnsi="Times New Roman" w:eastAsia="Times New Roman" w:cs="Times New Roman"/>
          <w:b/>
          <w:bCs/>
        </w:rPr>
      </w:pPr>
      <w:r>
        <w:rPr>
          <w:rFonts w:ascii="Times New Roman" w:hAnsi="Times New Roman" w:eastAsia="Times New Roman" w:cs="Times New Roman"/>
          <w:b/>
          <w:bCs/>
        </w:rPr>
        <w:t>Creativity, Value Creation, and Health &amp; Social Care Improvement</w:t>
      </w:r>
    </w:p>
    <w:p w:rsidR="0085388C" w:rsidRDefault="0085388C" w14:paraId="4B4F9F90" w14:textId="77777777">
      <w:pPr>
        <w:spacing w:after="0" w:line="480" w:lineRule="auto"/>
        <w:jc w:val="center"/>
        <w:rPr>
          <w:rFonts w:ascii="Times New Roman" w:hAnsi="Times New Roman" w:eastAsia="Times New Roman" w:cs="Times New Roman"/>
        </w:rPr>
      </w:pPr>
    </w:p>
    <w:p w:rsidR="0085388C" w:rsidRDefault="0085388C" w14:paraId="48A938DE" w14:textId="77777777">
      <w:pPr>
        <w:spacing w:after="0" w:line="480" w:lineRule="auto"/>
        <w:jc w:val="center"/>
        <w:rPr>
          <w:rFonts w:ascii="Times New Roman" w:hAnsi="Times New Roman" w:eastAsia="Times New Roman" w:cs="Times New Roman"/>
        </w:rPr>
      </w:pPr>
    </w:p>
    <w:p w:rsidR="0085388C" w:rsidRDefault="0085388C" w14:paraId="1EF78986" w14:textId="77777777">
      <w:pPr>
        <w:spacing w:after="0" w:line="480" w:lineRule="auto"/>
        <w:jc w:val="center"/>
        <w:rPr>
          <w:rFonts w:ascii="Times New Roman" w:hAnsi="Times New Roman" w:eastAsia="Times New Roman" w:cs="Times New Roman"/>
        </w:rPr>
      </w:pPr>
    </w:p>
    <w:p w:rsidR="0085388C" w:rsidRDefault="0085388C" w14:paraId="19638A3C" w14:textId="77777777">
      <w:pPr>
        <w:spacing w:after="0" w:line="480" w:lineRule="auto"/>
        <w:jc w:val="center"/>
        <w:rPr>
          <w:rFonts w:ascii="Times New Roman" w:hAnsi="Times New Roman" w:eastAsia="Times New Roman" w:cs="Times New Roman"/>
        </w:rPr>
      </w:pPr>
    </w:p>
    <w:p w:rsidR="0085388C" w:rsidRDefault="0085388C" w14:paraId="1ABAEE40" w14:textId="77777777">
      <w:pPr>
        <w:spacing w:after="0" w:line="480" w:lineRule="auto"/>
        <w:jc w:val="center"/>
        <w:rPr>
          <w:rFonts w:ascii="Times New Roman" w:hAnsi="Times New Roman" w:eastAsia="Times New Roman" w:cs="Times New Roman"/>
        </w:rPr>
      </w:pPr>
    </w:p>
    <w:p w:rsidR="0085388C" w:rsidP="73F09774" w:rsidRDefault="00000000" w14:paraId="1052C78C" w14:textId="77777777">
      <w:pPr>
        <w:spacing w:after="0" w:line="480" w:lineRule="auto"/>
        <w:jc w:val="center"/>
        <w:rPr>
          <w:rFonts w:ascii="Arial" w:hAnsi="Arial" w:eastAsia="Arial" w:cs="Arial"/>
          <w:sz w:val="22"/>
          <w:szCs w:val="22"/>
          <w:lang w:val="en-US"/>
        </w:rPr>
      </w:pPr>
      <w:r w:rsidRPr="73F09774" w:rsidR="00000000">
        <w:rPr>
          <w:rFonts w:ascii="Arial" w:hAnsi="Arial" w:eastAsia="Arial" w:cs="Arial"/>
          <w:sz w:val="22"/>
          <w:szCs w:val="22"/>
          <w:lang w:val="en-US"/>
        </w:rPr>
        <w:t xml:space="preserve">Name: </w:t>
      </w:r>
      <w:r w:rsidRPr="73F09774" w:rsidR="00000000">
        <w:rPr>
          <w:rFonts w:ascii="Arial" w:hAnsi="Arial" w:eastAsia="Arial" w:cs="Arial"/>
          <w:sz w:val="22"/>
          <w:szCs w:val="22"/>
          <w:lang w:val="en-US"/>
        </w:rPr>
        <w:t>Modinat</w:t>
      </w:r>
      <w:r w:rsidRPr="73F09774" w:rsidR="00000000">
        <w:rPr>
          <w:rFonts w:ascii="Arial" w:hAnsi="Arial" w:eastAsia="Arial" w:cs="Arial"/>
          <w:sz w:val="22"/>
          <w:szCs w:val="22"/>
          <w:lang w:val="en-US"/>
        </w:rPr>
        <w:t xml:space="preserve"> Bashorun</w:t>
      </w:r>
    </w:p>
    <w:p w:rsidR="0085388C" w:rsidRDefault="00000000" w14:paraId="52BE0579" w14:textId="77777777">
      <w:pPr>
        <w:spacing w:after="0" w:line="480" w:lineRule="auto"/>
        <w:jc w:val="center"/>
        <w:rPr>
          <w:rFonts w:ascii="Arial" w:hAnsi="Arial" w:eastAsia="Arial" w:cs="Arial"/>
          <w:sz w:val="22"/>
          <w:szCs w:val="22"/>
        </w:rPr>
      </w:pPr>
      <w:r>
        <w:rPr>
          <w:rFonts w:ascii="Arial" w:hAnsi="Arial" w:eastAsia="Arial" w:cs="Arial"/>
          <w:sz w:val="22"/>
          <w:szCs w:val="22"/>
        </w:rPr>
        <w:t>Student No: 2421037</w:t>
      </w:r>
    </w:p>
    <w:p w:rsidR="0085388C" w:rsidRDefault="00000000" w14:paraId="5EE4D4F6" w14:textId="77777777">
      <w:pPr>
        <w:spacing w:after="0" w:line="480" w:lineRule="auto"/>
        <w:jc w:val="center"/>
        <w:rPr>
          <w:rFonts w:ascii="Arial" w:hAnsi="Arial" w:eastAsia="Arial" w:cs="Arial"/>
          <w:sz w:val="22"/>
          <w:szCs w:val="22"/>
        </w:rPr>
      </w:pPr>
      <w:r>
        <w:rPr>
          <w:rFonts w:ascii="Arial" w:hAnsi="Arial" w:eastAsia="Arial" w:cs="Arial"/>
          <w:sz w:val="22"/>
          <w:szCs w:val="22"/>
        </w:rPr>
        <w:t xml:space="preserve"> Course Code: BMHP5014</w:t>
      </w:r>
    </w:p>
    <w:p w:rsidR="0085388C" w:rsidRDefault="00000000" w14:paraId="0BCAD1B0" w14:textId="77777777">
      <w:pPr>
        <w:spacing w:after="0" w:line="480" w:lineRule="auto"/>
        <w:jc w:val="center"/>
        <w:rPr>
          <w:rFonts w:ascii="Arial" w:hAnsi="Arial" w:eastAsia="Arial" w:cs="Arial"/>
          <w:sz w:val="22"/>
          <w:szCs w:val="22"/>
        </w:rPr>
      </w:pPr>
      <w:r>
        <w:rPr>
          <w:rFonts w:ascii="Arial" w:hAnsi="Arial" w:eastAsia="Arial" w:cs="Arial"/>
          <w:sz w:val="22"/>
          <w:szCs w:val="22"/>
        </w:rPr>
        <w:t>Instructor’s Name: Zarah Ahmed</w:t>
      </w:r>
    </w:p>
    <w:p w:rsidR="0085388C" w:rsidRDefault="00000000" w14:paraId="7EDB0B20" w14:textId="77777777">
      <w:pPr>
        <w:spacing w:after="0" w:line="480" w:lineRule="auto"/>
        <w:jc w:val="center"/>
        <w:rPr>
          <w:rFonts w:ascii="Arial" w:hAnsi="Arial" w:eastAsia="Arial" w:cs="Arial"/>
          <w:sz w:val="22"/>
          <w:szCs w:val="22"/>
        </w:rPr>
      </w:pPr>
      <w:r>
        <w:rPr>
          <w:rFonts w:ascii="Arial" w:hAnsi="Arial" w:eastAsia="Arial" w:cs="Arial"/>
          <w:sz w:val="22"/>
          <w:szCs w:val="22"/>
        </w:rPr>
        <w:t>Date: 6/7/26</w:t>
      </w:r>
    </w:p>
    <w:p w:rsidR="0085388C" w:rsidRDefault="00000000" w14:paraId="3446C1B0" w14:textId="77777777">
      <w:pPr>
        <w:spacing w:after="0" w:line="480" w:lineRule="auto"/>
        <w:rPr>
          <w:rFonts w:ascii="Times New Roman" w:hAnsi="Times New Roman" w:eastAsia="Times New Roman" w:cs="Times New Roman"/>
        </w:rPr>
      </w:pPr>
      <w:r>
        <w:br w:type="page"/>
      </w:r>
    </w:p>
    <w:p w:rsidR="0085388C" w:rsidRDefault="00000000" w14:paraId="1981488B" w14:textId="77777777">
      <w:pPr>
        <w:spacing w:after="0" w:line="480" w:lineRule="auto"/>
        <w:rPr>
          <w:rFonts w:ascii="Times New Roman" w:hAnsi="Times New Roman" w:eastAsia="Times New Roman" w:cs="Times New Roman"/>
          <w:b/>
          <w:bCs/>
        </w:rPr>
      </w:pPr>
      <w:r>
        <w:rPr>
          <w:rFonts w:ascii="Times New Roman" w:hAnsi="Times New Roman" w:eastAsia="Times New Roman" w:cs="Times New Roman"/>
          <w:b/>
          <w:bCs/>
        </w:rPr>
        <w:lastRenderedPageBreak/>
        <w:t>Task 1 – Concept Map</w:t>
      </w:r>
    </w:p>
    <w:p w:rsidR="0085388C" w:rsidRDefault="00000000" w14:paraId="0FC8BA8A" w14:textId="77777777">
      <w:pPr>
        <w:spacing w:after="0" w:line="480" w:lineRule="auto"/>
        <w:rPr>
          <w:rFonts w:ascii="Times New Roman" w:hAnsi="Times New Roman" w:eastAsia="Times New Roman" w:cs="Times New Roman"/>
          <w:color w:val="000000"/>
        </w:rPr>
      </w:pPr>
      <w:r>
        <w:rPr>
          <w:rFonts w:ascii="Times New Roman" w:hAnsi="Times New Roman" w:eastAsia="Times New Roman" w:cs="Times New Roman"/>
          <w:noProof/>
          <w:color w:val="000000"/>
        </w:rPr>
        <w:drawing>
          <wp:inline distT="0" distB="0" distL="0" distR="0" wp14:anchorId="0E330B90" wp14:editId="574F3DA5">
            <wp:extent cx="5953125" cy="4876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53125" cy="4876800"/>
                    </a:xfrm>
                    <a:prstGeom prst="rect">
                      <a:avLst/>
                    </a:prstGeom>
                    <a:ln/>
                  </pic:spPr>
                </pic:pic>
              </a:graphicData>
            </a:graphic>
          </wp:inline>
        </w:drawing>
      </w:r>
    </w:p>
    <w:p w:rsidR="0085388C" w:rsidRDefault="0085388C" w14:paraId="22A902E5" w14:textId="77777777">
      <w:pPr>
        <w:spacing w:after="0" w:line="480" w:lineRule="auto"/>
        <w:rPr>
          <w:rFonts w:ascii="Times New Roman" w:hAnsi="Times New Roman" w:eastAsia="Times New Roman" w:cs="Times New Roman"/>
          <w:b/>
          <w:bCs/>
          <w:color w:val="000000"/>
        </w:rPr>
      </w:pPr>
    </w:p>
    <w:p w:rsidR="0085388C" w:rsidRDefault="0085388C" w14:paraId="48E0DEF6" w14:textId="77777777">
      <w:pPr>
        <w:spacing w:after="0" w:line="480" w:lineRule="auto"/>
        <w:rPr>
          <w:rFonts w:ascii="Times New Roman" w:hAnsi="Times New Roman" w:eastAsia="Times New Roman" w:cs="Times New Roman"/>
          <w:b/>
          <w:bCs/>
          <w:color w:val="000000"/>
        </w:rPr>
      </w:pPr>
    </w:p>
    <w:p w:rsidR="0085388C" w:rsidRDefault="0085388C" w14:paraId="75D6600D" w14:textId="77777777">
      <w:pPr>
        <w:spacing w:after="0" w:line="480" w:lineRule="auto"/>
        <w:rPr>
          <w:rFonts w:ascii="Times New Roman" w:hAnsi="Times New Roman" w:eastAsia="Times New Roman" w:cs="Times New Roman"/>
          <w:b/>
          <w:bCs/>
          <w:color w:val="000000"/>
        </w:rPr>
      </w:pPr>
    </w:p>
    <w:p w:rsidR="0085388C" w:rsidRDefault="0085388C" w14:paraId="3C2FC703" w14:textId="786A0DB9">
      <w:pPr>
        <w:spacing w:after="0" w:line="480" w:lineRule="auto"/>
        <w:rPr>
          <w:rFonts w:ascii="Times New Roman" w:hAnsi="Times New Roman" w:eastAsia="Times New Roman" w:cs="Times New Roman"/>
          <w:b/>
          <w:bCs/>
          <w:color w:val="000000"/>
        </w:rPr>
      </w:pPr>
    </w:p>
    <w:p w:rsidR="004E1ED9" w:rsidRDefault="004E1ED9" w14:paraId="0FCD65CA" w14:textId="77777777">
      <w:pPr>
        <w:spacing w:after="0" w:line="480" w:lineRule="auto"/>
        <w:rPr>
          <w:rFonts w:ascii="Times New Roman" w:hAnsi="Times New Roman" w:eastAsia="Times New Roman" w:cs="Times New Roman"/>
          <w:b/>
          <w:bCs/>
          <w:color w:val="000000"/>
        </w:rPr>
      </w:pPr>
    </w:p>
    <w:p w:rsidR="004E1ED9" w:rsidRDefault="004E1ED9" w14:paraId="422FC5EE" w14:textId="77777777">
      <w:pPr>
        <w:spacing w:after="0" w:line="480" w:lineRule="auto"/>
        <w:rPr>
          <w:rFonts w:ascii="Times New Roman" w:hAnsi="Times New Roman" w:eastAsia="Times New Roman" w:cs="Times New Roman"/>
          <w:b/>
          <w:bCs/>
          <w:color w:val="000000"/>
        </w:rPr>
      </w:pPr>
    </w:p>
    <w:p w:rsidR="004E1ED9" w:rsidRDefault="004E1ED9" w14:paraId="650F6A7B" w14:textId="77777777">
      <w:pPr>
        <w:spacing w:after="0" w:line="480" w:lineRule="auto"/>
        <w:rPr>
          <w:rFonts w:ascii="Times New Roman" w:hAnsi="Times New Roman" w:eastAsia="Times New Roman" w:cs="Times New Roman"/>
          <w:b/>
          <w:bCs/>
          <w:color w:val="000000"/>
        </w:rPr>
      </w:pPr>
    </w:p>
    <w:p w:rsidR="0085388C" w:rsidRDefault="0085388C" w14:paraId="0FF29456" w14:textId="77777777">
      <w:pPr>
        <w:spacing w:after="0" w:line="480" w:lineRule="auto"/>
        <w:rPr>
          <w:rFonts w:ascii="Times New Roman" w:hAnsi="Times New Roman" w:eastAsia="Times New Roman" w:cs="Times New Roman"/>
          <w:b/>
          <w:bCs/>
          <w:color w:val="000000"/>
        </w:rPr>
      </w:pPr>
    </w:p>
    <w:p w:rsidR="0085388C" w:rsidRDefault="0085388C" w14:paraId="68315D57" w14:textId="77777777">
      <w:pPr>
        <w:spacing w:after="0" w:line="480" w:lineRule="auto"/>
        <w:rPr>
          <w:rFonts w:ascii="Times New Roman" w:hAnsi="Times New Roman" w:eastAsia="Times New Roman" w:cs="Times New Roman"/>
          <w:b/>
          <w:bCs/>
          <w:color w:val="000000"/>
        </w:rPr>
      </w:pPr>
    </w:p>
    <w:p w:rsidR="0085388C" w:rsidRDefault="00000000" w14:paraId="48D6B1FD" w14:textId="77777777">
      <w:pPr>
        <w:spacing w:after="0" w:line="480" w:lineRule="auto"/>
        <w:rPr>
          <w:rFonts w:ascii="Times New Roman" w:hAnsi="Times New Roman" w:eastAsia="Times New Roman" w:cs="Times New Roman"/>
          <w:b/>
          <w:bCs/>
          <w:color w:val="000000"/>
        </w:rPr>
      </w:pPr>
      <w:r>
        <w:rPr>
          <w:rFonts w:ascii="Times New Roman" w:hAnsi="Times New Roman" w:eastAsia="Times New Roman" w:cs="Times New Roman"/>
          <w:b/>
          <w:bCs/>
          <w:color w:val="000000"/>
        </w:rPr>
        <w:t>Task 2 - Self-Reflection of Group Activity</w:t>
      </w:r>
    </w:p>
    <w:p w:rsidR="0085388C" w:rsidRDefault="00000000" w14:paraId="6F771983" w14:textId="77777777">
      <w:pPr>
        <w:spacing w:after="0" w:line="480" w:lineRule="auto"/>
        <w:rPr>
          <w:rFonts w:ascii="Times New Roman" w:hAnsi="Times New Roman" w:eastAsia="Times New Roman" w:cs="Times New Roman"/>
          <w:b/>
          <w:bCs/>
        </w:rPr>
      </w:pPr>
      <w:r>
        <w:rPr>
          <w:rFonts w:ascii="Times New Roman" w:hAnsi="Times New Roman" w:eastAsia="Times New Roman" w:cs="Times New Roman"/>
          <w:b/>
          <w:bCs/>
        </w:rPr>
        <w:t>Gibbs' Reflective Cycle</w:t>
      </w:r>
    </w:p>
    <w:p w:rsidR="0085388C" w:rsidRDefault="00000000" w14:paraId="471AB84A" w14:textId="77777777">
      <w:pPr>
        <w:spacing w:after="0" w:line="480" w:lineRule="auto"/>
        <w:ind w:firstLine="720"/>
        <w:rPr>
          <w:rFonts w:ascii="Arial" w:hAnsi="Arial" w:eastAsia="Arial" w:cs="Arial"/>
          <w:sz w:val="22"/>
          <w:szCs w:val="22"/>
        </w:rPr>
      </w:pPr>
      <w:r>
        <w:rPr>
          <w:rFonts w:ascii="Arial" w:hAnsi="Arial" w:eastAsia="Arial" w:cs="Arial"/>
          <w:sz w:val="22"/>
          <w:szCs w:val="22"/>
        </w:rPr>
        <w:t xml:space="preserve">In the convergent and divergent paperclip thinking activity, I was involved in a group activity that had me think about creative thinking from various angles. Divergent thinking was used to brainstorm many uses for a paperclip, and then convergent thinking was used to narrow the ideas to the most practical ones. At first, I could not think of anything else to do with a paperclip but with the group discussion I thought of more creative ideas. </w:t>
      </w:r>
    </w:p>
    <w:p w:rsidR="0085388C" w:rsidP="73F09774" w:rsidRDefault="00000000" w14:paraId="671CD8E7" w14:textId="77777777">
      <w:pPr>
        <w:spacing w:after="0" w:line="480" w:lineRule="auto"/>
        <w:ind w:firstLine="720"/>
        <w:rPr>
          <w:rFonts w:ascii="Arial" w:hAnsi="Arial" w:eastAsia="Arial" w:cs="Arial"/>
          <w:sz w:val="22"/>
          <w:szCs w:val="22"/>
          <w:lang w:val="en-US"/>
        </w:rPr>
      </w:pPr>
      <w:bookmarkStart w:name="_heading=h.4oe72q7eewzs" w:id="0"/>
      <w:bookmarkEnd w:id="0"/>
      <w:r w:rsidRPr="73F09774" w:rsidR="00000000">
        <w:rPr>
          <w:rFonts w:ascii="Arial" w:hAnsi="Arial" w:eastAsia="Arial" w:cs="Arial"/>
          <w:sz w:val="22"/>
          <w:szCs w:val="22"/>
          <w:lang w:val="en-US"/>
        </w:rPr>
        <w:t>The exercise was a great experience for me as I was motivated and involved in it and saw how important it is to collaborate in a way to produce innovative ideas. The divergent thinking stage was a stage in which all participants were able to express their ideas, without being criticized, which created a creative atmosphere (Rawlings et al., 2025). However, at the convergent stage I noticed that some ideas were quickly eliminated because of their apparent infeasibility. This is an example of how difficult it can be to be creative in decision making and be practical at the same time.</w:t>
      </w:r>
    </w:p>
    <w:p w:rsidR="0085388C" w:rsidP="73F09774" w:rsidRDefault="00000000" w14:paraId="58BA16F1" w14:textId="25113440">
      <w:pPr>
        <w:spacing w:after="0" w:line="480" w:lineRule="auto"/>
        <w:ind w:firstLine="720"/>
        <w:rPr>
          <w:rFonts w:ascii="Arial" w:hAnsi="Arial" w:eastAsia="Arial" w:cs="Arial"/>
          <w:sz w:val="22"/>
          <w:szCs w:val="22"/>
          <w:lang w:val="en-US"/>
        </w:rPr>
      </w:pPr>
      <w:r w:rsidRPr="73F09774" w:rsidR="00000000">
        <w:rPr>
          <w:rFonts w:ascii="Arial" w:hAnsi="Arial" w:eastAsia="Arial" w:cs="Arial"/>
          <w:sz w:val="22"/>
          <w:szCs w:val="22"/>
          <w:lang w:val="en-US"/>
        </w:rPr>
        <w:t xml:space="preserve">On reflection, I have learned that divergent and convergent thinking is </w:t>
      </w:r>
      <w:r w:rsidRPr="73F09774" w:rsidR="004E1ED9">
        <w:rPr>
          <w:rFonts w:ascii="Arial" w:hAnsi="Arial" w:eastAsia="Arial" w:cs="Arial"/>
          <w:sz w:val="22"/>
          <w:szCs w:val="22"/>
          <w:lang w:val="en-US"/>
        </w:rPr>
        <w:t>needed in both</w:t>
      </w:r>
      <w:r w:rsidRPr="73F09774" w:rsidR="00000000">
        <w:rPr>
          <w:rFonts w:ascii="Arial" w:hAnsi="Arial" w:eastAsia="Arial" w:cs="Arial"/>
          <w:sz w:val="22"/>
          <w:szCs w:val="22"/>
          <w:lang w:val="en-US"/>
        </w:rPr>
        <w:t xml:space="preserve"> health and social care. Divergent thinking involves brainstorming and producing innovative ideas and solutions to complex problems. Convergent thinking involves narrowing the options down to the best and most feasible solutions. According to Gibbs reflective cycle, reflection can help people transfer what they have learned from one context to another (McLeod, 2025). This learning will help me as a future health and social care practitioner when designing person centered solutions, improving services, and collaborating effectively when working in multidisciplinary teams.</w:t>
      </w:r>
    </w:p>
    <w:p w:rsidR="0085388C" w:rsidRDefault="0085388C" w14:paraId="760F1382" w14:textId="77777777">
      <w:pPr>
        <w:spacing w:after="0" w:line="480" w:lineRule="auto"/>
        <w:rPr>
          <w:rFonts w:ascii="Arial" w:hAnsi="Arial" w:eastAsia="Arial" w:cs="Arial"/>
          <w:b/>
          <w:bCs/>
          <w:color w:val="000000"/>
          <w:sz w:val="22"/>
          <w:szCs w:val="22"/>
        </w:rPr>
      </w:pPr>
    </w:p>
    <w:p w:rsidR="0085388C" w:rsidRDefault="0085388C" w14:paraId="3B6C5B03" w14:textId="77777777">
      <w:pPr>
        <w:spacing w:after="0" w:line="480" w:lineRule="auto"/>
        <w:rPr>
          <w:rFonts w:ascii="Arial" w:hAnsi="Arial" w:eastAsia="Arial" w:cs="Arial"/>
          <w:b/>
          <w:bCs/>
          <w:color w:val="000000"/>
          <w:sz w:val="22"/>
          <w:szCs w:val="22"/>
        </w:rPr>
      </w:pPr>
    </w:p>
    <w:p w:rsidR="0085388C" w:rsidRDefault="0085388C" w14:paraId="46EC5470" w14:textId="77777777">
      <w:pPr>
        <w:spacing w:after="0" w:line="480" w:lineRule="auto"/>
        <w:rPr>
          <w:rFonts w:ascii="Arial" w:hAnsi="Arial" w:eastAsia="Arial" w:cs="Arial"/>
          <w:b/>
          <w:bCs/>
          <w:color w:val="000000"/>
          <w:sz w:val="22"/>
          <w:szCs w:val="22"/>
        </w:rPr>
      </w:pPr>
    </w:p>
    <w:p w:rsidR="0085388C" w:rsidRDefault="0085388C" w14:paraId="73701810" w14:textId="77777777">
      <w:pPr>
        <w:spacing w:after="0" w:line="480" w:lineRule="auto"/>
        <w:rPr>
          <w:rFonts w:ascii="Arial" w:hAnsi="Arial" w:eastAsia="Arial" w:cs="Arial"/>
          <w:b/>
          <w:bCs/>
          <w:color w:val="000000"/>
          <w:sz w:val="22"/>
          <w:szCs w:val="22"/>
        </w:rPr>
      </w:pPr>
    </w:p>
    <w:p w:rsidR="0085388C" w:rsidRDefault="00000000" w14:paraId="2E5813AD" w14:textId="77777777">
      <w:pPr>
        <w:spacing w:after="0" w:line="480" w:lineRule="auto"/>
        <w:rPr>
          <w:rFonts w:ascii="Arial" w:hAnsi="Arial" w:eastAsia="Arial" w:cs="Arial"/>
          <w:b/>
          <w:bCs/>
          <w:color w:val="000000"/>
          <w:sz w:val="22"/>
          <w:szCs w:val="22"/>
        </w:rPr>
      </w:pPr>
      <w:r>
        <w:rPr>
          <w:rFonts w:ascii="Arial" w:hAnsi="Arial" w:eastAsia="Arial" w:cs="Arial"/>
          <w:b/>
          <w:bCs/>
          <w:color w:val="000000"/>
          <w:sz w:val="22"/>
          <w:szCs w:val="22"/>
        </w:rPr>
        <w:t xml:space="preserve"> Task 3 - Case Study of a UK innovation</w:t>
      </w:r>
    </w:p>
    <w:p w:rsidR="0085388C" w:rsidRDefault="00000000" w14:paraId="03F7A30D" w14:textId="77777777">
      <w:pPr>
        <w:spacing w:after="0" w:line="480" w:lineRule="auto"/>
        <w:rPr>
          <w:rFonts w:ascii="Arial" w:hAnsi="Arial" w:eastAsia="Arial" w:cs="Arial"/>
          <w:b/>
          <w:bCs/>
          <w:sz w:val="22"/>
          <w:szCs w:val="22"/>
        </w:rPr>
      </w:pPr>
      <w:r>
        <w:rPr>
          <w:rFonts w:ascii="Arial" w:hAnsi="Arial" w:eastAsia="Arial" w:cs="Arial"/>
          <w:b/>
          <w:bCs/>
          <w:sz w:val="22"/>
          <w:szCs w:val="22"/>
        </w:rPr>
        <w:t>NHS App: Using Creativity to Improve Healthcare Delivery</w:t>
      </w:r>
    </w:p>
    <w:p w:rsidR="0085388C" w:rsidP="73F09774" w:rsidRDefault="00000000" w14:paraId="4E36DCF9" w14:textId="77777777">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 xml:space="preserve">The National Health Service (NHS) App is a groundbreaking digital healthcare solution created to improve access to health care services and enhance patient experiences. The app is part of the NHS Long Term Plan, which will enable people to book and manage their appointments, order repeat prescriptions, view their medical records, get health advice, and access a variety of different healthcare services via one single app (Reidy et al., 2025). The NHS App has been developed as a response to the pressures on healthcare services, such as rising demand on services, staff shortages, and more effective ways of delivering services. The NHS showed how creativity could be used to tackle a challenging problem in health and social care by leveraging technology to streamline and redesign the familiar way in which health care services are delivered. </w:t>
      </w:r>
    </w:p>
    <w:p w:rsidR="0085388C" w:rsidP="73F09774" w:rsidRDefault="00000000" w14:paraId="29C81F97" w14:textId="33381E66">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 xml:space="preserve">The NHS App was developed with a strong emphasis on creativity. NHS leaders did not just limit themselves to face-to-face and telephone communication but looked </w:t>
      </w:r>
      <w:r w:rsidRPr="73F09774" w:rsidR="004E1ED9">
        <w:rPr>
          <w:rFonts w:ascii="Arial" w:hAnsi="Arial" w:eastAsia="Arial" w:cs="Arial"/>
          <w:color w:val="000000" w:themeColor="text1" w:themeTint="FF" w:themeShade="FF"/>
          <w:sz w:val="22"/>
          <w:szCs w:val="22"/>
          <w:lang w:val="en-US"/>
        </w:rPr>
        <w:t>for</w:t>
      </w:r>
      <w:r w:rsidRPr="73F09774" w:rsidR="00000000">
        <w:rPr>
          <w:rFonts w:ascii="Arial" w:hAnsi="Arial" w:eastAsia="Arial" w:cs="Arial"/>
          <w:color w:val="000000" w:themeColor="text1" w:themeTint="FF" w:themeShade="FF"/>
          <w:sz w:val="22"/>
          <w:szCs w:val="22"/>
          <w:lang w:val="en-US"/>
        </w:rPr>
        <w:t xml:space="preserve"> innovative ways to enhance access and communication. The use of the app is a creative way of providing healthcare as it integrates the digital aspect with person-centered care. This new service is designed to address the evolving needs patients have for convenient and flexible service options. The project also embodies the notion of creativity as suggested by Caspersen (2025) who states that creativity is the capability to produce new and useful thoughts. The NHS App is an example of how innovative thinking can change an </w:t>
      </w:r>
      <w:r w:rsidRPr="73F09774" w:rsidR="004E1ED9">
        <w:rPr>
          <w:rFonts w:ascii="Arial" w:hAnsi="Arial" w:eastAsia="Arial" w:cs="Arial"/>
          <w:color w:val="000000" w:themeColor="text1" w:themeTint="FF" w:themeShade="FF"/>
          <w:sz w:val="22"/>
          <w:szCs w:val="22"/>
          <w:lang w:val="en-US"/>
        </w:rPr>
        <w:t>organization;</w:t>
      </w:r>
      <w:r w:rsidRPr="73F09774" w:rsidR="00000000">
        <w:rPr>
          <w:rFonts w:ascii="Arial" w:hAnsi="Arial" w:eastAsia="Arial" w:cs="Arial"/>
          <w:color w:val="000000" w:themeColor="text1" w:themeTint="FF" w:themeShade="FF"/>
          <w:sz w:val="22"/>
          <w:szCs w:val="22"/>
          <w:lang w:val="en-US"/>
        </w:rPr>
        <w:t xml:space="preserve"> by improving the interaction patients have with NHS services. </w:t>
      </w:r>
    </w:p>
    <w:p w:rsidR="0085388C" w:rsidP="73F09774" w:rsidRDefault="00000000" w14:paraId="7D70A33E" w14:textId="4E5ED89F">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 xml:space="preserve">The effect of the NHS App can be quantified at </w:t>
      </w:r>
      <w:r w:rsidRPr="73F09774" w:rsidR="004E1ED9">
        <w:rPr>
          <w:rFonts w:ascii="Arial" w:hAnsi="Arial" w:eastAsia="Arial" w:cs="Arial"/>
          <w:color w:val="000000" w:themeColor="text1" w:themeTint="FF" w:themeShade="FF"/>
          <w:sz w:val="22"/>
          <w:szCs w:val="22"/>
          <w:lang w:val="en-US"/>
        </w:rPr>
        <w:t>patient</w:t>
      </w:r>
      <w:r w:rsidRPr="73F09774" w:rsidR="00000000">
        <w:rPr>
          <w:rFonts w:ascii="Arial" w:hAnsi="Arial" w:eastAsia="Arial" w:cs="Arial"/>
          <w:color w:val="000000" w:themeColor="text1" w:themeTint="FF" w:themeShade="FF"/>
          <w:sz w:val="22"/>
          <w:szCs w:val="22"/>
          <w:lang w:val="en-US"/>
        </w:rPr>
        <w:t xml:space="preserve"> and team/organizational level. For patients, the app ensures </w:t>
      </w:r>
      <w:r w:rsidRPr="73F09774" w:rsidR="004E1ED9">
        <w:rPr>
          <w:rFonts w:ascii="Arial" w:hAnsi="Arial" w:eastAsia="Arial" w:cs="Arial"/>
          <w:color w:val="000000" w:themeColor="text1" w:themeTint="FF" w:themeShade="FF"/>
          <w:sz w:val="22"/>
          <w:szCs w:val="22"/>
          <w:lang w:val="en-US"/>
        </w:rPr>
        <w:t>healthcare</w:t>
      </w:r>
      <w:r w:rsidRPr="73F09774" w:rsidR="00000000">
        <w:rPr>
          <w:rFonts w:ascii="Arial" w:hAnsi="Arial" w:eastAsia="Arial" w:cs="Arial"/>
          <w:color w:val="000000" w:themeColor="text1" w:themeTint="FF" w:themeShade="FF"/>
          <w:sz w:val="22"/>
          <w:szCs w:val="22"/>
          <w:lang w:val="en-US"/>
        </w:rPr>
        <w:t xml:space="preserve"> is more accessible, providing them with services </w:t>
      </w:r>
      <w:r w:rsidRPr="73F09774" w:rsidR="00000000">
        <w:rPr>
          <w:rFonts w:ascii="Arial" w:hAnsi="Arial" w:eastAsia="Arial" w:cs="Arial"/>
          <w:color w:val="000000" w:themeColor="text1" w:themeTint="FF" w:themeShade="FF"/>
          <w:sz w:val="22"/>
          <w:szCs w:val="22"/>
          <w:lang w:val="en-US"/>
        </w:rPr>
        <w:t xml:space="preserve">throughout the day and reducing the need for unnecessary GP surgery visits, and enabling patients to participate more actively in their own health and wellbeing. Having access to key health information in an instant and in one place can enhance patient engagement and drive better health outcomes. Organizational benefits include reduced administration burden, improved efficiency, and healthcare professionals having more time to focus on patient care. The benefits align with Harbi (2024)'s healthcare value concept, which focuses on optimizing the outcomes of healthcare interventions and resource utilization. </w:t>
      </w:r>
    </w:p>
    <w:p w:rsidR="0085388C" w:rsidP="73F09774" w:rsidRDefault="00000000" w14:paraId="653374FC" w14:textId="77777777">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The introduction of the NHS App has been a success, further demonstrating the importance of creativity, innovation, and service improvement in health and social care. The application has proven to be essential and much needed for accessing healthcare remotely and for the de-clogging of health care facilities during and after the COVID-19 pandemic (Reidy et al., 2025).</w:t>
      </w:r>
    </w:p>
    <w:p w:rsidR="0085388C" w:rsidRDefault="00000000" w14:paraId="021BE44E" w14:textId="77777777">
      <w:pPr>
        <w:spacing w:after="0" w:line="480" w:lineRule="auto"/>
        <w:rPr>
          <w:rFonts w:ascii="Arial" w:hAnsi="Arial" w:eastAsia="Arial" w:cs="Arial"/>
          <w:b/>
          <w:bCs/>
          <w:color w:val="000000"/>
          <w:sz w:val="22"/>
          <w:szCs w:val="22"/>
        </w:rPr>
      </w:pPr>
      <w:r>
        <w:rPr>
          <w:rFonts w:ascii="Arial" w:hAnsi="Arial" w:eastAsia="Arial" w:cs="Arial"/>
          <w:b/>
          <w:bCs/>
          <w:color w:val="000000"/>
          <w:sz w:val="22"/>
          <w:szCs w:val="22"/>
        </w:rPr>
        <w:t xml:space="preserve"> </w:t>
      </w:r>
    </w:p>
    <w:p w:rsidR="0085388C" w:rsidRDefault="0085388C" w14:paraId="03124860" w14:textId="77777777">
      <w:pPr>
        <w:spacing w:after="0" w:line="480" w:lineRule="auto"/>
        <w:rPr>
          <w:rFonts w:ascii="Arial" w:hAnsi="Arial" w:eastAsia="Arial" w:cs="Arial"/>
          <w:b/>
          <w:bCs/>
          <w:color w:val="000000"/>
          <w:sz w:val="22"/>
          <w:szCs w:val="22"/>
        </w:rPr>
      </w:pPr>
    </w:p>
    <w:p w:rsidR="0085388C" w:rsidRDefault="0085388C" w14:paraId="6F6F3BA7" w14:textId="77777777">
      <w:pPr>
        <w:spacing w:after="0" w:line="480" w:lineRule="auto"/>
        <w:rPr>
          <w:rFonts w:ascii="Arial" w:hAnsi="Arial" w:eastAsia="Arial" w:cs="Arial"/>
          <w:b/>
          <w:bCs/>
          <w:color w:val="000000"/>
          <w:sz w:val="22"/>
          <w:szCs w:val="22"/>
        </w:rPr>
      </w:pPr>
    </w:p>
    <w:p w:rsidR="0085388C" w:rsidRDefault="0085388C" w14:paraId="19507006" w14:textId="77777777">
      <w:pPr>
        <w:spacing w:after="0" w:line="480" w:lineRule="auto"/>
        <w:rPr>
          <w:rFonts w:ascii="Arial" w:hAnsi="Arial" w:eastAsia="Arial" w:cs="Arial"/>
          <w:b/>
          <w:bCs/>
          <w:color w:val="000000"/>
          <w:sz w:val="22"/>
          <w:szCs w:val="22"/>
        </w:rPr>
      </w:pPr>
    </w:p>
    <w:p w:rsidR="0085388C" w:rsidRDefault="0085388C" w14:paraId="3DE659D7" w14:textId="77777777">
      <w:pPr>
        <w:spacing w:after="0" w:line="480" w:lineRule="auto"/>
        <w:rPr>
          <w:rFonts w:ascii="Arial" w:hAnsi="Arial" w:eastAsia="Arial" w:cs="Arial"/>
          <w:b/>
          <w:bCs/>
          <w:color w:val="000000"/>
          <w:sz w:val="22"/>
          <w:szCs w:val="22"/>
        </w:rPr>
      </w:pPr>
    </w:p>
    <w:p w:rsidR="0085388C" w:rsidRDefault="0085388C" w14:paraId="491167C5" w14:textId="77777777">
      <w:pPr>
        <w:spacing w:after="0" w:line="480" w:lineRule="auto"/>
        <w:rPr>
          <w:rFonts w:ascii="Arial" w:hAnsi="Arial" w:eastAsia="Arial" w:cs="Arial"/>
          <w:b/>
          <w:bCs/>
          <w:color w:val="000000"/>
          <w:sz w:val="22"/>
          <w:szCs w:val="22"/>
        </w:rPr>
      </w:pPr>
    </w:p>
    <w:p w:rsidR="0085388C" w:rsidRDefault="0085388C" w14:paraId="3BC6C22A" w14:textId="77777777">
      <w:pPr>
        <w:spacing w:after="0" w:line="480" w:lineRule="auto"/>
        <w:rPr>
          <w:rFonts w:ascii="Times New Roman" w:hAnsi="Times New Roman" w:eastAsia="Times New Roman" w:cs="Times New Roman"/>
          <w:b/>
          <w:bCs/>
          <w:color w:val="000000"/>
        </w:rPr>
      </w:pPr>
    </w:p>
    <w:p w:rsidR="0085388C" w:rsidRDefault="0085388C" w14:paraId="531397AE" w14:textId="77777777">
      <w:pPr>
        <w:spacing w:after="0" w:line="480" w:lineRule="auto"/>
        <w:rPr>
          <w:rFonts w:ascii="Times New Roman" w:hAnsi="Times New Roman" w:eastAsia="Times New Roman" w:cs="Times New Roman"/>
          <w:b/>
          <w:bCs/>
          <w:color w:val="000000"/>
        </w:rPr>
      </w:pPr>
    </w:p>
    <w:p w:rsidR="0085388C" w:rsidRDefault="0085388C" w14:paraId="31AEC08F" w14:textId="77777777">
      <w:pPr>
        <w:spacing w:after="0" w:line="480" w:lineRule="auto"/>
        <w:rPr>
          <w:rFonts w:ascii="Times New Roman" w:hAnsi="Times New Roman" w:eastAsia="Times New Roman" w:cs="Times New Roman"/>
          <w:b/>
          <w:bCs/>
          <w:color w:val="000000"/>
        </w:rPr>
      </w:pPr>
    </w:p>
    <w:p w:rsidR="0085388C" w:rsidRDefault="0085388C" w14:paraId="181DF954" w14:textId="77777777">
      <w:pPr>
        <w:spacing w:after="0" w:line="480" w:lineRule="auto"/>
        <w:rPr>
          <w:rFonts w:ascii="Times New Roman" w:hAnsi="Times New Roman" w:eastAsia="Times New Roman" w:cs="Times New Roman"/>
          <w:b/>
          <w:bCs/>
          <w:color w:val="000000"/>
        </w:rPr>
      </w:pPr>
    </w:p>
    <w:p w:rsidR="0085388C" w:rsidRDefault="0085388C" w14:paraId="50F2DB04" w14:textId="77777777">
      <w:pPr>
        <w:spacing w:after="0" w:line="480" w:lineRule="auto"/>
        <w:rPr>
          <w:rFonts w:ascii="Times New Roman" w:hAnsi="Times New Roman" w:eastAsia="Times New Roman" w:cs="Times New Roman"/>
          <w:b/>
          <w:bCs/>
          <w:color w:val="000000"/>
        </w:rPr>
      </w:pPr>
    </w:p>
    <w:p w:rsidR="0085388C" w:rsidRDefault="0085388C" w14:paraId="0FC8F795" w14:textId="77777777">
      <w:pPr>
        <w:spacing w:after="0" w:line="480" w:lineRule="auto"/>
        <w:rPr>
          <w:rFonts w:ascii="Times New Roman" w:hAnsi="Times New Roman" w:eastAsia="Times New Roman" w:cs="Times New Roman"/>
          <w:b/>
          <w:bCs/>
          <w:color w:val="000000"/>
        </w:rPr>
      </w:pPr>
    </w:p>
    <w:p w:rsidR="0085388C" w:rsidRDefault="0085388C" w14:paraId="2BCEBB6A" w14:textId="77777777">
      <w:pPr>
        <w:spacing w:after="0" w:line="480" w:lineRule="auto"/>
        <w:rPr>
          <w:rFonts w:ascii="Times New Roman" w:hAnsi="Times New Roman" w:eastAsia="Times New Roman" w:cs="Times New Roman"/>
          <w:b/>
          <w:bCs/>
          <w:color w:val="000000"/>
        </w:rPr>
      </w:pPr>
    </w:p>
    <w:p w:rsidR="0085388C" w:rsidRDefault="0085388C" w14:paraId="34F89266" w14:textId="77777777">
      <w:pPr>
        <w:spacing w:after="0" w:line="480" w:lineRule="auto"/>
        <w:rPr>
          <w:rFonts w:ascii="Times New Roman" w:hAnsi="Times New Roman" w:eastAsia="Times New Roman" w:cs="Times New Roman"/>
          <w:b/>
          <w:bCs/>
          <w:color w:val="000000"/>
        </w:rPr>
      </w:pPr>
    </w:p>
    <w:p w:rsidR="0085388C" w:rsidRDefault="0085388C" w14:paraId="3F151212" w14:textId="77777777">
      <w:pPr>
        <w:spacing w:after="0" w:line="480" w:lineRule="auto"/>
        <w:rPr>
          <w:rFonts w:ascii="Times New Roman" w:hAnsi="Times New Roman" w:eastAsia="Times New Roman" w:cs="Times New Roman"/>
          <w:b/>
          <w:bCs/>
          <w:color w:val="000000"/>
        </w:rPr>
      </w:pPr>
    </w:p>
    <w:p w:rsidR="0085388C" w:rsidRDefault="0085388C" w14:paraId="26630D2A" w14:textId="77777777">
      <w:pPr>
        <w:spacing w:after="0" w:line="480" w:lineRule="auto"/>
        <w:rPr>
          <w:rFonts w:ascii="Times New Roman" w:hAnsi="Times New Roman" w:eastAsia="Times New Roman" w:cs="Times New Roman"/>
          <w:b/>
          <w:bCs/>
          <w:color w:val="000000"/>
        </w:rPr>
      </w:pPr>
    </w:p>
    <w:p w:rsidR="0085388C" w:rsidRDefault="00000000" w14:paraId="40FCC8D1" w14:textId="77777777">
      <w:pPr>
        <w:spacing w:after="0" w:line="480" w:lineRule="auto"/>
        <w:rPr>
          <w:rFonts w:ascii="Times New Roman" w:hAnsi="Times New Roman" w:eastAsia="Times New Roman" w:cs="Times New Roman"/>
          <w:b/>
          <w:bCs/>
          <w:color w:val="000000"/>
        </w:rPr>
      </w:pPr>
      <w:r>
        <w:rPr>
          <w:rFonts w:ascii="Times New Roman" w:hAnsi="Times New Roman" w:eastAsia="Times New Roman" w:cs="Times New Roman"/>
          <w:b/>
          <w:bCs/>
          <w:color w:val="000000"/>
        </w:rPr>
        <w:t>Task 4 - Research Task</w:t>
      </w:r>
    </w:p>
    <w:p w:rsidR="0085388C" w:rsidRDefault="00000000" w14:paraId="3CB0DB7C" w14:textId="77777777">
      <w:pPr>
        <w:spacing w:after="0" w:line="480" w:lineRule="auto"/>
        <w:rPr>
          <w:rFonts w:ascii="Times New Roman" w:hAnsi="Times New Roman" w:eastAsia="Times New Roman" w:cs="Times New Roman"/>
          <w:b/>
          <w:bCs/>
        </w:rPr>
      </w:pPr>
      <w:r>
        <w:rPr>
          <w:rFonts w:ascii="Times New Roman" w:hAnsi="Times New Roman" w:eastAsia="Times New Roman" w:cs="Times New Roman"/>
          <w:b/>
          <w:bCs/>
        </w:rPr>
        <w:t>Current Issue: Mental Health Stigma</w:t>
      </w:r>
    </w:p>
    <w:p w:rsidR="0085388C" w:rsidP="73F09774" w:rsidRDefault="00000000" w14:paraId="67E0EA8D" w14:textId="2F7F34E5">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 xml:space="preserve">Stigma is still a major problem in health and social care as a lot of people who have mental health problems do not seek help because of stigma. The negative stereotypes, discrimination, and social stigmatization of mental illness, identified by </w:t>
      </w:r>
      <w:r w:rsidRPr="73F09774" w:rsidR="00000000">
        <w:rPr>
          <w:rFonts w:ascii="Arial" w:hAnsi="Arial" w:eastAsia="Arial" w:cs="Arial"/>
          <w:color w:val="000000" w:themeColor="text1" w:themeTint="FF" w:themeShade="FF"/>
          <w:sz w:val="22"/>
          <w:szCs w:val="22"/>
          <w:lang w:val="en-US"/>
        </w:rPr>
        <w:t>Habeb</w:t>
      </w:r>
      <w:r w:rsidRPr="73F09774" w:rsidR="00000000">
        <w:rPr>
          <w:rFonts w:ascii="Arial" w:hAnsi="Arial" w:eastAsia="Arial" w:cs="Arial"/>
          <w:color w:val="000000" w:themeColor="text1" w:themeTint="FF" w:themeShade="FF"/>
          <w:sz w:val="22"/>
          <w:szCs w:val="22"/>
          <w:lang w:val="en-US"/>
        </w:rPr>
        <w:t xml:space="preserve"> et al. (2025), can stem from public attitudes and misconceptions about mental illness. The authors state that individuals experiencing mental health problems can be perceived as dangerous, unable, and unpredictable; in reality, they are not (</w:t>
      </w:r>
      <w:r w:rsidRPr="73F09774" w:rsidR="00000000">
        <w:rPr>
          <w:rFonts w:ascii="Arial" w:hAnsi="Arial" w:eastAsia="Arial" w:cs="Arial"/>
          <w:color w:val="000000" w:themeColor="text1" w:themeTint="FF" w:themeShade="FF"/>
          <w:sz w:val="22"/>
          <w:szCs w:val="22"/>
          <w:lang w:val="en-US"/>
        </w:rPr>
        <w:t>Habeb</w:t>
      </w:r>
      <w:r w:rsidRPr="73F09774" w:rsidR="00000000">
        <w:rPr>
          <w:rFonts w:ascii="Arial" w:hAnsi="Arial" w:eastAsia="Arial" w:cs="Arial"/>
          <w:color w:val="000000" w:themeColor="text1" w:themeTint="FF" w:themeShade="FF"/>
          <w:sz w:val="22"/>
          <w:szCs w:val="22"/>
          <w:lang w:val="en-US"/>
        </w:rPr>
        <w:t xml:space="preserve"> et al., 2025). This often leads to reluctance to disclose mental health issues and concerns potentially for fear of being labelled or judged. This fear can lead individuals to avoid seeking professional help or treatment, which can negatively </w:t>
      </w:r>
      <w:r w:rsidRPr="73F09774" w:rsidR="004E1ED9">
        <w:rPr>
          <w:rFonts w:ascii="Arial" w:hAnsi="Arial" w:eastAsia="Arial" w:cs="Arial"/>
          <w:color w:val="000000" w:themeColor="text1" w:themeTint="FF" w:themeShade="FF"/>
          <w:sz w:val="22"/>
          <w:szCs w:val="22"/>
          <w:lang w:val="en-US"/>
        </w:rPr>
        <w:t>impact on</w:t>
      </w:r>
      <w:r w:rsidRPr="73F09774" w:rsidR="00000000">
        <w:rPr>
          <w:rFonts w:ascii="Arial" w:hAnsi="Arial" w:eastAsia="Arial" w:cs="Arial"/>
          <w:color w:val="000000" w:themeColor="text1" w:themeTint="FF" w:themeShade="FF"/>
          <w:sz w:val="22"/>
          <w:szCs w:val="22"/>
          <w:lang w:val="en-US"/>
        </w:rPr>
        <w:t xml:space="preserve"> the effectiveness of treatment and worsen symptoms. The study highlights that stigma is not only the stigma of the individual, but also the community, workplace, and health systems level, which can be barriers and obstacles to timely and appropriate care. </w:t>
      </w:r>
    </w:p>
    <w:p w:rsidR="0085388C" w:rsidP="73F09774" w:rsidRDefault="00000000" w14:paraId="3A932081" w14:textId="64F36F50">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Similarly, Chukwuma et al. (2024) did a systematic review to explore the impact of mental health-related stigma on help-seeking behaviors. One of the most frequent barriers to mental health services cited by the authors was anticipating discrimination. Many participants felt that disclosure of mental health issues would have a negative impact on their work, relationships, school life, and social status. The review</w:t>
      </w:r>
      <w:r w:rsidRPr="73F09774" w:rsidR="004E1ED9">
        <w:rPr>
          <w:rFonts w:ascii="Arial" w:hAnsi="Arial" w:eastAsia="Arial" w:cs="Arial"/>
          <w:color w:val="000000" w:themeColor="text1" w:themeTint="FF" w:themeShade="FF"/>
          <w:sz w:val="22"/>
          <w:szCs w:val="22"/>
          <w:lang w:val="en-US"/>
        </w:rPr>
        <w:t xml:space="preserve"> </w:t>
      </w:r>
      <w:r w:rsidRPr="73F09774" w:rsidR="00000000">
        <w:rPr>
          <w:rFonts w:ascii="Arial" w:hAnsi="Arial" w:eastAsia="Arial" w:cs="Arial"/>
          <w:color w:val="000000" w:themeColor="text1" w:themeTint="FF" w:themeShade="FF"/>
          <w:sz w:val="22"/>
          <w:szCs w:val="22"/>
          <w:lang w:val="en-US"/>
        </w:rPr>
        <w:t xml:space="preserve">further, indicated that internalization of negative societal beliefs (self-stigma) can result in reduced self-esteem and confidence, which can affect their willingness to seek help (Chukwuma et al., 2024). </w:t>
      </w:r>
    </w:p>
    <w:p w:rsidR="0085388C" w:rsidP="73F09774" w:rsidRDefault="00000000" w14:paraId="3952C350" w14:textId="77777777">
      <w:pPr>
        <w:pBdr>
          <w:top w:val="nil" w:color="FF000000" w:sz="0" w:space="0"/>
          <w:left w:val="nil" w:color="FF000000" w:sz="0" w:space="0"/>
          <w:bottom w:val="nil" w:color="FF000000" w:sz="0" w:space="0"/>
          <w:right w:val="nil" w:color="FF000000" w:sz="0" w:space="0"/>
          <w:between w:val="nil" w:color="FF000000" w:sz="0" w:space="0"/>
        </w:pBdr>
        <w:spacing w:after="0" w:line="480" w:lineRule="auto"/>
        <w:ind w:firstLine="720"/>
        <w:rPr>
          <w:rFonts w:ascii="Arial" w:hAnsi="Arial" w:eastAsia="Arial" w:cs="Arial"/>
          <w:color w:val="000000"/>
          <w:sz w:val="22"/>
          <w:szCs w:val="22"/>
          <w:lang w:val="en-US"/>
        </w:rPr>
      </w:pPr>
      <w:r w:rsidRPr="73F09774" w:rsidR="00000000">
        <w:rPr>
          <w:rFonts w:ascii="Arial" w:hAnsi="Arial" w:eastAsia="Arial" w:cs="Arial"/>
          <w:color w:val="000000" w:themeColor="text1" w:themeTint="FF" w:themeShade="FF"/>
          <w:sz w:val="22"/>
          <w:szCs w:val="22"/>
          <w:lang w:val="en-US"/>
        </w:rPr>
        <w:t xml:space="preserve">All these studies demonstrate that mental health stigma is a social issue and issue with health care access and health outcomes. Based on the evidence gathered, negative attitudes, </w:t>
      </w:r>
      <w:r w:rsidRPr="73F09774" w:rsidR="00000000">
        <w:rPr>
          <w:rFonts w:ascii="Arial" w:hAnsi="Arial" w:eastAsia="Arial" w:cs="Arial"/>
          <w:color w:val="000000" w:themeColor="text1" w:themeTint="FF" w:themeShade="FF"/>
          <w:sz w:val="22"/>
          <w:szCs w:val="22"/>
          <w:lang w:val="en-US"/>
        </w:rPr>
        <w:t>fear, misinformation, and discrimination are all factors that contribute to the maintenance of stigma and reduction in help-seeking behaviors. Public health educational efforts, increased attention to mental health, and a more supportive healthcare system that encourages individuals to seek assistance in an environment that is non-judgmental are needed.</w:t>
      </w:r>
    </w:p>
    <w:p w:rsidR="0085388C" w:rsidRDefault="0085388C" w14:paraId="371BB4B9" w14:textId="77777777">
      <w:pPr>
        <w:spacing w:after="0" w:line="480" w:lineRule="auto"/>
        <w:rPr>
          <w:rFonts w:ascii="Arial" w:hAnsi="Arial" w:eastAsia="Arial" w:cs="Arial"/>
          <w:b/>
          <w:bCs/>
          <w:color w:val="000000"/>
          <w:sz w:val="22"/>
          <w:szCs w:val="22"/>
        </w:rPr>
      </w:pPr>
    </w:p>
    <w:p w:rsidR="0085388C" w:rsidRDefault="0085388C" w14:paraId="3CF0DCD2" w14:textId="77777777">
      <w:pPr>
        <w:spacing w:after="0" w:line="480" w:lineRule="auto"/>
        <w:rPr>
          <w:rFonts w:ascii="Arial" w:hAnsi="Arial" w:eastAsia="Arial" w:cs="Arial"/>
          <w:b/>
          <w:bCs/>
          <w:color w:val="000000"/>
          <w:sz w:val="22"/>
          <w:szCs w:val="22"/>
        </w:rPr>
      </w:pPr>
    </w:p>
    <w:p w:rsidR="0085388C" w:rsidRDefault="0085388C" w14:paraId="7F54464B" w14:textId="77777777">
      <w:pPr>
        <w:spacing w:after="0" w:line="480" w:lineRule="auto"/>
        <w:rPr>
          <w:rFonts w:ascii="Arial" w:hAnsi="Arial" w:eastAsia="Arial" w:cs="Arial"/>
          <w:b/>
          <w:bCs/>
          <w:color w:val="000000"/>
          <w:sz w:val="22"/>
          <w:szCs w:val="22"/>
        </w:rPr>
      </w:pPr>
    </w:p>
    <w:p w:rsidR="0085388C" w:rsidRDefault="0085388C" w14:paraId="5F199B90" w14:textId="77777777">
      <w:pPr>
        <w:spacing w:after="0" w:line="480" w:lineRule="auto"/>
        <w:rPr>
          <w:rFonts w:ascii="Arial" w:hAnsi="Arial" w:eastAsia="Arial" w:cs="Arial"/>
          <w:b/>
          <w:bCs/>
          <w:color w:val="000000"/>
          <w:sz w:val="22"/>
          <w:szCs w:val="22"/>
        </w:rPr>
      </w:pPr>
    </w:p>
    <w:p w:rsidR="0085388C" w:rsidRDefault="0085388C" w14:paraId="7471C7F0" w14:textId="77777777">
      <w:pPr>
        <w:spacing w:after="0" w:line="480" w:lineRule="auto"/>
        <w:rPr>
          <w:rFonts w:ascii="Arial" w:hAnsi="Arial" w:eastAsia="Arial" w:cs="Arial"/>
          <w:b/>
          <w:bCs/>
          <w:color w:val="000000"/>
          <w:sz w:val="22"/>
          <w:szCs w:val="22"/>
        </w:rPr>
      </w:pPr>
    </w:p>
    <w:p w:rsidR="0085388C" w:rsidRDefault="0085388C" w14:paraId="4C104037" w14:textId="77777777">
      <w:pPr>
        <w:spacing w:after="0" w:line="480" w:lineRule="auto"/>
        <w:rPr>
          <w:rFonts w:ascii="Arial" w:hAnsi="Arial" w:eastAsia="Arial" w:cs="Arial"/>
          <w:b/>
          <w:bCs/>
          <w:color w:val="000000"/>
          <w:sz w:val="22"/>
          <w:szCs w:val="22"/>
        </w:rPr>
      </w:pPr>
    </w:p>
    <w:p w:rsidR="0085388C" w:rsidRDefault="0085388C" w14:paraId="267C6BE7" w14:textId="77777777">
      <w:pPr>
        <w:spacing w:after="0" w:line="480" w:lineRule="auto"/>
        <w:rPr>
          <w:rFonts w:ascii="Arial" w:hAnsi="Arial" w:eastAsia="Arial" w:cs="Arial"/>
          <w:b/>
          <w:bCs/>
          <w:color w:val="000000"/>
          <w:sz w:val="22"/>
          <w:szCs w:val="22"/>
        </w:rPr>
      </w:pPr>
    </w:p>
    <w:p w:rsidR="0085388C" w:rsidRDefault="0085388C" w14:paraId="0E44424E" w14:textId="77777777">
      <w:pPr>
        <w:spacing w:after="0" w:line="480" w:lineRule="auto"/>
        <w:rPr>
          <w:rFonts w:ascii="Arial" w:hAnsi="Arial" w:eastAsia="Arial" w:cs="Arial"/>
          <w:b/>
          <w:bCs/>
          <w:color w:val="000000"/>
          <w:sz w:val="22"/>
          <w:szCs w:val="22"/>
        </w:rPr>
      </w:pPr>
    </w:p>
    <w:p w:rsidR="0085388C" w:rsidRDefault="0085388C" w14:paraId="6BB06574" w14:textId="77777777">
      <w:pPr>
        <w:spacing w:after="0" w:line="480" w:lineRule="auto"/>
        <w:rPr>
          <w:rFonts w:ascii="Arial" w:hAnsi="Arial" w:eastAsia="Arial" w:cs="Arial"/>
          <w:b/>
          <w:bCs/>
          <w:color w:val="000000"/>
          <w:sz w:val="22"/>
          <w:szCs w:val="22"/>
        </w:rPr>
      </w:pPr>
    </w:p>
    <w:p w:rsidR="0085388C" w:rsidRDefault="0085388C" w14:paraId="6930F90A" w14:textId="77777777">
      <w:pPr>
        <w:spacing w:after="0" w:line="480" w:lineRule="auto"/>
        <w:rPr>
          <w:rFonts w:ascii="Arial" w:hAnsi="Arial" w:eastAsia="Arial" w:cs="Arial"/>
          <w:b/>
          <w:bCs/>
          <w:color w:val="000000"/>
          <w:sz w:val="22"/>
          <w:szCs w:val="22"/>
        </w:rPr>
      </w:pPr>
    </w:p>
    <w:p w:rsidR="0085388C" w:rsidRDefault="0085388C" w14:paraId="16CEF609" w14:textId="77777777">
      <w:pPr>
        <w:spacing w:after="0" w:line="480" w:lineRule="auto"/>
        <w:rPr>
          <w:rFonts w:ascii="Arial" w:hAnsi="Arial" w:eastAsia="Arial" w:cs="Arial"/>
          <w:b/>
          <w:bCs/>
          <w:color w:val="000000"/>
          <w:sz w:val="22"/>
          <w:szCs w:val="22"/>
        </w:rPr>
      </w:pPr>
    </w:p>
    <w:p w:rsidR="0085388C" w:rsidRDefault="0085388C" w14:paraId="1CC18559" w14:textId="77777777">
      <w:pPr>
        <w:spacing w:after="0" w:line="480" w:lineRule="auto"/>
        <w:rPr>
          <w:rFonts w:ascii="Arial" w:hAnsi="Arial" w:eastAsia="Arial" w:cs="Arial"/>
          <w:b/>
          <w:bCs/>
          <w:color w:val="000000"/>
          <w:sz w:val="22"/>
          <w:szCs w:val="22"/>
        </w:rPr>
      </w:pPr>
    </w:p>
    <w:p w:rsidR="0085388C" w:rsidRDefault="0085388C" w14:paraId="47256526" w14:textId="77777777">
      <w:pPr>
        <w:spacing w:after="0" w:line="480" w:lineRule="auto"/>
        <w:rPr>
          <w:rFonts w:ascii="Arial" w:hAnsi="Arial" w:eastAsia="Arial" w:cs="Arial"/>
          <w:b/>
          <w:bCs/>
          <w:color w:val="000000"/>
          <w:sz w:val="22"/>
          <w:szCs w:val="22"/>
        </w:rPr>
      </w:pPr>
    </w:p>
    <w:p w:rsidR="0085388C" w:rsidRDefault="0085388C" w14:paraId="00A63707" w14:textId="77777777">
      <w:pPr>
        <w:spacing w:after="0" w:line="480" w:lineRule="auto"/>
        <w:rPr>
          <w:rFonts w:ascii="Arial" w:hAnsi="Arial" w:eastAsia="Arial" w:cs="Arial"/>
          <w:b/>
          <w:bCs/>
          <w:color w:val="000000"/>
          <w:sz w:val="22"/>
          <w:szCs w:val="22"/>
        </w:rPr>
      </w:pPr>
    </w:p>
    <w:p w:rsidR="0085388C" w:rsidP="73F09774" w:rsidRDefault="0085388C" w14:paraId="3082CBCB" w14:textId="28B7AF04">
      <w:pPr>
        <w:pStyle w:val="Normal"/>
        <w:spacing w:after="0" w:line="480" w:lineRule="auto"/>
        <w:rPr>
          <w:rFonts w:ascii="Arial" w:hAnsi="Arial" w:eastAsia="Arial" w:cs="Arial"/>
          <w:b w:val="1"/>
          <w:bCs w:val="1"/>
          <w:color w:val="000000"/>
          <w:sz w:val="22"/>
          <w:szCs w:val="22"/>
        </w:rPr>
      </w:pPr>
    </w:p>
    <w:p w:rsidR="0085388C" w:rsidRDefault="0085388C" w14:paraId="24D10B1B" w14:textId="77777777">
      <w:pPr>
        <w:spacing w:after="0" w:line="480" w:lineRule="auto"/>
        <w:rPr>
          <w:rFonts w:ascii="Arial" w:hAnsi="Arial" w:eastAsia="Arial" w:cs="Arial"/>
          <w:b/>
          <w:bCs/>
          <w:color w:val="000000"/>
          <w:sz w:val="22"/>
          <w:szCs w:val="22"/>
        </w:rPr>
      </w:pPr>
    </w:p>
    <w:p w:rsidR="0085388C" w:rsidRDefault="0085388C" w14:paraId="02A3D4EB" w14:textId="77777777">
      <w:pPr>
        <w:spacing w:after="0" w:line="480" w:lineRule="auto"/>
        <w:rPr>
          <w:rFonts w:ascii="Times New Roman" w:hAnsi="Times New Roman" w:eastAsia="Times New Roman" w:cs="Times New Roman"/>
          <w:b/>
          <w:bCs/>
          <w:color w:val="000000"/>
        </w:rPr>
      </w:pPr>
    </w:p>
    <w:p w:rsidR="0085388C" w:rsidRDefault="00000000" w14:paraId="622BE122" w14:textId="77777777">
      <w:pPr>
        <w:spacing w:after="0" w:line="480" w:lineRule="auto"/>
        <w:rPr>
          <w:rFonts w:ascii="Times New Roman" w:hAnsi="Times New Roman" w:eastAsia="Times New Roman" w:cs="Times New Roman"/>
          <w:b/>
          <w:bCs/>
          <w:color w:val="000000"/>
        </w:rPr>
      </w:pPr>
      <w:r>
        <w:rPr>
          <w:rFonts w:ascii="Times New Roman" w:hAnsi="Times New Roman" w:eastAsia="Times New Roman" w:cs="Times New Roman"/>
          <w:b/>
          <w:bCs/>
          <w:color w:val="000000"/>
        </w:rPr>
        <w:t>Task 5 - Podcast</w:t>
      </w:r>
    </w:p>
    <w:p w:rsidR="0085388C" w:rsidP="73F09774" w:rsidRDefault="00000000" w14:paraId="4868C42C" w14:textId="77777777">
      <w:pPr>
        <w:spacing w:after="0" w:line="480" w:lineRule="auto"/>
        <w:rPr>
          <w:rFonts w:ascii="Times New Roman" w:hAnsi="Times New Roman" w:eastAsia="Times New Roman" w:cs="Times New Roman"/>
          <w:i w:val="1"/>
          <w:iCs w:val="1"/>
          <w:lang w:val="en-US"/>
        </w:rPr>
      </w:pPr>
      <w:r w:rsidRPr="73F09774" w:rsidR="00000000">
        <w:rPr>
          <w:rFonts w:ascii="Times New Roman" w:hAnsi="Times New Roman" w:eastAsia="Times New Roman" w:cs="Times New Roman"/>
          <w:i w:val="1"/>
          <w:iCs w:val="1"/>
          <w:color w:val="000000" w:themeColor="text1" w:themeTint="FF" w:themeShade="FF"/>
          <w:lang w:val="en-US"/>
        </w:rPr>
        <w:t xml:space="preserve">Record a two-minute Podcast introducing your idea for component 2 using </w:t>
      </w:r>
      <w:hyperlink r:id="R8b6fd7336a3f4a73">
        <w:r w:rsidRPr="73F09774" w:rsidR="0085388C">
          <w:rPr>
            <w:rFonts w:ascii="Times New Roman" w:hAnsi="Times New Roman" w:eastAsia="Times New Roman" w:cs="Times New Roman"/>
            <w:i w:val="1"/>
            <w:iCs w:val="1"/>
            <w:color w:val="467886"/>
            <w:u w:val="single"/>
            <w:lang w:val="en-US"/>
          </w:rPr>
          <w:t>https://www.rev.com/onlinevoicerecorder</w:t>
        </w:r>
      </w:hyperlink>
      <w:r w:rsidRPr="73F09774" w:rsidR="00000000">
        <w:rPr>
          <w:rFonts w:ascii="Times New Roman" w:hAnsi="Times New Roman" w:eastAsia="Times New Roman" w:cs="Times New Roman"/>
          <w:i w:val="1"/>
          <w:iCs w:val="1"/>
          <w:lang w:val="en-US"/>
        </w:rPr>
        <w:t xml:space="preserve"> The MP3 audio must be downloaded and embedded as a file (see guidance video on how to do this here: https://www.youtube.com/watch?v=D21isId0agw) or an accessible OneDrive link if using a </w:t>
      </w:r>
      <w:r w:rsidRPr="73F09774" w:rsidR="00000000">
        <w:rPr>
          <w:rFonts w:ascii="Times New Roman" w:hAnsi="Times New Roman" w:eastAsia="Times New Roman" w:cs="Times New Roman"/>
          <w:i w:val="1"/>
          <w:iCs w:val="1"/>
          <w:lang w:val="en-US"/>
        </w:rPr>
        <w:t>chromebook</w:t>
      </w:r>
      <w:r w:rsidRPr="73F09774" w:rsidR="00000000">
        <w:rPr>
          <w:rFonts w:ascii="Times New Roman" w:hAnsi="Times New Roman" w:eastAsia="Times New Roman" w:cs="Times New Roman"/>
          <w:i w:val="1"/>
          <w:iCs w:val="1"/>
          <w:lang w:val="en-US"/>
        </w:rPr>
        <w:t xml:space="preserve"> (make accessibility – anybody) before inserting into your portfolio. Check the accessibility of the link before submitting.</w:t>
      </w:r>
    </w:p>
    <w:p w:rsidR="0085388C" w:rsidRDefault="00000000" w14:paraId="763AAF43" w14:textId="77777777">
      <w:pPr>
        <w:spacing w:after="0" w:line="480" w:lineRule="auto"/>
        <w:rPr>
          <w:rFonts w:ascii="Times New Roman" w:hAnsi="Times New Roman" w:eastAsia="Times New Roman" w:cs="Times New Roman"/>
          <w:i/>
          <w:iCs/>
          <w:color w:val="FF0000"/>
        </w:rPr>
      </w:pPr>
      <w:r>
        <w:rPr>
          <w:rFonts w:ascii="Times New Roman" w:hAnsi="Times New Roman" w:eastAsia="Times New Roman" w:cs="Times New Roman"/>
          <w:i/>
          <w:iCs/>
          <w:color w:val="FF0000"/>
        </w:rPr>
        <w:t>Please refer to week 4 &amp; 6 content.</w:t>
      </w:r>
    </w:p>
    <w:p w:rsidR="0085388C" w:rsidRDefault="00000000" w14:paraId="44629107" w14:textId="485EF4A2">
      <w:pPr>
        <w:spacing w:after="0" w:line="480" w:lineRule="auto"/>
      </w:pPr>
      <w:r w:rsidRPr="73F09774" w:rsidR="00000000">
        <w:rPr>
          <w:rFonts w:ascii="Times New Roman" w:hAnsi="Times New Roman" w:eastAsia="Times New Roman" w:cs="Times New Roman"/>
          <w:i w:val="1"/>
          <w:iCs w:val="1"/>
          <w:color w:val="FF0000"/>
        </w:rPr>
        <w:t>[please insert file or li</w:t>
      </w:r>
      <w:hyperlink r:id="R7557ad6b3f9143fa">
        <w:r w:rsidRPr="73F09774" w:rsidR="50181578">
          <w:rPr>
            <w:rStyle w:val="Hyperlink"/>
            <w:i w:val="1"/>
            <w:iCs w:val="1"/>
          </w:rPr>
          <w:t>https://drive.google.com/file/d/10jALT1l6d8_yTyOptbjTvMSry-UHLrfy/view?usp=drive_link</w:t>
        </w:r>
      </w:hyperlink>
    </w:p>
    <w:p w:rsidR="0085388C" w:rsidRDefault="0085388C" w14:paraId="1462A4C5" w14:textId="3E751FF6">
      <w:pPr>
        <w:spacing w:after="0" w:line="480" w:lineRule="auto"/>
        <w:rPr>
          <w:rFonts w:ascii="Times New Roman" w:hAnsi="Times New Roman" w:eastAsia="Times New Roman" w:cs="Times New Roman"/>
          <w:color w:val="000000"/>
        </w:rPr>
      </w:pPr>
    </w:p>
    <w:p w:rsidR="0085388C" w:rsidRDefault="00073172" w14:paraId="2757CA46" w14:textId="3BBEA594">
      <w:pPr>
        <w:spacing w:after="0" w:line="480" w:lineRule="auto"/>
        <w:rPr>
          <w:rFonts w:ascii="Times New Roman" w:hAnsi="Times New Roman" w:eastAsia="Times New Roman" w:cs="Times New Roman"/>
          <w:color w:val="000000"/>
        </w:rPr>
      </w:pPr>
      <w:r>
        <w:rPr>
          <w:rFonts w:ascii="Times New Roman" w:hAnsi="Times New Roman" w:eastAsia="Times New Roman" w:cs="Times New Roman"/>
          <w:color w:val="000000"/>
        </w:rPr>
        <w:object w:dxaOrig="1504" w:dyaOrig="982" w14:anchorId="1BE2FA08">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8" style="width:75pt;height:49pt" o:ole="" type="#_x0000_t75">
            <v:imagedata o:title="" r:id="rId10"/>
          </v:shape>
          <o:OLEObject Type="Embed" ProgID="Package" ShapeID="_x0000_i1028" DrawAspect="Icon" ObjectID="_1843391724" r:id="rId11"/>
        </w:object>
      </w:r>
      <w:r w:rsidR="00586881">
        <w:rPr>
          <w:rFonts w:ascii="Times New Roman" w:hAnsi="Times New Roman" w:eastAsia="Times New Roman" w:cs="Times New Roman"/>
          <w:color w:val="000000"/>
        </w:rPr>
        <w:object w:dxaOrig="2500" w:dyaOrig="830" w14:anchorId="3B8BC988">
          <v:shape id="_x0000_i1027" style="width:342.5pt;height:114.5pt" o:ole="" type="#_x0000_t75">
            <v:imagedata o:title="" r:id="rId12"/>
          </v:shape>
          <o:OLEObject Type="Embed" ProgID="Package" ShapeID="_x0000_i1027" DrawAspect="Content" ObjectID="_1843391725" r:id="rId13"/>
        </w:object>
      </w:r>
    </w:p>
    <w:p w:rsidR="0085388C" w:rsidRDefault="0085388C" w14:paraId="6DF79573" w14:textId="77777777">
      <w:pPr>
        <w:spacing w:after="0" w:line="480" w:lineRule="auto"/>
        <w:rPr>
          <w:rFonts w:ascii="Times New Roman" w:hAnsi="Times New Roman" w:eastAsia="Times New Roman" w:cs="Times New Roman"/>
          <w:color w:val="000000"/>
        </w:rPr>
      </w:pPr>
    </w:p>
    <w:p w:rsidR="0085388C" w:rsidRDefault="0085388C" w14:paraId="4E2D5B8E" w14:textId="77777777">
      <w:pPr>
        <w:spacing w:after="0" w:line="480" w:lineRule="auto"/>
        <w:rPr>
          <w:rFonts w:ascii="Times New Roman" w:hAnsi="Times New Roman" w:eastAsia="Times New Roman" w:cs="Times New Roman"/>
          <w:color w:val="000000"/>
        </w:rPr>
      </w:pPr>
    </w:p>
    <w:p w:rsidR="0085388C" w:rsidRDefault="0085388C" w14:paraId="3D1E3D50" w14:textId="77777777">
      <w:pPr>
        <w:spacing w:after="0" w:line="480" w:lineRule="auto"/>
        <w:rPr>
          <w:rFonts w:ascii="Times New Roman" w:hAnsi="Times New Roman" w:eastAsia="Times New Roman" w:cs="Times New Roman"/>
          <w:color w:val="000000"/>
        </w:rPr>
      </w:pPr>
    </w:p>
    <w:p w:rsidR="0085388C" w:rsidRDefault="0085388C" w14:paraId="4C230106" w14:textId="77777777">
      <w:pPr>
        <w:spacing w:after="0" w:line="480" w:lineRule="auto"/>
        <w:rPr>
          <w:rFonts w:ascii="Times New Roman" w:hAnsi="Times New Roman" w:eastAsia="Times New Roman" w:cs="Times New Roman"/>
          <w:color w:val="000000"/>
        </w:rPr>
      </w:pPr>
    </w:p>
    <w:p w:rsidR="0085388C" w:rsidRDefault="0085388C" w14:paraId="75EB30A6" w14:textId="77777777">
      <w:pPr>
        <w:spacing w:after="0" w:line="480" w:lineRule="auto"/>
        <w:rPr>
          <w:rFonts w:ascii="Times New Roman" w:hAnsi="Times New Roman" w:eastAsia="Times New Roman" w:cs="Times New Roman"/>
          <w:color w:val="000000"/>
        </w:rPr>
      </w:pPr>
    </w:p>
    <w:p w:rsidR="0085388C" w:rsidRDefault="0085388C" w14:paraId="5AB6389B" w14:textId="77777777">
      <w:pPr>
        <w:spacing w:after="0" w:line="480" w:lineRule="auto"/>
        <w:rPr>
          <w:rFonts w:ascii="Times New Roman" w:hAnsi="Times New Roman" w:eastAsia="Times New Roman" w:cs="Times New Roman"/>
          <w:color w:val="000000"/>
        </w:rPr>
      </w:pPr>
    </w:p>
    <w:p w:rsidR="0085388C" w:rsidRDefault="0085388C" w14:paraId="1BA66628" w14:textId="77777777">
      <w:pPr>
        <w:spacing w:after="0" w:line="480" w:lineRule="auto"/>
        <w:rPr>
          <w:rFonts w:ascii="Times New Roman" w:hAnsi="Times New Roman" w:eastAsia="Times New Roman" w:cs="Times New Roman"/>
          <w:color w:val="000000"/>
        </w:rPr>
      </w:pPr>
    </w:p>
    <w:p w:rsidR="0085388C" w:rsidRDefault="0085388C" w14:paraId="59A9C9D2" w14:textId="77777777">
      <w:pPr>
        <w:spacing w:after="0" w:line="480" w:lineRule="auto"/>
        <w:rPr>
          <w:rFonts w:ascii="Times New Roman" w:hAnsi="Times New Roman" w:eastAsia="Times New Roman" w:cs="Times New Roman"/>
          <w:color w:val="000000"/>
        </w:rPr>
      </w:pPr>
    </w:p>
    <w:p w:rsidR="0085388C" w:rsidRDefault="0085388C" w14:paraId="61B06D74" w14:textId="77777777">
      <w:pPr>
        <w:spacing w:after="0" w:line="480" w:lineRule="auto"/>
        <w:rPr>
          <w:rFonts w:ascii="Times New Roman" w:hAnsi="Times New Roman" w:eastAsia="Times New Roman" w:cs="Times New Roman"/>
          <w:color w:val="000000"/>
        </w:rPr>
      </w:pPr>
    </w:p>
    <w:p w:rsidR="0085388C" w:rsidRDefault="0085388C" w14:paraId="4863F81F" w14:textId="77777777">
      <w:pPr>
        <w:spacing w:after="0" w:line="480" w:lineRule="auto"/>
        <w:rPr>
          <w:rFonts w:ascii="Times New Roman" w:hAnsi="Times New Roman" w:eastAsia="Times New Roman" w:cs="Times New Roman"/>
          <w:color w:val="000000"/>
        </w:rPr>
      </w:pPr>
    </w:p>
    <w:p w:rsidR="0085388C" w:rsidRDefault="00000000" w14:paraId="3E329634" w14:textId="77777777">
      <w:pPr>
        <w:spacing w:after="0" w:line="480" w:lineRule="auto"/>
        <w:rPr>
          <w:rFonts w:ascii="Times New Roman" w:hAnsi="Times New Roman" w:eastAsia="Times New Roman" w:cs="Times New Roman"/>
          <w:b/>
          <w:bCs/>
          <w:color w:val="000000"/>
        </w:rPr>
      </w:pPr>
      <w:r>
        <w:rPr>
          <w:rFonts w:ascii="Times New Roman" w:hAnsi="Times New Roman" w:eastAsia="Times New Roman" w:cs="Times New Roman"/>
          <w:color w:val="000000"/>
        </w:rPr>
        <w:t xml:space="preserve"> </w:t>
      </w:r>
      <w:r>
        <w:rPr>
          <w:rFonts w:ascii="Times New Roman" w:hAnsi="Times New Roman" w:eastAsia="Times New Roman" w:cs="Times New Roman"/>
          <w:b/>
          <w:bCs/>
          <w:color w:val="000000"/>
        </w:rPr>
        <w:t>Task 6 - NHS Leadership Framework Analysis</w:t>
      </w:r>
    </w:p>
    <w:p w:rsidR="0085388C" w:rsidRDefault="00000000" w14:paraId="35B913AC" w14:textId="77777777">
      <w:pPr>
        <w:spacing w:after="0" w:line="480" w:lineRule="auto"/>
        <w:rPr>
          <w:rFonts w:ascii="Times New Roman" w:hAnsi="Times New Roman" w:eastAsia="Times New Roman" w:cs="Times New Roman"/>
          <w:b/>
          <w:bCs/>
        </w:rPr>
      </w:pPr>
      <w:r>
        <w:rPr>
          <w:rFonts w:ascii="Times New Roman" w:hAnsi="Times New Roman" w:eastAsia="Times New Roman" w:cs="Times New Roman"/>
          <w:b/>
          <w:bCs/>
        </w:rPr>
        <w:t>Summary of the NHS Leadership Framework</w:t>
      </w:r>
    </w:p>
    <w:p w:rsidR="0085388C" w:rsidRDefault="00000000" w14:paraId="18346B9A" w14:textId="5D3A0F30">
      <w:pPr>
        <w:pBdr>
          <w:top w:val="nil"/>
          <w:left w:val="nil"/>
          <w:bottom w:val="nil"/>
          <w:right w:val="nil"/>
          <w:between w:val="nil"/>
        </w:pBdr>
        <w:spacing w:after="0" w:line="480" w:lineRule="auto"/>
        <w:ind w:firstLine="720"/>
        <w:rPr>
          <w:rFonts w:ascii="Arial" w:hAnsi="Arial" w:eastAsia="Arial" w:cs="Arial"/>
          <w:color w:val="000000"/>
          <w:sz w:val="22"/>
          <w:szCs w:val="22"/>
        </w:rPr>
      </w:pPr>
      <w:r>
        <w:rPr>
          <w:rFonts w:ascii="Arial" w:hAnsi="Arial" w:eastAsia="Arial" w:cs="Arial"/>
          <w:color w:val="000000"/>
          <w:sz w:val="22"/>
          <w:szCs w:val="22"/>
        </w:rPr>
        <w:t xml:space="preserve">The NHS Leadership Framework was created to aid in leadership development throughout the NHS and to encourage quality, patient-centered health care. The framework recognizes that leadership does not only belong in the senior leadership team and that all health professionals have a part to play in showing leadership in their role (NHS England, 2025). It provides a structure for building knowledge, skills and behaviors that will improve services and positively affect patient outcomes There are </w:t>
      </w:r>
      <w:r w:rsidR="004E1ED9">
        <w:rPr>
          <w:rFonts w:ascii="Arial" w:hAnsi="Arial" w:eastAsia="Arial" w:cs="Arial"/>
          <w:color w:val="000000"/>
          <w:sz w:val="22"/>
          <w:szCs w:val="22"/>
        </w:rPr>
        <w:t>several</w:t>
      </w:r>
      <w:r>
        <w:rPr>
          <w:rFonts w:ascii="Arial" w:hAnsi="Arial" w:eastAsia="Arial" w:cs="Arial"/>
          <w:color w:val="000000"/>
          <w:sz w:val="22"/>
          <w:szCs w:val="22"/>
        </w:rPr>
        <w:t xml:space="preserve"> important components in the framework, such as demonstrating personal qualities, working collaboratively, managing services, developing services, setting direction and creating a shared vision. In a culture of these factors, healthcare professionals are more likely to be honest, communicate, and work together to achieve organizational goals. </w:t>
      </w:r>
    </w:p>
    <w:p w:rsidR="0085388C" w:rsidRDefault="00000000" w14:paraId="2E10BCAD" w14:textId="2BB5BAF3">
      <w:pPr>
        <w:pBdr>
          <w:top w:val="nil"/>
          <w:left w:val="nil"/>
          <w:bottom w:val="nil"/>
          <w:right w:val="nil"/>
          <w:between w:val="nil"/>
        </w:pBdr>
        <w:spacing w:after="0" w:line="480" w:lineRule="auto"/>
        <w:ind w:firstLine="720"/>
        <w:rPr>
          <w:rFonts w:ascii="Arial" w:hAnsi="Arial" w:eastAsia="Arial" w:cs="Arial"/>
          <w:color w:val="000000"/>
          <w:sz w:val="22"/>
          <w:szCs w:val="22"/>
        </w:rPr>
      </w:pPr>
      <w:r>
        <w:rPr>
          <w:rFonts w:ascii="Arial" w:hAnsi="Arial" w:eastAsia="Arial" w:cs="Arial"/>
          <w:color w:val="000000"/>
          <w:sz w:val="22"/>
          <w:szCs w:val="22"/>
        </w:rPr>
        <w:t xml:space="preserve">One of the strengths of the NHS Leadership Framework is its emphasis </w:t>
      </w:r>
      <w:r w:rsidR="004E1ED9">
        <w:rPr>
          <w:rFonts w:ascii="Arial" w:hAnsi="Arial" w:eastAsia="Arial" w:cs="Arial"/>
          <w:color w:val="000000"/>
          <w:sz w:val="22"/>
          <w:szCs w:val="22"/>
        </w:rPr>
        <w:t>on</w:t>
      </w:r>
      <w:r>
        <w:rPr>
          <w:rFonts w:ascii="Arial" w:hAnsi="Arial" w:eastAsia="Arial" w:cs="Arial"/>
          <w:color w:val="000000"/>
          <w:sz w:val="22"/>
          <w:szCs w:val="22"/>
        </w:rPr>
        <w:t xml:space="preserve"> continuous improvement and innovation. The framework fosters a positive organizational culture by getting leaders to inspire and support their team, as staff feel empowered to share ideas and be involved in service development (NHS England, 2025). Good leadership encourages accountability, teamwork, and effective collaboration in decision making, all of which apply to complex healthcare settings. Furthermore, the framework emphasizes the importance of creating a vision of the future and for staff to understand how their role will help them to provide high-quality care. </w:t>
      </w:r>
    </w:p>
    <w:p w:rsidR="0085388C" w:rsidRDefault="00000000" w14:paraId="5323087F" w14:textId="77777777">
      <w:pPr>
        <w:spacing w:after="0" w:line="480" w:lineRule="auto"/>
        <w:rPr>
          <w:rFonts w:ascii="Arial" w:hAnsi="Arial" w:eastAsia="Arial" w:cs="Arial"/>
          <w:b/>
          <w:bCs/>
          <w:sz w:val="22"/>
          <w:szCs w:val="22"/>
        </w:rPr>
      </w:pPr>
      <w:r>
        <w:rPr>
          <w:rFonts w:ascii="Arial" w:hAnsi="Arial" w:eastAsia="Arial" w:cs="Arial"/>
          <w:b/>
          <w:bCs/>
          <w:sz w:val="22"/>
          <w:szCs w:val="22"/>
        </w:rPr>
        <w:t>Using "Sharing the Vision" to Encourage Creativity</w:t>
      </w:r>
    </w:p>
    <w:p w:rsidR="0085388C" w:rsidP="73F09774" w:rsidRDefault="00000000" w14:paraId="0209CD34" w14:textId="77777777">
      <w:pPr>
        <w:spacing w:after="0" w:line="480" w:lineRule="auto"/>
        <w:ind w:firstLine="720"/>
        <w:rPr>
          <w:rFonts w:ascii="Arial" w:hAnsi="Arial" w:eastAsia="Arial" w:cs="Arial"/>
          <w:sz w:val="22"/>
          <w:szCs w:val="22"/>
          <w:lang w:val="en-US"/>
        </w:rPr>
      </w:pPr>
      <w:bookmarkStart w:name="_heading=h.lhgt0dpd5ag" w:id="1"/>
      <w:bookmarkEnd w:id="1"/>
      <w:r w:rsidRPr="73F09774" w:rsidR="00000000">
        <w:rPr>
          <w:rFonts w:ascii="Arial" w:hAnsi="Arial" w:eastAsia="Arial" w:cs="Arial"/>
          <w:sz w:val="22"/>
          <w:szCs w:val="22"/>
          <w:lang w:val="en-US"/>
        </w:rPr>
        <w:t xml:space="preserve">NHS leaders can use "Sharing the Vision" to promote creativity and care. Leaders who effectively communicate a clear vision help staff to understand the goals of the organization and how they can contribute to the success of the organization (Kline, 2019). A shared vision encourages staff to provide suggestions and get involved with service improvement efforts. </w:t>
      </w:r>
    </w:p>
    <w:p w:rsidR="0085388C" w:rsidP="73F09774" w:rsidRDefault="00000000" w14:paraId="4D11E7EE" w14:textId="77777777">
      <w:pPr>
        <w:spacing w:after="0" w:line="480" w:lineRule="auto"/>
        <w:ind w:firstLine="720"/>
        <w:rPr>
          <w:rFonts w:ascii="Arial" w:hAnsi="Arial" w:eastAsia="Arial" w:cs="Arial"/>
          <w:i w:val="1"/>
          <w:iCs w:val="1"/>
          <w:color w:val="000000"/>
          <w:sz w:val="22"/>
          <w:szCs w:val="22"/>
          <w:lang w:val="en-US"/>
        </w:rPr>
      </w:pPr>
      <w:r w:rsidRPr="73F09774" w:rsidR="00000000">
        <w:rPr>
          <w:rFonts w:ascii="Arial" w:hAnsi="Arial" w:eastAsia="Arial" w:cs="Arial"/>
          <w:sz w:val="22"/>
          <w:szCs w:val="22"/>
          <w:lang w:val="en-US"/>
        </w:rPr>
        <w:t>The guiding principles of transformational leadership can help facilitate this, and it is important to focus on innovation, collaboration, and empowerment. As an example, a leader with the goal of reducing wait times could hire multidisciplinary teams to brainstorm creative solutions, such as implementing a digital appointment system or a community outreach initiative (Ibrahim et al., 2024). Leaders can encourage staff to think creatively and continually improve by establishing an environment that makes staff feel valued and supported. This can increase employee morale and satisfaction, as well as enhance patient care and health outcomes.</w:t>
      </w:r>
    </w:p>
    <w:p w:rsidR="0085388C" w:rsidRDefault="0085388C" w14:paraId="42FB7D77" w14:textId="77777777">
      <w:pPr>
        <w:spacing w:after="0" w:line="480" w:lineRule="auto"/>
        <w:rPr>
          <w:rFonts w:ascii="Arial" w:hAnsi="Arial" w:eastAsia="Arial" w:cs="Arial"/>
          <w:b/>
          <w:bCs/>
          <w:color w:val="000000"/>
          <w:sz w:val="22"/>
          <w:szCs w:val="22"/>
        </w:rPr>
      </w:pPr>
    </w:p>
    <w:p w:rsidR="0085388C" w:rsidRDefault="0085388C" w14:paraId="45090D34" w14:textId="77777777">
      <w:pPr>
        <w:spacing w:after="0" w:line="480" w:lineRule="auto"/>
        <w:rPr>
          <w:rFonts w:ascii="Arial" w:hAnsi="Arial" w:eastAsia="Arial" w:cs="Arial"/>
          <w:b/>
          <w:bCs/>
          <w:color w:val="000000"/>
          <w:sz w:val="22"/>
          <w:szCs w:val="22"/>
        </w:rPr>
      </w:pPr>
    </w:p>
    <w:p w:rsidR="0085388C" w:rsidRDefault="0085388C" w14:paraId="074C6EF8" w14:textId="77777777">
      <w:pPr>
        <w:spacing w:after="0" w:line="480" w:lineRule="auto"/>
        <w:rPr>
          <w:rFonts w:ascii="Arial" w:hAnsi="Arial" w:eastAsia="Arial" w:cs="Arial"/>
          <w:b/>
          <w:bCs/>
          <w:color w:val="000000"/>
          <w:sz w:val="22"/>
          <w:szCs w:val="22"/>
        </w:rPr>
      </w:pPr>
    </w:p>
    <w:p w:rsidR="0085388C" w:rsidRDefault="0085388C" w14:paraId="1A49C2DD" w14:textId="77777777">
      <w:pPr>
        <w:spacing w:after="0" w:line="480" w:lineRule="auto"/>
        <w:rPr>
          <w:rFonts w:ascii="Arial" w:hAnsi="Arial" w:eastAsia="Arial" w:cs="Arial"/>
          <w:b/>
          <w:bCs/>
          <w:color w:val="000000"/>
          <w:sz w:val="22"/>
          <w:szCs w:val="22"/>
        </w:rPr>
      </w:pPr>
    </w:p>
    <w:p w:rsidR="0085388C" w:rsidRDefault="0085388C" w14:paraId="1AC5568E" w14:textId="77777777">
      <w:pPr>
        <w:spacing w:after="0" w:line="480" w:lineRule="auto"/>
        <w:rPr>
          <w:rFonts w:ascii="Arial" w:hAnsi="Arial" w:eastAsia="Arial" w:cs="Arial"/>
          <w:b/>
          <w:bCs/>
          <w:color w:val="000000"/>
          <w:sz w:val="22"/>
          <w:szCs w:val="22"/>
        </w:rPr>
      </w:pPr>
    </w:p>
    <w:p w:rsidR="0085388C" w:rsidRDefault="0085388C" w14:paraId="1F9636E4" w14:textId="77777777">
      <w:pPr>
        <w:spacing w:after="0" w:line="480" w:lineRule="auto"/>
        <w:rPr>
          <w:rFonts w:ascii="Arial" w:hAnsi="Arial" w:eastAsia="Arial" w:cs="Arial"/>
          <w:b/>
          <w:bCs/>
          <w:color w:val="000000"/>
          <w:sz w:val="22"/>
          <w:szCs w:val="22"/>
        </w:rPr>
      </w:pPr>
    </w:p>
    <w:p w:rsidR="0085388C" w:rsidRDefault="0085388C" w14:paraId="60C4903C" w14:textId="77777777">
      <w:pPr>
        <w:spacing w:after="0" w:line="480" w:lineRule="auto"/>
        <w:rPr>
          <w:rFonts w:ascii="Arial" w:hAnsi="Arial" w:eastAsia="Arial" w:cs="Arial"/>
          <w:b/>
          <w:bCs/>
          <w:color w:val="000000"/>
          <w:sz w:val="22"/>
          <w:szCs w:val="22"/>
        </w:rPr>
      </w:pPr>
    </w:p>
    <w:p w:rsidR="0085388C" w:rsidRDefault="0085388C" w14:paraId="6FDE2B9B" w14:textId="77777777">
      <w:pPr>
        <w:spacing w:after="0" w:line="480" w:lineRule="auto"/>
        <w:rPr>
          <w:rFonts w:ascii="Arial" w:hAnsi="Arial" w:eastAsia="Arial" w:cs="Arial"/>
          <w:b/>
          <w:bCs/>
          <w:color w:val="000000"/>
          <w:sz w:val="22"/>
          <w:szCs w:val="22"/>
        </w:rPr>
      </w:pPr>
    </w:p>
    <w:p w:rsidR="0085388C" w:rsidRDefault="0085388C" w14:paraId="393BC308" w14:textId="77777777">
      <w:pPr>
        <w:spacing w:after="0" w:line="480" w:lineRule="auto"/>
        <w:rPr>
          <w:rFonts w:ascii="Arial" w:hAnsi="Arial" w:eastAsia="Arial" w:cs="Arial"/>
          <w:b/>
          <w:bCs/>
          <w:color w:val="000000"/>
          <w:sz w:val="22"/>
          <w:szCs w:val="22"/>
        </w:rPr>
      </w:pPr>
    </w:p>
    <w:p w:rsidR="0085388C" w:rsidRDefault="0085388C" w14:paraId="44B5EF22" w14:textId="77777777">
      <w:pPr>
        <w:spacing w:after="0" w:line="480" w:lineRule="auto"/>
        <w:rPr>
          <w:rFonts w:ascii="Arial" w:hAnsi="Arial" w:eastAsia="Arial" w:cs="Arial"/>
          <w:b/>
          <w:bCs/>
          <w:color w:val="000000"/>
          <w:sz w:val="22"/>
          <w:szCs w:val="22"/>
        </w:rPr>
      </w:pPr>
    </w:p>
    <w:p w:rsidR="0085388C" w:rsidRDefault="0085388C" w14:paraId="12A3D467" w14:textId="77777777">
      <w:pPr>
        <w:spacing w:after="0" w:line="480" w:lineRule="auto"/>
        <w:rPr>
          <w:rFonts w:ascii="Arial" w:hAnsi="Arial" w:eastAsia="Arial" w:cs="Arial"/>
          <w:b/>
          <w:bCs/>
          <w:color w:val="000000"/>
          <w:sz w:val="22"/>
          <w:szCs w:val="22"/>
        </w:rPr>
      </w:pPr>
    </w:p>
    <w:p w:rsidR="0085388C" w:rsidRDefault="0085388C" w14:paraId="32184038" w14:textId="77777777">
      <w:pPr>
        <w:spacing w:after="0" w:line="480" w:lineRule="auto"/>
        <w:rPr>
          <w:rFonts w:ascii="Arial" w:hAnsi="Arial" w:eastAsia="Arial" w:cs="Arial"/>
          <w:b/>
          <w:bCs/>
          <w:color w:val="000000"/>
          <w:sz w:val="22"/>
          <w:szCs w:val="22"/>
        </w:rPr>
      </w:pPr>
    </w:p>
    <w:p w:rsidR="0085388C" w:rsidRDefault="0085388C" w14:paraId="67648526" w14:textId="77777777">
      <w:pPr>
        <w:spacing w:after="0" w:line="480" w:lineRule="auto"/>
        <w:rPr>
          <w:rFonts w:ascii="Arial" w:hAnsi="Arial" w:eastAsia="Arial" w:cs="Arial"/>
          <w:b/>
          <w:bCs/>
          <w:color w:val="000000"/>
          <w:sz w:val="22"/>
          <w:szCs w:val="22"/>
        </w:rPr>
      </w:pPr>
    </w:p>
    <w:p w:rsidR="0085388C" w:rsidRDefault="0085388C" w14:paraId="1654F6B9" w14:textId="77777777">
      <w:pPr>
        <w:spacing w:after="0" w:line="480" w:lineRule="auto"/>
        <w:rPr>
          <w:rFonts w:ascii="Arial" w:hAnsi="Arial" w:eastAsia="Arial" w:cs="Arial"/>
          <w:b/>
          <w:bCs/>
          <w:color w:val="000000"/>
          <w:sz w:val="22"/>
          <w:szCs w:val="22"/>
        </w:rPr>
      </w:pPr>
    </w:p>
    <w:p w:rsidR="004E1ED9" w:rsidRDefault="004E1ED9" w14:paraId="0B866BCD" w14:textId="77777777">
      <w:pPr>
        <w:spacing w:after="0" w:line="480" w:lineRule="auto"/>
        <w:rPr>
          <w:rFonts w:ascii="Arial" w:hAnsi="Arial" w:eastAsia="Arial" w:cs="Arial"/>
          <w:b/>
          <w:bCs/>
          <w:color w:val="000000"/>
          <w:sz w:val="22"/>
          <w:szCs w:val="22"/>
        </w:rPr>
      </w:pPr>
    </w:p>
    <w:p w:rsidR="0085388C" w:rsidRDefault="0085388C" w14:paraId="5489CA9B" w14:textId="77777777">
      <w:pPr>
        <w:spacing w:after="0" w:line="480" w:lineRule="auto"/>
        <w:rPr>
          <w:rFonts w:ascii="Arial" w:hAnsi="Arial" w:eastAsia="Arial" w:cs="Arial"/>
          <w:b/>
          <w:bCs/>
          <w:color w:val="000000"/>
          <w:sz w:val="22"/>
          <w:szCs w:val="22"/>
        </w:rPr>
      </w:pPr>
    </w:p>
    <w:p w:rsidR="0085388C" w:rsidRDefault="00000000" w14:paraId="452E8D60" w14:textId="77777777">
      <w:pPr>
        <w:spacing w:after="0" w:line="480" w:lineRule="auto"/>
        <w:rPr>
          <w:rFonts w:ascii="Arial" w:hAnsi="Arial" w:eastAsia="Arial" w:cs="Arial"/>
          <w:b/>
          <w:bCs/>
          <w:color w:val="000000"/>
          <w:sz w:val="22"/>
          <w:szCs w:val="22"/>
        </w:rPr>
      </w:pPr>
      <w:r>
        <w:rPr>
          <w:rFonts w:ascii="Arial" w:hAnsi="Arial" w:eastAsia="Arial" w:cs="Arial"/>
          <w:b/>
          <w:bCs/>
          <w:color w:val="000000"/>
          <w:sz w:val="22"/>
          <w:szCs w:val="22"/>
        </w:rPr>
        <w:t>Task 7 - Self-Reflection Journal Entry</w:t>
      </w:r>
    </w:p>
    <w:p w:rsidR="0085388C" w:rsidRDefault="00000000" w14:paraId="25F27963" w14:textId="77777777">
      <w:pPr>
        <w:spacing w:after="0" w:line="480" w:lineRule="auto"/>
        <w:ind w:firstLine="720"/>
        <w:rPr>
          <w:rFonts w:ascii="Arial" w:hAnsi="Arial" w:eastAsia="Arial" w:cs="Arial"/>
          <w:sz w:val="22"/>
          <w:szCs w:val="22"/>
        </w:rPr>
      </w:pPr>
      <w:r>
        <w:rPr>
          <w:rFonts w:ascii="Arial" w:hAnsi="Arial" w:eastAsia="Arial" w:cs="Arial"/>
          <w:sz w:val="22"/>
          <w:szCs w:val="22"/>
        </w:rPr>
        <w:t xml:space="preserve">During this module I have gained a great deal of knowledge about creativity and value creation in health and social care. I perceived creativity as being related to art and the creation of modern technologies before studying the module. But I now realize that creativity is about producing ideas and solutions that are of value and that will enhance patient experience, make services more effective, and help address the complexities of healthcare (Brewster et al., 2021). </w:t>
      </w:r>
    </w:p>
    <w:p w:rsidR="0085388C" w:rsidRDefault="00000000" w14:paraId="622798D0" w14:textId="77777777">
      <w:pPr>
        <w:spacing w:after="0" w:line="480" w:lineRule="auto"/>
        <w:ind w:firstLine="720"/>
        <w:rPr>
          <w:rFonts w:ascii="Arial" w:hAnsi="Arial" w:eastAsia="Arial" w:cs="Arial"/>
          <w:sz w:val="22"/>
          <w:szCs w:val="22"/>
        </w:rPr>
      </w:pPr>
      <w:r>
        <w:rPr>
          <w:rFonts w:ascii="Arial" w:hAnsi="Arial" w:eastAsia="Arial" w:cs="Arial"/>
          <w:sz w:val="22"/>
          <w:szCs w:val="22"/>
        </w:rPr>
        <w:t xml:space="preserve">The most significant thing that I learned was the connection between creativity, wellbeing, leadership, and value creation. The module illustrated the value of creative thinking in enhancing the delivery of healthcare and the value added through improved healthcare outcomes and increased efficiency of resources. Understanding divergent and convergent thinking made me more aware of the need to balance innovation and making decisions. Moreover, I also got to know that in an organization, a transformational leadership style can foster creative cultures (Ibrahim et al., 2024). </w:t>
      </w:r>
    </w:p>
    <w:p w:rsidR="0085388C" w:rsidRDefault="00000000" w14:paraId="241E5934" w14:textId="77777777">
      <w:pPr>
        <w:spacing w:after="0" w:line="480" w:lineRule="auto"/>
        <w:ind w:firstLine="720"/>
        <w:rPr>
          <w:rFonts w:ascii="Arial" w:hAnsi="Arial" w:eastAsia="Arial" w:cs="Arial"/>
          <w:color w:val="000000"/>
          <w:sz w:val="22"/>
          <w:szCs w:val="22"/>
        </w:rPr>
      </w:pPr>
      <w:r>
        <w:rPr>
          <w:rFonts w:ascii="Arial" w:hAnsi="Arial" w:eastAsia="Arial" w:cs="Arial"/>
          <w:sz w:val="22"/>
          <w:szCs w:val="22"/>
        </w:rPr>
        <w:t>It has really helped me to think about my work and to have a solution-oriented approach to problem solving. I am now more confident in being involved in more ways in improving services and collaborating with colleagues to deliver innovative solutions. I will continue to use creative thinking, reflective practice, and good leadership in health and social care to improve my work for the benefit of patients and achieve positive outcomes in the future.</w:t>
      </w:r>
    </w:p>
    <w:p w:rsidR="0085388C" w:rsidRDefault="00000000" w14:paraId="3B50DA1C" w14:textId="77777777">
      <w:pPr>
        <w:spacing w:after="0" w:line="480" w:lineRule="auto"/>
        <w:rPr>
          <w:rFonts w:ascii="Arial" w:hAnsi="Arial" w:eastAsia="Arial" w:cs="Arial"/>
          <w:b/>
          <w:bCs/>
          <w:color w:val="000000"/>
          <w:sz w:val="22"/>
          <w:szCs w:val="22"/>
        </w:rPr>
      </w:pPr>
      <w:r>
        <w:br w:type="page"/>
      </w:r>
    </w:p>
    <w:p w:rsidR="0085388C" w:rsidRDefault="00000000" w14:paraId="27CC432F" w14:textId="77777777">
      <w:pPr>
        <w:spacing w:after="0" w:line="480" w:lineRule="auto"/>
        <w:rPr>
          <w:rFonts w:ascii="Arial" w:hAnsi="Arial" w:eastAsia="Arial" w:cs="Arial"/>
          <w:b/>
          <w:bCs/>
          <w:color w:val="000000"/>
          <w:sz w:val="22"/>
          <w:szCs w:val="22"/>
        </w:rPr>
      </w:pPr>
      <w:r>
        <w:rPr>
          <w:rFonts w:ascii="Arial" w:hAnsi="Arial" w:eastAsia="Arial" w:cs="Arial"/>
          <w:b/>
          <w:bCs/>
          <w:color w:val="000000"/>
          <w:sz w:val="22"/>
          <w:szCs w:val="22"/>
        </w:rPr>
        <w:lastRenderedPageBreak/>
        <w:t>Reference List</w:t>
      </w:r>
    </w:p>
    <w:p w:rsidR="0085388C" w:rsidP="73F09774" w:rsidRDefault="00000000" w14:paraId="623A21D6" w14:textId="77777777">
      <w:pPr>
        <w:spacing w:after="0" w:line="480" w:lineRule="auto"/>
        <w:ind w:left="720" w:hanging="720"/>
        <w:rPr>
          <w:rFonts w:ascii="Arial" w:hAnsi="Arial" w:eastAsia="Arial" w:cs="Arial"/>
          <w:sz w:val="22"/>
          <w:szCs w:val="22"/>
          <w:lang w:val="en-US"/>
        </w:rPr>
      </w:pPr>
      <w:r w:rsidRPr="73F09774" w:rsidR="00000000">
        <w:rPr>
          <w:rFonts w:ascii="Arial" w:hAnsi="Arial" w:eastAsia="Arial" w:cs="Arial"/>
          <w:sz w:val="22"/>
          <w:szCs w:val="22"/>
          <w:lang w:val="en-US"/>
        </w:rPr>
        <w:t>Brewster, A.L., Lee, Y.S.H., Linnander, E.L. and Curry, L.A. (2021). Creativity in problem solving to improve complex health outcomes: Insights from hospitals seeking to improve cardiovascular care. </w:t>
      </w:r>
      <w:r w:rsidRPr="73F09774" w:rsidR="00000000">
        <w:rPr>
          <w:rFonts w:ascii="Arial" w:hAnsi="Arial" w:eastAsia="Arial" w:cs="Arial"/>
          <w:i w:val="1"/>
          <w:iCs w:val="1"/>
          <w:sz w:val="22"/>
          <w:szCs w:val="22"/>
          <w:lang w:val="en-US"/>
        </w:rPr>
        <w:t>Learning Health Systems,</w:t>
      </w:r>
      <w:r w:rsidRPr="73F09774" w:rsidR="00000000">
        <w:rPr>
          <w:rFonts w:ascii="Arial" w:hAnsi="Arial" w:eastAsia="Arial" w:cs="Arial"/>
          <w:sz w:val="22"/>
          <w:szCs w:val="22"/>
          <w:lang w:val="en-US"/>
        </w:rPr>
        <w:t xml:space="preserve"> 6(2).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017dae7ae1b24e66">
        <w:r w:rsidRPr="73F09774" w:rsidR="0085388C">
          <w:rPr>
            <w:rFonts w:ascii="Arial" w:hAnsi="Arial" w:eastAsia="Arial" w:cs="Arial"/>
            <w:color w:val="467886"/>
            <w:sz w:val="22"/>
            <w:szCs w:val="22"/>
            <w:u w:val="single"/>
            <w:lang w:val="en-US"/>
          </w:rPr>
          <w:t>https://doi.org/10.1002/lrh2.10283</w:t>
        </w:r>
      </w:hyperlink>
      <w:r w:rsidRPr="73F09774" w:rsidR="00000000">
        <w:rPr>
          <w:rFonts w:ascii="Arial" w:hAnsi="Arial" w:eastAsia="Arial" w:cs="Arial"/>
          <w:sz w:val="22"/>
          <w:szCs w:val="22"/>
          <w:lang w:val="en-US"/>
        </w:rPr>
        <w:t xml:space="preserve">. </w:t>
      </w:r>
    </w:p>
    <w:p w:rsidR="0085388C" w:rsidP="73F09774" w:rsidRDefault="00000000" w14:paraId="6B30FEAF" w14:textId="77777777">
      <w:pPr>
        <w:spacing w:after="0" w:line="480" w:lineRule="auto"/>
        <w:ind w:left="720" w:hanging="720"/>
        <w:rPr>
          <w:rFonts w:ascii="Arial" w:hAnsi="Arial" w:eastAsia="Arial" w:cs="Arial"/>
          <w:sz w:val="22"/>
          <w:szCs w:val="22"/>
          <w:lang w:val="en-US"/>
        </w:rPr>
      </w:pPr>
      <w:r w:rsidRPr="73F09774" w:rsidR="00000000">
        <w:rPr>
          <w:rFonts w:ascii="Arial" w:hAnsi="Arial" w:eastAsia="Arial" w:cs="Arial"/>
          <w:sz w:val="22"/>
          <w:szCs w:val="22"/>
          <w:lang w:val="en-US"/>
        </w:rPr>
        <w:t>Caspersen, H. (2025). Creativity. </w:t>
      </w:r>
      <w:r w:rsidRPr="73F09774" w:rsidR="00000000">
        <w:rPr>
          <w:rFonts w:ascii="Arial" w:hAnsi="Arial" w:eastAsia="Arial" w:cs="Arial"/>
          <w:i w:val="1"/>
          <w:iCs w:val="1"/>
          <w:sz w:val="22"/>
          <w:szCs w:val="22"/>
          <w:lang w:val="en-US"/>
        </w:rPr>
        <w:t>Palgrave Studies in Literary Anthropology,</w:t>
      </w:r>
      <w:r w:rsidRPr="73F09774" w:rsidR="00000000">
        <w:rPr>
          <w:rFonts w:ascii="Arial" w:hAnsi="Arial" w:eastAsia="Arial" w:cs="Arial"/>
          <w:sz w:val="22"/>
          <w:szCs w:val="22"/>
          <w:lang w:val="en-US"/>
        </w:rPr>
        <w:t xml:space="preserve"> pp.81–87.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22d320672ec84cbb">
        <w:r w:rsidRPr="73F09774" w:rsidR="0085388C">
          <w:rPr>
            <w:rFonts w:ascii="Arial" w:hAnsi="Arial" w:eastAsia="Arial" w:cs="Arial"/>
            <w:color w:val="467886"/>
            <w:sz w:val="22"/>
            <w:szCs w:val="22"/>
            <w:u w:val="single"/>
            <w:lang w:val="en-US"/>
          </w:rPr>
          <w:t>https://doi.org/10.1007/978-3-031-83819-4_9</w:t>
        </w:r>
      </w:hyperlink>
      <w:r w:rsidRPr="73F09774" w:rsidR="00000000">
        <w:rPr>
          <w:rFonts w:ascii="Arial" w:hAnsi="Arial" w:eastAsia="Arial" w:cs="Arial"/>
          <w:sz w:val="22"/>
          <w:szCs w:val="22"/>
          <w:lang w:val="en-US"/>
        </w:rPr>
        <w:t xml:space="preserve">. </w:t>
      </w:r>
    </w:p>
    <w:p w:rsidR="0085388C" w:rsidP="73F09774" w:rsidRDefault="00000000" w14:paraId="51A767A6" w14:textId="77777777">
      <w:pPr>
        <w:spacing w:after="0" w:line="480" w:lineRule="auto"/>
        <w:ind w:left="720" w:hanging="720"/>
        <w:rPr>
          <w:rFonts w:ascii="Arial" w:hAnsi="Arial" w:eastAsia="Arial" w:cs="Arial"/>
          <w:sz w:val="22"/>
          <w:szCs w:val="22"/>
          <w:lang w:val="en-US"/>
        </w:rPr>
      </w:pPr>
      <w:r w:rsidRPr="73F09774" w:rsidR="00000000">
        <w:rPr>
          <w:rFonts w:ascii="Arial" w:hAnsi="Arial" w:eastAsia="Arial" w:cs="Arial"/>
          <w:sz w:val="22"/>
          <w:szCs w:val="22"/>
          <w:lang w:val="en-US"/>
        </w:rPr>
        <w:t xml:space="preserve">Chukwuma, O.V., Ezeani, E.I., </w:t>
      </w:r>
      <w:r w:rsidRPr="73F09774" w:rsidR="00000000">
        <w:rPr>
          <w:rFonts w:ascii="Arial" w:hAnsi="Arial" w:eastAsia="Arial" w:cs="Arial"/>
          <w:sz w:val="22"/>
          <w:szCs w:val="22"/>
          <w:lang w:val="en-US"/>
        </w:rPr>
        <w:t>Fatoye</w:t>
      </w:r>
      <w:r w:rsidRPr="73F09774" w:rsidR="00000000">
        <w:rPr>
          <w:rFonts w:ascii="Arial" w:hAnsi="Arial" w:eastAsia="Arial" w:cs="Arial"/>
          <w:sz w:val="22"/>
          <w:szCs w:val="22"/>
          <w:lang w:val="en-US"/>
        </w:rPr>
        <w:t xml:space="preserve">, E.O., Benjamin, J., </w:t>
      </w:r>
      <w:r w:rsidRPr="73F09774" w:rsidR="00000000">
        <w:rPr>
          <w:rFonts w:ascii="Arial" w:hAnsi="Arial" w:eastAsia="Arial" w:cs="Arial"/>
          <w:sz w:val="22"/>
          <w:szCs w:val="22"/>
          <w:lang w:val="en-US"/>
        </w:rPr>
        <w:t>Okobi</w:t>
      </w:r>
      <w:r w:rsidRPr="73F09774" w:rsidR="00000000">
        <w:rPr>
          <w:rFonts w:ascii="Arial" w:hAnsi="Arial" w:eastAsia="Arial" w:cs="Arial"/>
          <w:sz w:val="22"/>
          <w:szCs w:val="22"/>
          <w:lang w:val="en-US"/>
        </w:rPr>
        <w:t xml:space="preserve">, O.E., </w:t>
      </w:r>
      <w:r w:rsidRPr="73F09774" w:rsidR="00000000">
        <w:rPr>
          <w:rFonts w:ascii="Arial" w:hAnsi="Arial" w:eastAsia="Arial" w:cs="Arial"/>
          <w:sz w:val="22"/>
          <w:szCs w:val="22"/>
          <w:lang w:val="en-US"/>
        </w:rPr>
        <w:t>Nwume</w:t>
      </w:r>
      <w:r w:rsidRPr="73F09774" w:rsidR="00000000">
        <w:rPr>
          <w:rFonts w:ascii="Arial" w:hAnsi="Arial" w:eastAsia="Arial" w:cs="Arial"/>
          <w:sz w:val="22"/>
          <w:szCs w:val="22"/>
          <w:lang w:val="en-US"/>
        </w:rPr>
        <w:t xml:space="preserve">, C.G. and </w:t>
      </w:r>
      <w:r w:rsidRPr="73F09774" w:rsidR="00000000">
        <w:rPr>
          <w:rFonts w:ascii="Arial" w:hAnsi="Arial" w:eastAsia="Arial" w:cs="Arial"/>
          <w:sz w:val="22"/>
          <w:szCs w:val="22"/>
          <w:lang w:val="en-US"/>
        </w:rPr>
        <w:t>Egberuare</w:t>
      </w:r>
      <w:r w:rsidRPr="73F09774" w:rsidR="00000000">
        <w:rPr>
          <w:rFonts w:ascii="Arial" w:hAnsi="Arial" w:eastAsia="Arial" w:cs="Arial"/>
          <w:sz w:val="22"/>
          <w:szCs w:val="22"/>
          <w:lang w:val="en-US"/>
        </w:rPr>
        <w:t>, E.N. (2024). A Systematic Review of the Effect of Stigmatization on Psychiatric Illness Outcomes. </w:t>
      </w:r>
      <w:r w:rsidRPr="73F09774" w:rsidR="00000000">
        <w:rPr>
          <w:rFonts w:ascii="Arial" w:hAnsi="Arial" w:eastAsia="Arial" w:cs="Arial"/>
          <w:i w:val="1"/>
          <w:iCs w:val="1"/>
          <w:sz w:val="22"/>
          <w:szCs w:val="22"/>
          <w:lang w:val="en-US"/>
        </w:rPr>
        <w:t>Cureus,</w:t>
      </w:r>
      <w:r w:rsidRPr="73F09774" w:rsidR="00000000">
        <w:rPr>
          <w:rFonts w:ascii="Arial" w:hAnsi="Arial" w:eastAsia="Arial" w:cs="Arial"/>
          <w:sz w:val="22"/>
          <w:szCs w:val="22"/>
          <w:lang w:val="en-US"/>
        </w:rPr>
        <w:t xml:space="preserve"> 16(6).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cde4cf7869764163">
        <w:r w:rsidRPr="73F09774" w:rsidR="0085388C">
          <w:rPr>
            <w:rFonts w:ascii="Arial" w:hAnsi="Arial" w:eastAsia="Arial" w:cs="Arial"/>
            <w:color w:val="467886"/>
            <w:sz w:val="22"/>
            <w:szCs w:val="22"/>
            <w:u w:val="single"/>
            <w:lang w:val="en-US"/>
          </w:rPr>
          <w:t>https://doi.org/10.7759/cureus.62642</w:t>
        </w:r>
      </w:hyperlink>
      <w:r w:rsidRPr="73F09774" w:rsidR="00000000">
        <w:rPr>
          <w:rFonts w:ascii="Arial" w:hAnsi="Arial" w:eastAsia="Arial" w:cs="Arial"/>
          <w:sz w:val="22"/>
          <w:szCs w:val="22"/>
          <w:lang w:val="en-US"/>
        </w:rPr>
        <w:t xml:space="preserve">.  </w:t>
      </w:r>
    </w:p>
    <w:p w:rsidR="0085388C" w:rsidP="73F09774" w:rsidRDefault="00000000" w14:paraId="1E4030AF" w14:textId="77777777">
      <w:pPr>
        <w:spacing w:after="0" w:line="480" w:lineRule="auto"/>
        <w:ind w:left="720" w:hanging="720"/>
        <w:rPr>
          <w:rFonts w:ascii="Arial" w:hAnsi="Arial" w:eastAsia="Arial" w:cs="Arial"/>
          <w:sz w:val="22"/>
          <w:szCs w:val="22"/>
          <w:lang w:val="en-US"/>
        </w:rPr>
      </w:pPr>
      <w:bookmarkStart w:name="_heading=h.tj9etyk5wwc6" w:id="2"/>
      <w:bookmarkEnd w:id="2"/>
      <w:r w:rsidRPr="73F09774" w:rsidR="00000000">
        <w:rPr>
          <w:rFonts w:ascii="Arial" w:hAnsi="Arial" w:eastAsia="Arial" w:cs="Arial"/>
          <w:sz w:val="22"/>
          <w:szCs w:val="22"/>
          <w:lang w:val="en-US"/>
        </w:rPr>
        <w:t>Habeb</w:t>
      </w:r>
      <w:r w:rsidRPr="73F09774" w:rsidR="00000000">
        <w:rPr>
          <w:rFonts w:ascii="Arial" w:hAnsi="Arial" w:eastAsia="Arial" w:cs="Arial"/>
          <w:sz w:val="22"/>
          <w:szCs w:val="22"/>
          <w:lang w:val="en-US"/>
        </w:rPr>
        <w:t>, M., Ciobanu, A.M., Al-Ani, M. and Mottershead, R. (2025). Stigma in mental health: The status and future direction. </w:t>
      </w:r>
      <w:r w:rsidRPr="73F09774" w:rsidR="00000000">
        <w:rPr>
          <w:rFonts w:ascii="Arial" w:hAnsi="Arial" w:eastAsia="Arial" w:cs="Arial"/>
          <w:i w:val="1"/>
          <w:iCs w:val="1"/>
          <w:sz w:val="22"/>
          <w:szCs w:val="22"/>
          <w:lang w:val="en-US"/>
        </w:rPr>
        <w:t>Cureus.</w:t>
      </w:r>
      <w:r w:rsidRPr="73F09774" w:rsidR="00000000">
        <w:rPr>
          <w:rFonts w:ascii="Arial" w:hAnsi="Arial" w:eastAsia="Arial" w:cs="Arial"/>
          <w:sz w:val="22"/>
          <w:szCs w:val="22"/>
          <w:lang w:val="en-US"/>
        </w:rPr>
        <w:t xml:space="preserve"> [online]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702df800be814310">
        <w:r w:rsidRPr="73F09774" w:rsidR="0085388C">
          <w:rPr>
            <w:rFonts w:ascii="Arial" w:hAnsi="Arial" w:eastAsia="Arial" w:cs="Arial"/>
            <w:color w:val="467886"/>
            <w:sz w:val="22"/>
            <w:szCs w:val="22"/>
            <w:u w:val="single"/>
            <w:lang w:val="en-US"/>
          </w:rPr>
          <w:t>https://doi.org/10.7759/cureus.85398</w:t>
        </w:r>
      </w:hyperlink>
      <w:r w:rsidRPr="73F09774" w:rsidR="00000000">
        <w:rPr>
          <w:rFonts w:ascii="Arial" w:hAnsi="Arial" w:eastAsia="Arial" w:cs="Arial"/>
          <w:sz w:val="22"/>
          <w:szCs w:val="22"/>
          <w:lang w:val="en-US"/>
        </w:rPr>
        <w:t xml:space="preserve">.  </w:t>
      </w:r>
    </w:p>
    <w:p w:rsidR="0085388C" w:rsidP="73F09774" w:rsidRDefault="00000000" w14:paraId="1F987A33" w14:textId="77777777">
      <w:pPr>
        <w:spacing w:after="0" w:line="480" w:lineRule="auto"/>
        <w:ind w:left="720" w:hanging="720"/>
        <w:rPr>
          <w:rFonts w:ascii="Arial" w:hAnsi="Arial" w:eastAsia="Arial" w:cs="Arial"/>
          <w:sz w:val="22"/>
          <w:szCs w:val="22"/>
          <w:lang w:val="en-US"/>
        </w:rPr>
      </w:pPr>
      <w:r w:rsidRPr="73F09774" w:rsidR="00000000">
        <w:rPr>
          <w:rFonts w:ascii="Arial" w:hAnsi="Arial" w:eastAsia="Arial" w:cs="Arial"/>
          <w:sz w:val="22"/>
          <w:szCs w:val="22"/>
          <w:lang w:val="en-US"/>
        </w:rPr>
        <w:t xml:space="preserve">Harbi, S.A., </w:t>
      </w:r>
      <w:r w:rsidRPr="73F09774" w:rsidR="00000000">
        <w:rPr>
          <w:rFonts w:ascii="Arial" w:hAnsi="Arial" w:eastAsia="Arial" w:cs="Arial"/>
          <w:sz w:val="22"/>
          <w:szCs w:val="22"/>
          <w:lang w:val="en-US"/>
        </w:rPr>
        <w:t>Aljohani</w:t>
      </w:r>
      <w:r w:rsidRPr="73F09774" w:rsidR="00000000">
        <w:rPr>
          <w:rFonts w:ascii="Arial" w:hAnsi="Arial" w:eastAsia="Arial" w:cs="Arial"/>
          <w:sz w:val="22"/>
          <w:szCs w:val="22"/>
          <w:lang w:val="en-US"/>
        </w:rPr>
        <w:t xml:space="preserve">, B., Elmasry, L., Baldovino, F.L., </w:t>
      </w:r>
      <w:r w:rsidRPr="73F09774" w:rsidR="00000000">
        <w:rPr>
          <w:rFonts w:ascii="Arial" w:hAnsi="Arial" w:eastAsia="Arial" w:cs="Arial"/>
          <w:sz w:val="22"/>
          <w:szCs w:val="22"/>
          <w:lang w:val="en-US"/>
        </w:rPr>
        <w:t>Raviz</w:t>
      </w:r>
      <w:r w:rsidRPr="73F09774" w:rsidR="00000000">
        <w:rPr>
          <w:rFonts w:ascii="Arial" w:hAnsi="Arial" w:eastAsia="Arial" w:cs="Arial"/>
          <w:sz w:val="22"/>
          <w:szCs w:val="22"/>
          <w:lang w:val="en-US"/>
        </w:rPr>
        <w:t xml:space="preserve">, K.B., </w:t>
      </w:r>
      <w:r w:rsidRPr="73F09774" w:rsidR="00000000">
        <w:rPr>
          <w:rFonts w:ascii="Arial" w:hAnsi="Arial" w:eastAsia="Arial" w:cs="Arial"/>
          <w:sz w:val="22"/>
          <w:szCs w:val="22"/>
          <w:lang w:val="en-US"/>
        </w:rPr>
        <w:t>Altowairqi</w:t>
      </w:r>
      <w:r w:rsidRPr="73F09774" w:rsidR="00000000">
        <w:rPr>
          <w:rFonts w:ascii="Arial" w:hAnsi="Arial" w:eastAsia="Arial" w:cs="Arial"/>
          <w:sz w:val="22"/>
          <w:szCs w:val="22"/>
          <w:lang w:val="en-US"/>
        </w:rPr>
        <w:t xml:space="preserve">, L. and </w:t>
      </w:r>
      <w:r w:rsidRPr="73F09774" w:rsidR="00000000">
        <w:rPr>
          <w:rFonts w:ascii="Arial" w:hAnsi="Arial" w:eastAsia="Arial" w:cs="Arial"/>
          <w:sz w:val="22"/>
          <w:szCs w:val="22"/>
          <w:lang w:val="en-US"/>
        </w:rPr>
        <w:t>Alshlowi</w:t>
      </w:r>
      <w:r w:rsidRPr="73F09774" w:rsidR="00000000">
        <w:rPr>
          <w:rFonts w:ascii="Arial" w:hAnsi="Arial" w:eastAsia="Arial" w:cs="Arial"/>
          <w:sz w:val="22"/>
          <w:szCs w:val="22"/>
          <w:lang w:val="en-US"/>
        </w:rPr>
        <w:t>, S. (2024). Streamlining patient flow and enhancing operational efficiency through case management implementation. </w:t>
      </w:r>
      <w:r w:rsidRPr="73F09774" w:rsidR="00000000">
        <w:rPr>
          <w:rFonts w:ascii="Arial" w:hAnsi="Arial" w:eastAsia="Arial" w:cs="Arial"/>
          <w:i w:val="1"/>
          <w:iCs w:val="1"/>
          <w:sz w:val="22"/>
          <w:szCs w:val="22"/>
          <w:lang w:val="en-US"/>
        </w:rPr>
        <w:t>British Medical Journal Open Quality,</w:t>
      </w:r>
      <w:r w:rsidRPr="73F09774" w:rsidR="00000000">
        <w:rPr>
          <w:rFonts w:ascii="Arial" w:hAnsi="Arial" w:eastAsia="Arial" w:cs="Arial"/>
          <w:sz w:val="22"/>
          <w:szCs w:val="22"/>
          <w:lang w:val="en-US"/>
        </w:rPr>
        <w:t xml:space="preserve"> [online] 13(1), pp.1–18.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d3b0fea859ff421f">
        <w:r w:rsidRPr="73F09774" w:rsidR="0085388C">
          <w:rPr>
            <w:rFonts w:ascii="Arial" w:hAnsi="Arial" w:eastAsia="Arial" w:cs="Arial"/>
            <w:color w:val="467886"/>
            <w:sz w:val="22"/>
            <w:szCs w:val="22"/>
            <w:u w:val="single"/>
            <w:lang w:val="en-US"/>
          </w:rPr>
          <w:t>https://doi.org/10.1136/bmjoq-2023-002484</w:t>
        </w:r>
      </w:hyperlink>
      <w:r w:rsidRPr="73F09774" w:rsidR="00000000">
        <w:rPr>
          <w:rFonts w:ascii="Arial" w:hAnsi="Arial" w:eastAsia="Arial" w:cs="Arial"/>
          <w:sz w:val="22"/>
          <w:szCs w:val="22"/>
          <w:lang w:val="en-US"/>
        </w:rPr>
        <w:t xml:space="preserve">.  </w:t>
      </w:r>
    </w:p>
    <w:p w:rsidR="0085388C" w:rsidP="73F09774" w:rsidRDefault="00000000" w14:paraId="3794BB16" w14:textId="77777777">
      <w:pPr>
        <w:spacing w:after="0" w:line="480" w:lineRule="auto"/>
        <w:ind w:left="720" w:hanging="720"/>
        <w:rPr>
          <w:rFonts w:ascii="Arial" w:hAnsi="Arial" w:eastAsia="Arial" w:cs="Arial"/>
          <w:sz w:val="22"/>
          <w:szCs w:val="22"/>
          <w:lang w:val="en-US"/>
        </w:rPr>
      </w:pPr>
      <w:r w:rsidRPr="73F09774" w:rsidR="00000000">
        <w:rPr>
          <w:rFonts w:ascii="Arial" w:hAnsi="Arial" w:eastAsia="Arial" w:cs="Arial"/>
          <w:sz w:val="22"/>
          <w:szCs w:val="22"/>
          <w:lang w:val="en-US"/>
        </w:rPr>
        <w:t>Ibrahim, I.A., El-</w:t>
      </w:r>
      <w:r w:rsidRPr="73F09774" w:rsidR="00000000">
        <w:rPr>
          <w:rFonts w:ascii="Arial" w:hAnsi="Arial" w:eastAsia="Arial" w:cs="Arial"/>
          <w:sz w:val="22"/>
          <w:szCs w:val="22"/>
          <w:lang w:val="en-US"/>
        </w:rPr>
        <w:t>Monshed</w:t>
      </w:r>
      <w:r w:rsidRPr="73F09774" w:rsidR="00000000">
        <w:rPr>
          <w:rFonts w:ascii="Arial" w:hAnsi="Arial" w:eastAsia="Arial" w:cs="Arial"/>
          <w:sz w:val="22"/>
          <w:szCs w:val="22"/>
          <w:lang w:val="en-US"/>
        </w:rPr>
        <w:t xml:space="preserve">, A.H., </w:t>
      </w:r>
      <w:r w:rsidRPr="73F09774" w:rsidR="00000000">
        <w:rPr>
          <w:rFonts w:ascii="Arial" w:hAnsi="Arial" w:eastAsia="Arial" w:cs="Arial"/>
          <w:sz w:val="22"/>
          <w:szCs w:val="22"/>
          <w:lang w:val="en-US"/>
        </w:rPr>
        <w:t>Altheeb</w:t>
      </w:r>
      <w:r w:rsidRPr="73F09774" w:rsidR="00000000">
        <w:rPr>
          <w:rFonts w:ascii="Arial" w:hAnsi="Arial" w:eastAsia="Arial" w:cs="Arial"/>
          <w:sz w:val="22"/>
          <w:szCs w:val="22"/>
          <w:lang w:val="en-US"/>
        </w:rPr>
        <w:t>, M. and El-</w:t>
      </w:r>
      <w:r w:rsidRPr="73F09774" w:rsidR="00000000">
        <w:rPr>
          <w:rFonts w:ascii="Arial" w:hAnsi="Arial" w:eastAsia="Arial" w:cs="Arial"/>
          <w:sz w:val="22"/>
          <w:szCs w:val="22"/>
          <w:lang w:val="en-US"/>
        </w:rPr>
        <w:t>Sehrawy</w:t>
      </w:r>
      <w:r w:rsidRPr="73F09774" w:rsidR="00000000">
        <w:rPr>
          <w:rFonts w:ascii="Arial" w:hAnsi="Arial" w:eastAsia="Arial" w:cs="Arial"/>
          <w:sz w:val="22"/>
          <w:szCs w:val="22"/>
          <w:lang w:val="en-US"/>
        </w:rPr>
        <w:t>, M.G. (2024). Transformational Leadership, Psychological Empowerment, and Organizational Citizenship Behaviors among Nursing Workforce: A Single Mediation Analysis. </w:t>
      </w:r>
      <w:r w:rsidRPr="73F09774" w:rsidR="00000000">
        <w:rPr>
          <w:rFonts w:ascii="Arial" w:hAnsi="Arial" w:eastAsia="Arial" w:cs="Arial"/>
          <w:i w:val="1"/>
          <w:iCs w:val="1"/>
          <w:sz w:val="22"/>
          <w:szCs w:val="22"/>
          <w:lang w:val="en-US"/>
        </w:rPr>
        <w:t>Journal of Nursing Management,</w:t>
      </w:r>
      <w:r w:rsidRPr="73F09774" w:rsidR="00000000">
        <w:rPr>
          <w:rFonts w:ascii="Arial" w:hAnsi="Arial" w:eastAsia="Arial" w:cs="Arial"/>
          <w:sz w:val="22"/>
          <w:szCs w:val="22"/>
          <w:lang w:val="en-US"/>
        </w:rPr>
        <w:t xml:space="preserve"> [online] 2024(1), p.e9919371.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669cd29eb88b4df5">
        <w:r w:rsidRPr="73F09774" w:rsidR="0085388C">
          <w:rPr>
            <w:rFonts w:ascii="Arial" w:hAnsi="Arial" w:eastAsia="Arial" w:cs="Arial"/>
            <w:color w:val="467886"/>
            <w:sz w:val="22"/>
            <w:szCs w:val="22"/>
            <w:u w:val="single"/>
            <w:lang w:val="en-US"/>
          </w:rPr>
          <w:t>https://doi.org/10.1155/2024/9919371</w:t>
        </w:r>
      </w:hyperlink>
      <w:r w:rsidRPr="73F09774" w:rsidR="00000000">
        <w:rPr>
          <w:rFonts w:ascii="Arial" w:hAnsi="Arial" w:eastAsia="Arial" w:cs="Arial"/>
          <w:sz w:val="22"/>
          <w:szCs w:val="22"/>
          <w:lang w:val="en-US"/>
        </w:rPr>
        <w:t xml:space="preserve">. </w:t>
      </w:r>
    </w:p>
    <w:p w:rsidR="0085388C" w:rsidP="73F09774" w:rsidRDefault="00000000" w14:paraId="5FDA1C8C" w14:textId="77777777">
      <w:pPr>
        <w:spacing w:after="0" w:line="480" w:lineRule="auto"/>
        <w:ind w:left="720" w:hanging="720"/>
        <w:rPr>
          <w:rFonts w:ascii="Arial" w:hAnsi="Arial" w:eastAsia="Arial" w:cs="Arial"/>
          <w:sz w:val="22"/>
          <w:szCs w:val="22"/>
          <w:lang w:val="en-US"/>
        </w:rPr>
      </w:pPr>
      <w:bookmarkStart w:name="_heading=h.5sf8pc580hdm" w:id="3"/>
      <w:bookmarkEnd w:id="3"/>
      <w:r w:rsidRPr="73F09774" w:rsidR="00000000">
        <w:rPr>
          <w:rFonts w:ascii="Arial" w:hAnsi="Arial" w:eastAsia="Arial" w:cs="Arial"/>
          <w:sz w:val="22"/>
          <w:szCs w:val="22"/>
          <w:lang w:val="en-US"/>
        </w:rPr>
        <w:t>Jiang, Y., Lin, K., Dalton, H., Buys, N. and Sun, J. (2026). Assessment of barriers to accessing mental health services in rural or remote areas using a socio-ecological resilience framework: a scoping review. </w:t>
      </w:r>
      <w:r w:rsidRPr="73F09774" w:rsidR="00000000">
        <w:rPr>
          <w:rFonts w:ascii="Arial" w:hAnsi="Arial" w:eastAsia="Arial" w:cs="Arial"/>
          <w:i w:val="1"/>
          <w:iCs w:val="1"/>
          <w:sz w:val="22"/>
          <w:szCs w:val="22"/>
          <w:lang w:val="en-US"/>
        </w:rPr>
        <w:t>International journal of mental health systems</w:t>
      </w:r>
      <w:r w:rsidRPr="73F09774" w:rsidR="00000000">
        <w:rPr>
          <w:rFonts w:ascii="Arial" w:hAnsi="Arial" w:eastAsia="Arial" w:cs="Arial"/>
          <w:sz w:val="22"/>
          <w:szCs w:val="22"/>
          <w:lang w:val="en-US"/>
        </w:rPr>
        <w:t xml:space="preserve">. [online]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a5cf87e906c449b6">
        <w:r w:rsidRPr="73F09774" w:rsidR="0085388C">
          <w:rPr>
            <w:rFonts w:ascii="Arial" w:hAnsi="Arial" w:eastAsia="Arial" w:cs="Arial"/>
            <w:color w:val="467886"/>
            <w:sz w:val="22"/>
            <w:szCs w:val="22"/>
            <w:u w:val="single"/>
            <w:lang w:val="en-US"/>
          </w:rPr>
          <w:t>https://doi.org/10.1186/s13033-026-00694-0</w:t>
        </w:r>
      </w:hyperlink>
      <w:r w:rsidRPr="73F09774" w:rsidR="00000000">
        <w:rPr>
          <w:rFonts w:ascii="Arial" w:hAnsi="Arial" w:eastAsia="Arial" w:cs="Arial"/>
          <w:sz w:val="22"/>
          <w:szCs w:val="22"/>
          <w:lang w:val="en-US"/>
        </w:rPr>
        <w:t xml:space="preserve">. </w:t>
      </w:r>
    </w:p>
    <w:p w:rsidR="0085388C" w:rsidP="73F09774" w:rsidRDefault="00000000" w14:paraId="4D8613BB" w14:textId="77777777">
      <w:pPr>
        <w:spacing w:after="0" w:line="480" w:lineRule="auto"/>
        <w:ind w:left="720" w:hanging="720"/>
        <w:rPr>
          <w:rFonts w:ascii="Arial" w:hAnsi="Arial" w:eastAsia="Arial" w:cs="Arial"/>
          <w:sz w:val="22"/>
          <w:szCs w:val="22"/>
          <w:lang w:val="en-US"/>
        </w:rPr>
      </w:pPr>
      <w:r w:rsidRPr="73F09774" w:rsidR="00000000">
        <w:rPr>
          <w:rFonts w:ascii="Arial" w:hAnsi="Arial" w:eastAsia="Arial" w:cs="Arial"/>
          <w:sz w:val="22"/>
          <w:szCs w:val="22"/>
          <w:lang w:val="en-US"/>
        </w:rPr>
        <w:t>Kline, R. (2019). Leadership in the NHS. </w:t>
      </w:r>
      <w:r w:rsidRPr="73F09774" w:rsidR="00000000">
        <w:rPr>
          <w:rFonts w:ascii="Arial" w:hAnsi="Arial" w:eastAsia="Arial" w:cs="Arial"/>
          <w:i w:val="1"/>
          <w:iCs w:val="1"/>
          <w:sz w:val="22"/>
          <w:szCs w:val="22"/>
          <w:lang w:val="en-US"/>
        </w:rPr>
        <w:t>BMJ Leader,</w:t>
      </w:r>
      <w:r w:rsidRPr="73F09774" w:rsidR="00000000">
        <w:rPr>
          <w:rFonts w:ascii="Arial" w:hAnsi="Arial" w:eastAsia="Arial" w:cs="Arial"/>
          <w:sz w:val="22"/>
          <w:szCs w:val="22"/>
          <w:lang w:val="en-US"/>
        </w:rPr>
        <w:t xml:space="preserve"> [online] 3(4), pp.129–132.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a84ef6684a9c4b80">
        <w:r w:rsidRPr="73F09774" w:rsidR="0085388C">
          <w:rPr>
            <w:rFonts w:ascii="Arial" w:hAnsi="Arial" w:eastAsia="Arial" w:cs="Arial"/>
            <w:color w:val="467886"/>
            <w:sz w:val="22"/>
            <w:szCs w:val="22"/>
            <w:u w:val="single"/>
            <w:lang w:val="en-US"/>
          </w:rPr>
          <w:t>https://doi.org/10.1136/leader-2019-000159</w:t>
        </w:r>
      </w:hyperlink>
      <w:r w:rsidRPr="73F09774" w:rsidR="00000000">
        <w:rPr>
          <w:rFonts w:ascii="Arial" w:hAnsi="Arial" w:eastAsia="Arial" w:cs="Arial"/>
          <w:sz w:val="22"/>
          <w:szCs w:val="22"/>
          <w:lang w:val="en-US"/>
        </w:rPr>
        <w:t xml:space="preserve">. </w:t>
      </w:r>
    </w:p>
    <w:p w:rsidR="0085388C" w:rsidRDefault="00000000" w14:paraId="2BAFC3DA" w14:textId="77777777">
      <w:pPr>
        <w:spacing w:after="0" w:line="480" w:lineRule="auto"/>
        <w:ind w:left="720" w:hanging="720"/>
        <w:rPr>
          <w:rFonts w:ascii="Arial" w:hAnsi="Arial" w:eastAsia="Arial" w:cs="Arial"/>
          <w:sz w:val="22"/>
          <w:szCs w:val="22"/>
        </w:rPr>
      </w:pPr>
      <w:r>
        <w:rPr>
          <w:rFonts w:ascii="Arial" w:hAnsi="Arial" w:eastAsia="Arial" w:cs="Arial"/>
          <w:sz w:val="22"/>
          <w:szCs w:val="22"/>
        </w:rPr>
        <w:t>McLeod, S. (2025). </w:t>
      </w:r>
      <w:r>
        <w:rPr>
          <w:rFonts w:ascii="Arial" w:hAnsi="Arial" w:eastAsia="Arial" w:cs="Arial"/>
          <w:i/>
          <w:iCs/>
          <w:sz w:val="22"/>
          <w:szCs w:val="22"/>
        </w:rPr>
        <w:t>Gibbs Reflective Cycle</w:t>
      </w:r>
      <w:r>
        <w:rPr>
          <w:rFonts w:ascii="Arial" w:hAnsi="Arial" w:eastAsia="Arial" w:cs="Arial"/>
          <w:sz w:val="22"/>
          <w:szCs w:val="22"/>
        </w:rPr>
        <w:t xml:space="preserve">. [online] Simply Psychology. Available at: </w:t>
      </w:r>
      <w:hyperlink r:id="rId22">
        <w:r w:rsidR="0085388C">
          <w:rPr>
            <w:rFonts w:ascii="Arial" w:hAnsi="Arial" w:eastAsia="Arial" w:cs="Arial"/>
            <w:color w:val="467886"/>
            <w:sz w:val="22"/>
            <w:szCs w:val="22"/>
            <w:u w:val="single"/>
          </w:rPr>
          <w:t>https://www.simplypsychology.org/gibbs-reflective-cycle.html</w:t>
        </w:r>
      </w:hyperlink>
      <w:r>
        <w:rPr>
          <w:rFonts w:ascii="Arial" w:hAnsi="Arial" w:eastAsia="Arial" w:cs="Arial"/>
          <w:sz w:val="22"/>
          <w:szCs w:val="22"/>
        </w:rPr>
        <w:t xml:space="preserve">. </w:t>
      </w:r>
    </w:p>
    <w:p w:rsidR="0085388C" w:rsidRDefault="00000000" w14:paraId="10F950A6" w14:textId="77777777">
      <w:pPr>
        <w:spacing w:after="0" w:line="480" w:lineRule="auto"/>
        <w:ind w:left="720" w:hanging="720"/>
        <w:rPr>
          <w:rFonts w:ascii="Arial" w:hAnsi="Arial" w:eastAsia="Arial" w:cs="Arial"/>
          <w:sz w:val="22"/>
          <w:szCs w:val="22"/>
        </w:rPr>
      </w:pPr>
      <w:r>
        <w:rPr>
          <w:rFonts w:ascii="Arial" w:hAnsi="Arial" w:eastAsia="Arial" w:cs="Arial"/>
          <w:sz w:val="22"/>
          <w:szCs w:val="22"/>
        </w:rPr>
        <w:t>NHS England (2025). </w:t>
      </w:r>
      <w:r>
        <w:rPr>
          <w:rFonts w:ascii="Arial" w:hAnsi="Arial" w:eastAsia="Arial" w:cs="Arial"/>
          <w:i/>
          <w:iCs/>
          <w:sz w:val="22"/>
          <w:szCs w:val="22"/>
        </w:rPr>
        <w:t>NHS England» Management and leadership development.</w:t>
      </w:r>
      <w:r>
        <w:rPr>
          <w:rFonts w:ascii="Arial" w:hAnsi="Arial" w:eastAsia="Arial" w:cs="Arial"/>
          <w:sz w:val="22"/>
          <w:szCs w:val="22"/>
        </w:rPr>
        <w:t xml:space="preserve"> [online] England.nhs.uk. Available at: </w:t>
      </w:r>
      <w:hyperlink r:id="rId23">
        <w:r w:rsidR="0085388C">
          <w:rPr>
            <w:rFonts w:ascii="Arial" w:hAnsi="Arial" w:eastAsia="Arial" w:cs="Arial"/>
            <w:color w:val="467886"/>
            <w:sz w:val="22"/>
            <w:szCs w:val="22"/>
            <w:u w:val="single"/>
          </w:rPr>
          <w:t>https://www.england.nhs.uk/long-read/management-and-leadership-development/</w:t>
        </w:r>
      </w:hyperlink>
      <w:r>
        <w:rPr>
          <w:rFonts w:ascii="Arial" w:hAnsi="Arial" w:eastAsia="Arial" w:cs="Arial"/>
          <w:sz w:val="22"/>
          <w:szCs w:val="22"/>
        </w:rPr>
        <w:t xml:space="preserve">. </w:t>
      </w:r>
    </w:p>
    <w:p w:rsidR="0085388C" w:rsidP="73F09774" w:rsidRDefault="00000000" w14:paraId="4797AA99" w14:textId="77777777">
      <w:pPr>
        <w:spacing w:after="0" w:line="480" w:lineRule="auto"/>
        <w:ind w:left="720" w:hanging="720"/>
        <w:rPr>
          <w:rFonts w:ascii="Arial" w:hAnsi="Arial" w:eastAsia="Arial" w:cs="Arial"/>
          <w:sz w:val="22"/>
          <w:szCs w:val="22"/>
          <w:lang w:val="en-US"/>
        </w:rPr>
      </w:pPr>
      <w:bookmarkStart w:name="_heading=h.6rp9l38f0yej" w:id="4"/>
      <w:bookmarkEnd w:id="4"/>
      <w:r w:rsidRPr="73F09774" w:rsidR="00000000">
        <w:rPr>
          <w:rFonts w:ascii="Arial" w:hAnsi="Arial" w:eastAsia="Arial" w:cs="Arial"/>
          <w:sz w:val="22"/>
          <w:szCs w:val="22"/>
          <w:lang w:val="en-US"/>
        </w:rPr>
        <w:t>Rawlings, B., S., Chetwynd-Talbot, D., Husband, E., Nuttall, A., Quinn, E., Taggart, R. and Roome, H.E. (2025). Divergent thinking is linked with convergent thinking; implications for models of creativity. </w:t>
      </w:r>
      <w:r w:rsidRPr="73F09774" w:rsidR="00000000">
        <w:rPr>
          <w:rFonts w:ascii="Arial" w:hAnsi="Arial" w:eastAsia="Arial" w:cs="Arial"/>
          <w:i w:val="1"/>
          <w:iCs w:val="1"/>
          <w:sz w:val="22"/>
          <w:szCs w:val="22"/>
          <w:lang w:val="en-US"/>
        </w:rPr>
        <w:t>Thinking &amp; Reasoning,</w:t>
      </w:r>
      <w:r w:rsidRPr="73F09774" w:rsidR="00000000">
        <w:rPr>
          <w:rFonts w:ascii="Arial" w:hAnsi="Arial" w:eastAsia="Arial" w:cs="Arial"/>
          <w:sz w:val="22"/>
          <w:szCs w:val="22"/>
          <w:lang w:val="en-US"/>
        </w:rPr>
        <w:t xml:space="preserve"> pp.1–23.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4a07828251ca40a9">
        <w:r w:rsidRPr="73F09774" w:rsidR="0085388C">
          <w:rPr>
            <w:rFonts w:ascii="Arial" w:hAnsi="Arial" w:eastAsia="Arial" w:cs="Arial"/>
            <w:color w:val="467886"/>
            <w:sz w:val="22"/>
            <w:szCs w:val="22"/>
            <w:u w:val="single"/>
            <w:lang w:val="en-US"/>
          </w:rPr>
          <w:t>https://doi.org/10.1080/13546783.2025.2485059</w:t>
        </w:r>
      </w:hyperlink>
      <w:r w:rsidRPr="73F09774" w:rsidR="00000000">
        <w:rPr>
          <w:rFonts w:ascii="Arial" w:hAnsi="Arial" w:eastAsia="Arial" w:cs="Arial"/>
          <w:sz w:val="22"/>
          <w:szCs w:val="22"/>
          <w:lang w:val="en-US"/>
        </w:rPr>
        <w:t xml:space="preserve">. </w:t>
      </w:r>
    </w:p>
    <w:p w:rsidR="0085388C" w:rsidP="73F09774" w:rsidRDefault="00000000" w14:paraId="20789590" w14:textId="77777777">
      <w:pPr>
        <w:spacing w:after="0" w:line="480" w:lineRule="auto"/>
        <w:ind w:left="720" w:hanging="720"/>
        <w:rPr>
          <w:rFonts w:ascii="Times New Roman" w:hAnsi="Times New Roman" w:eastAsia="Times New Roman" w:cs="Times New Roman"/>
          <w:lang w:val="en-US"/>
        </w:rPr>
      </w:pPr>
      <w:bookmarkStart w:name="_heading=h.uvqfm4udlojf" w:id="5"/>
      <w:bookmarkEnd w:id="5"/>
      <w:r w:rsidRPr="73F09774" w:rsidR="00000000">
        <w:rPr>
          <w:rFonts w:ascii="Arial" w:hAnsi="Arial" w:eastAsia="Arial" w:cs="Arial"/>
          <w:sz w:val="22"/>
          <w:szCs w:val="22"/>
          <w:lang w:val="en-US"/>
        </w:rPr>
        <w:t xml:space="preserve">Reidy, C., Papoutsi, C., KC, S., </w:t>
      </w:r>
      <w:r w:rsidRPr="73F09774" w:rsidR="00000000">
        <w:rPr>
          <w:rFonts w:ascii="Arial" w:hAnsi="Arial" w:eastAsia="Arial" w:cs="Arial"/>
          <w:sz w:val="22"/>
          <w:szCs w:val="22"/>
          <w:lang w:val="en-US"/>
        </w:rPr>
        <w:t>Gudgin</w:t>
      </w:r>
      <w:r w:rsidRPr="73F09774" w:rsidR="00000000">
        <w:rPr>
          <w:rFonts w:ascii="Arial" w:hAnsi="Arial" w:eastAsia="Arial" w:cs="Arial"/>
          <w:sz w:val="22"/>
          <w:szCs w:val="22"/>
          <w:lang w:val="en-US"/>
        </w:rPr>
        <w:t>, B., Laverty, A.A., Greaves, F. and Powell, J. (2025). Qualitative evaluation of the implementation and national roll-out of the NHS App in England. </w:t>
      </w:r>
      <w:r w:rsidRPr="73F09774" w:rsidR="00000000">
        <w:rPr>
          <w:rFonts w:ascii="Arial" w:hAnsi="Arial" w:eastAsia="Arial" w:cs="Arial"/>
          <w:i w:val="1"/>
          <w:iCs w:val="1"/>
          <w:sz w:val="22"/>
          <w:szCs w:val="22"/>
          <w:lang w:val="en-US"/>
        </w:rPr>
        <w:t>BMC Medicine</w:t>
      </w:r>
      <w:r w:rsidRPr="73F09774" w:rsidR="00000000">
        <w:rPr>
          <w:rFonts w:ascii="Arial" w:hAnsi="Arial" w:eastAsia="Arial" w:cs="Arial"/>
          <w:sz w:val="22"/>
          <w:szCs w:val="22"/>
          <w:lang w:val="en-US"/>
        </w:rPr>
        <w:t xml:space="preserve">, 23(1). </w:t>
      </w:r>
      <w:r w:rsidRPr="73F09774" w:rsidR="00000000">
        <w:rPr>
          <w:rFonts w:ascii="Arial" w:hAnsi="Arial" w:eastAsia="Arial" w:cs="Arial"/>
          <w:sz w:val="22"/>
          <w:szCs w:val="22"/>
          <w:lang w:val="en-US"/>
        </w:rPr>
        <w:t>doi</w:t>
      </w:r>
      <w:r w:rsidRPr="73F09774" w:rsidR="00000000">
        <w:rPr>
          <w:rFonts w:ascii="Arial" w:hAnsi="Arial" w:eastAsia="Arial" w:cs="Arial"/>
          <w:sz w:val="22"/>
          <w:szCs w:val="22"/>
          <w:lang w:val="en-US"/>
        </w:rPr>
        <w:t xml:space="preserve">: </w:t>
      </w:r>
      <w:hyperlink r:id="R1c214c760bc04022">
        <w:r w:rsidRPr="73F09774" w:rsidR="0085388C">
          <w:rPr>
            <w:rFonts w:ascii="Arial" w:hAnsi="Arial" w:eastAsia="Arial" w:cs="Arial"/>
            <w:color w:val="467886"/>
            <w:sz w:val="22"/>
            <w:szCs w:val="22"/>
            <w:u w:val="single"/>
            <w:lang w:val="en-US"/>
          </w:rPr>
          <w:t>https://doi.org/10.1186/s12916-024-03842-w</w:t>
        </w:r>
      </w:hyperlink>
      <w:r w:rsidRPr="73F09774" w:rsidR="00000000">
        <w:rPr>
          <w:rFonts w:ascii="Times New Roman" w:hAnsi="Times New Roman" w:eastAsia="Times New Roman" w:cs="Times New Roman"/>
          <w:lang w:val="en-US"/>
        </w:rPr>
        <w:t>.</w:t>
      </w:r>
    </w:p>
    <w:sectPr w:rsidR="0085388C">
      <w:headerReference w:type="default" r:id="rId26"/>
      <w:footerReference w:type="default" r:id="rId2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6883" w:rsidRDefault="00B26883" w14:paraId="2E60710D" w14:textId="77777777">
      <w:pPr>
        <w:spacing w:after="0" w:line="240" w:lineRule="auto"/>
      </w:pPr>
      <w:r>
        <w:separator/>
      </w:r>
    </w:p>
  </w:endnote>
  <w:endnote w:type="continuationSeparator" w:id="0">
    <w:p w:rsidR="00B26883" w:rsidRDefault="00B26883" w14:paraId="0E26D88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w:fontKey="{807A8536-1626-44B2-8CC0-C21FC1295A3E}" r:id="rId1"/>
    <w:embedItalic w:fontKey="{133D648C-E7F9-48AA-B72B-DCC53815B8A8}" r:id="rId2"/>
  </w:font>
  <w:font w:name="Play">
    <w:charset w:val="00"/>
    <w:family w:val="auto"/>
    <w:pitch w:val="default"/>
    <w:embedRegular w:fontKey="{3E8E0371-9771-44B4-9503-0901547DAF64}" r:id="rId3"/>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AD3BA520-750B-487A-91C5-767166AE9E3E}" r:id="rId4"/>
  </w:font>
  <w:font w:name="Cambria">
    <w:panose1 w:val="02040503050406030204"/>
    <w:charset w:val="00"/>
    <w:family w:val="roman"/>
    <w:pitch w:val="variable"/>
    <w:sig w:usb0="E00006FF" w:usb1="420024FF" w:usb2="02000000" w:usb3="00000000" w:csb0="0000019F" w:csb1="00000000"/>
    <w:embedRegular w:fontKey="{5E5E7C9B-1009-4109-9669-7C2A38FC90BA}" r:id="rI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5388C" w:rsidRDefault="0085388C" w14:paraId="2F20A732" w14:textId="77777777">
    <w:pPr>
      <w:widowControl w:val="0"/>
      <w:pBdr>
        <w:top w:val="nil"/>
        <w:left w:val="nil"/>
        <w:bottom w:val="nil"/>
        <w:right w:val="nil"/>
        <w:between w:val="nil"/>
      </w:pBdr>
      <w:spacing w:after="0" w:line="276" w:lineRule="auto"/>
      <w:rPr>
        <w:color w:val="000000"/>
      </w:rPr>
    </w:pPr>
  </w:p>
  <w:tbl>
    <w:tblPr>
      <w:tblStyle w:val="a"/>
      <w:tblW w:w="9360" w:type="dxa"/>
      <w:tblInd w:w="-108" w:type="dxa"/>
      <w:tblLayout w:type="fixed"/>
      <w:tblLook w:val="0600" w:firstRow="0" w:lastRow="0" w:firstColumn="0" w:lastColumn="0" w:noHBand="1" w:noVBand="1"/>
    </w:tblPr>
    <w:tblGrid>
      <w:gridCol w:w="3120"/>
      <w:gridCol w:w="3120"/>
      <w:gridCol w:w="3120"/>
    </w:tblGrid>
    <w:tr w:rsidR="0085388C" w14:paraId="01E2AEE2" w14:textId="77777777">
      <w:trPr>
        <w:trHeight w:val="300"/>
      </w:trPr>
      <w:tc>
        <w:tcPr>
          <w:tcW w:w="3120" w:type="dxa"/>
        </w:tcPr>
        <w:p w:rsidR="0085388C" w:rsidRDefault="0085388C" w14:paraId="12BAE410" w14:textId="77777777">
          <w:pPr>
            <w:pBdr>
              <w:top w:val="nil"/>
              <w:left w:val="nil"/>
              <w:bottom w:val="nil"/>
              <w:right w:val="nil"/>
              <w:between w:val="nil"/>
            </w:pBdr>
            <w:tabs>
              <w:tab w:val="center" w:pos="4513"/>
              <w:tab w:val="right" w:pos="9026"/>
            </w:tabs>
            <w:spacing w:after="0" w:line="240" w:lineRule="auto"/>
            <w:ind w:left="-115"/>
            <w:rPr>
              <w:color w:val="000000"/>
            </w:rPr>
          </w:pPr>
        </w:p>
      </w:tc>
      <w:tc>
        <w:tcPr>
          <w:tcW w:w="3120" w:type="dxa"/>
        </w:tcPr>
        <w:p w:rsidR="0085388C" w:rsidRDefault="0085388C" w14:paraId="26CBE473" w14:textId="77777777">
          <w:pPr>
            <w:pBdr>
              <w:top w:val="nil"/>
              <w:left w:val="nil"/>
              <w:bottom w:val="nil"/>
              <w:right w:val="nil"/>
              <w:between w:val="nil"/>
            </w:pBdr>
            <w:tabs>
              <w:tab w:val="center" w:pos="4513"/>
              <w:tab w:val="right" w:pos="9026"/>
            </w:tabs>
            <w:spacing w:after="0" w:line="240" w:lineRule="auto"/>
            <w:jc w:val="center"/>
            <w:rPr>
              <w:color w:val="000000"/>
            </w:rPr>
          </w:pPr>
        </w:p>
      </w:tc>
      <w:tc>
        <w:tcPr>
          <w:tcW w:w="3120" w:type="dxa"/>
        </w:tcPr>
        <w:p w:rsidR="0085388C" w:rsidRDefault="0085388C" w14:paraId="7707D0D0" w14:textId="77777777">
          <w:pPr>
            <w:pBdr>
              <w:top w:val="nil"/>
              <w:left w:val="nil"/>
              <w:bottom w:val="nil"/>
              <w:right w:val="nil"/>
              <w:between w:val="nil"/>
            </w:pBdr>
            <w:tabs>
              <w:tab w:val="center" w:pos="4513"/>
              <w:tab w:val="right" w:pos="9026"/>
            </w:tabs>
            <w:spacing w:after="0" w:line="240" w:lineRule="auto"/>
            <w:ind w:right="-115"/>
            <w:jc w:val="right"/>
            <w:rPr>
              <w:color w:val="000000"/>
            </w:rPr>
          </w:pPr>
        </w:p>
      </w:tc>
    </w:tr>
  </w:tbl>
  <w:p w:rsidR="0085388C" w:rsidRDefault="0085388C" w14:paraId="705BB631" w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6883" w:rsidRDefault="00B26883" w14:paraId="3EA65F93" w14:textId="77777777">
      <w:pPr>
        <w:spacing w:after="0" w:line="240" w:lineRule="auto"/>
      </w:pPr>
      <w:r>
        <w:separator/>
      </w:r>
    </w:p>
  </w:footnote>
  <w:footnote w:type="continuationSeparator" w:id="0">
    <w:p w:rsidR="00B26883" w:rsidRDefault="00B26883" w14:paraId="0BB47BA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5388C" w:rsidRDefault="00000000" w14:paraId="2BD386D0" w14:textId="7777777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E1ED9">
      <w:rPr>
        <w:noProof/>
        <w:color w:val="000000"/>
      </w:rPr>
      <w:t>1</w:t>
    </w:r>
    <w:r>
      <w:rPr>
        <w:color w:val="000000"/>
      </w:rPr>
      <w:fldChar w:fldCharType="end"/>
    </w:r>
  </w:p>
  <w:p w:rsidR="0085388C" w:rsidRDefault="0085388C" w14:paraId="6CE795BA" w14:textId="77777777">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88C"/>
    <w:rsid w:val="00000000"/>
    <w:rsid w:val="00073172"/>
    <w:rsid w:val="004E1ED9"/>
    <w:rsid w:val="00586881"/>
    <w:rsid w:val="00676771"/>
    <w:rsid w:val="006D5592"/>
    <w:rsid w:val="0085388C"/>
    <w:rsid w:val="00854AE9"/>
    <w:rsid w:val="00B26883"/>
    <w:rsid w:val="00E5067F"/>
    <w:rsid w:val="200946B6"/>
    <w:rsid w:val="30CB9E9B"/>
    <w:rsid w:val="50181578"/>
    <w:rsid w:val="6BD102C2"/>
    <w:rsid w:val="70F9F693"/>
    <w:rsid w:val="73F09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3033F"/>
  <w15:docId w15:val="{E6135A25-EF5D-4163-BE87-95B44B5C8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Aptos"/>
        <w:sz w:val="24"/>
        <w:szCs w:val="24"/>
        <w:lang w:val="en"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rFonts w:ascii="Play" w:hAnsi="Play" w:eastAsia="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hAnsi="Play" w:eastAsia="Play" w:cs="Play"/>
      <w:sz w:val="56"/>
      <w:szCs w:val="56"/>
    </w:rPr>
  </w:style>
  <w:style w:type="paragraph" w:styleId="Subtitle">
    <w:name w:val="Subtitle"/>
    <w:basedOn w:val="Normal"/>
    <w:next w:val="Normal"/>
    <w:uiPriority w:val="11"/>
    <w:qFormat/>
    <w:rPr>
      <w:color w:val="595959"/>
      <w:sz w:val="28"/>
      <w:szCs w:val="28"/>
    </w:rPr>
  </w:style>
  <w:style w:type="table" w:styleId="a" w:customStyle="1">
    <w:basedOn w:val="TableNormal0"/>
    <w:tblPr>
      <w:tblStyleRowBandSize w:val="1"/>
      <w:tblStyleColBandSize w:val="1"/>
      <w:tblCellMar>
        <w:top w:w="0" w:type="dxa"/>
        <w:left w:w="108" w:type="dxa"/>
        <w:bottom w:w="0" w:type="dxa"/>
        <w:right w:w="108" w:type="dxa"/>
      </w:tblCellMar>
    </w:tblPr>
  </w:style>
  <w:style w:type="character" w:styleId="Hyperlink">
    <w:uiPriority w:val="99"/>
    <w:name w:val="Hyperlink"/>
    <w:basedOn w:val="DefaultParagraphFont"/>
    <w:unhideWhenUsed/>
    <w:rsid w:val="73F0977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oleObject" Target="embeddings/oleObject2.bin" Id="rId13" /><Relationship Type="http://schemas.openxmlformats.org/officeDocument/2006/relationships/header" Target="header1.xm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4.emf" Id="rId12" /><Relationship Type="http://schemas.openxmlformats.org/officeDocument/2006/relationships/styles" Target="styles.xml" Id="rId2"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oleObject" Target="embeddings/oleObject1.bin" Id="rId11" /><Relationship Type="http://schemas.openxmlformats.org/officeDocument/2006/relationships/footnotes" Target="footnotes.xml" Id="rId5" /><Relationship Type="http://schemas.openxmlformats.org/officeDocument/2006/relationships/hyperlink" Target="https://www.england.nhs.uk/long-read/management-and-leadership-development/" TargetMode="External" Id="rId23" /><Relationship Type="http://schemas.openxmlformats.org/officeDocument/2006/relationships/fontTable" Target="fontTable.xml" Id="rId28" /><Relationship Type="http://schemas.openxmlformats.org/officeDocument/2006/relationships/image" Target="media/image3.emf" Id="rId10" /><Relationship Type="http://schemas.openxmlformats.org/officeDocument/2006/relationships/webSettings" Target="webSettings.xml" Id="rId4" /><Relationship Type="http://schemas.openxmlformats.org/officeDocument/2006/relationships/hyperlink" Target="https://www.simplypsychology.org/gibbs-reflective-cycle.html" TargetMode="External" Id="rId22" /><Relationship Type="http://schemas.openxmlformats.org/officeDocument/2006/relationships/footer" Target="footer1.xml" Id="rId27" /><Relationship Type="http://schemas.openxmlformats.org/officeDocument/2006/relationships/hyperlink" Target="https://www.rev.com/onlinevoicerecorder" TargetMode="External" Id="R8b6fd7336a3f4a73" /><Relationship Type="http://schemas.openxmlformats.org/officeDocument/2006/relationships/hyperlink" Target="https://drive.google.com/file/d/10jALT1l6d8_yTyOptbjTvMSry-UHLrfy/view?usp=drive_link" TargetMode="External" Id="R7557ad6b3f9143fa" /><Relationship Type="http://schemas.openxmlformats.org/officeDocument/2006/relationships/hyperlink" Target="https://doi.org/10.1002/lrh2.10283" TargetMode="External" Id="R017dae7ae1b24e66" /><Relationship Type="http://schemas.openxmlformats.org/officeDocument/2006/relationships/hyperlink" Target="https://doi.org/10.1007/978-3-031-83819-4_9" TargetMode="External" Id="R22d320672ec84cbb" /><Relationship Type="http://schemas.openxmlformats.org/officeDocument/2006/relationships/hyperlink" Target="https://doi.org/10.7759/cureus.62642" TargetMode="External" Id="Rcde4cf7869764163" /><Relationship Type="http://schemas.openxmlformats.org/officeDocument/2006/relationships/hyperlink" Target="https://doi.org/10.7759/cureus.85398" TargetMode="External" Id="R702df800be814310" /><Relationship Type="http://schemas.openxmlformats.org/officeDocument/2006/relationships/hyperlink" Target="https://doi.org/10.1136/bmjoq-2023-002484" TargetMode="External" Id="Rd3b0fea859ff421f" /><Relationship Type="http://schemas.openxmlformats.org/officeDocument/2006/relationships/hyperlink" Target="https://doi.org/10.1155/2024/9919371" TargetMode="External" Id="R669cd29eb88b4df5" /><Relationship Type="http://schemas.openxmlformats.org/officeDocument/2006/relationships/hyperlink" Target="https://doi.org/10.1186/s13033-026-00694-0" TargetMode="External" Id="Ra5cf87e906c449b6" /><Relationship Type="http://schemas.openxmlformats.org/officeDocument/2006/relationships/hyperlink" Target="https://doi.org/10.1136/leader-2019-000159" TargetMode="External" Id="Ra84ef6684a9c4b80" /><Relationship Type="http://schemas.openxmlformats.org/officeDocument/2006/relationships/hyperlink" Target="https://doi.org/10.1080/13546783.2025.2485059" TargetMode="External" Id="R4a07828251ca40a9" /><Relationship Type="http://schemas.openxmlformats.org/officeDocument/2006/relationships/hyperlink" Target="https://doi.org/10.1186/s12916-024-03842-w" TargetMode="External" Id="R1c214c760bc04022"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U45iXejqzi69yqLxQxqtdwPYSg==">CgMxLjAyDmguNG9lNzJxN2Vld3pzMg1oLmxoZ3QwZHBkNWFnMg5oLnRqOWV0eWs1d3djNjIOaC41c2Y4cGM1ODBoZG0yDmguNnJwOWwzOGYweWVqMg5oLnV2cWZtNHVkbG9qZjgAciExZ29ERWNsQ2l1eHBSbWVvN3pLNzJVMDR2OU1BWEVEUWI=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Modinat Olufunke Bashorun (2421037)</lastModifiedBy>
  <revision>3</revision>
  <dcterms:created xsi:type="dcterms:W3CDTF">2026-06-19T15:29:00.0000000Z</dcterms:created>
  <dcterms:modified xsi:type="dcterms:W3CDTF">2026-06-19T16:00:47.0480890Z</dcterms:modified>
</coreProperties>
</file>