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491BD7" w14:textId="6DF4BB99" w:rsidR="00DB2B55" w:rsidRPr="004A17B7" w:rsidRDefault="004A17B7" w:rsidP="004F3D6F">
      <w:pPr>
        <w:jc w:val="center"/>
        <w:rPr>
          <w:rFonts w:ascii="Times New Roman" w:hAnsi="Times New Roman" w:cs="Times New Roman"/>
          <w:sz w:val="72"/>
          <w:szCs w:val="72"/>
        </w:rPr>
      </w:pPr>
      <w:r w:rsidRPr="004A17B7">
        <w:rPr>
          <w:rFonts w:ascii="Times New Roman" w:hAnsi="Times New Roman" w:cs="Times New Roman"/>
          <w:sz w:val="72"/>
          <w:szCs w:val="72"/>
        </w:rPr>
        <w:t>Critical review</w:t>
      </w:r>
    </w:p>
    <w:p w14:paraId="544E5FDC" w14:textId="77777777" w:rsidR="00DB2B55" w:rsidRDefault="00DB2B55">
      <w:pPr>
        <w:rPr>
          <w:b/>
          <w:bCs/>
        </w:rPr>
      </w:pPr>
    </w:p>
    <w:p w14:paraId="362A5264" w14:textId="77777777" w:rsidR="00DB2B55" w:rsidRDefault="00DB2B55">
      <w:pPr>
        <w:rPr>
          <w:b/>
          <w:bCs/>
        </w:rPr>
      </w:pPr>
    </w:p>
    <w:p w14:paraId="1B5875A0" w14:textId="77777777" w:rsidR="00814132" w:rsidRDefault="003D7AF2" w:rsidP="00814132">
      <w:pPr>
        <w:spacing w:line="360" w:lineRule="auto"/>
        <w:rPr>
          <w:rFonts w:ascii="Times New Roman" w:hAnsi="Times New Roman" w:cs="Times New Roman"/>
          <w:b/>
          <w:bCs/>
          <w:sz w:val="28"/>
          <w:szCs w:val="28"/>
        </w:rPr>
      </w:pPr>
      <w:r w:rsidRPr="00E41587">
        <w:rPr>
          <w:rFonts w:ascii="Times New Roman" w:hAnsi="Times New Roman" w:cs="Times New Roman"/>
          <w:b/>
          <w:bCs/>
          <w:sz w:val="28"/>
          <w:szCs w:val="28"/>
        </w:rPr>
        <w:t>Part 1: Critically review one theory that underpins our understanding of cognitive decline in old age.</w:t>
      </w:r>
    </w:p>
    <w:p w14:paraId="068E8A40" w14:textId="2BA5320D" w:rsidR="00814132" w:rsidRPr="000C55CB" w:rsidRDefault="00814132" w:rsidP="00756FCC">
      <w:pPr>
        <w:spacing w:line="360" w:lineRule="auto"/>
        <w:rPr>
          <w:rFonts w:ascii="Times New Roman" w:hAnsi="Times New Roman" w:cs="Times New Roman"/>
          <w:b/>
          <w:bCs/>
          <w:sz w:val="28"/>
          <w:szCs w:val="28"/>
        </w:rPr>
      </w:pPr>
      <w:r w:rsidRPr="000C55CB">
        <w:rPr>
          <w:rFonts w:ascii="Times New Roman" w:hAnsi="Times New Roman" w:cs="Times New Roman"/>
          <w:sz w:val="28"/>
          <w:szCs w:val="28"/>
        </w:rPr>
        <w:t xml:space="preserve">The global population over 65 is expected to expand by 120% between 2019 and 2050, increasing dementia prevalence (Meiner et al., 2020; </w:t>
      </w:r>
      <w:proofErr w:type="spellStart"/>
      <w:r w:rsidRPr="000C55CB">
        <w:rPr>
          <w:rFonts w:ascii="Times New Roman" w:hAnsi="Times New Roman" w:cs="Times New Roman"/>
          <w:sz w:val="28"/>
          <w:szCs w:val="28"/>
        </w:rPr>
        <w:t>Kivipelto</w:t>
      </w:r>
      <w:proofErr w:type="spellEnd"/>
      <w:r w:rsidRPr="000C55CB">
        <w:rPr>
          <w:rFonts w:ascii="Times New Roman" w:hAnsi="Times New Roman" w:cs="Times New Roman"/>
          <w:sz w:val="28"/>
          <w:szCs w:val="28"/>
        </w:rPr>
        <w:t xml:space="preserve"> et al., 2020). Because the population is growing older and experiencing some changes which are typical for ageing individuals, noticing significant declines could point to the potential beginning of dementia conditions in some cases. Making lifestyle choices can play a role in delaying or even preventing around 40% of dementia cases by addressing factors like lack of activity levels and social interactions as well as lower educational attainment rates. Because these factors impact aspects of ageing outcomes, the reasons why individuals, like older adults, can maintain their cognitive abilities into advanced age remain unclear (Oosterhuis et al., 2022).To understand how the brain changes, ages and what factors lead to neurodegeneration and cognitive decline, it is necessary to study brain data over time based on age trends in the population. Also, individual differences significantly impact how the brain ages, which cross-sectional studies do not always show accurately because they do not account for changes over time; they may not give a complete picture of the impact of lifestyle on brain ageing (Fujita, 2024).</w:t>
      </w:r>
    </w:p>
    <w:p w14:paraId="074B8081" w14:textId="51EC0E84" w:rsidR="00005B17" w:rsidRPr="000C55CB" w:rsidRDefault="00005B17"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Ageing is associated with mild cognitive decline and does not have a significant impact on everyday life, which, unlike Alzheimer's disease, leads to serious mental problems and loss of independence. Alzheimer's disease is responsible for 60–80% of dementia cases (Li et al., 2022; Alzheimer's Association, 2024), mainly affecting memory and other cognitive functions because, unlike typical </w:t>
      </w:r>
      <w:r w:rsidRPr="000C55CB">
        <w:rPr>
          <w:rFonts w:ascii="Times New Roman" w:hAnsi="Times New Roman" w:cs="Times New Roman"/>
          <w:sz w:val="28"/>
          <w:szCs w:val="28"/>
        </w:rPr>
        <w:lastRenderedPageBreak/>
        <w:t>ageing, cognitive deficits in Alzheimer's disease significantly complicate everyday life (Testo et al., 2024).</w:t>
      </w:r>
    </w:p>
    <w:p w14:paraId="183256F2" w14:textId="70339E44"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Approximately 40% of cognitive decline in humans is associated with diseases such as Alzheimer's and Lewy body disease (Boyle et al., 2021); ageing changes brain function and structure, but some people show resilience to these changes (</w:t>
      </w:r>
      <w:proofErr w:type="spellStart"/>
      <w:r w:rsidRPr="000C55CB">
        <w:rPr>
          <w:rFonts w:ascii="Times New Roman" w:hAnsi="Times New Roman" w:cs="Times New Roman"/>
          <w:sz w:val="28"/>
          <w:szCs w:val="28"/>
        </w:rPr>
        <w:t>Mateard</w:t>
      </w:r>
      <w:proofErr w:type="spellEnd"/>
      <w:r w:rsidRPr="000C55CB">
        <w:rPr>
          <w:rFonts w:ascii="Times New Roman" w:hAnsi="Times New Roman" w:cs="Times New Roman"/>
          <w:sz w:val="28"/>
          <w:szCs w:val="28"/>
        </w:rPr>
        <w:t xml:space="preserve"> et al., 2023).</w:t>
      </w:r>
    </w:p>
    <w:p w14:paraId="40F86024" w14:textId="138D2AC2" w:rsidR="0074134B" w:rsidRPr="000C55CB" w:rsidRDefault="0074134B"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Unfortunately, the number of people suffering from Alzheimer's disease and other types of dementia may double by 2060, thus increasing mortality and disability rates among them; because current therapies mainly alleviate symptoms, interventions are needed to investigate cognitive decline and the lasting effects of gender, race, and childhood trauma are still uncertain (Yang et al., 2023).</w:t>
      </w:r>
    </w:p>
    <w:p w14:paraId="13D52C07" w14:textId="4AC349F0"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Research on the effects of brain ageing shows that lifestyle choices such as habits, exercise, sleep quality, and engaging in mental activities have a positive impact on the cognitive abilities of older people because the exact causes of this phenomenon are still uncertain, one hypothesis is that these factors help to develop cognitive reserve (CR), which can mitigate the negative effects of ageing or diseases affecting brain function (Song et al., 2022).</w:t>
      </w:r>
    </w:p>
    <w:p w14:paraId="44619B38" w14:textId="4AC25527" w:rsidR="00814132" w:rsidRPr="000C55CB" w:rsidRDefault="0035798D" w:rsidP="001F778C">
      <w:pPr>
        <w:spacing w:line="360" w:lineRule="auto"/>
        <w:rPr>
          <w:rFonts w:ascii="Times New Roman" w:hAnsi="Times New Roman" w:cs="Times New Roman"/>
          <w:sz w:val="28"/>
          <w:szCs w:val="28"/>
        </w:rPr>
      </w:pPr>
      <w:r w:rsidRPr="000C55CB">
        <w:rPr>
          <w:rFonts w:ascii="Times New Roman" w:hAnsi="Times New Roman" w:cs="Times New Roman"/>
          <w:sz w:val="28"/>
          <w:szCs w:val="28"/>
        </w:rPr>
        <w:t>In case of complications and injuries, Cognitive Reserve (CR) helps with cognitive functioning</w:t>
      </w:r>
      <w:r w:rsidR="007247C4" w:rsidRPr="000C55CB">
        <w:rPr>
          <w:rFonts w:ascii="Times New Roman" w:hAnsi="Times New Roman" w:cs="Times New Roman"/>
          <w:sz w:val="28"/>
          <w:szCs w:val="28"/>
        </w:rPr>
        <w:t>; it influences factors such as the level and participation in intellectual activity and professional history that support the brain in coping with the challenges of ageing</w:t>
      </w:r>
      <w:r w:rsidRPr="000C55CB">
        <w:rPr>
          <w:rFonts w:ascii="Times New Roman" w:hAnsi="Times New Roman" w:cs="Times New Roman"/>
          <w:sz w:val="28"/>
          <w:szCs w:val="28"/>
        </w:rPr>
        <w:t>.</w:t>
      </w:r>
      <w:r w:rsidR="00814132" w:rsidRPr="000C55CB">
        <w:rPr>
          <w:rFonts w:ascii="Times New Roman" w:hAnsi="Times New Roman" w:cs="Times New Roman"/>
          <w:sz w:val="28"/>
          <w:szCs w:val="28"/>
        </w:rPr>
        <w:t xml:space="preserve"> Good information about safety measures, including motivation and mood, </w:t>
      </w:r>
      <w:r w:rsidR="007247C4" w:rsidRPr="000C55CB">
        <w:rPr>
          <w:rFonts w:ascii="Times New Roman" w:hAnsi="Times New Roman" w:cs="Times New Roman"/>
          <w:sz w:val="28"/>
          <w:szCs w:val="28"/>
        </w:rPr>
        <w:t>and</w:t>
      </w:r>
      <w:r w:rsidR="00814132" w:rsidRPr="000C55CB">
        <w:rPr>
          <w:rFonts w:ascii="Times New Roman" w:hAnsi="Times New Roman" w:cs="Times New Roman"/>
          <w:sz w:val="28"/>
          <w:szCs w:val="28"/>
        </w:rPr>
        <w:t xml:space="preserve"> cognitive functions related to technical disorders such as anxiety and depression can reveal cognitive abilities (Di Rosa et al., 2024). </w:t>
      </w:r>
      <w:r w:rsidR="001F778C" w:rsidRPr="000C55CB">
        <w:rPr>
          <w:rFonts w:ascii="Times New Roman" w:hAnsi="Times New Roman" w:cs="Times New Roman"/>
          <w:sz w:val="28"/>
          <w:szCs w:val="28"/>
        </w:rPr>
        <w:t xml:space="preserve">To reduce the risk of dementia, higher cognitive reserve may help prepare cognitive abilities and delayed cognitive functions in the long run (Berezuk et al., 2021). </w:t>
      </w:r>
      <w:r w:rsidR="001F778C" w:rsidRPr="000C55CB">
        <w:rPr>
          <w:rFonts w:ascii="Times New Roman" w:hAnsi="Times New Roman" w:cs="Times New Roman"/>
          <w:sz w:val="28"/>
          <w:szCs w:val="28"/>
        </w:rPr>
        <w:br/>
      </w:r>
      <w:r w:rsidR="001F778C" w:rsidRPr="000C55CB">
        <w:rPr>
          <w:rFonts w:ascii="Times New Roman" w:hAnsi="Times New Roman" w:cs="Times New Roman"/>
          <w:sz w:val="28"/>
          <w:szCs w:val="28"/>
        </w:rPr>
        <w:lastRenderedPageBreak/>
        <w:t xml:space="preserve">Still, Scientists need to discover how cognitive reserve (CR) influences an individual's life, changing the course of education and social interactions, as it can help maintain skills and abilities. </w:t>
      </w:r>
      <w:r w:rsidR="00814132" w:rsidRPr="000C55CB">
        <w:rPr>
          <w:rFonts w:ascii="Times New Roman" w:hAnsi="Times New Roman" w:cs="Times New Roman"/>
          <w:sz w:val="28"/>
          <w:szCs w:val="28"/>
        </w:rPr>
        <w:t xml:space="preserve"> To measure  CR level, look at the IQ level </w:t>
      </w:r>
      <w:r w:rsidR="001F778C" w:rsidRPr="000C55CB">
        <w:rPr>
          <w:rFonts w:ascii="Times New Roman" w:hAnsi="Times New Roman" w:cs="Times New Roman"/>
          <w:sz w:val="28"/>
          <w:szCs w:val="28"/>
        </w:rPr>
        <w:t>achieved,</w:t>
      </w:r>
      <w:r w:rsidR="00814132" w:rsidRPr="000C55CB">
        <w:rPr>
          <w:rFonts w:ascii="Times New Roman" w:hAnsi="Times New Roman" w:cs="Times New Roman"/>
          <w:sz w:val="28"/>
          <w:szCs w:val="28"/>
        </w:rPr>
        <w:t xml:space="preserve"> and the activities performed, as higher cognitive reserve can support brain flexibility. This helps develop strategies that increase brain connectivity or leverage existing neural pathways because the performance of individuals with brain transformations may vary; higher CR helps maintain performance in individuals who experience difficulties (Oosterhuis et al., 2022). The concept of cognitive reserve (CR) is considered a way to protect against the adverse effects of ageing, such as a decline in functional abilities. Reserve models are usually divided into passive and active. Passive models, such as brain reserve, rely on brain structure, such as the number or size of neurons. The passive hypothesis states that clinical symptoms appear as brain reserve capacity (BRC) declines and their severity becomes apparent.</w:t>
      </w:r>
    </w:p>
    <w:p w14:paraId="6F8C7AE6" w14:textId="77777777"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In contrast, active models emphasize processes that help compensate for deficiencies because they do not consider how different people use their resources. Cognitive reserve is an active concept that refers to the brain's resistance to ageing or damage. Even if brain reserve is at the same level, people with higher cognitive reserve can better compensate for deficits and use different brain networks, which makes them more resistant to changes in brain functioning (Sardella et al., 2020).</w:t>
      </w:r>
    </w:p>
    <w:p w14:paraId="076C1686" w14:textId="58A8C9AD" w:rsidR="00616E84" w:rsidRPr="000C55CB" w:rsidRDefault="001F778C"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For the brain to adapt to ageing, disease or injury, reducing the risk of cognitive decline, cognitive reserve (CR) may help delay the development of dementia and minimise the rate of cognitive decline as factors such as educational level, occupational complexity and IQ, are associated with less impact of pathology on the brain. People with higher education may experience faster deterioration after diagnosis because they have more advanced pathologies, which may make it more difficult for them to adapt; these proxies are also supported by direct </w:t>
      </w:r>
      <w:r w:rsidRPr="000C55CB">
        <w:rPr>
          <w:rFonts w:ascii="Times New Roman" w:hAnsi="Times New Roman" w:cs="Times New Roman"/>
          <w:sz w:val="28"/>
          <w:szCs w:val="28"/>
        </w:rPr>
        <w:lastRenderedPageBreak/>
        <w:t xml:space="preserve">measures of cognitive reserves, such as differences in cognitive function, which are considered beyond demographic variables and brain health. To fully understand how lifestyle influences cognitive reserve, strong evidence is needed on which factors may support it (Song et al., 2022). </w:t>
      </w:r>
      <w:r w:rsidR="00814132" w:rsidRPr="000C55CB">
        <w:rPr>
          <w:rFonts w:ascii="Times New Roman" w:hAnsi="Times New Roman" w:cs="Times New Roman"/>
          <w:sz w:val="28"/>
          <w:szCs w:val="28"/>
        </w:rPr>
        <w:t xml:space="preserve">Nelson et al. (2021) found that cognitive reserve (CR) protects against a severe decline in cognitive performance, even in neuropathology, because social-behavioural factors such as education, intellectually stimulating work, and activities help strengthen neural networks. CR changes the way neuropathology affects cognitive function because people with higher cognitive reserve are more resistant to Alzheimer's disease. Engaging in activities stimulating the brain and maintaining an active professional and educational life can help maintain better cognitive function despite brain pathologies. </w:t>
      </w:r>
      <w:r w:rsidR="00B24B19" w:rsidRPr="000C55CB">
        <w:rPr>
          <w:rFonts w:ascii="Times New Roman" w:hAnsi="Times New Roman" w:cs="Times New Roman"/>
          <w:sz w:val="28"/>
          <w:szCs w:val="28"/>
        </w:rPr>
        <w:t>Soldan et al. (2020) indicate that appropriate levels of education and participation in stimulating activities may reduce the risk of developing dementia and help develop cognitive reserve (CR), as there is mixed evidence regarding the relationship between CR and the rate of cognitive decline, with some studies finding no correlation. Nevertheless, people with higher cognitive reserve tend to perform better on cognitive tests, suggesting that CR primarily affects an individual's basic cognitive abilities.</w:t>
      </w:r>
    </w:p>
    <w:p w14:paraId="555F2C9A" w14:textId="1B041A27"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According to Evans (2019), Cognitive reserve (CR) is a theoretical concept that cannot be directly measured because it relies on proxies such as learning in younger years, labour force participation in midlife, and commitment to developing cognitive skills in later life because a single indicator is not sufficient and various life events shape CR, combining these indicators allows for a more comprehensive assessment. Also, understanding how lifestyle factors influence CR is very important to prevent the progression from healthy ageing to mild cognitive impairment (MCI) or dementia. Because effective interventions can reduce risk and improve cognitive function, social </w:t>
      </w:r>
      <w:r w:rsidRPr="000C55CB">
        <w:rPr>
          <w:rFonts w:ascii="Times New Roman" w:hAnsi="Times New Roman" w:cs="Times New Roman"/>
          <w:sz w:val="28"/>
          <w:szCs w:val="28"/>
        </w:rPr>
        <w:lastRenderedPageBreak/>
        <w:t xml:space="preserve">connectedness is an important, modifiable factor that supports cognitive health later. </w:t>
      </w:r>
    </w:p>
    <w:p w14:paraId="3F3F03DC" w14:textId="2C137B15" w:rsidR="00814132" w:rsidRPr="000C55CB" w:rsidRDefault="005F0519"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Cognitive reserve (CR) may help prevent dementia as its effect on moderate cognitive impairment (MCI) is not yet fully understood but some studies suggest that CR may reduce the likelihood of developing MCI, while others believe it may increase the risk of developing MCI to full-blown dementia. </w:t>
      </w:r>
      <w:r w:rsidR="00814132" w:rsidRPr="000C55CB">
        <w:rPr>
          <w:rFonts w:ascii="Times New Roman" w:hAnsi="Times New Roman" w:cs="Times New Roman"/>
          <w:sz w:val="28"/>
          <w:szCs w:val="28"/>
        </w:rPr>
        <w:t>The cognitive reserve can be used to distinguish between normal ageing and early signs of health decline because people without any health problems typically have higher levels of cognitive reserve than people with MCI. Additionally, research attempts to examine how cognitive reserve relates to general cognitive abilities, which could become a potential tool for diagnosing people with MCI or identifying its specific subcategories (</w:t>
      </w:r>
      <w:proofErr w:type="spellStart"/>
      <w:r w:rsidR="00814132" w:rsidRPr="000C55CB">
        <w:rPr>
          <w:rFonts w:ascii="Times New Roman" w:hAnsi="Times New Roman" w:cs="Times New Roman"/>
          <w:sz w:val="28"/>
          <w:szCs w:val="28"/>
        </w:rPr>
        <w:t>Marselli</w:t>
      </w:r>
      <w:proofErr w:type="spellEnd"/>
      <w:r w:rsidR="00814132" w:rsidRPr="000C55CB">
        <w:rPr>
          <w:rFonts w:ascii="Times New Roman" w:hAnsi="Times New Roman" w:cs="Times New Roman"/>
          <w:sz w:val="28"/>
          <w:szCs w:val="28"/>
        </w:rPr>
        <w:t xml:space="preserve"> et al., 2024).</w:t>
      </w:r>
    </w:p>
    <w:p w14:paraId="6F83E8AF" w14:textId="43127BE2"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Stroke recovery is a process that combines spontaneous brain repair with the use of other brain areas to support function because these adaptive mechanisms are linked to cognitive reserve (CR); cognitive reserve includes the ability to think, increased brain plasticity (for example, forming new connections), and higher levels of chemicals that support brain function. However, the location where the stroke occurred may limit the effectiveness of cognitive reserve. Natural healing mechanisms, such as inflammation reduction and improved blood circulation, primarily rely on attention and may occur independently of cardiac rehabilitation</w:t>
      </w:r>
      <w:r w:rsidR="000539DD" w:rsidRPr="000C55CB">
        <w:rPr>
          <w:rFonts w:ascii="Times New Roman" w:hAnsi="Times New Roman" w:cs="Times New Roman"/>
          <w:sz w:val="28"/>
          <w:szCs w:val="28"/>
        </w:rPr>
        <w:t xml:space="preserve"> </w:t>
      </w:r>
      <w:r w:rsidRPr="000C55CB">
        <w:rPr>
          <w:rFonts w:ascii="Times New Roman" w:hAnsi="Times New Roman" w:cs="Times New Roman"/>
          <w:sz w:val="28"/>
          <w:szCs w:val="28"/>
        </w:rPr>
        <w:t>(</w:t>
      </w:r>
      <w:proofErr w:type="spellStart"/>
      <w:r w:rsidRPr="000C55CB">
        <w:rPr>
          <w:rFonts w:ascii="Times New Roman" w:hAnsi="Times New Roman" w:cs="Times New Roman"/>
          <w:sz w:val="28"/>
          <w:szCs w:val="28"/>
        </w:rPr>
        <w:t>Rosenich</w:t>
      </w:r>
      <w:proofErr w:type="spellEnd"/>
      <w:r w:rsidRPr="000C55CB">
        <w:rPr>
          <w:rFonts w:ascii="Times New Roman" w:hAnsi="Times New Roman" w:cs="Times New Roman"/>
          <w:sz w:val="28"/>
          <w:szCs w:val="28"/>
        </w:rPr>
        <w:t xml:space="preserve"> et al., 2020).</w:t>
      </w:r>
    </w:p>
    <w:p w14:paraId="328272A4" w14:textId="0CEBE19C"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To sum up, Cognitive reserve (CR) helps maintain mental activity and strength, which protects against brain decline associated with ageing or disease; research shows that life experiences such as education, various jobs, and engaging in mental activities support brain health and may protect against dementia. </w:t>
      </w:r>
      <w:r w:rsidR="004810C0" w:rsidRPr="000C55CB">
        <w:rPr>
          <w:rFonts w:ascii="Times New Roman" w:hAnsi="Times New Roman" w:cs="Times New Roman"/>
          <w:sz w:val="28"/>
          <w:szCs w:val="28"/>
        </w:rPr>
        <w:t xml:space="preserve">However, experts are still debating how CR affects mild cognitive impairment (MCI); future research should explore other ways of measuring CR to understand its effects better because it is important to promote social </w:t>
      </w:r>
      <w:r w:rsidR="004810C0" w:rsidRPr="000C55CB">
        <w:rPr>
          <w:rFonts w:ascii="Times New Roman" w:hAnsi="Times New Roman" w:cs="Times New Roman"/>
          <w:sz w:val="28"/>
          <w:szCs w:val="28"/>
        </w:rPr>
        <w:lastRenderedPageBreak/>
        <w:t xml:space="preserve">engagement, mental activity, and a healthy lifestyle to reduce the risk of cognitive decline. </w:t>
      </w:r>
      <w:r w:rsidRPr="000C55CB">
        <w:rPr>
          <w:rFonts w:ascii="Times New Roman" w:hAnsi="Times New Roman" w:cs="Times New Roman"/>
          <w:sz w:val="28"/>
          <w:szCs w:val="28"/>
        </w:rPr>
        <w:t>Maintaining a lifelong cognitive reserve is crucial for healthy ageing and supporting people at risk of cognitive problems.</w:t>
      </w:r>
    </w:p>
    <w:p w14:paraId="7ECF09EF" w14:textId="77777777" w:rsidR="004810C0" w:rsidRPr="000C55CB" w:rsidRDefault="004810C0" w:rsidP="00756FCC">
      <w:pPr>
        <w:spacing w:line="360" w:lineRule="auto"/>
        <w:rPr>
          <w:rFonts w:ascii="Times New Roman" w:hAnsi="Times New Roman" w:cs="Times New Roman"/>
          <w:b/>
          <w:bCs/>
          <w:sz w:val="28"/>
          <w:szCs w:val="28"/>
        </w:rPr>
      </w:pPr>
    </w:p>
    <w:p w14:paraId="5174DB2A" w14:textId="503AE77A" w:rsidR="00814132" w:rsidRPr="000539DD" w:rsidRDefault="00814132" w:rsidP="00756FCC">
      <w:pPr>
        <w:spacing w:line="360" w:lineRule="auto"/>
        <w:rPr>
          <w:rFonts w:ascii="Times New Roman" w:hAnsi="Times New Roman" w:cs="Times New Roman"/>
          <w:b/>
          <w:bCs/>
          <w:sz w:val="28"/>
          <w:szCs w:val="28"/>
        </w:rPr>
      </w:pPr>
      <w:r w:rsidRPr="000539DD">
        <w:rPr>
          <w:rFonts w:ascii="Times New Roman" w:hAnsi="Times New Roman" w:cs="Times New Roman"/>
          <w:b/>
          <w:bCs/>
          <w:sz w:val="28"/>
          <w:szCs w:val="28"/>
        </w:rPr>
        <w:t>Part 2: Using empirical evidence, critically discuss how an individual could slow down cognitive decline.</w:t>
      </w:r>
    </w:p>
    <w:p w14:paraId="0B08AF15" w14:textId="77777777"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Because our brains shrink with age from about 3% every 10 years after age 40 to 5% after age 80, the speed at which we process information slows down, so we find it more difficult to recall information and ignore background noise, probably due to the hardening of the blood vessels in the brain. (Richards, 2024; Xu &amp; Angelina Xu, 2024). According to studies conducted in the United States as well as in Europe, factors such as diabetes, hypertension, excessive body gain, lack of physical exercise, depression, excessive alcohol consumption, smoking, and lack of education in middle age can be high factors responsible for about 30% of AD cases (</w:t>
      </w:r>
      <w:proofErr w:type="spellStart"/>
      <w:r w:rsidRPr="000C55CB">
        <w:rPr>
          <w:rFonts w:ascii="Times New Roman" w:hAnsi="Times New Roman" w:cs="Times New Roman"/>
          <w:sz w:val="28"/>
          <w:szCs w:val="28"/>
        </w:rPr>
        <w:t>Kivipelto</w:t>
      </w:r>
      <w:proofErr w:type="spellEnd"/>
      <w:r w:rsidRPr="000C55CB">
        <w:rPr>
          <w:rFonts w:ascii="Times New Roman" w:hAnsi="Times New Roman" w:cs="Times New Roman"/>
          <w:sz w:val="28"/>
          <w:szCs w:val="28"/>
        </w:rPr>
        <w:t xml:space="preserve"> et al., 2020; Livingston et al., 2024). </w:t>
      </w:r>
    </w:p>
    <w:p w14:paraId="67315D6B" w14:textId="52ED0090"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According to Iso-Markku et al. (2024), physical activity can delay cognitive processes because it improves blood flow and, thus, oxygenation of the brain and it also reduces inflammation of nerve connections. As a result, it supports brain health over age. Studies show that physical activity, energy, or even simple walks help delay cognitive processes. Because physical activity can help reduce or delay the risk of dementia, they are considered a non-pharmacological approach that can help older adults enjoy longer, better mental health. </w:t>
      </w:r>
    </w:p>
    <w:p w14:paraId="6BD9B2D3" w14:textId="497CEC8D"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According to research by Rashid et al. (2020), physical activity is also key to delaying or slowing cognitive decline and reducing the risk of Alzheimer's disease and, as a result, dementia. Physical activity improves blood flow and oxygenation of the brain and, as a result, reduces oxidative stress, which can delay the ageing process and cause cognitive impairment in the brain </w:t>
      </w:r>
      <w:r w:rsidR="004810C0" w:rsidRPr="000C55CB">
        <w:rPr>
          <w:rFonts w:ascii="Times New Roman" w:hAnsi="Times New Roman" w:cs="Times New Roman"/>
          <w:sz w:val="28"/>
          <w:szCs w:val="28"/>
        </w:rPr>
        <w:t>b</w:t>
      </w:r>
      <w:r w:rsidRPr="000C55CB">
        <w:rPr>
          <w:rFonts w:ascii="Times New Roman" w:hAnsi="Times New Roman" w:cs="Times New Roman"/>
          <w:sz w:val="28"/>
          <w:szCs w:val="28"/>
        </w:rPr>
        <w:t xml:space="preserve">ecause </w:t>
      </w:r>
      <w:r w:rsidRPr="000C55CB">
        <w:rPr>
          <w:rFonts w:ascii="Times New Roman" w:hAnsi="Times New Roman" w:cs="Times New Roman"/>
          <w:sz w:val="28"/>
          <w:szCs w:val="28"/>
        </w:rPr>
        <w:lastRenderedPageBreak/>
        <w:t xml:space="preserve">physical activity offers simple strategies to delay cognitive processes, it can be a simple answer to the fight against dementia.  </w:t>
      </w:r>
    </w:p>
    <w:p w14:paraId="052059E9" w14:textId="39AD9B1F" w:rsidR="004810C0" w:rsidRPr="000C55CB" w:rsidRDefault="004810C0"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Fujita (2024), in a study, observed for more than two decades participants how their way of life and choices can impact the quality of life and cognitive decline through long-term brain imaging, interventions such as regular exercise, mental stimulation, </w:t>
      </w:r>
      <w:proofErr w:type="gramStart"/>
      <w:r w:rsidRPr="000C55CB">
        <w:rPr>
          <w:rFonts w:ascii="Times New Roman" w:hAnsi="Times New Roman" w:cs="Times New Roman"/>
          <w:sz w:val="28"/>
          <w:szCs w:val="28"/>
        </w:rPr>
        <w:t>and also</w:t>
      </w:r>
      <w:proofErr w:type="gramEnd"/>
      <w:r w:rsidRPr="000C55CB">
        <w:rPr>
          <w:rFonts w:ascii="Times New Roman" w:hAnsi="Times New Roman" w:cs="Times New Roman"/>
          <w:sz w:val="28"/>
          <w:szCs w:val="28"/>
        </w:rPr>
        <w:t xml:space="preserve"> socialising with society. These studies showed that physically and mentally active people had less decline in critical areas of the brain, including the hippocampus and prefrontal cortex, which are responsible for memory and coordination. </w:t>
      </w:r>
    </w:p>
    <w:p w14:paraId="4E6D0876" w14:textId="200BF0C4" w:rsidR="00814132" w:rsidRPr="000C55CB" w:rsidRDefault="00532F21"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De Lima et al. (2024) </w:t>
      </w:r>
      <w:r w:rsidR="00814132" w:rsidRPr="000C55CB">
        <w:rPr>
          <w:rFonts w:ascii="Times New Roman" w:hAnsi="Times New Roman" w:cs="Times New Roman"/>
          <w:sz w:val="28"/>
          <w:szCs w:val="28"/>
        </w:rPr>
        <w:t xml:space="preserve">pointed out that factors such as chronic stress and cardiovascular problems can accelerate brain ageing and impair cognitive decline. The results of these studies show that the effects of promoting neuroplasticity and learning new things can help the brain in immunity and delay cognitive decline. According to them, this is an indispensable strategy in the fight against brain ageing and maintaining good mental health in older people. </w:t>
      </w:r>
    </w:p>
    <w:p w14:paraId="5DE7D1EA" w14:textId="69679D11" w:rsidR="00D6642C" w:rsidRPr="000C55CB" w:rsidRDefault="00D6642C"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According to </w:t>
      </w:r>
      <w:proofErr w:type="spellStart"/>
      <w:r w:rsidRPr="000C55CB">
        <w:rPr>
          <w:rFonts w:ascii="Times New Roman" w:hAnsi="Times New Roman" w:cs="Times New Roman"/>
          <w:sz w:val="28"/>
          <w:szCs w:val="28"/>
        </w:rPr>
        <w:t>Matared</w:t>
      </w:r>
      <w:proofErr w:type="spellEnd"/>
      <w:r w:rsidRPr="000C55CB">
        <w:rPr>
          <w:rFonts w:ascii="Times New Roman" w:hAnsi="Times New Roman" w:cs="Times New Roman"/>
          <w:sz w:val="28"/>
          <w:szCs w:val="28"/>
        </w:rPr>
        <w:t xml:space="preserve"> et al. (2023), lifestyle also significantly impacts cognitive decline; things like music and video games can slow cognitive decline because music relaxes and improves mood in people with dementia, and personalised games improve concentration and cognitive control in older adults. However, this study found that mindfulness and exercise showed limited cognitive benefits and emphasised tailored intervention, as music therapy and lifestyle changes can support cognitive health in ageing populations.</w:t>
      </w:r>
    </w:p>
    <w:p w14:paraId="06D60E3C" w14:textId="62291A6E"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James et al. (2023) also noted that playing musical instruments has benefits in delaying memory and thinking problems because playing musical instruments requires memory, focus, quick thinking, coordination of movements, and reasoning, which helps to exercise and strengthen the brain. Musical instrument </w:t>
      </w:r>
      <w:r w:rsidRPr="000C55CB">
        <w:rPr>
          <w:rFonts w:ascii="Times New Roman" w:hAnsi="Times New Roman" w:cs="Times New Roman"/>
          <w:sz w:val="28"/>
          <w:szCs w:val="28"/>
        </w:rPr>
        <w:lastRenderedPageBreak/>
        <w:t xml:space="preserve">skills that use hearing, movement, and vision simultaneously can improve motor skills. Playing musical instruments combines various processes such as memory, planning, and thinking, which positively affects brain function and delays the function of cognitive processes. </w:t>
      </w:r>
    </w:p>
    <w:p w14:paraId="5CECB8CF" w14:textId="470195FA"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According to Freedman et al. (2014), bilingualism can support cognitive reserve by strengthening connections in the brain by exercising executive control. Because people who speak two languages, both languages are constantly active, which requires attention, switching between languages and constant thinking. Also, these activities engage the brain in regular training, which can build cognitive reserve. However, the effects may vary from person to person.</w:t>
      </w:r>
    </w:p>
    <w:p w14:paraId="007AD311" w14:textId="7E3E0B6B"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 xml:space="preserve">Lifelong bilingualism can increase cognitive reserve, as it helps delay the onset of symptoms such as mild cognitive impairment (MCI), dementia, and Alzheimer's disease (AD). </w:t>
      </w:r>
      <w:r w:rsidR="00821A74" w:rsidRPr="000C55CB">
        <w:rPr>
          <w:rFonts w:ascii="Times New Roman" w:hAnsi="Times New Roman" w:cs="Times New Roman"/>
          <w:sz w:val="28"/>
          <w:szCs w:val="28"/>
        </w:rPr>
        <w:t>However,</w:t>
      </w:r>
      <w:r w:rsidRPr="000C55CB">
        <w:rPr>
          <w:rFonts w:ascii="Times New Roman" w:hAnsi="Times New Roman" w:cs="Times New Roman"/>
          <w:sz w:val="28"/>
          <w:szCs w:val="28"/>
        </w:rPr>
        <w:t xml:space="preserve"> some studies do not show that bilingualism reduces the risk of dementia, it does show that it increases cognitive control because bilinguals must manage two languages at the same time. Learning a new language has benefits for the brain because it supports cognitive processes, but it can be difficult for older people; focusing on the regular use of both languages (DL), where both are actively practised, better supports the flexibility of the mind, as it strengthens the ability to learn and remember words better. Bilingualism also helps learn new things and improves verbal skills because it forces the brain to work hard (Yow et al., 2024; Rothman, 2024).</w:t>
      </w:r>
    </w:p>
    <w:p w14:paraId="2CA558D6" w14:textId="3FD1AF75" w:rsidR="00814132" w:rsidRPr="000C55CB" w:rsidRDefault="00814132" w:rsidP="00756FCC">
      <w:pPr>
        <w:spacing w:line="360" w:lineRule="auto"/>
        <w:rPr>
          <w:rFonts w:ascii="Times New Roman" w:hAnsi="Times New Roman" w:cs="Times New Roman"/>
          <w:sz w:val="28"/>
          <w:szCs w:val="28"/>
        </w:rPr>
      </w:pPr>
      <w:r w:rsidRPr="000C55CB">
        <w:rPr>
          <w:rFonts w:ascii="Times New Roman" w:hAnsi="Times New Roman" w:cs="Times New Roman"/>
          <w:sz w:val="28"/>
          <w:szCs w:val="28"/>
        </w:rPr>
        <w:t>According to Bubbico et al. (2019), early bilingualism can protect the ageing brain by strengthening neural connections and supporting flexibility</w:t>
      </w:r>
      <w:r w:rsidR="00821A74" w:rsidRPr="000C55CB">
        <w:rPr>
          <w:rFonts w:ascii="Times New Roman" w:hAnsi="Times New Roman" w:cs="Times New Roman"/>
          <w:sz w:val="28"/>
          <w:szCs w:val="28"/>
        </w:rPr>
        <w:t>, and it</w:t>
      </w:r>
      <w:r w:rsidRPr="000C55CB">
        <w:rPr>
          <w:rFonts w:ascii="Times New Roman" w:hAnsi="Times New Roman" w:cs="Times New Roman"/>
          <w:sz w:val="28"/>
          <w:szCs w:val="28"/>
        </w:rPr>
        <w:t xml:space="preserve"> needs to be clarified whether learning a second language at a later age offers similar benefits because bilingual people show better connections between different brain regions throughout their lives, prompting researchers to investigate how language learning can reorganize brain networks in older adults. Also, learning a new language supports key cognitive functions such as </w:t>
      </w:r>
      <w:r w:rsidRPr="000C55CB">
        <w:rPr>
          <w:rFonts w:ascii="Times New Roman" w:hAnsi="Times New Roman" w:cs="Times New Roman"/>
          <w:sz w:val="28"/>
          <w:szCs w:val="28"/>
        </w:rPr>
        <w:lastRenderedPageBreak/>
        <w:t xml:space="preserve">memory, reasoning, and concentration; it can be especially beneficial in the context of ageing. This is particularly important because better cognitive functioning affects the quality of life; more importantly, language learning stimulates various brain processes, which can delay cognitive decline. </w:t>
      </w:r>
      <w:r w:rsidR="00150BA8" w:rsidRPr="000C55CB">
        <w:rPr>
          <w:rFonts w:ascii="Times New Roman" w:hAnsi="Times New Roman" w:cs="Times New Roman"/>
          <w:sz w:val="28"/>
          <w:szCs w:val="28"/>
        </w:rPr>
        <w:t xml:space="preserve">Although research on the protective effects of bilingualism is ongoing, it is worth further exploring the potential for supporting cognitive functions through late language learning. </w:t>
      </w:r>
      <w:r w:rsidRPr="000C55CB">
        <w:rPr>
          <w:rFonts w:ascii="Times New Roman" w:hAnsi="Times New Roman" w:cs="Times New Roman"/>
          <w:sz w:val="28"/>
          <w:szCs w:val="28"/>
        </w:rPr>
        <w:t>Once dementia begins, such as in the form of mild cognitive impairment (MCI), it may be too late to repair the damage to the brain (Dumas, 2017). Then, the changes in the nervous system are so advanced that it is difficult to undo them because early detection and action can be crucial in slowing down these processes. If dementia has already progressed, the brain's ability to protect itself becomes limited, and the impact on daily functioning becomes more and more apparent.</w:t>
      </w:r>
    </w:p>
    <w:p w14:paraId="58336827" w14:textId="5A349C0B" w:rsidR="00814132" w:rsidRPr="000C55CB" w:rsidRDefault="00150BA8" w:rsidP="00150BA8">
      <w:pPr>
        <w:spacing w:line="360" w:lineRule="auto"/>
        <w:rPr>
          <w:rFonts w:ascii="Times New Roman" w:hAnsi="Times New Roman" w:cs="Times New Roman"/>
          <w:sz w:val="28"/>
          <w:szCs w:val="28"/>
        </w:rPr>
      </w:pPr>
      <w:r w:rsidRPr="000C55CB">
        <w:rPr>
          <w:rFonts w:ascii="Times New Roman" w:hAnsi="Times New Roman" w:cs="Times New Roman"/>
          <w:sz w:val="28"/>
          <w:szCs w:val="28"/>
        </w:rPr>
        <w:t>In summary, Eason's (2024) article highlights precisely that brain health depends on mental, physical and life habits; activities such as reading, solving puzzles, playing instruments and learning new skills keep the brain active, as aerobic exercise such as walking or swimming improves cognitive function, and the Mediterranean diet supports brain health. Getting enough sleep consolidates memories and removes toxins; stress can be relieved through mindfulness or yoga, social interaction, avoiding smoking and excess alcohol, hydration, and regular checkups, which also help protect the brain. Simple lifestyle changes can improve cognitive function and reduce the risk of dementia.</w:t>
      </w:r>
    </w:p>
    <w:p w14:paraId="15932B9A" w14:textId="77777777" w:rsidR="00372E17" w:rsidRPr="000C55CB" w:rsidRDefault="00372E17" w:rsidP="00814132">
      <w:pPr>
        <w:rPr>
          <w:rFonts w:ascii="Times New Roman" w:hAnsi="Times New Roman" w:cs="Times New Roman"/>
          <w:sz w:val="28"/>
          <w:szCs w:val="28"/>
        </w:rPr>
      </w:pPr>
    </w:p>
    <w:p w14:paraId="7DFA80BE" w14:textId="77777777" w:rsidR="000C55CB" w:rsidRDefault="000C55CB" w:rsidP="00814132">
      <w:pPr>
        <w:rPr>
          <w:rFonts w:ascii="Times New Roman" w:hAnsi="Times New Roman" w:cs="Times New Roman"/>
          <w:sz w:val="28"/>
          <w:szCs w:val="28"/>
        </w:rPr>
      </w:pPr>
    </w:p>
    <w:p w14:paraId="7BE910C7" w14:textId="77777777" w:rsidR="000C55CB" w:rsidRDefault="000C55CB" w:rsidP="00814132">
      <w:pPr>
        <w:rPr>
          <w:rFonts w:ascii="Times New Roman" w:hAnsi="Times New Roman" w:cs="Times New Roman"/>
          <w:sz w:val="28"/>
          <w:szCs w:val="28"/>
        </w:rPr>
      </w:pPr>
    </w:p>
    <w:p w14:paraId="1C7478D2" w14:textId="77777777" w:rsidR="000C55CB" w:rsidRDefault="000C55CB" w:rsidP="00814132">
      <w:pPr>
        <w:rPr>
          <w:rFonts w:ascii="Times New Roman" w:hAnsi="Times New Roman" w:cs="Times New Roman"/>
          <w:sz w:val="28"/>
          <w:szCs w:val="28"/>
        </w:rPr>
      </w:pPr>
    </w:p>
    <w:p w14:paraId="64712A12" w14:textId="77777777" w:rsidR="000C55CB" w:rsidRDefault="000C55CB" w:rsidP="00814132">
      <w:pPr>
        <w:rPr>
          <w:rFonts w:ascii="Times New Roman" w:hAnsi="Times New Roman" w:cs="Times New Roman"/>
          <w:sz w:val="28"/>
          <w:szCs w:val="28"/>
        </w:rPr>
      </w:pPr>
    </w:p>
    <w:p w14:paraId="0213DAFC" w14:textId="77777777" w:rsidR="000C55CB" w:rsidRDefault="000C55CB" w:rsidP="00814132">
      <w:pPr>
        <w:rPr>
          <w:rFonts w:ascii="Times New Roman" w:hAnsi="Times New Roman" w:cs="Times New Roman"/>
          <w:sz w:val="28"/>
          <w:szCs w:val="28"/>
        </w:rPr>
      </w:pPr>
    </w:p>
    <w:p w14:paraId="3D173C19" w14:textId="6467ED9F" w:rsidR="00BA406E" w:rsidRPr="000C55CB" w:rsidRDefault="006148E6" w:rsidP="00814132">
      <w:pPr>
        <w:rPr>
          <w:rFonts w:ascii="Times New Roman" w:hAnsi="Times New Roman" w:cs="Times New Roman"/>
          <w:sz w:val="28"/>
          <w:szCs w:val="28"/>
        </w:rPr>
      </w:pPr>
      <w:r w:rsidRPr="000C55CB">
        <w:rPr>
          <w:rFonts w:ascii="Times New Roman" w:hAnsi="Times New Roman" w:cs="Times New Roman"/>
          <w:sz w:val="28"/>
          <w:szCs w:val="28"/>
        </w:rPr>
        <w:lastRenderedPageBreak/>
        <w:t>References</w:t>
      </w:r>
    </w:p>
    <w:p w14:paraId="7601684F" w14:textId="03CE2CCA" w:rsidR="0088402A" w:rsidRPr="000C55CB" w:rsidRDefault="0088402A" w:rsidP="0088402A">
      <w:pPr>
        <w:rPr>
          <w:sz w:val="20"/>
          <w:szCs w:val="20"/>
        </w:rPr>
      </w:pPr>
    </w:p>
    <w:p w14:paraId="5904F8E5" w14:textId="77777777" w:rsidR="00451219" w:rsidRPr="000C55CB" w:rsidRDefault="00451219" w:rsidP="00451219">
      <w:pPr>
        <w:pStyle w:val="NormalWeb"/>
        <w:spacing w:before="0" w:beforeAutospacing="0" w:after="0" w:afterAutospacing="0" w:line="480" w:lineRule="auto"/>
        <w:ind w:left="720" w:hanging="720"/>
        <w:rPr>
          <w:sz w:val="20"/>
          <w:szCs w:val="20"/>
          <w:lang w:val="nl-NL"/>
        </w:rPr>
      </w:pPr>
      <w:r w:rsidRPr="000C55CB">
        <w:rPr>
          <w:sz w:val="20"/>
          <w:szCs w:val="20"/>
        </w:rPr>
        <w:t xml:space="preserve">Alzheimer’s Association. (2024). Alzheimer’s Disease facts and figures. </w:t>
      </w:r>
      <w:r w:rsidRPr="000C55CB">
        <w:rPr>
          <w:sz w:val="20"/>
          <w:szCs w:val="20"/>
          <w:lang w:val="nl-NL"/>
        </w:rPr>
        <w:t xml:space="preserve">In </w:t>
      </w:r>
      <w:r w:rsidRPr="000C55CB">
        <w:rPr>
          <w:i/>
          <w:iCs/>
          <w:sz w:val="20"/>
          <w:szCs w:val="20"/>
          <w:lang w:val="nl-NL"/>
        </w:rPr>
        <w:t>Alzheimers Dement</w:t>
      </w:r>
      <w:r w:rsidRPr="000C55CB">
        <w:rPr>
          <w:sz w:val="20"/>
          <w:szCs w:val="20"/>
          <w:lang w:val="nl-NL"/>
        </w:rPr>
        <w:t xml:space="preserve"> (Vols. 20–5). </w:t>
      </w:r>
      <w:r w:rsidRPr="000C55CB">
        <w:rPr>
          <w:rStyle w:val="url"/>
          <w:rFonts w:eastAsiaTheme="majorEastAsia"/>
          <w:sz w:val="20"/>
          <w:szCs w:val="20"/>
          <w:lang w:val="nl-NL"/>
        </w:rPr>
        <w:t>https://wehco.media.clients.ellingtoncms.com/news/documents/2024/03/19/Alzheimers_report.pdf</w:t>
      </w:r>
    </w:p>
    <w:p w14:paraId="2ECD498D"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Berezuk, C., Scott, S. C., Black, S. E., &amp; </w:t>
      </w:r>
      <w:proofErr w:type="spellStart"/>
      <w:r w:rsidRPr="000C55CB">
        <w:rPr>
          <w:sz w:val="20"/>
          <w:szCs w:val="20"/>
        </w:rPr>
        <w:t>Zakzanis</w:t>
      </w:r>
      <w:proofErr w:type="spellEnd"/>
      <w:r w:rsidRPr="000C55CB">
        <w:rPr>
          <w:sz w:val="20"/>
          <w:szCs w:val="20"/>
        </w:rPr>
        <w:t xml:space="preserve">, K. K. (2021). Cognitive reserve, cognition, and real-world functioning in MCI: A systematic review and meta-analysis. </w:t>
      </w:r>
      <w:r w:rsidRPr="000C55CB">
        <w:rPr>
          <w:i/>
          <w:iCs/>
          <w:sz w:val="20"/>
          <w:szCs w:val="20"/>
        </w:rPr>
        <w:t>Journal of Clinical and Experimental Neuropsychology</w:t>
      </w:r>
      <w:r w:rsidRPr="000C55CB">
        <w:rPr>
          <w:sz w:val="20"/>
          <w:szCs w:val="20"/>
        </w:rPr>
        <w:t xml:space="preserve">, </w:t>
      </w:r>
      <w:r w:rsidRPr="000C55CB">
        <w:rPr>
          <w:i/>
          <w:iCs/>
          <w:sz w:val="20"/>
          <w:szCs w:val="20"/>
        </w:rPr>
        <w:t>43</w:t>
      </w:r>
      <w:r w:rsidRPr="000C55CB">
        <w:rPr>
          <w:sz w:val="20"/>
          <w:szCs w:val="20"/>
        </w:rPr>
        <w:t xml:space="preserve">(10), 991–1005. </w:t>
      </w:r>
      <w:r w:rsidRPr="000C55CB">
        <w:rPr>
          <w:rStyle w:val="url"/>
          <w:rFonts w:eastAsiaTheme="majorEastAsia"/>
          <w:sz w:val="20"/>
          <w:szCs w:val="20"/>
        </w:rPr>
        <w:t>https://doi.org/10.1080/13803395.2022.2047160</w:t>
      </w:r>
    </w:p>
    <w:p w14:paraId="148B7054"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Boyle, P. A., Wang, T., Yu, L., Wilson, R. S., Dawe, R., </w:t>
      </w:r>
      <w:proofErr w:type="spellStart"/>
      <w:r w:rsidRPr="000C55CB">
        <w:rPr>
          <w:sz w:val="20"/>
          <w:szCs w:val="20"/>
        </w:rPr>
        <w:t>Arfanakis</w:t>
      </w:r>
      <w:proofErr w:type="spellEnd"/>
      <w:r w:rsidRPr="000C55CB">
        <w:rPr>
          <w:sz w:val="20"/>
          <w:szCs w:val="20"/>
        </w:rPr>
        <w:t xml:space="preserve">, K., Schneider, J. A., &amp; Bennett, D. A. (2021). To what degree is late life cognitive decline driven by age-related </w:t>
      </w:r>
      <w:proofErr w:type="spellStart"/>
      <w:r w:rsidRPr="000C55CB">
        <w:rPr>
          <w:sz w:val="20"/>
          <w:szCs w:val="20"/>
        </w:rPr>
        <w:t>neuropathologies</w:t>
      </w:r>
      <w:proofErr w:type="spellEnd"/>
      <w:r w:rsidRPr="000C55CB">
        <w:rPr>
          <w:sz w:val="20"/>
          <w:szCs w:val="20"/>
        </w:rPr>
        <w:t xml:space="preserve">? </w:t>
      </w:r>
      <w:r w:rsidRPr="000C55CB">
        <w:rPr>
          <w:i/>
          <w:iCs/>
          <w:sz w:val="20"/>
          <w:szCs w:val="20"/>
        </w:rPr>
        <w:t>Brain</w:t>
      </w:r>
      <w:r w:rsidRPr="000C55CB">
        <w:rPr>
          <w:sz w:val="20"/>
          <w:szCs w:val="20"/>
        </w:rPr>
        <w:t xml:space="preserve">, </w:t>
      </w:r>
      <w:r w:rsidRPr="000C55CB">
        <w:rPr>
          <w:i/>
          <w:iCs/>
          <w:sz w:val="20"/>
          <w:szCs w:val="20"/>
        </w:rPr>
        <w:t>144</w:t>
      </w:r>
      <w:r w:rsidRPr="000C55CB">
        <w:rPr>
          <w:sz w:val="20"/>
          <w:szCs w:val="20"/>
        </w:rPr>
        <w:t xml:space="preserve">(7), 2166–2175. </w:t>
      </w:r>
      <w:r w:rsidRPr="000C55CB">
        <w:rPr>
          <w:rStyle w:val="url"/>
          <w:rFonts w:eastAsiaTheme="majorEastAsia"/>
          <w:sz w:val="20"/>
          <w:szCs w:val="20"/>
        </w:rPr>
        <w:t>https://doi.org/10.1093/brain/awab092</w:t>
      </w:r>
    </w:p>
    <w:p w14:paraId="446112A5"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Bubbico, G., </w:t>
      </w:r>
      <w:proofErr w:type="spellStart"/>
      <w:r w:rsidRPr="000C55CB">
        <w:rPr>
          <w:sz w:val="20"/>
          <w:szCs w:val="20"/>
        </w:rPr>
        <w:t>Chiacchiaretta</w:t>
      </w:r>
      <w:proofErr w:type="spellEnd"/>
      <w:r w:rsidRPr="000C55CB">
        <w:rPr>
          <w:sz w:val="20"/>
          <w:szCs w:val="20"/>
        </w:rPr>
        <w:t xml:space="preserve">, P., Parenti, M., Di Marco, M., Panara, V., </w:t>
      </w:r>
      <w:proofErr w:type="spellStart"/>
      <w:r w:rsidRPr="000C55CB">
        <w:rPr>
          <w:sz w:val="20"/>
          <w:szCs w:val="20"/>
        </w:rPr>
        <w:t>Sepede</w:t>
      </w:r>
      <w:proofErr w:type="spellEnd"/>
      <w:r w:rsidRPr="000C55CB">
        <w:rPr>
          <w:sz w:val="20"/>
          <w:szCs w:val="20"/>
        </w:rPr>
        <w:t xml:space="preserve">, G., Ferretti, A., &amp; Perrucci, M. G. (2019). Effects of second language learning on the plastic aging brain: functional connectivity, cognitive decline, and reorganization. </w:t>
      </w:r>
      <w:r w:rsidRPr="000C55CB">
        <w:rPr>
          <w:i/>
          <w:iCs/>
          <w:sz w:val="20"/>
          <w:szCs w:val="20"/>
        </w:rPr>
        <w:t>Frontiers in Neuroscience</w:t>
      </w:r>
      <w:r w:rsidRPr="000C55CB">
        <w:rPr>
          <w:sz w:val="20"/>
          <w:szCs w:val="20"/>
        </w:rPr>
        <w:t xml:space="preserve">, </w:t>
      </w:r>
      <w:r w:rsidRPr="000C55CB">
        <w:rPr>
          <w:i/>
          <w:iCs/>
          <w:sz w:val="20"/>
          <w:szCs w:val="20"/>
        </w:rPr>
        <w:t>13</w:t>
      </w:r>
      <w:r w:rsidRPr="000C55CB">
        <w:rPr>
          <w:sz w:val="20"/>
          <w:szCs w:val="20"/>
        </w:rPr>
        <w:t xml:space="preserve">. </w:t>
      </w:r>
      <w:r w:rsidRPr="000C55CB">
        <w:rPr>
          <w:rStyle w:val="url"/>
          <w:rFonts w:eastAsiaTheme="majorEastAsia"/>
          <w:sz w:val="20"/>
          <w:szCs w:val="20"/>
        </w:rPr>
        <w:t>https://doi.org/10.3389/fnins.2019.00423</w:t>
      </w:r>
    </w:p>
    <w:p w14:paraId="5B150C65"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De Lima, E. P., Tanaka, M., Lamas, C. B., Quesada, K., </w:t>
      </w:r>
      <w:proofErr w:type="spellStart"/>
      <w:r w:rsidRPr="000C55CB">
        <w:rPr>
          <w:sz w:val="20"/>
          <w:szCs w:val="20"/>
        </w:rPr>
        <w:t>Detregiachi</w:t>
      </w:r>
      <w:proofErr w:type="spellEnd"/>
      <w:r w:rsidRPr="000C55CB">
        <w:rPr>
          <w:sz w:val="20"/>
          <w:szCs w:val="20"/>
        </w:rPr>
        <w:t xml:space="preserve">, C. R. P., Araújo, A. C., </w:t>
      </w:r>
      <w:proofErr w:type="spellStart"/>
      <w:r w:rsidRPr="000C55CB">
        <w:rPr>
          <w:sz w:val="20"/>
          <w:szCs w:val="20"/>
        </w:rPr>
        <w:t>Guiguer</w:t>
      </w:r>
      <w:proofErr w:type="spellEnd"/>
      <w:r w:rsidRPr="000C55CB">
        <w:rPr>
          <w:sz w:val="20"/>
          <w:szCs w:val="20"/>
        </w:rPr>
        <w:t xml:space="preserve">, E. L., Catharin, V. M. C. S., De Castro, M. V. M., Baldi, E., Junior, Bechara, M. D., Ferraz, B. F. R., Catharin, V. C. S., Laurindo, L. F., &amp; Barbalho, S. M. (2024). Vascular Impairment, muscle atrophy, and Cognitive Decline: Critical Age-Related Conditions. </w:t>
      </w:r>
      <w:r w:rsidRPr="000C55CB">
        <w:rPr>
          <w:i/>
          <w:iCs/>
          <w:sz w:val="20"/>
          <w:szCs w:val="20"/>
        </w:rPr>
        <w:t>Biomedicines</w:t>
      </w:r>
      <w:r w:rsidRPr="000C55CB">
        <w:rPr>
          <w:sz w:val="20"/>
          <w:szCs w:val="20"/>
        </w:rPr>
        <w:t xml:space="preserve">, </w:t>
      </w:r>
      <w:r w:rsidRPr="000C55CB">
        <w:rPr>
          <w:i/>
          <w:iCs/>
          <w:sz w:val="20"/>
          <w:szCs w:val="20"/>
        </w:rPr>
        <w:t>12</w:t>
      </w:r>
      <w:r w:rsidRPr="000C55CB">
        <w:rPr>
          <w:sz w:val="20"/>
          <w:szCs w:val="20"/>
        </w:rPr>
        <w:t xml:space="preserve">(9), 2096. </w:t>
      </w:r>
      <w:r w:rsidRPr="000C55CB">
        <w:rPr>
          <w:rStyle w:val="url"/>
          <w:rFonts w:eastAsiaTheme="majorEastAsia"/>
          <w:sz w:val="20"/>
          <w:szCs w:val="20"/>
        </w:rPr>
        <w:t>https://doi.org/10.3390/biomedicines12092096</w:t>
      </w:r>
    </w:p>
    <w:p w14:paraId="51897155"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Di Rosa, E. (2024). Affective Reserve: A new reserve concept we should talk about. </w:t>
      </w:r>
      <w:r w:rsidRPr="000C55CB">
        <w:rPr>
          <w:i/>
          <w:iCs/>
          <w:sz w:val="20"/>
          <w:szCs w:val="20"/>
        </w:rPr>
        <w:t>Affective Reserve: A New Reserve Concept We Should Talk About</w:t>
      </w:r>
      <w:r w:rsidRPr="000C55CB">
        <w:rPr>
          <w:sz w:val="20"/>
          <w:szCs w:val="20"/>
        </w:rPr>
        <w:t xml:space="preserve">, </w:t>
      </w:r>
      <w:r w:rsidRPr="000C55CB">
        <w:rPr>
          <w:i/>
          <w:iCs/>
          <w:sz w:val="20"/>
          <w:szCs w:val="20"/>
        </w:rPr>
        <w:t>1</w:t>
      </w:r>
      <w:r w:rsidRPr="000C55CB">
        <w:rPr>
          <w:sz w:val="20"/>
          <w:szCs w:val="20"/>
        </w:rPr>
        <w:t xml:space="preserve">(2), e0000083. </w:t>
      </w:r>
      <w:r w:rsidRPr="000C55CB">
        <w:rPr>
          <w:rStyle w:val="url"/>
          <w:rFonts w:eastAsiaTheme="majorEastAsia"/>
          <w:sz w:val="20"/>
          <w:szCs w:val="20"/>
        </w:rPr>
        <w:t>https://doi.org/10.1371/journal.pmen.0000083</w:t>
      </w:r>
    </w:p>
    <w:p w14:paraId="20CDA046"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Dumas, J. A. (2017). Strategies for preventing cognitive decline in healthy older adults. </w:t>
      </w:r>
      <w:r w:rsidRPr="000C55CB">
        <w:rPr>
          <w:i/>
          <w:iCs/>
          <w:sz w:val="20"/>
          <w:szCs w:val="20"/>
        </w:rPr>
        <w:t>The Canadian Journal of Psychiatry</w:t>
      </w:r>
      <w:r w:rsidRPr="000C55CB">
        <w:rPr>
          <w:sz w:val="20"/>
          <w:szCs w:val="20"/>
        </w:rPr>
        <w:t xml:space="preserve">, </w:t>
      </w:r>
      <w:r w:rsidRPr="000C55CB">
        <w:rPr>
          <w:i/>
          <w:iCs/>
          <w:sz w:val="20"/>
          <w:szCs w:val="20"/>
        </w:rPr>
        <w:t>62</w:t>
      </w:r>
      <w:r w:rsidRPr="000C55CB">
        <w:rPr>
          <w:sz w:val="20"/>
          <w:szCs w:val="20"/>
        </w:rPr>
        <w:t xml:space="preserve">(11), 754–760. </w:t>
      </w:r>
      <w:r w:rsidRPr="000C55CB">
        <w:rPr>
          <w:rStyle w:val="url"/>
          <w:rFonts w:eastAsiaTheme="majorEastAsia"/>
          <w:sz w:val="20"/>
          <w:szCs w:val="20"/>
        </w:rPr>
        <w:t>https://doi.org/10.1177/0706743717720691</w:t>
      </w:r>
    </w:p>
    <w:p w14:paraId="56C9E95F"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Eason, A. (2024, May 22). </w:t>
      </w:r>
      <w:r w:rsidRPr="000C55CB">
        <w:rPr>
          <w:i/>
          <w:iCs/>
          <w:sz w:val="20"/>
          <w:szCs w:val="20"/>
        </w:rPr>
        <w:t>Ways to stave off cognitive Decline</w:t>
      </w:r>
      <w:r w:rsidRPr="000C55CB">
        <w:rPr>
          <w:sz w:val="20"/>
          <w:szCs w:val="20"/>
        </w:rPr>
        <w:t xml:space="preserve">. Adam Eason. </w:t>
      </w:r>
      <w:r w:rsidRPr="000C55CB">
        <w:rPr>
          <w:rStyle w:val="url"/>
          <w:rFonts w:eastAsiaTheme="majorEastAsia"/>
          <w:sz w:val="20"/>
          <w:szCs w:val="20"/>
        </w:rPr>
        <w:t>https://www.adam-eason.com/ways-to-stave-off-cognitive-decline/</w:t>
      </w:r>
    </w:p>
    <w:p w14:paraId="1B0AC4DF"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Evans, I. (2019). </w:t>
      </w:r>
      <w:r w:rsidRPr="000C55CB">
        <w:rPr>
          <w:i/>
          <w:iCs/>
          <w:sz w:val="20"/>
          <w:szCs w:val="20"/>
        </w:rPr>
        <w:t>Social connections, cognitive reserve, and cognitive function in later life</w:t>
      </w:r>
      <w:r w:rsidRPr="000C55CB">
        <w:rPr>
          <w:sz w:val="20"/>
          <w:szCs w:val="20"/>
        </w:rPr>
        <w:t xml:space="preserve">. </w:t>
      </w:r>
      <w:r w:rsidRPr="000C55CB">
        <w:rPr>
          <w:rStyle w:val="url"/>
          <w:rFonts w:eastAsiaTheme="majorEastAsia"/>
          <w:sz w:val="20"/>
          <w:szCs w:val="20"/>
        </w:rPr>
        <w:t>https://doi.org/10.17863/cam.27236</w:t>
      </w:r>
    </w:p>
    <w:p w14:paraId="072F4CF2"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lastRenderedPageBreak/>
        <w:t xml:space="preserve">Freedman, M., Alladi, S., </w:t>
      </w:r>
      <w:proofErr w:type="spellStart"/>
      <w:r w:rsidRPr="000C55CB">
        <w:rPr>
          <w:sz w:val="20"/>
          <w:szCs w:val="20"/>
        </w:rPr>
        <w:t>Chertkow</w:t>
      </w:r>
      <w:proofErr w:type="spellEnd"/>
      <w:r w:rsidRPr="000C55CB">
        <w:rPr>
          <w:sz w:val="20"/>
          <w:szCs w:val="20"/>
        </w:rPr>
        <w:t xml:space="preserve">, H., Bialystok, E., Craik, F. I. M., Phillips, N. A., Duggirala, V., Raju, S. B., &amp; Bak, T. H. (2014). Delaying onset of dementia: Are two languages enough? </w:t>
      </w:r>
      <w:r w:rsidRPr="000C55CB">
        <w:rPr>
          <w:i/>
          <w:iCs/>
          <w:sz w:val="20"/>
          <w:szCs w:val="20"/>
        </w:rPr>
        <w:t>Behavioural Neurology</w:t>
      </w:r>
      <w:r w:rsidRPr="000C55CB">
        <w:rPr>
          <w:sz w:val="20"/>
          <w:szCs w:val="20"/>
        </w:rPr>
        <w:t xml:space="preserve">, </w:t>
      </w:r>
      <w:r w:rsidRPr="000C55CB">
        <w:rPr>
          <w:i/>
          <w:iCs/>
          <w:sz w:val="20"/>
          <w:szCs w:val="20"/>
        </w:rPr>
        <w:t>2014</w:t>
      </w:r>
      <w:r w:rsidRPr="000C55CB">
        <w:rPr>
          <w:sz w:val="20"/>
          <w:szCs w:val="20"/>
        </w:rPr>
        <w:t xml:space="preserve">, 1–8. </w:t>
      </w:r>
      <w:r w:rsidRPr="000C55CB">
        <w:rPr>
          <w:rStyle w:val="url"/>
          <w:rFonts w:eastAsiaTheme="majorEastAsia"/>
          <w:sz w:val="20"/>
          <w:szCs w:val="20"/>
        </w:rPr>
        <w:t>https://doi.org/10.1155/2014/808137</w:t>
      </w:r>
    </w:p>
    <w:p w14:paraId="3CA7A0A7" w14:textId="347F6CFE"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Fujita, S. (2024). Optimizing Strategies to prevent Cognitive decline with 20-Year Brain Imaging. </w:t>
      </w:r>
      <w:r w:rsidRPr="000C55CB">
        <w:rPr>
          <w:i/>
          <w:iCs/>
          <w:sz w:val="20"/>
          <w:szCs w:val="20"/>
        </w:rPr>
        <w:t>JAMA Network Open</w:t>
      </w:r>
      <w:r w:rsidRPr="000C55CB">
        <w:rPr>
          <w:sz w:val="20"/>
          <w:szCs w:val="20"/>
        </w:rPr>
        <w:t xml:space="preserve">, </w:t>
      </w:r>
      <w:r w:rsidRPr="000C55CB">
        <w:rPr>
          <w:i/>
          <w:iCs/>
          <w:sz w:val="20"/>
          <w:szCs w:val="20"/>
        </w:rPr>
        <w:t>7</w:t>
      </w:r>
      <w:r w:rsidRPr="000C55CB">
        <w:rPr>
          <w:sz w:val="20"/>
          <w:szCs w:val="20"/>
        </w:rPr>
        <w:t xml:space="preserve">(10), e2441466. </w:t>
      </w:r>
      <w:r w:rsidRPr="000C55CB">
        <w:rPr>
          <w:rStyle w:val="url"/>
          <w:rFonts w:eastAsiaTheme="majorEastAsia"/>
          <w:sz w:val="20"/>
          <w:szCs w:val="20"/>
        </w:rPr>
        <w:t>https://doi.org/10.1001/jamanetworkopen.2024.41466</w:t>
      </w:r>
    </w:p>
    <w:p w14:paraId="57835109"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Iso-Markku, P., Aaltonen, S., Kujala, U. M., Halme, H., Phipps, D., Knittle, K., </w:t>
      </w:r>
      <w:proofErr w:type="spellStart"/>
      <w:r w:rsidRPr="000C55CB">
        <w:rPr>
          <w:sz w:val="20"/>
          <w:szCs w:val="20"/>
        </w:rPr>
        <w:t>Vuoksimaa</w:t>
      </w:r>
      <w:proofErr w:type="spellEnd"/>
      <w:r w:rsidRPr="000C55CB">
        <w:rPr>
          <w:sz w:val="20"/>
          <w:szCs w:val="20"/>
        </w:rPr>
        <w:t xml:space="preserve">, E., &amp; Waller, K. (2024). Physical activity and cognitive decline among older adults. </w:t>
      </w:r>
      <w:r w:rsidRPr="000C55CB">
        <w:rPr>
          <w:i/>
          <w:iCs/>
          <w:sz w:val="20"/>
          <w:szCs w:val="20"/>
        </w:rPr>
        <w:t>JAMA Network Open</w:t>
      </w:r>
      <w:r w:rsidRPr="000C55CB">
        <w:rPr>
          <w:sz w:val="20"/>
          <w:szCs w:val="20"/>
        </w:rPr>
        <w:t xml:space="preserve">, </w:t>
      </w:r>
      <w:r w:rsidRPr="000C55CB">
        <w:rPr>
          <w:i/>
          <w:iCs/>
          <w:sz w:val="20"/>
          <w:szCs w:val="20"/>
        </w:rPr>
        <w:t>7</w:t>
      </w:r>
      <w:r w:rsidRPr="000C55CB">
        <w:rPr>
          <w:sz w:val="20"/>
          <w:szCs w:val="20"/>
        </w:rPr>
        <w:t xml:space="preserve">(2), e2354285. </w:t>
      </w:r>
      <w:r w:rsidRPr="000C55CB">
        <w:rPr>
          <w:rStyle w:val="url"/>
          <w:rFonts w:eastAsiaTheme="majorEastAsia"/>
          <w:sz w:val="20"/>
          <w:szCs w:val="20"/>
        </w:rPr>
        <w:t>https://doi.org/10.1001/jamanetworkopen.2023.54285</w:t>
      </w:r>
    </w:p>
    <w:p w14:paraId="63C8B071"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James, C., Stucker, C., Junker-Tschopp, C., Fernandes, A., </w:t>
      </w:r>
      <w:proofErr w:type="spellStart"/>
      <w:r w:rsidRPr="000C55CB">
        <w:rPr>
          <w:sz w:val="20"/>
          <w:szCs w:val="20"/>
        </w:rPr>
        <w:t>Revol</w:t>
      </w:r>
      <w:proofErr w:type="spellEnd"/>
      <w:r w:rsidRPr="000C55CB">
        <w:rPr>
          <w:sz w:val="20"/>
          <w:szCs w:val="20"/>
        </w:rPr>
        <w:t xml:space="preserve">, A., Mili, I., </w:t>
      </w:r>
      <w:proofErr w:type="spellStart"/>
      <w:r w:rsidRPr="000C55CB">
        <w:rPr>
          <w:sz w:val="20"/>
          <w:szCs w:val="20"/>
        </w:rPr>
        <w:t>Kliegel</w:t>
      </w:r>
      <w:proofErr w:type="spellEnd"/>
      <w:r w:rsidRPr="000C55CB">
        <w:rPr>
          <w:sz w:val="20"/>
          <w:szCs w:val="20"/>
        </w:rPr>
        <w:t xml:space="preserve">, M., </w:t>
      </w:r>
      <w:proofErr w:type="spellStart"/>
      <w:r w:rsidRPr="000C55CB">
        <w:rPr>
          <w:sz w:val="20"/>
          <w:szCs w:val="20"/>
        </w:rPr>
        <w:t>Frisoni</w:t>
      </w:r>
      <w:proofErr w:type="spellEnd"/>
      <w:r w:rsidRPr="000C55CB">
        <w:rPr>
          <w:sz w:val="20"/>
          <w:szCs w:val="20"/>
        </w:rPr>
        <w:t xml:space="preserve">, G., Guevara, A. B., &amp; Marie, D. (2023). Musical and psychomotor interventions for cognitive, sensorimotor, and cerebral decline in patients with Mild Cognitive Impairment (COPE): a study protocol for a multicentric randomized controlled study. </w:t>
      </w:r>
      <w:r w:rsidRPr="000C55CB">
        <w:rPr>
          <w:i/>
          <w:iCs/>
          <w:sz w:val="20"/>
          <w:szCs w:val="20"/>
        </w:rPr>
        <w:t>BMC Geriatrics</w:t>
      </w:r>
      <w:r w:rsidRPr="000C55CB">
        <w:rPr>
          <w:sz w:val="20"/>
          <w:szCs w:val="20"/>
        </w:rPr>
        <w:t xml:space="preserve">, </w:t>
      </w:r>
      <w:r w:rsidRPr="000C55CB">
        <w:rPr>
          <w:i/>
          <w:iCs/>
          <w:sz w:val="20"/>
          <w:szCs w:val="20"/>
        </w:rPr>
        <w:t>23</w:t>
      </w:r>
      <w:r w:rsidRPr="000C55CB">
        <w:rPr>
          <w:sz w:val="20"/>
          <w:szCs w:val="20"/>
        </w:rPr>
        <w:t xml:space="preserve">(1). </w:t>
      </w:r>
      <w:r w:rsidRPr="000C55CB">
        <w:rPr>
          <w:rStyle w:val="url"/>
          <w:rFonts w:eastAsiaTheme="majorEastAsia"/>
          <w:sz w:val="20"/>
          <w:szCs w:val="20"/>
        </w:rPr>
        <w:t>https://doi.org/10.1186/s12877-022-03678-0</w:t>
      </w:r>
    </w:p>
    <w:p w14:paraId="2525C7A7" w14:textId="77777777" w:rsidR="00451219" w:rsidRPr="000C55CB" w:rsidRDefault="00451219" w:rsidP="00451219">
      <w:pPr>
        <w:pStyle w:val="NormalWeb"/>
        <w:spacing w:before="0" w:beforeAutospacing="0" w:after="0" w:afterAutospacing="0" w:line="480" w:lineRule="auto"/>
        <w:ind w:left="720" w:hanging="720"/>
        <w:rPr>
          <w:sz w:val="20"/>
          <w:szCs w:val="20"/>
        </w:rPr>
      </w:pPr>
      <w:proofErr w:type="spellStart"/>
      <w:r w:rsidRPr="000C55CB">
        <w:rPr>
          <w:sz w:val="20"/>
          <w:szCs w:val="20"/>
        </w:rPr>
        <w:t>Kivipelto</w:t>
      </w:r>
      <w:proofErr w:type="spellEnd"/>
      <w:r w:rsidRPr="000C55CB">
        <w:rPr>
          <w:sz w:val="20"/>
          <w:szCs w:val="20"/>
        </w:rPr>
        <w:t xml:space="preserve">, M., </w:t>
      </w:r>
      <w:proofErr w:type="spellStart"/>
      <w:r w:rsidRPr="000C55CB">
        <w:rPr>
          <w:sz w:val="20"/>
          <w:szCs w:val="20"/>
        </w:rPr>
        <w:t>Mangialasche</w:t>
      </w:r>
      <w:proofErr w:type="spellEnd"/>
      <w:r w:rsidRPr="000C55CB">
        <w:rPr>
          <w:sz w:val="20"/>
          <w:szCs w:val="20"/>
        </w:rPr>
        <w:t xml:space="preserve">, F., Snyder, H. M., Allegri, R., Andrieu, S., Arai, H., Baker, L., Belleville, S., </w:t>
      </w:r>
      <w:proofErr w:type="spellStart"/>
      <w:r w:rsidRPr="000C55CB">
        <w:rPr>
          <w:sz w:val="20"/>
          <w:szCs w:val="20"/>
        </w:rPr>
        <w:t>Brodaty</w:t>
      </w:r>
      <w:proofErr w:type="spellEnd"/>
      <w:r w:rsidRPr="000C55CB">
        <w:rPr>
          <w:sz w:val="20"/>
          <w:szCs w:val="20"/>
        </w:rPr>
        <w:t xml:space="preserve">, H., Brucki, S. M., </w:t>
      </w:r>
      <w:proofErr w:type="spellStart"/>
      <w:r w:rsidRPr="000C55CB">
        <w:rPr>
          <w:sz w:val="20"/>
          <w:szCs w:val="20"/>
        </w:rPr>
        <w:t>Calandri</w:t>
      </w:r>
      <w:proofErr w:type="spellEnd"/>
      <w:r w:rsidRPr="000C55CB">
        <w:rPr>
          <w:sz w:val="20"/>
          <w:szCs w:val="20"/>
        </w:rPr>
        <w:t xml:space="preserve">, I., Caramelli, P., Chen, C., </w:t>
      </w:r>
      <w:proofErr w:type="spellStart"/>
      <w:r w:rsidRPr="000C55CB">
        <w:rPr>
          <w:sz w:val="20"/>
          <w:szCs w:val="20"/>
        </w:rPr>
        <w:t>Chertkow</w:t>
      </w:r>
      <w:proofErr w:type="spellEnd"/>
      <w:r w:rsidRPr="000C55CB">
        <w:rPr>
          <w:sz w:val="20"/>
          <w:szCs w:val="20"/>
        </w:rPr>
        <w:t xml:space="preserve">, H., Chew, E., Choi, S. H., Chowdhary, N., Crivelli, L., De La Torre, R., . . . Carrillo, M. C. (2020). World‐Wide FINGERS Network: A global approach to risk reduction and prevention of dementia. </w:t>
      </w:r>
      <w:r w:rsidRPr="000C55CB">
        <w:rPr>
          <w:i/>
          <w:iCs/>
          <w:sz w:val="20"/>
          <w:szCs w:val="20"/>
        </w:rPr>
        <w:t>Alzheimer S &amp; Dementia</w:t>
      </w:r>
      <w:r w:rsidRPr="000C55CB">
        <w:rPr>
          <w:sz w:val="20"/>
          <w:szCs w:val="20"/>
        </w:rPr>
        <w:t xml:space="preserve">, </w:t>
      </w:r>
      <w:r w:rsidRPr="000C55CB">
        <w:rPr>
          <w:i/>
          <w:iCs/>
          <w:sz w:val="20"/>
          <w:szCs w:val="20"/>
        </w:rPr>
        <w:t>16</w:t>
      </w:r>
      <w:r w:rsidRPr="000C55CB">
        <w:rPr>
          <w:sz w:val="20"/>
          <w:szCs w:val="20"/>
        </w:rPr>
        <w:t xml:space="preserve">(7), 1078–1094. </w:t>
      </w:r>
      <w:r w:rsidRPr="000C55CB">
        <w:rPr>
          <w:rStyle w:val="url"/>
          <w:rFonts w:eastAsiaTheme="majorEastAsia"/>
          <w:sz w:val="20"/>
          <w:szCs w:val="20"/>
        </w:rPr>
        <w:t>https://doi.org/10.1002/alz.12123</w:t>
      </w:r>
    </w:p>
    <w:p w14:paraId="35691B06"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Li, X., Feng, X., Sun, X., Hou, N., Han, F., &amp; Liu, Y. (2022). Global, regional, and national burden of Alzheimer’s disease and other dementias, 1990–2019. </w:t>
      </w:r>
      <w:r w:rsidRPr="000C55CB">
        <w:rPr>
          <w:i/>
          <w:iCs/>
          <w:sz w:val="20"/>
          <w:szCs w:val="20"/>
        </w:rPr>
        <w:t>Frontiers in Aging Neuroscience</w:t>
      </w:r>
      <w:r w:rsidRPr="000C55CB">
        <w:rPr>
          <w:sz w:val="20"/>
          <w:szCs w:val="20"/>
        </w:rPr>
        <w:t xml:space="preserve">, </w:t>
      </w:r>
      <w:r w:rsidRPr="000C55CB">
        <w:rPr>
          <w:i/>
          <w:iCs/>
          <w:sz w:val="20"/>
          <w:szCs w:val="20"/>
        </w:rPr>
        <w:t>14</w:t>
      </w:r>
      <w:r w:rsidRPr="000C55CB">
        <w:rPr>
          <w:sz w:val="20"/>
          <w:szCs w:val="20"/>
        </w:rPr>
        <w:t xml:space="preserve">. </w:t>
      </w:r>
      <w:r w:rsidRPr="000C55CB">
        <w:rPr>
          <w:rStyle w:val="url"/>
          <w:rFonts w:eastAsiaTheme="majorEastAsia"/>
          <w:sz w:val="20"/>
          <w:szCs w:val="20"/>
        </w:rPr>
        <w:t>https://doi.org/10.3389/fnagi.2022.937486</w:t>
      </w:r>
    </w:p>
    <w:p w14:paraId="1C3E885A"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Livingston, G., Huntley, J., Liu, K. Y., </w:t>
      </w:r>
      <w:proofErr w:type="spellStart"/>
      <w:r w:rsidRPr="000C55CB">
        <w:rPr>
          <w:sz w:val="20"/>
          <w:szCs w:val="20"/>
        </w:rPr>
        <w:t>Costafreda</w:t>
      </w:r>
      <w:proofErr w:type="spellEnd"/>
      <w:r w:rsidRPr="000C55CB">
        <w:rPr>
          <w:sz w:val="20"/>
          <w:szCs w:val="20"/>
        </w:rPr>
        <w:t xml:space="preserve">, S. G., </w:t>
      </w:r>
      <w:proofErr w:type="spellStart"/>
      <w:r w:rsidRPr="000C55CB">
        <w:rPr>
          <w:sz w:val="20"/>
          <w:szCs w:val="20"/>
        </w:rPr>
        <w:t>Selbæk</w:t>
      </w:r>
      <w:proofErr w:type="spellEnd"/>
      <w:r w:rsidRPr="000C55CB">
        <w:rPr>
          <w:sz w:val="20"/>
          <w:szCs w:val="20"/>
        </w:rPr>
        <w:t xml:space="preserve">, G., Alladi, S., Ames, D., Banerjee, S., Burns, A., </w:t>
      </w:r>
      <w:proofErr w:type="spellStart"/>
      <w:r w:rsidRPr="000C55CB">
        <w:rPr>
          <w:sz w:val="20"/>
          <w:szCs w:val="20"/>
        </w:rPr>
        <w:t>Brayne</w:t>
      </w:r>
      <w:proofErr w:type="spellEnd"/>
      <w:r w:rsidRPr="000C55CB">
        <w:rPr>
          <w:sz w:val="20"/>
          <w:szCs w:val="20"/>
        </w:rPr>
        <w:t xml:space="preserve">, C., Fox, N. C., Ferri, C. P., Gitlin, L. N., Howard, R., Kales, H. C., Kivimäki, M., Larson, E. B., </w:t>
      </w:r>
      <w:proofErr w:type="spellStart"/>
      <w:r w:rsidRPr="000C55CB">
        <w:rPr>
          <w:sz w:val="20"/>
          <w:szCs w:val="20"/>
        </w:rPr>
        <w:t>Nakasujja</w:t>
      </w:r>
      <w:proofErr w:type="spellEnd"/>
      <w:r w:rsidRPr="000C55CB">
        <w:rPr>
          <w:sz w:val="20"/>
          <w:szCs w:val="20"/>
        </w:rPr>
        <w:t xml:space="preserve">, N., Rockwood, K., . . . Mukadam, N. (2024). Dementia prevention, intervention, and care: 2024 report of the Lancet standing Commission. </w:t>
      </w:r>
      <w:r w:rsidRPr="000C55CB">
        <w:rPr>
          <w:i/>
          <w:iCs/>
          <w:sz w:val="20"/>
          <w:szCs w:val="20"/>
        </w:rPr>
        <w:t>The Lancet</w:t>
      </w:r>
      <w:r w:rsidRPr="000C55CB">
        <w:rPr>
          <w:sz w:val="20"/>
          <w:szCs w:val="20"/>
        </w:rPr>
        <w:t xml:space="preserve">, </w:t>
      </w:r>
      <w:r w:rsidRPr="000C55CB">
        <w:rPr>
          <w:i/>
          <w:iCs/>
          <w:sz w:val="20"/>
          <w:szCs w:val="20"/>
        </w:rPr>
        <w:t>404</w:t>
      </w:r>
      <w:r w:rsidRPr="000C55CB">
        <w:rPr>
          <w:sz w:val="20"/>
          <w:szCs w:val="20"/>
        </w:rPr>
        <w:t xml:space="preserve">(10452), 572–628. </w:t>
      </w:r>
      <w:r w:rsidRPr="000C55CB">
        <w:rPr>
          <w:rStyle w:val="url"/>
          <w:rFonts w:eastAsiaTheme="majorEastAsia"/>
          <w:sz w:val="20"/>
          <w:szCs w:val="20"/>
        </w:rPr>
        <w:t>https://doi.org/10.1016/s0140-6736(24)01296-0</w:t>
      </w:r>
    </w:p>
    <w:p w14:paraId="2601B000" w14:textId="77777777" w:rsidR="00451219" w:rsidRPr="000C55CB" w:rsidRDefault="00451219" w:rsidP="00451219">
      <w:pPr>
        <w:pStyle w:val="NormalWeb"/>
        <w:spacing w:before="0" w:beforeAutospacing="0" w:after="0" w:afterAutospacing="0" w:line="480" w:lineRule="auto"/>
        <w:ind w:left="720" w:hanging="720"/>
        <w:rPr>
          <w:sz w:val="20"/>
          <w:szCs w:val="20"/>
        </w:rPr>
      </w:pPr>
      <w:proofErr w:type="spellStart"/>
      <w:r w:rsidRPr="000C55CB">
        <w:rPr>
          <w:sz w:val="20"/>
          <w:szCs w:val="20"/>
        </w:rPr>
        <w:t>Marselli</w:t>
      </w:r>
      <w:proofErr w:type="spellEnd"/>
      <w:r w:rsidRPr="000C55CB">
        <w:rPr>
          <w:sz w:val="20"/>
          <w:szCs w:val="20"/>
        </w:rPr>
        <w:t xml:space="preserve">, G., Favieri, F., Forte, G., Corbo, I., Agostini, F., Guarino, A., &amp; Casagrande, M. (2024). The protective role of cognitive reserve: an empirical study in mild cognitive impairment. </w:t>
      </w:r>
      <w:r w:rsidRPr="000C55CB">
        <w:rPr>
          <w:i/>
          <w:iCs/>
          <w:sz w:val="20"/>
          <w:szCs w:val="20"/>
        </w:rPr>
        <w:t>BMC Psychology</w:t>
      </w:r>
      <w:r w:rsidRPr="000C55CB">
        <w:rPr>
          <w:sz w:val="20"/>
          <w:szCs w:val="20"/>
        </w:rPr>
        <w:t xml:space="preserve">, </w:t>
      </w:r>
      <w:r w:rsidRPr="000C55CB">
        <w:rPr>
          <w:i/>
          <w:iCs/>
          <w:sz w:val="20"/>
          <w:szCs w:val="20"/>
        </w:rPr>
        <w:t>12</w:t>
      </w:r>
      <w:r w:rsidRPr="000C55CB">
        <w:rPr>
          <w:sz w:val="20"/>
          <w:szCs w:val="20"/>
        </w:rPr>
        <w:t xml:space="preserve">(1). </w:t>
      </w:r>
      <w:r w:rsidRPr="000C55CB">
        <w:rPr>
          <w:rStyle w:val="url"/>
          <w:rFonts w:eastAsiaTheme="majorEastAsia"/>
          <w:sz w:val="20"/>
          <w:szCs w:val="20"/>
        </w:rPr>
        <w:t>https://doi.org/10.1186/s40359-024-01831-5</w:t>
      </w:r>
    </w:p>
    <w:p w14:paraId="29C9B888" w14:textId="77777777" w:rsidR="00451219" w:rsidRPr="000C55CB" w:rsidRDefault="00451219" w:rsidP="00451219">
      <w:pPr>
        <w:pStyle w:val="NormalWeb"/>
        <w:spacing w:before="0" w:beforeAutospacing="0" w:after="0" w:afterAutospacing="0" w:line="480" w:lineRule="auto"/>
        <w:ind w:left="720" w:hanging="720"/>
        <w:rPr>
          <w:sz w:val="20"/>
          <w:szCs w:val="20"/>
        </w:rPr>
      </w:pPr>
      <w:proofErr w:type="spellStart"/>
      <w:r w:rsidRPr="000C55CB">
        <w:rPr>
          <w:sz w:val="20"/>
          <w:szCs w:val="20"/>
        </w:rPr>
        <w:lastRenderedPageBreak/>
        <w:t>Matared</w:t>
      </w:r>
      <w:proofErr w:type="spellEnd"/>
      <w:r w:rsidRPr="000C55CB">
        <w:rPr>
          <w:sz w:val="20"/>
          <w:szCs w:val="20"/>
        </w:rPr>
        <w:t xml:space="preserve">, S. a. a. A., Al-Haddad, A. A., </w:t>
      </w:r>
      <w:proofErr w:type="spellStart"/>
      <w:r w:rsidRPr="000C55CB">
        <w:rPr>
          <w:sz w:val="20"/>
          <w:szCs w:val="20"/>
        </w:rPr>
        <w:t>Aldbey</w:t>
      </w:r>
      <w:proofErr w:type="spellEnd"/>
      <w:r w:rsidRPr="000C55CB">
        <w:rPr>
          <w:sz w:val="20"/>
          <w:szCs w:val="20"/>
        </w:rPr>
        <w:t xml:space="preserve">, A. M. M. A., </w:t>
      </w:r>
      <w:proofErr w:type="spellStart"/>
      <w:r w:rsidRPr="000C55CB">
        <w:rPr>
          <w:sz w:val="20"/>
          <w:szCs w:val="20"/>
        </w:rPr>
        <w:t>Alfuhayd</w:t>
      </w:r>
      <w:proofErr w:type="spellEnd"/>
      <w:r w:rsidRPr="000C55CB">
        <w:rPr>
          <w:sz w:val="20"/>
          <w:szCs w:val="20"/>
        </w:rPr>
        <w:t xml:space="preserve">, R. N. M., Alsharif, H. A., Mansour, N. M. a. A., Alyami, S. a. M., Almansour, A. B. M., </w:t>
      </w:r>
      <w:proofErr w:type="spellStart"/>
      <w:r w:rsidRPr="000C55CB">
        <w:rPr>
          <w:sz w:val="20"/>
          <w:szCs w:val="20"/>
        </w:rPr>
        <w:t>Sayhab</w:t>
      </w:r>
      <w:proofErr w:type="spellEnd"/>
      <w:r w:rsidRPr="000C55CB">
        <w:rPr>
          <w:sz w:val="20"/>
          <w:szCs w:val="20"/>
        </w:rPr>
        <w:t xml:space="preserve">, A. H. B. A., </w:t>
      </w:r>
      <w:proofErr w:type="spellStart"/>
      <w:r w:rsidRPr="000C55CB">
        <w:rPr>
          <w:sz w:val="20"/>
          <w:szCs w:val="20"/>
        </w:rPr>
        <w:t>Alsawidan</w:t>
      </w:r>
      <w:proofErr w:type="spellEnd"/>
      <w:r w:rsidRPr="000C55CB">
        <w:rPr>
          <w:sz w:val="20"/>
          <w:szCs w:val="20"/>
        </w:rPr>
        <w:t xml:space="preserve">, H. M., &amp; Sulaiman, A. a. a. A. (2023). The impact of aging on neurological function and cognitive decline. </w:t>
      </w:r>
      <w:r w:rsidRPr="000C55CB">
        <w:rPr>
          <w:i/>
          <w:iCs/>
          <w:sz w:val="20"/>
          <w:szCs w:val="20"/>
        </w:rPr>
        <w:t>Deleted Journal</w:t>
      </w:r>
      <w:r w:rsidRPr="000C55CB">
        <w:rPr>
          <w:sz w:val="20"/>
          <w:szCs w:val="20"/>
        </w:rPr>
        <w:t xml:space="preserve">, </w:t>
      </w:r>
      <w:r w:rsidRPr="000C55CB">
        <w:rPr>
          <w:i/>
          <w:iCs/>
          <w:sz w:val="20"/>
          <w:szCs w:val="20"/>
        </w:rPr>
        <w:t>4</w:t>
      </w:r>
      <w:r w:rsidRPr="000C55CB">
        <w:rPr>
          <w:sz w:val="20"/>
          <w:szCs w:val="20"/>
        </w:rPr>
        <w:t xml:space="preserve">(1), 57–63. </w:t>
      </w:r>
      <w:r w:rsidRPr="000C55CB">
        <w:rPr>
          <w:rStyle w:val="url"/>
          <w:rFonts w:eastAsiaTheme="majorEastAsia"/>
          <w:sz w:val="20"/>
          <w:szCs w:val="20"/>
        </w:rPr>
        <w:t>https://doi.org/10.54293/smhj.v4i1.99</w:t>
      </w:r>
    </w:p>
    <w:p w14:paraId="3AB90CA7"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Meiner, Z., Ayers, E., &amp; Verghese, J. (2020). Motoric Cognitive Risk Syndrome: a risk factor for cognitive impairment and dementia in different populations. </w:t>
      </w:r>
      <w:r w:rsidRPr="000C55CB">
        <w:rPr>
          <w:i/>
          <w:iCs/>
          <w:sz w:val="20"/>
          <w:szCs w:val="20"/>
        </w:rPr>
        <w:t>Annals of Geriatric Medicine and Research</w:t>
      </w:r>
      <w:r w:rsidRPr="000C55CB">
        <w:rPr>
          <w:sz w:val="20"/>
          <w:szCs w:val="20"/>
        </w:rPr>
        <w:t xml:space="preserve">, </w:t>
      </w:r>
      <w:r w:rsidRPr="000C55CB">
        <w:rPr>
          <w:i/>
          <w:iCs/>
          <w:sz w:val="20"/>
          <w:szCs w:val="20"/>
        </w:rPr>
        <w:t>24</w:t>
      </w:r>
      <w:r w:rsidRPr="000C55CB">
        <w:rPr>
          <w:sz w:val="20"/>
          <w:szCs w:val="20"/>
        </w:rPr>
        <w:t xml:space="preserve">(1), 3–14. </w:t>
      </w:r>
      <w:r w:rsidRPr="000C55CB">
        <w:rPr>
          <w:rStyle w:val="url"/>
          <w:rFonts w:eastAsiaTheme="majorEastAsia"/>
          <w:sz w:val="20"/>
          <w:szCs w:val="20"/>
        </w:rPr>
        <w:t>https://doi.org/10.4235/agmr.20.0001</w:t>
      </w:r>
    </w:p>
    <w:p w14:paraId="682734F0"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Nelson, M. E., Jester, D. J., Petkus, A. J., &amp; Andel, R. (2021). Cognitive Reserve, Alzheimer’s Neuropathology, and Risk of Dementia: A Systematic Review and Meta-Analysis. </w:t>
      </w:r>
      <w:r w:rsidRPr="000C55CB">
        <w:rPr>
          <w:i/>
          <w:iCs/>
          <w:sz w:val="20"/>
          <w:szCs w:val="20"/>
        </w:rPr>
        <w:t>Neuropsychology Review</w:t>
      </w:r>
      <w:r w:rsidRPr="000C55CB">
        <w:rPr>
          <w:sz w:val="20"/>
          <w:szCs w:val="20"/>
        </w:rPr>
        <w:t xml:space="preserve">, </w:t>
      </w:r>
      <w:r w:rsidRPr="000C55CB">
        <w:rPr>
          <w:i/>
          <w:iCs/>
          <w:sz w:val="20"/>
          <w:szCs w:val="20"/>
        </w:rPr>
        <w:t>31</w:t>
      </w:r>
      <w:r w:rsidRPr="000C55CB">
        <w:rPr>
          <w:sz w:val="20"/>
          <w:szCs w:val="20"/>
        </w:rPr>
        <w:t xml:space="preserve">(2), 233–250. </w:t>
      </w:r>
      <w:r w:rsidRPr="000C55CB">
        <w:rPr>
          <w:rStyle w:val="url"/>
          <w:rFonts w:eastAsiaTheme="majorEastAsia"/>
          <w:sz w:val="20"/>
          <w:szCs w:val="20"/>
        </w:rPr>
        <w:t>https://doi.org/10.1007/s11065-021-09478-4</w:t>
      </w:r>
    </w:p>
    <w:p w14:paraId="4326C5F6"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Oosterhuis, E. J., Slade, K., May, P. J. C., &amp; Nuttall, H. E. (2022). Toward an understanding of healthy cognitive aging: the importance of lifestyle in cognitive reserve and the scaffolding theory of aging and cognition. </w:t>
      </w:r>
      <w:r w:rsidRPr="000C55CB">
        <w:rPr>
          <w:i/>
          <w:iCs/>
          <w:sz w:val="20"/>
          <w:szCs w:val="20"/>
        </w:rPr>
        <w:t>The Journals of Gerontology Series B</w:t>
      </w:r>
      <w:r w:rsidRPr="000C55CB">
        <w:rPr>
          <w:sz w:val="20"/>
          <w:szCs w:val="20"/>
        </w:rPr>
        <w:t xml:space="preserve">, </w:t>
      </w:r>
      <w:r w:rsidRPr="000C55CB">
        <w:rPr>
          <w:i/>
          <w:iCs/>
          <w:sz w:val="20"/>
          <w:szCs w:val="20"/>
        </w:rPr>
        <w:t>78</w:t>
      </w:r>
      <w:r w:rsidRPr="000C55CB">
        <w:rPr>
          <w:sz w:val="20"/>
          <w:szCs w:val="20"/>
        </w:rPr>
        <w:t xml:space="preserve">(5), 777–788. </w:t>
      </w:r>
      <w:r w:rsidRPr="000C55CB">
        <w:rPr>
          <w:rStyle w:val="url"/>
          <w:rFonts w:eastAsiaTheme="majorEastAsia"/>
          <w:sz w:val="20"/>
          <w:szCs w:val="20"/>
        </w:rPr>
        <w:t>https://doi.org/10.1093/geronb/gbac197</w:t>
      </w:r>
    </w:p>
    <w:p w14:paraId="418541FD"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Rashid, M. H., Zahid, M. F., Zain, S., Kabir, A., &amp; Hassan, S. U. (2020). The Neuroprotective Effects of exercise on Cognitive Decline: A Preventive approach to Alzheimer disease. </w:t>
      </w:r>
      <w:proofErr w:type="spellStart"/>
      <w:r w:rsidRPr="000C55CB">
        <w:rPr>
          <w:i/>
          <w:iCs/>
          <w:sz w:val="20"/>
          <w:szCs w:val="20"/>
        </w:rPr>
        <w:t>Cureus</w:t>
      </w:r>
      <w:proofErr w:type="spellEnd"/>
      <w:r w:rsidRPr="000C55CB">
        <w:rPr>
          <w:sz w:val="20"/>
          <w:szCs w:val="20"/>
        </w:rPr>
        <w:t xml:space="preserve">. </w:t>
      </w:r>
      <w:r w:rsidRPr="000C55CB">
        <w:rPr>
          <w:rStyle w:val="url"/>
          <w:rFonts w:eastAsiaTheme="majorEastAsia"/>
          <w:sz w:val="20"/>
          <w:szCs w:val="20"/>
        </w:rPr>
        <w:t>https://doi.org/10.7759/cureus.6958</w:t>
      </w:r>
    </w:p>
    <w:p w14:paraId="304155A9"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Richards, S. E. (2024, March 1). </w:t>
      </w:r>
      <w:r w:rsidRPr="000C55CB">
        <w:rPr>
          <w:i/>
          <w:iCs/>
          <w:sz w:val="20"/>
          <w:szCs w:val="20"/>
        </w:rPr>
        <w:t>ARE OLDER BRAINS BETTER BRAINS?</w:t>
      </w:r>
      <w:r w:rsidRPr="000C55CB">
        <w:rPr>
          <w:sz w:val="20"/>
          <w:szCs w:val="20"/>
        </w:rPr>
        <w:t xml:space="preserve"> Document - Gale OneFile: Health and Medicine. </w:t>
      </w:r>
      <w:r w:rsidRPr="000C55CB">
        <w:rPr>
          <w:rStyle w:val="url"/>
          <w:rFonts w:eastAsiaTheme="majorEastAsia"/>
          <w:sz w:val="20"/>
          <w:szCs w:val="20"/>
        </w:rPr>
        <w:t>https://go.gale.com/ps/i.do?id=GALE%7CA787784914&amp;sid=googleScholar&amp;v=2.1&amp;it=r&amp;linkaccess=abs&amp;issn=10544836&amp;p=HRCA&amp;sw=w</w:t>
      </w:r>
    </w:p>
    <w:p w14:paraId="55800A90" w14:textId="77777777" w:rsidR="00451219" w:rsidRPr="000C55CB" w:rsidRDefault="00451219" w:rsidP="00451219">
      <w:pPr>
        <w:pStyle w:val="NormalWeb"/>
        <w:spacing w:before="0" w:beforeAutospacing="0" w:after="0" w:afterAutospacing="0" w:line="480" w:lineRule="auto"/>
        <w:ind w:left="720" w:hanging="720"/>
        <w:rPr>
          <w:sz w:val="20"/>
          <w:szCs w:val="20"/>
        </w:rPr>
      </w:pPr>
      <w:proofErr w:type="spellStart"/>
      <w:r w:rsidRPr="000C55CB">
        <w:rPr>
          <w:sz w:val="20"/>
          <w:szCs w:val="20"/>
        </w:rPr>
        <w:t>Rosenich</w:t>
      </w:r>
      <w:proofErr w:type="spellEnd"/>
      <w:r w:rsidRPr="000C55CB">
        <w:rPr>
          <w:sz w:val="20"/>
          <w:szCs w:val="20"/>
        </w:rPr>
        <w:t xml:space="preserve">, E., </w:t>
      </w:r>
      <w:proofErr w:type="spellStart"/>
      <w:r w:rsidRPr="000C55CB">
        <w:rPr>
          <w:sz w:val="20"/>
          <w:szCs w:val="20"/>
        </w:rPr>
        <w:t>Hordacre</w:t>
      </w:r>
      <w:proofErr w:type="spellEnd"/>
      <w:r w:rsidRPr="000C55CB">
        <w:rPr>
          <w:sz w:val="20"/>
          <w:szCs w:val="20"/>
        </w:rPr>
        <w:t xml:space="preserve">, B., Paquet, C., </w:t>
      </w:r>
      <w:proofErr w:type="spellStart"/>
      <w:r w:rsidRPr="000C55CB">
        <w:rPr>
          <w:sz w:val="20"/>
          <w:szCs w:val="20"/>
        </w:rPr>
        <w:t>Koblar</w:t>
      </w:r>
      <w:proofErr w:type="spellEnd"/>
      <w:r w:rsidRPr="000C55CB">
        <w:rPr>
          <w:sz w:val="20"/>
          <w:szCs w:val="20"/>
        </w:rPr>
        <w:t xml:space="preserve">, S. A., &amp; Hillier, S. L. (2020). Cognitive reserve as an emerging concept in stroke recovery. </w:t>
      </w:r>
      <w:r w:rsidRPr="000C55CB">
        <w:rPr>
          <w:i/>
          <w:iCs/>
          <w:sz w:val="20"/>
          <w:szCs w:val="20"/>
        </w:rPr>
        <w:t>Neurorehabilitation and Neural Repair</w:t>
      </w:r>
      <w:r w:rsidRPr="000C55CB">
        <w:rPr>
          <w:sz w:val="20"/>
          <w:szCs w:val="20"/>
        </w:rPr>
        <w:t xml:space="preserve">, </w:t>
      </w:r>
      <w:r w:rsidRPr="000C55CB">
        <w:rPr>
          <w:i/>
          <w:iCs/>
          <w:sz w:val="20"/>
          <w:szCs w:val="20"/>
        </w:rPr>
        <w:t>34</w:t>
      </w:r>
      <w:r w:rsidRPr="000C55CB">
        <w:rPr>
          <w:sz w:val="20"/>
          <w:szCs w:val="20"/>
        </w:rPr>
        <w:t xml:space="preserve">(3), 187–199. </w:t>
      </w:r>
      <w:r w:rsidRPr="000C55CB">
        <w:rPr>
          <w:rStyle w:val="url"/>
          <w:rFonts w:eastAsiaTheme="majorEastAsia"/>
          <w:sz w:val="20"/>
          <w:szCs w:val="20"/>
        </w:rPr>
        <w:t>https://doi.org/10.1177/1545968320907071</w:t>
      </w:r>
    </w:p>
    <w:p w14:paraId="2C220BCF"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Rothman, J. (2024). Harnessing the bilingual descent down the mountain of life: Charting novel paths for Cognitive and Brain Reserves research. </w:t>
      </w:r>
      <w:r w:rsidRPr="000C55CB">
        <w:rPr>
          <w:i/>
          <w:iCs/>
          <w:sz w:val="20"/>
          <w:szCs w:val="20"/>
        </w:rPr>
        <w:t>Bilingualism Language and Cognition</w:t>
      </w:r>
      <w:r w:rsidRPr="000C55CB">
        <w:rPr>
          <w:sz w:val="20"/>
          <w:szCs w:val="20"/>
        </w:rPr>
        <w:t xml:space="preserve">, 1–9. </w:t>
      </w:r>
      <w:r w:rsidRPr="000C55CB">
        <w:rPr>
          <w:rStyle w:val="url"/>
          <w:rFonts w:eastAsiaTheme="majorEastAsia"/>
          <w:sz w:val="20"/>
          <w:szCs w:val="20"/>
        </w:rPr>
        <w:t>https://doi.org/10.1017/s1366728924000026</w:t>
      </w:r>
    </w:p>
    <w:p w14:paraId="312BC158"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Sardella, A., Catalano, A., Lenzo, V., Bellone, F., Corica, F., </w:t>
      </w:r>
      <w:proofErr w:type="spellStart"/>
      <w:r w:rsidRPr="000C55CB">
        <w:rPr>
          <w:sz w:val="20"/>
          <w:szCs w:val="20"/>
        </w:rPr>
        <w:t>Quattropani</w:t>
      </w:r>
      <w:proofErr w:type="spellEnd"/>
      <w:r w:rsidRPr="000C55CB">
        <w:rPr>
          <w:sz w:val="20"/>
          <w:szCs w:val="20"/>
        </w:rPr>
        <w:t xml:space="preserve">, M. C., &amp; Basile, G. (2020). Association between cognitive reserve dimensions and frailty among older adults: A structured </w:t>
      </w:r>
      <w:r w:rsidRPr="000C55CB">
        <w:rPr>
          <w:sz w:val="20"/>
          <w:szCs w:val="20"/>
        </w:rPr>
        <w:lastRenderedPageBreak/>
        <w:t xml:space="preserve">narrative review. </w:t>
      </w:r>
      <w:r w:rsidRPr="000C55CB">
        <w:rPr>
          <w:i/>
          <w:iCs/>
          <w:sz w:val="20"/>
          <w:szCs w:val="20"/>
        </w:rPr>
        <w:t>Geriatrics and Gerontology International/Geriatrics &amp; Gerontology International</w:t>
      </w:r>
      <w:r w:rsidRPr="000C55CB">
        <w:rPr>
          <w:sz w:val="20"/>
          <w:szCs w:val="20"/>
        </w:rPr>
        <w:t xml:space="preserve">, </w:t>
      </w:r>
      <w:r w:rsidRPr="000C55CB">
        <w:rPr>
          <w:i/>
          <w:iCs/>
          <w:sz w:val="20"/>
          <w:szCs w:val="20"/>
        </w:rPr>
        <w:t>20</w:t>
      </w:r>
      <w:r w:rsidRPr="000C55CB">
        <w:rPr>
          <w:sz w:val="20"/>
          <w:szCs w:val="20"/>
        </w:rPr>
        <w:t xml:space="preserve">(11), 1005–1023. </w:t>
      </w:r>
      <w:r w:rsidRPr="000C55CB">
        <w:rPr>
          <w:rStyle w:val="url"/>
          <w:rFonts w:eastAsiaTheme="majorEastAsia"/>
          <w:sz w:val="20"/>
          <w:szCs w:val="20"/>
        </w:rPr>
        <w:t>https://doi.org/10.1111/ggi.14040</w:t>
      </w:r>
    </w:p>
    <w:p w14:paraId="2ECDFF89" w14:textId="77777777" w:rsidR="00463D87" w:rsidRPr="000C55CB" w:rsidRDefault="00463D87" w:rsidP="00463D87">
      <w:pPr>
        <w:pStyle w:val="NormalWeb"/>
        <w:spacing w:after="0" w:line="480" w:lineRule="auto"/>
        <w:ind w:left="720" w:hanging="720"/>
        <w:rPr>
          <w:sz w:val="20"/>
          <w:szCs w:val="20"/>
        </w:rPr>
      </w:pPr>
      <w:bookmarkStart w:id="0" w:name="_Hlk182676153"/>
      <w:r w:rsidRPr="000C55CB">
        <w:rPr>
          <w:sz w:val="20"/>
          <w:szCs w:val="20"/>
        </w:rPr>
        <w:t xml:space="preserve">Soldan </w:t>
      </w:r>
      <w:bookmarkEnd w:id="0"/>
      <w:r w:rsidRPr="000C55CB">
        <w:rPr>
          <w:sz w:val="20"/>
          <w:szCs w:val="20"/>
        </w:rPr>
        <w:t xml:space="preserve">A, Pettigrew C, Albert M. Cognitive Reserve from the Perspective of Preclinical Alzheimer Disease: 2020 Update. </w:t>
      </w:r>
      <w:r w:rsidRPr="000C55CB">
        <w:rPr>
          <w:i/>
          <w:iCs/>
          <w:sz w:val="20"/>
          <w:szCs w:val="20"/>
        </w:rPr>
        <w:t xml:space="preserve">Clin </w:t>
      </w:r>
      <w:proofErr w:type="spellStart"/>
      <w:r w:rsidRPr="000C55CB">
        <w:rPr>
          <w:i/>
          <w:iCs/>
          <w:sz w:val="20"/>
          <w:szCs w:val="20"/>
        </w:rPr>
        <w:t>Geriatr</w:t>
      </w:r>
      <w:proofErr w:type="spellEnd"/>
      <w:r w:rsidRPr="000C55CB">
        <w:rPr>
          <w:i/>
          <w:iCs/>
          <w:sz w:val="20"/>
          <w:szCs w:val="20"/>
        </w:rPr>
        <w:t xml:space="preserve"> Med. 2020 May</w:t>
      </w:r>
      <w:r w:rsidRPr="000C55CB">
        <w:rPr>
          <w:sz w:val="20"/>
          <w:szCs w:val="20"/>
        </w:rPr>
        <w:t xml:space="preserve">;36(2):247-263. </w:t>
      </w:r>
      <w:proofErr w:type="spellStart"/>
      <w:r w:rsidRPr="000C55CB">
        <w:rPr>
          <w:sz w:val="20"/>
          <w:szCs w:val="20"/>
        </w:rPr>
        <w:t>doi</w:t>
      </w:r>
      <w:proofErr w:type="spellEnd"/>
      <w:r w:rsidRPr="000C55CB">
        <w:rPr>
          <w:sz w:val="20"/>
          <w:szCs w:val="20"/>
        </w:rPr>
        <w:t xml:space="preserve">: 10.1016/j.cger.2019.11.006. </w:t>
      </w:r>
      <w:proofErr w:type="spellStart"/>
      <w:r w:rsidRPr="000C55CB">
        <w:rPr>
          <w:sz w:val="20"/>
          <w:szCs w:val="20"/>
        </w:rPr>
        <w:t>Epub</w:t>
      </w:r>
      <w:proofErr w:type="spellEnd"/>
      <w:r w:rsidRPr="000C55CB">
        <w:rPr>
          <w:sz w:val="20"/>
          <w:szCs w:val="20"/>
        </w:rPr>
        <w:t xml:space="preserve"> 2019 Nov 15. PMID: 32222300; PMCID: PMC7837205. </w:t>
      </w:r>
    </w:p>
    <w:p w14:paraId="58A045C9" w14:textId="77777777" w:rsidR="00451219" w:rsidRPr="000C55CB" w:rsidRDefault="00451219" w:rsidP="00451219">
      <w:pPr>
        <w:pStyle w:val="NormalWeb"/>
        <w:spacing w:after="0" w:line="480" w:lineRule="auto"/>
        <w:ind w:left="720" w:hanging="720"/>
        <w:rPr>
          <w:sz w:val="20"/>
          <w:szCs w:val="20"/>
        </w:rPr>
      </w:pPr>
      <w:r w:rsidRPr="000C55CB">
        <w:rPr>
          <w:sz w:val="20"/>
          <w:szCs w:val="20"/>
        </w:rPr>
        <w:t xml:space="preserve">Song S, Stern Y, Gu Y. Modifiable lifestyle factors and cognitive reserve: A systematic review of current evidence. </w:t>
      </w:r>
      <w:r w:rsidRPr="000C55CB">
        <w:rPr>
          <w:i/>
          <w:iCs/>
          <w:sz w:val="20"/>
          <w:szCs w:val="20"/>
        </w:rPr>
        <w:t>Ageing Res Rev. 2022 Feb</w:t>
      </w:r>
      <w:r w:rsidRPr="000C55CB">
        <w:rPr>
          <w:sz w:val="20"/>
          <w:szCs w:val="20"/>
        </w:rPr>
        <w:t xml:space="preserve">;74:101551. </w:t>
      </w:r>
      <w:proofErr w:type="spellStart"/>
      <w:r w:rsidRPr="000C55CB">
        <w:rPr>
          <w:sz w:val="20"/>
          <w:szCs w:val="20"/>
        </w:rPr>
        <w:t>doi</w:t>
      </w:r>
      <w:proofErr w:type="spellEnd"/>
      <w:r w:rsidRPr="000C55CB">
        <w:rPr>
          <w:sz w:val="20"/>
          <w:szCs w:val="20"/>
        </w:rPr>
        <w:t xml:space="preserve">: 10.1016/j.arr.2021.101551. </w:t>
      </w:r>
      <w:proofErr w:type="spellStart"/>
      <w:r w:rsidRPr="000C55CB">
        <w:rPr>
          <w:sz w:val="20"/>
          <w:szCs w:val="20"/>
        </w:rPr>
        <w:t>Epub</w:t>
      </w:r>
      <w:proofErr w:type="spellEnd"/>
      <w:r w:rsidRPr="000C55CB">
        <w:rPr>
          <w:sz w:val="20"/>
          <w:szCs w:val="20"/>
        </w:rPr>
        <w:t xml:space="preserve"> 2021 Dec 21. PMID: 34952208; PMCID: PMC8794051.</w:t>
      </w:r>
    </w:p>
    <w:p w14:paraId="76A508D5"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Testo, A. A., Roundy, G., &amp; Dumas, J. A. (2024). Cognitive decline in Alzheimer’s disease. </w:t>
      </w:r>
      <w:r w:rsidRPr="000C55CB">
        <w:rPr>
          <w:i/>
          <w:iCs/>
          <w:sz w:val="20"/>
          <w:szCs w:val="20"/>
        </w:rPr>
        <w:t xml:space="preserve">Current Topics in </w:t>
      </w:r>
      <w:proofErr w:type="spellStart"/>
      <w:r w:rsidRPr="000C55CB">
        <w:rPr>
          <w:i/>
          <w:iCs/>
          <w:sz w:val="20"/>
          <w:szCs w:val="20"/>
        </w:rPr>
        <w:t>Behavioral</w:t>
      </w:r>
      <w:proofErr w:type="spellEnd"/>
      <w:r w:rsidRPr="000C55CB">
        <w:rPr>
          <w:i/>
          <w:iCs/>
          <w:sz w:val="20"/>
          <w:szCs w:val="20"/>
        </w:rPr>
        <w:t xml:space="preserve"> Neurosciences</w:t>
      </w:r>
      <w:r w:rsidRPr="000C55CB">
        <w:rPr>
          <w:sz w:val="20"/>
          <w:szCs w:val="20"/>
        </w:rPr>
        <w:t xml:space="preserve">. </w:t>
      </w:r>
      <w:r w:rsidRPr="000C55CB">
        <w:rPr>
          <w:rStyle w:val="url"/>
          <w:rFonts w:eastAsiaTheme="majorEastAsia"/>
          <w:sz w:val="20"/>
          <w:szCs w:val="20"/>
        </w:rPr>
        <w:t>https://doi.org/10.1007/7854_2024_527</w:t>
      </w:r>
    </w:p>
    <w:p w14:paraId="3450D89A"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Xu, A. &amp; Angelina Xu. (2024). Mind over Matter: Flexing cognitive muscles through exercise, training, and dieting to combat age-related cognitive decline. In </w:t>
      </w:r>
      <w:r w:rsidRPr="000C55CB">
        <w:rPr>
          <w:i/>
          <w:iCs/>
          <w:sz w:val="20"/>
          <w:szCs w:val="20"/>
        </w:rPr>
        <w:t>Journal of High School Science</w:t>
      </w:r>
      <w:r w:rsidRPr="000C55CB">
        <w:rPr>
          <w:sz w:val="20"/>
          <w:szCs w:val="20"/>
        </w:rPr>
        <w:t xml:space="preserve"> (pp. 191–192) [Journal-article]. </w:t>
      </w:r>
      <w:r w:rsidRPr="000C55CB">
        <w:rPr>
          <w:rStyle w:val="url"/>
          <w:rFonts w:eastAsiaTheme="majorEastAsia"/>
          <w:sz w:val="20"/>
          <w:szCs w:val="20"/>
        </w:rPr>
        <w:t>https://jhss.scholasticahq.com/article/121969.pdf</w:t>
      </w:r>
    </w:p>
    <w:p w14:paraId="1C92644A"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Yang, Y. C., Walsh, C. E., Shartle, K., Stebbins, R. C., Aiello, A. E., Belsky, D. W., Harris, K. M., Chanti-Ketterl, M., &amp; Plassman, B. L. (2023). An Early and Unequal Decline: Life Course trajectories of cognitive aging in the United States. </w:t>
      </w:r>
      <w:r w:rsidRPr="000C55CB">
        <w:rPr>
          <w:i/>
          <w:iCs/>
          <w:sz w:val="20"/>
          <w:szCs w:val="20"/>
        </w:rPr>
        <w:t>Journal of Aging and Health</w:t>
      </w:r>
      <w:r w:rsidRPr="000C55CB">
        <w:rPr>
          <w:sz w:val="20"/>
          <w:szCs w:val="20"/>
        </w:rPr>
        <w:t xml:space="preserve">, </w:t>
      </w:r>
      <w:r w:rsidRPr="000C55CB">
        <w:rPr>
          <w:i/>
          <w:iCs/>
          <w:sz w:val="20"/>
          <w:szCs w:val="20"/>
        </w:rPr>
        <w:t>36</w:t>
      </w:r>
      <w:r w:rsidRPr="000C55CB">
        <w:rPr>
          <w:sz w:val="20"/>
          <w:szCs w:val="20"/>
        </w:rPr>
        <w:t xml:space="preserve">(3–4), 230–245. </w:t>
      </w:r>
      <w:r w:rsidRPr="000C55CB">
        <w:rPr>
          <w:rStyle w:val="url"/>
          <w:rFonts w:eastAsiaTheme="majorEastAsia"/>
          <w:sz w:val="20"/>
          <w:szCs w:val="20"/>
        </w:rPr>
        <w:t>https://doi.org/10.1177/08982643231184593</w:t>
      </w:r>
    </w:p>
    <w:p w14:paraId="371E2447" w14:textId="77777777" w:rsidR="00451219" w:rsidRPr="000C55CB" w:rsidRDefault="00451219" w:rsidP="00451219">
      <w:pPr>
        <w:pStyle w:val="NormalWeb"/>
        <w:spacing w:before="0" w:beforeAutospacing="0" w:after="0" w:afterAutospacing="0" w:line="480" w:lineRule="auto"/>
        <w:ind w:left="720" w:hanging="720"/>
        <w:rPr>
          <w:sz w:val="20"/>
          <w:szCs w:val="20"/>
        </w:rPr>
      </w:pPr>
      <w:r w:rsidRPr="000C55CB">
        <w:rPr>
          <w:sz w:val="20"/>
          <w:szCs w:val="20"/>
        </w:rPr>
        <w:t xml:space="preserve">Yow, W. Q., Sou, K. L., &amp; Wong, A. C. (2024). A novel Dual-Language Touch-Screen intervention to slow down cognitive decline in older adults: a randomized controlled trial. </w:t>
      </w:r>
      <w:r w:rsidRPr="000C55CB">
        <w:rPr>
          <w:i/>
          <w:iCs/>
          <w:sz w:val="20"/>
          <w:szCs w:val="20"/>
        </w:rPr>
        <w:t>Innovation in Aging</w:t>
      </w:r>
      <w:r w:rsidRPr="000C55CB">
        <w:rPr>
          <w:sz w:val="20"/>
          <w:szCs w:val="20"/>
        </w:rPr>
        <w:t xml:space="preserve">, </w:t>
      </w:r>
      <w:r w:rsidRPr="000C55CB">
        <w:rPr>
          <w:i/>
          <w:iCs/>
          <w:sz w:val="20"/>
          <w:szCs w:val="20"/>
        </w:rPr>
        <w:t>8</w:t>
      </w:r>
      <w:r w:rsidRPr="000C55CB">
        <w:rPr>
          <w:sz w:val="20"/>
          <w:szCs w:val="20"/>
        </w:rPr>
        <w:t xml:space="preserve">(7). </w:t>
      </w:r>
      <w:r w:rsidRPr="000C55CB">
        <w:rPr>
          <w:rStyle w:val="url"/>
          <w:rFonts w:eastAsiaTheme="majorEastAsia"/>
          <w:sz w:val="20"/>
          <w:szCs w:val="20"/>
        </w:rPr>
        <w:t>https://doi.org/10.1093/geroni/igae052</w:t>
      </w:r>
    </w:p>
    <w:p w14:paraId="7210A314" w14:textId="77777777" w:rsidR="00451219" w:rsidRPr="000C55CB" w:rsidRDefault="00451219"/>
    <w:sectPr w:rsidR="00451219" w:rsidRPr="000C55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AF2"/>
    <w:rsid w:val="00005B17"/>
    <w:rsid w:val="00007895"/>
    <w:rsid w:val="0003350D"/>
    <w:rsid w:val="0003462C"/>
    <w:rsid w:val="000430B7"/>
    <w:rsid w:val="000539DD"/>
    <w:rsid w:val="000636CB"/>
    <w:rsid w:val="0007492E"/>
    <w:rsid w:val="000A0C52"/>
    <w:rsid w:val="000A198E"/>
    <w:rsid w:val="000C55CB"/>
    <w:rsid w:val="00110F91"/>
    <w:rsid w:val="001156BC"/>
    <w:rsid w:val="00117306"/>
    <w:rsid w:val="001207F1"/>
    <w:rsid w:val="001326D1"/>
    <w:rsid w:val="00150BA8"/>
    <w:rsid w:val="00161D4A"/>
    <w:rsid w:val="00170B14"/>
    <w:rsid w:val="001F778C"/>
    <w:rsid w:val="00206F92"/>
    <w:rsid w:val="00223D63"/>
    <w:rsid w:val="00226709"/>
    <w:rsid w:val="00242C8D"/>
    <w:rsid w:val="002A3505"/>
    <w:rsid w:val="002E1C8E"/>
    <w:rsid w:val="002F392B"/>
    <w:rsid w:val="003010A2"/>
    <w:rsid w:val="0034452D"/>
    <w:rsid w:val="003571B7"/>
    <w:rsid w:val="0035798D"/>
    <w:rsid w:val="00372E17"/>
    <w:rsid w:val="003A4C75"/>
    <w:rsid w:val="003D7AF2"/>
    <w:rsid w:val="003E6679"/>
    <w:rsid w:val="003F289D"/>
    <w:rsid w:val="003F747A"/>
    <w:rsid w:val="00405F0B"/>
    <w:rsid w:val="00410D6B"/>
    <w:rsid w:val="0042464B"/>
    <w:rsid w:val="00451219"/>
    <w:rsid w:val="00463D87"/>
    <w:rsid w:val="004810C0"/>
    <w:rsid w:val="00482892"/>
    <w:rsid w:val="004A17B7"/>
    <w:rsid w:val="004B50D3"/>
    <w:rsid w:val="004E701D"/>
    <w:rsid w:val="004F0892"/>
    <w:rsid w:val="004F1626"/>
    <w:rsid w:val="004F3D6F"/>
    <w:rsid w:val="004F5E78"/>
    <w:rsid w:val="00507CBA"/>
    <w:rsid w:val="0051096A"/>
    <w:rsid w:val="005208CD"/>
    <w:rsid w:val="00525CA5"/>
    <w:rsid w:val="00532F21"/>
    <w:rsid w:val="00574994"/>
    <w:rsid w:val="005A4749"/>
    <w:rsid w:val="005C7741"/>
    <w:rsid w:val="005D5A76"/>
    <w:rsid w:val="005F0519"/>
    <w:rsid w:val="005F76F6"/>
    <w:rsid w:val="006127F0"/>
    <w:rsid w:val="006148E6"/>
    <w:rsid w:val="00616E84"/>
    <w:rsid w:val="0065283C"/>
    <w:rsid w:val="00654B99"/>
    <w:rsid w:val="006B64DF"/>
    <w:rsid w:val="006B67FD"/>
    <w:rsid w:val="006C0DC7"/>
    <w:rsid w:val="007247C4"/>
    <w:rsid w:val="007319F5"/>
    <w:rsid w:val="0074134B"/>
    <w:rsid w:val="00756FCC"/>
    <w:rsid w:val="00785D61"/>
    <w:rsid w:val="007D0420"/>
    <w:rsid w:val="007D712B"/>
    <w:rsid w:val="00801027"/>
    <w:rsid w:val="008015B2"/>
    <w:rsid w:val="00814132"/>
    <w:rsid w:val="00821A74"/>
    <w:rsid w:val="00833277"/>
    <w:rsid w:val="00834D6E"/>
    <w:rsid w:val="00847A0C"/>
    <w:rsid w:val="008531A4"/>
    <w:rsid w:val="008557F6"/>
    <w:rsid w:val="0088402A"/>
    <w:rsid w:val="008B33BF"/>
    <w:rsid w:val="008C77FD"/>
    <w:rsid w:val="008F14A9"/>
    <w:rsid w:val="009016A7"/>
    <w:rsid w:val="00912565"/>
    <w:rsid w:val="00953638"/>
    <w:rsid w:val="00974C1A"/>
    <w:rsid w:val="00993FB7"/>
    <w:rsid w:val="00994247"/>
    <w:rsid w:val="00995191"/>
    <w:rsid w:val="009B5CD6"/>
    <w:rsid w:val="009C02A7"/>
    <w:rsid w:val="009C3AF8"/>
    <w:rsid w:val="009D18BD"/>
    <w:rsid w:val="009D4947"/>
    <w:rsid w:val="009D66D4"/>
    <w:rsid w:val="009F6C6C"/>
    <w:rsid w:val="00A306E1"/>
    <w:rsid w:val="00A502B0"/>
    <w:rsid w:val="00A66FAA"/>
    <w:rsid w:val="00AB3F3E"/>
    <w:rsid w:val="00AF42FB"/>
    <w:rsid w:val="00B04A62"/>
    <w:rsid w:val="00B20F0A"/>
    <w:rsid w:val="00B22B36"/>
    <w:rsid w:val="00B24B19"/>
    <w:rsid w:val="00B37B65"/>
    <w:rsid w:val="00B54B5F"/>
    <w:rsid w:val="00BA406E"/>
    <w:rsid w:val="00C3184C"/>
    <w:rsid w:val="00C533D7"/>
    <w:rsid w:val="00C5437B"/>
    <w:rsid w:val="00C7544A"/>
    <w:rsid w:val="00CB4DB4"/>
    <w:rsid w:val="00CD0F2B"/>
    <w:rsid w:val="00D06D89"/>
    <w:rsid w:val="00D10F03"/>
    <w:rsid w:val="00D260B2"/>
    <w:rsid w:val="00D56154"/>
    <w:rsid w:val="00D6642C"/>
    <w:rsid w:val="00DB0B6F"/>
    <w:rsid w:val="00DB2B55"/>
    <w:rsid w:val="00DB5B50"/>
    <w:rsid w:val="00E41587"/>
    <w:rsid w:val="00E47596"/>
    <w:rsid w:val="00E720D0"/>
    <w:rsid w:val="00E83D76"/>
    <w:rsid w:val="00E93EFC"/>
    <w:rsid w:val="00EB2E5F"/>
    <w:rsid w:val="00EE0587"/>
    <w:rsid w:val="00F25C78"/>
    <w:rsid w:val="00F55359"/>
    <w:rsid w:val="00F657F8"/>
    <w:rsid w:val="00F71147"/>
    <w:rsid w:val="00F8138B"/>
    <w:rsid w:val="00F86801"/>
    <w:rsid w:val="00F91599"/>
    <w:rsid w:val="00F95BE1"/>
    <w:rsid w:val="00FA5103"/>
    <w:rsid w:val="00FB1856"/>
    <w:rsid w:val="00FB4CB2"/>
    <w:rsid w:val="00FD2831"/>
    <w:rsid w:val="00FE6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1D215"/>
  <w15:chartTrackingRefBased/>
  <w15:docId w15:val="{FB817A63-4227-48EB-BD39-6E4609384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A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7A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7A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7A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7A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7A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7A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7A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7A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A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7A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7A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7A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7A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7A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7A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7A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7AF2"/>
    <w:rPr>
      <w:rFonts w:eastAsiaTheme="majorEastAsia" w:cstheme="majorBidi"/>
      <w:color w:val="272727" w:themeColor="text1" w:themeTint="D8"/>
    </w:rPr>
  </w:style>
  <w:style w:type="paragraph" w:styleId="Title">
    <w:name w:val="Title"/>
    <w:basedOn w:val="Normal"/>
    <w:next w:val="Normal"/>
    <w:link w:val="TitleChar"/>
    <w:uiPriority w:val="10"/>
    <w:qFormat/>
    <w:rsid w:val="003D7A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7A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7A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7A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7AF2"/>
    <w:pPr>
      <w:spacing w:before="160"/>
      <w:jc w:val="center"/>
    </w:pPr>
    <w:rPr>
      <w:i/>
      <w:iCs/>
      <w:color w:val="404040" w:themeColor="text1" w:themeTint="BF"/>
    </w:rPr>
  </w:style>
  <w:style w:type="character" w:customStyle="1" w:styleId="QuoteChar">
    <w:name w:val="Quote Char"/>
    <w:basedOn w:val="DefaultParagraphFont"/>
    <w:link w:val="Quote"/>
    <w:uiPriority w:val="29"/>
    <w:rsid w:val="003D7AF2"/>
    <w:rPr>
      <w:i/>
      <w:iCs/>
      <w:color w:val="404040" w:themeColor="text1" w:themeTint="BF"/>
    </w:rPr>
  </w:style>
  <w:style w:type="paragraph" w:styleId="ListParagraph">
    <w:name w:val="List Paragraph"/>
    <w:basedOn w:val="Normal"/>
    <w:uiPriority w:val="34"/>
    <w:qFormat/>
    <w:rsid w:val="003D7AF2"/>
    <w:pPr>
      <w:ind w:left="720"/>
      <w:contextualSpacing/>
    </w:pPr>
  </w:style>
  <w:style w:type="character" w:styleId="IntenseEmphasis">
    <w:name w:val="Intense Emphasis"/>
    <w:basedOn w:val="DefaultParagraphFont"/>
    <w:uiPriority w:val="21"/>
    <w:qFormat/>
    <w:rsid w:val="003D7AF2"/>
    <w:rPr>
      <w:i/>
      <w:iCs/>
      <w:color w:val="0F4761" w:themeColor="accent1" w:themeShade="BF"/>
    </w:rPr>
  </w:style>
  <w:style w:type="paragraph" w:styleId="IntenseQuote">
    <w:name w:val="Intense Quote"/>
    <w:basedOn w:val="Normal"/>
    <w:next w:val="Normal"/>
    <w:link w:val="IntenseQuoteChar"/>
    <w:uiPriority w:val="30"/>
    <w:qFormat/>
    <w:rsid w:val="003D7A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7AF2"/>
    <w:rPr>
      <w:i/>
      <w:iCs/>
      <w:color w:val="0F4761" w:themeColor="accent1" w:themeShade="BF"/>
    </w:rPr>
  </w:style>
  <w:style w:type="character" w:styleId="IntenseReference">
    <w:name w:val="Intense Reference"/>
    <w:basedOn w:val="DefaultParagraphFont"/>
    <w:uiPriority w:val="32"/>
    <w:qFormat/>
    <w:rsid w:val="003D7AF2"/>
    <w:rPr>
      <w:b/>
      <w:bCs/>
      <w:smallCaps/>
      <w:color w:val="0F4761" w:themeColor="accent1" w:themeShade="BF"/>
      <w:spacing w:val="5"/>
    </w:rPr>
  </w:style>
  <w:style w:type="character" w:styleId="Hyperlink">
    <w:name w:val="Hyperlink"/>
    <w:basedOn w:val="DefaultParagraphFont"/>
    <w:uiPriority w:val="99"/>
    <w:unhideWhenUsed/>
    <w:rsid w:val="00405F0B"/>
    <w:rPr>
      <w:color w:val="467886" w:themeColor="hyperlink"/>
      <w:u w:val="single"/>
    </w:rPr>
  </w:style>
  <w:style w:type="character" w:styleId="UnresolvedMention">
    <w:name w:val="Unresolved Mention"/>
    <w:basedOn w:val="DefaultParagraphFont"/>
    <w:uiPriority w:val="99"/>
    <w:semiHidden/>
    <w:unhideWhenUsed/>
    <w:rsid w:val="00405F0B"/>
    <w:rPr>
      <w:color w:val="605E5C"/>
      <w:shd w:val="clear" w:color="auto" w:fill="E1DFDD"/>
    </w:rPr>
  </w:style>
  <w:style w:type="paragraph" w:styleId="NormalWeb">
    <w:name w:val="Normal (Web)"/>
    <w:basedOn w:val="Normal"/>
    <w:uiPriority w:val="99"/>
    <w:semiHidden/>
    <w:unhideWhenUsed/>
    <w:rsid w:val="0045121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4512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623956">
      <w:bodyDiv w:val="1"/>
      <w:marLeft w:val="0"/>
      <w:marRight w:val="0"/>
      <w:marTop w:val="0"/>
      <w:marBottom w:val="0"/>
      <w:divBdr>
        <w:top w:val="none" w:sz="0" w:space="0" w:color="auto"/>
        <w:left w:val="none" w:sz="0" w:space="0" w:color="auto"/>
        <w:bottom w:val="none" w:sz="0" w:space="0" w:color="auto"/>
        <w:right w:val="none" w:sz="0" w:space="0" w:color="auto"/>
      </w:divBdr>
    </w:div>
    <w:div w:id="102268874">
      <w:bodyDiv w:val="1"/>
      <w:marLeft w:val="0"/>
      <w:marRight w:val="0"/>
      <w:marTop w:val="0"/>
      <w:marBottom w:val="0"/>
      <w:divBdr>
        <w:top w:val="none" w:sz="0" w:space="0" w:color="auto"/>
        <w:left w:val="none" w:sz="0" w:space="0" w:color="auto"/>
        <w:bottom w:val="none" w:sz="0" w:space="0" w:color="auto"/>
        <w:right w:val="none" w:sz="0" w:space="0" w:color="auto"/>
      </w:divBdr>
    </w:div>
    <w:div w:id="174274966">
      <w:bodyDiv w:val="1"/>
      <w:marLeft w:val="0"/>
      <w:marRight w:val="0"/>
      <w:marTop w:val="0"/>
      <w:marBottom w:val="0"/>
      <w:divBdr>
        <w:top w:val="none" w:sz="0" w:space="0" w:color="auto"/>
        <w:left w:val="none" w:sz="0" w:space="0" w:color="auto"/>
        <w:bottom w:val="none" w:sz="0" w:space="0" w:color="auto"/>
        <w:right w:val="none" w:sz="0" w:space="0" w:color="auto"/>
      </w:divBdr>
    </w:div>
    <w:div w:id="212473466">
      <w:bodyDiv w:val="1"/>
      <w:marLeft w:val="0"/>
      <w:marRight w:val="0"/>
      <w:marTop w:val="0"/>
      <w:marBottom w:val="0"/>
      <w:divBdr>
        <w:top w:val="none" w:sz="0" w:space="0" w:color="auto"/>
        <w:left w:val="none" w:sz="0" w:space="0" w:color="auto"/>
        <w:bottom w:val="none" w:sz="0" w:space="0" w:color="auto"/>
        <w:right w:val="none" w:sz="0" w:space="0" w:color="auto"/>
      </w:divBdr>
    </w:div>
    <w:div w:id="336660302">
      <w:bodyDiv w:val="1"/>
      <w:marLeft w:val="0"/>
      <w:marRight w:val="0"/>
      <w:marTop w:val="0"/>
      <w:marBottom w:val="0"/>
      <w:divBdr>
        <w:top w:val="none" w:sz="0" w:space="0" w:color="auto"/>
        <w:left w:val="none" w:sz="0" w:space="0" w:color="auto"/>
        <w:bottom w:val="none" w:sz="0" w:space="0" w:color="auto"/>
        <w:right w:val="none" w:sz="0" w:space="0" w:color="auto"/>
      </w:divBdr>
    </w:div>
    <w:div w:id="349382319">
      <w:bodyDiv w:val="1"/>
      <w:marLeft w:val="0"/>
      <w:marRight w:val="0"/>
      <w:marTop w:val="0"/>
      <w:marBottom w:val="0"/>
      <w:divBdr>
        <w:top w:val="none" w:sz="0" w:space="0" w:color="auto"/>
        <w:left w:val="none" w:sz="0" w:space="0" w:color="auto"/>
        <w:bottom w:val="none" w:sz="0" w:space="0" w:color="auto"/>
        <w:right w:val="none" w:sz="0" w:space="0" w:color="auto"/>
      </w:divBdr>
    </w:div>
    <w:div w:id="364402675">
      <w:bodyDiv w:val="1"/>
      <w:marLeft w:val="0"/>
      <w:marRight w:val="0"/>
      <w:marTop w:val="0"/>
      <w:marBottom w:val="0"/>
      <w:divBdr>
        <w:top w:val="none" w:sz="0" w:space="0" w:color="auto"/>
        <w:left w:val="none" w:sz="0" w:space="0" w:color="auto"/>
        <w:bottom w:val="none" w:sz="0" w:space="0" w:color="auto"/>
        <w:right w:val="none" w:sz="0" w:space="0" w:color="auto"/>
      </w:divBdr>
    </w:div>
    <w:div w:id="396779691">
      <w:bodyDiv w:val="1"/>
      <w:marLeft w:val="0"/>
      <w:marRight w:val="0"/>
      <w:marTop w:val="0"/>
      <w:marBottom w:val="0"/>
      <w:divBdr>
        <w:top w:val="none" w:sz="0" w:space="0" w:color="auto"/>
        <w:left w:val="none" w:sz="0" w:space="0" w:color="auto"/>
        <w:bottom w:val="none" w:sz="0" w:space="0" w:color="auto"/>
        <w:right w:val="none" w:sz="0" w:space="0" w:color="auto"/>
      </w:divBdr>
    </w:div>
    <w:div w:id="486942742">
      <w:bodyDiv w:val="1"/>
      <w:marLeft w:val="0"/>
      <w:marRight w:val="0"/>
      <w:marTop w:val="0"/>
      <w:marBottom w:val="0"/>
      <w:divBdr>
        <w:top w:val="none" w:sz="0" w:space="0" w:color="auto"/>
        <w:left w:val="none" w:sz="0" w:space="0" w:color="auto"/>
        <w:bottom w:val="none" w:sz="0" w:space="0" w:color="auto"/>
        <w:right w:val="none" w:sz="0" w:space="0" w:color="auto"/>
      </w:divBdr>
    </w:div>
    <w:div w:id="491871409">
      <w:bodyDiv w:val="1"/>
      <w:marLeft w:val="0"/>
      <w:marRight w:val="0"/>
      <w:marTop w:val="0"/>
      <w:marBottom w:val="0"/>
      <w:divBdr>
        <w:top w:val="none" w:sz="0" w:space="0" w:color="auto"/>
        <w:left w:val="none" w:sz="0" w:space="0" w:color="auto"/>
        <w:bottom w:val="none" w:sz="0" w:space="0" w:color="auto"/>
        <w:right w:val="none" w:sz="0" w:space="0" w:color="auto"/>
      </w:divBdr>
    </w:div>
    <w:div w:id="494734628">
      <w:bodyDiv w:val="1"/>
      <w:marLeft w:val="0"/>
      <w:marRight w:val="0"/>
      <w:marTop w:val="0"/>
      <w:marBottom w:val="0"/>
      <w:divBdr>
        <w:top w:val="none" w:sz="0" w:space="0" w:color="auto"/>
        <w:left w:val="none" w:sz="0" w:space="0" w:color="auto"/>
        <w:bottom w:val="none" w:sz="0" w:space="0" w:color="auto"/>
        <w:right w:val="none" w:sz="0" w:space="0" w:color="auto"/>
      </w:divBdr>
    </w:div>
    <w:div w:id="510725024">
      <w:bodyDiv w:val="1"/>
      <w:marLeft w:val="0"/>
      <w:marRight w:val="0"/>
      <w:marTop w:val="0"/>
      <w:marBottom w:val="0"/>
      <w:divBdr>
        <w:top w:val="none" w:sz="0" w:space="0" w:color="auto"/>
        <w:left w:val="none" w:sz="0" w:space="0" w:color="auto"/>
        <w:bottom w:val="none" w:sz="0" w:space="0" w:color="auto"/>
        <w:right w:val="none" w:sz="0" w:space="0" w:color="auto"/>
      </w:divBdr>
    </w:div>
    <w:div w:id="513305195">
      <w:bodyDiv w:val="1"/>
      <w:marLeft w:val="0"/>
      <w:marRight w:val="0"/>
      <w:marTop w:val="0"/>
      <w:marBottom w:val="0"/>
      <w:divBdr>
        <w:top w:val="none" w:sz="0" w:space="0" w:color="auto"/>
        <w:left w:val="none" w:sz="0" w:space="0" w:color="auto"/>
        <w:bottom w:val="none" w:sz="0" w:space="0" w:color="auto"/>
        <w:right w:val="none" w:sz="0" w:space="0" w:color="auto"/>
      </w:divBdr>
    </w:div>
    <w:div w:id="548424015">
      <w:bodyDiv w:val="1"/>
      <w:marLeft w:val="0"/>
      <w:marRight w:val="0"/>
      <w:marTop w:val="0"/>
      <w:marBottom w:val="0"/>
      <w:divBdr>
        <w:top w:val="none" w:sz="0" w:space="0" w:color="auto"/>
        <w:left w:val="none" w:sz="0" w:space="0" w:color="auto"/>
        <w:bottom w:val="none" w:sz="0" w:space="0" w:color="auto"/>
        <w:right w:val="none" w:sz="0" w:space="0" w:color="auto"/>
      </w:divBdr>
    </w:div>
    <w:div w:id="560947952">
      <w:bodyDiv w:val="1"/>
      <w:marLeft w:val="0"/>
      <w:marRight w:val="0"/>
      <w:marTop w:val="0"/>
      <w:marBottom w:val="0"/>
      <w:divBdr>
        <w:top w:val="none" w:sz="0" w:space="0" w:color="auto"/>
        <w:left w:val="none" w:sz="0" w:space="0" w:color="auto"/>
        <w:bottom w:val="none" w:sz="0" w:space="0" w:color="auto"/>
        <w:right w:val="none" w:sz="0" w:space="0" w:color="auto"/>
      </w:divBdr>
    </w:div>
    <w:div w:id="640185898">
      <w:bodyDiv w:val="1"/>
      <w:marLeft w:val="0"/>
      <w:marRight w:val="0"/>
      <w:marTop w:val="0"/>
      <w:marBottom w:val="0"/>
      <w:divBdr>
        <w:top w:val="none" w:sz="0" w:space="0" w:color="auto"/>
        <w:left w:val="none" w:sz="0" w:space="0" w:color="auto"/>
        <w:bottom w:val="none" w:sz="0" w:space="0" w:color="auto"/>
        <w:right w:val="none" w:sz="0" w:space="0" w:color="auto"/>
      </w:divBdr>
    </w:div>
    <w:div w:id="687561720">
      <w:bodyDiv w:val="1"/>
      <w:marLeft w:val="0"/>
      <w:marRight w:val="0"/>
      <w:marTop w:val="0"/>
      <w:marBottom w:val="0"/>
      <w:divBdr>
        <w:top w:val="none" w:sz="0" w:space="0" w:color="auto"/>
        <w:left w:val="none" w:sz="0" w:space="0" w:color="auto"/>
        <w:bottom w:val="none" w:sz="0" w:space="0" w:color="auto"/>
        <w:right w:val="none" w:sz="0" w:space="0" w:color="auto"/>
      </w:divBdr>
    </w:div>
    <w:div w:id="721909310">
      <w:bodyDiv w:val="1"/>
      <w:marLeft w:val="0"/>
      <w:marRight w:val="0"/>
      <w:marTop w:val="0"/>
      <w:marBottom w:val="0"/>
      <w:divBdr>
        <w:top w:val="none" w:sz="0" w:space="0" w:color="auto"/>
        <w:left w:val="none" w:sz="0" w:space="0" w:color="auto"/>
        <w:bottom w:val="none" w:sz="0" w:space="0" w:color="auto"/>
        <w:right w:val="none" w:sz="0" w:space="0" w:color="auto"/>
      </w:divBdr>
    </w:div>
    <w:div w:id="796992616">
      <w:bodyDiv w:val="1"/>
      <w:marLeft w:val="0"/>
      <w:marRight w:val="0"/>
      <w:marTop w:val="0"/>
      <w:marBottom w:val="0"/>
      <w:divBdr>
        <w:top w:val="none" w:sz="0" w:space="0" w:color="auto"/>
        <w:left w:val="none" w:sz="0" w:space="0" w:color="auto"/>
        <w:bottom w:val="none" w:sz="0" w:space="0" w:color="auto"/>
        <w:right w:val="none" w:sz="0" w:space="0" w:color="auto"/>
      </w:divBdr>
    </w:div>
    <w:div w:id="825784039">
      <w:bodyDiv w:val="1"/>
      <w:marLeft w:val="0"/>
      <w:marRight w:val="0"/>
      <w:marTop w:val="0"/>
      <w:marBottom w:val="0"/>
      <w:divBdr>
        <w:top w:val="none" w:sz="0" w:space="0" w:color="auto"/>
        <w:left w:val="none" w:sz="0" w:space="0" w:color="auto"/>
        <w:bottom w:val="none" w:sz="0" w:space="0" w:color="auto"/>
        <w:right w:val="none" w:sz="0" w:space="0" w:color="auto"/>
      </w:divBdr>
    </w:div>
    <w:div w:id="888226965">
      <w:bodyDiv w:val="1"/>
      <w:marLeft w:val="0"/>
      <w:marRight w:val="0"/>
      <w:marTop w:val="0"/>
      <w:marBottom w:val="0"/>
      <w:divBdr>
        <w:top w:val="none" w:sz="0" w:space="0" w:color="auto"/>
        <w:left w:val="none" w:sz="0" w:space="0" w:color="auto"/>
        <w:bottom w:val="none" w:sz="0" w:space="0" w:color="auto"/>
        <w:right w:val="none" w:sz="0" w:space="0" w:color="auto"/>
      </w:divBdr>
    </w:div>
    <w:div w:id="934047080">
      <w:bodyDiv w:val="1"/>
      <w:marLeft w:val="0"/>
      <w:marRight w:val="0"/>
      <w:marTop w:val="0"/>
      <w:marBottom w:val="0"/>
      <w:divBdr>
        <w:top w:val="none" w:sz="0" w:space="0" w:color="auto"/>
        <w:left w:val="none" w:sz="0" w:space="0" w:color="auto"/>
        <w:bottom w:val="none" w:sz="0" w:space="0" w:color="auto"/>
        <w:right w:val="none" w:sz="0" w:space="0" w:color="auto"/>
      </w:divBdr>
    </w:div>
    <w:div w:id="963122560">
      <w:bodyDiv w:val="1"/>
      <w:marLeft w:val="0"/>
      <w:marRight w:val="0"/>
      <w:marTop w:val="0"/>
      <w:marBottom w:val="0"/>
      <w:divBdr>
        <w:top w:val="none" w:sz="0" w:space="0" w:color="auto"/>
        <w:left w:val="none" w:sz="0" w:space="0" w:color="auto"/>
        <w:bottom w:val="none" w:sz="0" w:space="0" w:color="auto"/>
        <w:right w:val="none" w:sz="0" w:space="0" w:color="auto"/>
      </w:divBdr>
    </w:div>
    <w:div w:id="969019414">
      <w:bodyDiv w:val="1"/>
      <w:marLeft w:val="0"/>
      <w:marRight w:val="0"/>
      <w:marTop w:val="0"/>
      <w:marBottom w:val="0"/>
      <w:divBdr>
        <w:top w:val="none" w:sz="0" w:space="0" w:color="auto"/>
        <w:left w:val="none" w:sz="0" w:space="0" w:color="auto"/>
        <w:bottom w:val="none" w:sz="0" w:space="0" w:color="auto"/>
        <w:right w:val="none" w:sz="0" w:space="0" w:color="auto"/>
      </w:divBdr>
    </w:div>
    <w:div w:id="1022174083">
      <w:bodyDiv w:val="1"/>
      <w:marLeft w:val="0"/>
      <w:marRight w:val="0"/>
      <w:marTop w:val="0"/>
      <w:marBottom w:val="0"/>
      <w:divBdr>
        <w:top w:val="none" w:sz="0" w:space="0" w:color="auto"/>
        <w:left w:val="none" w:sz="0" w:space="0" w:color="auto"/>
        <w:bottom w:val="none" w:sz="0" w:space="0" w:color="auto"/>
        <w:right w:val="none" w:sz="0" w:space="0" w:color="auto"/>
      </w:divBdr>
    </w:div>
    <w:div w:id="1118765703">
      <w:bodyDiv w:val="1"/>
      <w:marLeft w:val="0"/>
      <w:marRight w:val="0"/>
      <w:marTop w:val="0"/>
      <w:marBottom w:val="0"/>
      <w:divBdr>
        <w:top w:val="none" w:sz="0" w:space="0" w:color="auto"/>
        <w:left w:val="none" w:sz="0" w:space="0" w:color="auto"/>
        <w:bottom w:val="none" w:sz="0" w:space="0" w:color="auto"/>
        <w:right w:val="none" w:sz="0" w:space="0" w:color="auto"/>
      </w:divBdr>
    </w:div>
    <w:div w:id="1120345117">
      <w:bodyDiv w:val="1"/>
      <w:marLeft w:val="0"/>
      <w:marRight w:val="0"/>
      <w:marTop w:val="0"/>
      <w:marBottom w:val="0"/>
      <w:divBdr>
        <w:top w:val="none" w:sz="0" w:space="0" w:color="auto"/>
        <w:left w:val="none" w:sz="0" w:space="0" w:color="auto"/>
        <w:bottom w:val="none" w:sz="0" w:space="0" w:color="auto"/>
        <w:right w:val="none" w:sz="0" w:space="0" w:color="auto"/>
      </w:divBdr>
    </w:div>
    <w:div w:id="1144081038">
      <w:bodyDiv w:val="1"/>
      <w:marLeft w:val="0"/>
      <w:marRight w:val="0"/>
      <w:marTop w:val="0"/>
      <w:marBottom w:val="0"/>
      <w:divBdr>
        <w:top w:val="none" w:sz="0" w:space="0" w:color="auto"/>
        <w:left w:val="none" w:sz="0" w:space="0" w:color="auto"/>
        <w:bottom w:val="none" w:sz="0" w:space="0" w:color="auto"/>
        <w:right w:val="none" w:sz="0" w:space="0" w:color="auto"/>
      </w:divBdr>
    </w:div>
    <w:div w:id="1192263639">
      <w:bodyDiv w:val="1"/>
      <w:marLeft w:val="0"/>
      <w:marRight w:val="0"/>
      <w:marTop w:val="0"/>
      <w:marBottom w:val="0"/>
      <w:divBdr>
        <w:top w:val="none" w:sz="0" w:space="0" w:color="auto"/>
        <w:left w:val="none" w:sz="0" w:space="0" w:color="auto"/>
        <w:bottom w:val="none" w:sz="0" w:space="0" w:color="auto"/>
        <w:right w:val="none" w:sz="0" w:space="0" w:color="auto"/>
      </w:divBdr>
    </w:div>
    <w:div w:id="1209729862">
      <w:bodyDiv w:val="1"/>
      <w:marLeft w:val="0"/>
      <w:marRight w:val="0"/>
      <w:marTop w:val="0"/>
      <w:marBottom w:val="0"/>
      <w:divBdr>
        <w:top w:val="none" w:sz="0" w:space="0" w:color="auto"/>
        <w:left w:val="none" w:sz="0" w:space="0" w:color="auto"/>
        <w:bottom w:val="none" w:sz="0" w:space="0" w:color="auto"/>
        <w:right w:val="none" w:sz="0" w:space="0" w:color="auto"/>
      </w:divBdr>
    </w:div>
    <w:div w:id="1265071681">
      <w:bodyDiv w:val="1"/>
      <w:marLeft w:val="0"/>
      <w:marRight w:val="0"/>
      <w:marTop w:val="0"/>
      <w:marBottom w:val="0"/>
      <w:divBdr>
        <w:top w:val="none" w:sz="0" w:space="0" w:color="auto"/>
        <w:left w:val="none" w:sz="0" w:space="0" w:color="auto"/>
        <w:bottom w:val="none" w:sz="0" w:space="0" w:color="auto"/>
        <w:right w:val="none" w:sz="0" w:space="0" w:color="auto"/>
      </w:divBdr>
    </w:div>
    <w:div w:id="1280989219">
      <w:bodyDiv w:val="1"/>
      <w:marLeft w:val="0"/>
      <w:marRight w:val="0"/>
      <w:marTop w:val="0"/>
      <w:marBottom w:val="0"/>
      <w:divBdr>
        <w:top w:val="none" w:sz="0" w:space="0" w:color="auto"/>
        <w:left w:val="none" w:sz="0" w:space="0" w:color="auto"/>
        <w:bottom w:val="none" w:sz="0" w:space="0" w:color="auto"/>
        <w:right w:val="none" w:sz="0" w:space="0" w:color="auto"/>
      </w:divBdr>
    </w:div>
    <w:div w:id="1288046922">
      <w:bodyDiv w:val="1"/>
      <w:marLeft w:val="0"/>
      <w:marRight w:val="0"/>
      <w:marTop w:val="0"/>
      <w:marBottom w:val="0"/>
      <w:divBdr>
        <w:top w:val="none" w:sz="0" w:space="0" w:color="auto"/>
        <w:left w:val="none" w:sz="0" w:space="0" w:color="auto"/>
        <w:bottom w:val="none" w:sz="0" w:space="0" w:color="auto"/>
        <w:right w:val="none" w:sz="0" w:space="0" w:color="auto"/>
      </w:divBdr>
    </w:div>
    <w:div w:id="1289816472">
      <w:bodyDiv w:val="1"/>
      <w:marLeft w:val="0"/>
      <w:marRight w:val="0"/>
      <w:marTop w:val="0"/>
      <w:marBottom w:val="0"/>
      <w:divBdr>
        <w:top w:val="none" w:sz="0" w:space="0" w:color="auto"/>
        <w:left w:val="none" w:sz="0" w:space="0" w:color="auto"/>
        <w:bottom w:val="none" w:sz="0" w:space="0" w:color="auto"/>
        <w:right w:val="none" w:sz="0" w:space="0" w:color="auto"/>
      </w:divBdr>
    </w:div>
    <w:div w:id="1290431398">
      <w:bodyDiv w:val="1"/>
      <w:marLeft w:val="0"/>
      <w:marRight w:val="0"/>
      <w:marTop w:val="0"/>
      <w:marBottom w:val="0"/>
      <w:divBdr>
        <w:top w:val="none" w:sz="0" w:space="0" w:color="auto"/>
        <w:left w:val="none" w:sz="0" w:space="0" w:color="auto"/>
        <w:bottom w:val="none" w:sz="0" w:space="0" w:color="auto"/>
        <w:right w:val="none" w:sz="0" w:space="0" w:color="auto"/>
      </w:divBdr>
    </w:div>
    <w:div w:id="1313873126">
      <w:bodyDiv w:val="1"/>
      <w:marLeft w:val="0"/>
      <w:marRight w:val="0"/>
      <w:marTop w:val="0"/>
      <w:marBottom w:val="0"/>
      <w:divBdr>
        <w:top w:val="none" w:sz="0" w:space="0" w:color="auto"/>
        <w:left w:val="none" w:sz="0" w:space="0" w:color="auto"/>
        <w:bottom w:val="none" w:sz="0" w:space="0" w:color="auto"/>
        <w:right w:val="none" w:sz="0" w:space="0" w:color="auto"/>
      </w:divBdr>
    </w:div>
    <w:div w:id="1321272978">
      <w:bodyDiv w:val="1"/>
      <w:marLeft w:val="0"/>
      <w:marRight w:val="0"/>
      <w:marTop w:val="0"/>
      <w:marBottom w:val="0"/>
      <w:divBdr>
        <w:top w:val="none" w:sz="0" w:space="0" w:color="auto"/>
        <w:left w:val="none" w:sz="0" w:space="0" w:color="auto"/>
        <w:bottom w:val="none" w:sz="0" w:space="0" w:color="auto"/>
        <w:right w:val="none" w:sz="0" w:space="0" w:color="auto"/>
      </w:divBdr>
    </w:div>
    <w:div w:id="1450705620">
      <w:bodyDiv w:val="1"/>
      <w:marLeft w:val="0"/>
      <w:marRight w:val="0"/>
      <w:marTop w:val="0"/>
      <w:marBottom w:val="0"/>
      <w:divBdr>
        <w:top w:val="none" w:sz="0" w:space="0" w:color="auto"/>
        <w:left w:val="none" w:sz="0" w:space="0" w:color="auto"/>
        <w:bottom w:val="none" w:sz="0" w:space="0" w:color="auto"/>
        <w:right w:val="none" w:sz="0" w:space="0" w:color="auto"/>
      </w:divBdr>
    </w:div>
    <w:div w:id="1463041498">
      <w:bodyDiv w:val="1"/>
      <w:marLeft w:val="0"/>
      <w:marRight w:val="0"/>
      <w:marTop w:val="0"/>
      <w:marBottom w:val="0"/>
      <w:divBdr>
        <w:top w:val="none" w:sz="0" w:space="0" w:color="auto"/>
        <w:left w:val="none" w:sz="0" w:space="0" w:color="auto"/>
        <w:bottom w:val="none" w:sz="0" w:space="0" w:color="auto"/>
        <w:right w:val="none" w:sz="0" w:space="0" w:color="auto"/>
      </w:divBdr>
    </w:div>
    <w:div w:id="1478377067">
      <w:bodyDiv w:val="1"/>
      <w:marLeft w:val="0"/>
      <w:marRight w:val="0"/>
      <w:marTop w:val="0"/>
      <w:marBottom w:val="0"/>
      <w:divBdr>
        <w:top w:val="none" w:sz="0" w:space="0" w:color="auto"/>
        <w:left w:val="none" w:sz="0" w:space="0" w:color="auto"/>
        <w:bottom w:val="none" w:sz="0" w:space="0" w:color="auto"/>
        <w:right w:val="none" w:sz="0" w:space="0" w:color="auto"/>
      </w:divBdr>
    </w:div>
    <w:div w:id="1497115980">
      <w:bodyDiv w:val="1"/>
      <w:marLeft w:val="0"/>
      <w:marRight w:val="0"/>
      <w:marTop w:val="0"/>
      <w:marBottom w:val="0"/>
      <w:divBdr>
        <w:top w:val="none" w:sz="0" w:space="0" w:color="auto"/>
        <w:left w:val="none" w:sz="0" w:space="0" w:color="auto"/>
        <w:bottom w:val="none" w:sz="0" w:space="0" w:color="auto"/>
        <w:right w:val="none" w:sz="0" w:space="0" w:color="auto"/>
      </w:divBdr>
    </w:div>
    <w:div w:id="1497262687">
      <w:bodyDiv w:val="1"/>
      <w:marLeft w:val="0"/>
      <w:marRight w:val="0"/>
      <w:marTop w:val="0"/>
      <w:marBottom w:val="0"/>
      <w:divBdr>
        <w:top w:val="none" w:sz="0" w:space="0" w:color="auto"/>
        <w:left w:val="none" w:sz="0" w:space="0" w:color="auto"/>
        <w:bottom w:val="none" w:sz="0" w:space="0" w:color="auto"/>
        <w:right w:val="none" w:sz="0" w:space="0" w:color="auto"/>
      </w:divBdr>
    </w:div>
    <w:div w:id="1506045593">
      <w:bodyDiv w:val="1"/>
      <w:marLeft w:val="0"/>
      <w:marRight w:val="0"/>
      <w:marTop w:val="0"/>
      <w:marBottom w:val="0"/>
      <w:divBdr>
        <w:top w:val="none" w:sz="0" w:space="0" w:color="auto"/>
        <w:left w:val="none" w:sz="0" w:space="0" w:color="auto"/>
        <w:bottom w:val="none" w:sz="0" w:space="0" w:color="auto"/>
        <w:right w:val="none" w:sz="0" w:space="0" w:color="auto"/>
      </w:divBdr>
    </w:div>
    <w:div w:id="1632175593">
      <w:bodyDiv w:val="1"/>
      <w:marLeft w:val="0"/>
      <w:marRight w:val="0"/>
      <w:marTop w:val="0"/>
      <w:marBottom w:val="0"/>
      <w:divBdr>
        <w:top w:val="none" w:sz="0" w:space="0" w:color="auto"/>
        <w:left w:val="none" w:sz="0" w:space="0" w:color="auto"/>
        <w:bottom w:val="none" w:sz="0" w:space="0" w:color="auto"/>
        <w:right w:val="none" w:sz="0" w:space="0" w:color="auto"/>
      </w:divBdr>
    </w:div>
    <w:div w:id="1695572553">
      <w:bodyDiv w:val="1"/>
      <w:marLeft w:val="0"/>
      <w:marRight w:val="0"/>
      <w:marTop w:val="0"/>
      <w:marBottom w:val="0"/>
      <w:divBdr>
        <w:top w:val="none" w:sz="0" w:space="0" w:color="auto"/>
        <w:left w:val="none" w:sz="0" w:space="0" w:color="auto"/>
        <w:bottom w:val="none" w:sz="0" w:space="0" w:color="auto"/>
        <w:right w:val="none" w:sz="0" w:space="0" w:color="auto"/>
      </w:divBdr>
    </w:div>
    <w:div w:id="1707750868">
      <w:bodyDiv w:val="1"/>
      <w:marLeft w:val="0"/>
      <w:marRight w:val="0"/>
      <w:marTop w:val="0"/>
      <w:marBottom w:val="0"/>
      <w:divBdr>
        <w:top w:val="none" w:sz="0" w:space="0" w:color="auto"/>
        <w:left w:val="none" w:sz="0" w:space="0" w:color="auto"/>
        <w:bottom w:val="none" w:sz="0" w:space="0" w:color="auto"/>
        <w:right w:val="none" w:sz="0" w:space="0" w:color="auto"/>
      </w:divBdr>
    </w:div>
    <w:div w:id="1733119732">
      <w:bodyDiv w:val="1"/>
      <w:marLeft w:val="0"/>
      <w:marRight w:val="0"/>
      <w:marTop w:val="0"/>
      <w:marBottom w:val="0"/>
      <w:divBdr>
        <w:top w:val="none" w:sz="0" w:space="0" w:color="auto"/>
        <w:left w:val="none" w:sz="0" w:space="0" w:color="auto"/>
        <w:bottom w:val="none" w:sz="0" w:space="0" w:color="auto"/>
        <w:right w:val="none" w:sz="0" w:space="0" w:color="auto"/>
      </w:divBdr>
    </w:div>
    <w:div w:id="1748531451">
      <w:bodyDiv w:val="1"/>
      <w:marLeft w:val="0"/>
      <w:marRight w:val="0"/>
      <w:marTop w:val="0"/>
      <w:marBottom w:val="0"/>
      <w:divBdr>
        <w:top w:val="none" w:sz="0" w:space="0" w:color="auto"/>
        <w:left w:val="none" w:sz="0" w:space="0" w:color="auto"/>
        <w:bottom w:val="none" w:sz="0" w:space="0" w:color="auto"/>
        <w:right w:val="none" w:sz="0" w:space="0" w:color="auto"/>
      </w:divBdr>
    </w:div>
    <w:div w:id="1797141019">
      <w:bodyDiv w:val="1"/>
      <w:marLeft w:val="0"/>
      <w:marRight w:val="0"/>
      <w:marTop w:val="0"/>
      <w:marBottom w:val="0"/>
      <w:divBdr>
        <w:top w:val="none" w:sz="0" w:space="0" w:color="auto"/>
        <w:left w:val="none" w:sz="0" w:space="0" w:color="auto"/>
        <w:bottom w:val="none" w:sz="0" w:space="0" w:color="auto"/>
        <w:right w:val="none" w:sz="0" w:space="0" w:color="auto"/>
      </w:divBdr>
    </w:div>
    <w:div w:id="1814908921">
      <w:bodyDiv w:val="1"/>
      <w:marLeft w:val="0"/>
      <w:marRight w:val="0"/>
      <w:marTop w:val="0"/>
      <w:marBottom w:val="0"/>
      <w:divBdr>
        <w:top w:val="none" w:sz="0" w:space="0" w:color="auto"/>
        <w:left w:val="none" w:sz="0" w:space="0" w:color="auto"/>
        <w:bottom w:val="none" w:sz="0" w:space="0" w:color="auto"/>
        <w:right w:val="none" w:sz="0" w:space="0" w:color="auto"/>
      </w:divBdr>
    </w:div>
    <w:div w:id="1870952449">
      <w:bodyDiv w:val="1"/>
      <w:marLeft w:val="0"/>
      <w:marRight w:val="0"/>
      <w:marTop w:val="0"/>
      <w:marBottom w:val="0"/>
      <w:divBdr>
        <w:top w:val="none" w:sz="0" w:space="0" w:color="auto"/>
        <w:left w:val="none" w:sz="0" w:space="0" w:color="auto"/>
        <w:bottom w:val="none" w:sz="0" w:space="0" w:color="auto"/>
        <w:right w:val="none" w:sz="0" w:space="0" w:color="auto"/>
      </w:divBdr>
    </w:div>
    <w:div w:id="1875801752">
      <w:bodyDiv w:val="1"/>
      <w:marLeft w:val="0"/>
      <w:marRight w:val="0"/>
      <w:marTop w:val="0"/>
      <w:marBottom w:val="0"/>
      <w:divBdr>
        <w:top w:val="none" w:sz="0" w:space="0" w:color="auto"/>
        <w:left w:val="none" w:sz="0" w:space="0" w:color="auto"/>
        <w:bottom w:val="none" w:sz="0" w:space="0" w:color="auto"/>
        <w:right w:val="none" w:sz="0" w:space="0" w:color="auto"/>
      </w:divBdr>
    </w:div>
    <w:div w:id="1925334876">
      <w:bodyDiv w:val="1"/>
      <w:marLeft w:val="0"/>
      <w:marRight w:val="0"/>
      <w:marTop w:val="0"/>
      <w:marBottom w:val="0"/>
      <w:divBdr>
        <w:top w:val="none" w:sz="0" w:space="0" w:color="auto"/>
        <w:left w:val="none" w:sz="0" w:space="0" w:color="auto"/>
        <w:bottom w:val="none" w:sz="0" w:space="0" w:color="auto"/>
        <w:right w:val="none" w:sz="0" w:space="0" w:color="auto"/>
      </w:divBdr>
    </w:div>
    <w:div w:id="2017270409">
      <w:bodyDiv w:val="1"/>
      <w:marLeft w:val="0"/>
      <w:marRight w:val="0"/>
      <w:marTop w:val="0"/>
      <w:marBottom w:val="0"/>
      <w:divBdr>
        <w:top w:val="none" w:sz="0" w:space="0" w:color="auto"/>
        <w:left w:val="none" w:sz="0" w:space="0" w:color="auto"/>
        <w:bottom w:val="none" w:sz="0" w:space="0" w:color="auto"/>
        <w:right w:val="none" w:sz="0" w:space="0" w:color="auto"/>
      </w:divBdr>
    </w:div>
    <w:div w:id="2021660657">
      <w:bodyDiv w:val="1"/>
      <w:marLeft w:val="0"/>
      <w:marRight w:val="0"/>
      <w:marTop w:val="0"/>
      <w:marBottom w:val="0"/>
      <w:divBdr>
        <w:top w:val="none" w:sz="0" w:space="0" w:color="auto"/>
        <w:left w:val="none" w:sz="0" w:space="0" w:color="auto"/>
        <w:bottom w:val="none" w:sz="0" w:space="0" w:color="auto"/>
        <w:right w:val="none" w:sz="0" w:space="0" w:color="auto"/>
      </w:divBdr>
      <w:divsChild>
        <w:div w:id="937759545">
          <w:marLeft w:val="-720"/>
          <w:marRight w:val="0"/>
          <w:marTop w:val="0"/>
          <w:marBottom w:val="0"/>
          <w:divBdr>
            <w:top w:val="none" w:sz="0" w:space="0" w:color="auto"/>
            <w:left w:val="none" w:sz="0" w:space="0" w:color="auto"/>
            <w:bottom w:val="none" w:sz="0" w:space="0" w:color="auto"/>
            <w:right w:val="none" w:sz="0" w:space="0" w:color="auto"/>
          </w:divBdr>
        </w:div>
      </w:divsChild>
    </w:div>
    <w:div w:id="2061902392">
      <w:bodyDiv w:val="1"/>
      <w:marLeft w:val="0"/>
      <w:marRight w:val="0"/>
      <w:marTop w:val="0"/>
      <w:marBottom w:val="0"/>
      <w:divBdr>
        <w:top w:val="none" w:sz="0" w:space="0" w:color="auto"/>
        <w:left w:val="none" w:sz="0" w:space="0" w:color="auto"/>
        <w:bottom w:val="none" w:sz="0" w:space="0" w:color="auto"/>
        <w:right w:val="none" w:sz="0" w:space="0" w:color="auto"/>
      </w:divBdr>
    </w:div>
    <w:div w:id="2074040163">
      <w:bodyDiv w:val="1"/>
      <w:marLeft w:val="0"/>
      <w:marRight w:val="0"/>
      <w:marTop w:val="0"/>
      <w:marBottom w:val="0"/>
      <w:divBdr>
        <w:top w:val="none" w:sz="0" w:space="0" w:color="auto"/>
        <w:left w:val="none" w:sz="0" w:space="0" w:color="auto"/>
        <w:bottom w:val="none" w:sz="0" w:space="0" w:color="auto"/>
        <w:right w:val="none" w:sz="0" w:space="0" w:color="auto"/>
      </w:divBdr>
    </w:div>
    <w:div w:id="2129615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13</Pages>
  <Words>3753</Words>
  <Characters>22445</Characters>
  <Application>Microsoft Office Word</Application>
  <DocSecurity>0</DocSecurity>
  <Lines>350</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 (2219634)</cp:lastModifiedBy>
  <cp:revision>25</cp:revision>
  <dcterms:created xsi:type="dcterms:W3CDTF">2024-11-22T20:03:00Z</dcterms:created>
  <dcterms:modified xsi:type="dcterms:W3CDTF">2024-11-23T15:43:00Z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0a68faec-8dd8-4fa9-ab6c-8727b58771ea</vt:lpwstr>
  </property>
</Properties>
</file>