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02F2E7" w14:textId="568E6982" w:rsidR="00114CBF" w:rsidRDefault="009715D9" w:rsidP="009715D9">
      <w:pPr>
        <w:jc w:val="center"/>
        <w:rPr>
          <w:sz w:val="28"/>
          <w:szCs w:val="28"/>
          <w:u w:val="single"/>
          <w:lang w:val="en-US"/>
        </w:rPr>
      </w:pPr>
      <w:r w:rsidRPr="009715D9">
        <w:rPr>
          <w:sz w:val="28"/>
          <w:szCs w:val="28"/>
          <w:u w:val="single"/>
          <w:lang w:val="en-US"/>
        </w:rPr>
        <w:t>Illustrated Glossary of Key Terms for Material Culture Studies, Materiality and New Materialisms</w:t>
      </w:r>
    </w:p>
    <w:p w14:paraId="28366639" w14:textId="7D4CFA7A" w:rsidR="00CE7CC4" w:rsidRPr="00CE7CC4" w:rsidRDefault="009715D9" w:rsidP="00CE7CC4">
      <w:pPr>
        <w:pStyle w:val="ListParagraph"/>
        <w:numPr>
          <w:ilvl w:val="0"/>
          <w:numId w:val="2"/>
        </w:numPr>
        <w:rPr>
          <w:b/>
          <w:bCs/>
          <w:lang w:val="en-US"/>
        </w:rPr>
      </w:pPr>
      <w:r w:rsidRPr="009715D9">
        <w:rPr>
          <w:b/>
          <w:bCs/>
          <w:lang w:val="en-US"/>
        </w:rPr>
        <w:t>Materiality:</w:t>
      </w:r>
      <w:r>
        <w:rPr>
          <w:b/>
          <w:bCs/>
          <w:lang w:val="en-US"/>
        </w:rPr>
        <w:t xml:space="preserve"> </w:t>
      </w:r>
      <w:r w:rsidR="00AE1F1C" w:rsidRPr="0098505D">
        <w:rPr>
          <w:lang w:val="en-US"/>
        </w:rPr>
        <w:t xml:space="preserve">The </w:t>
      </w:r>
      <w:r w:rsidR="00313C8F">
        <w:rPr>
          <w:lang w:val="en-US"/>
        </w:rPr>
        <w:t>quality or character of the material(s) of an object. Materiality shapes the way in which an object is perceived</w:t>
      </w:r>
      <w:r w:rsidR="0005594F">
        <w:rPr>
          <w:lang w:val="en-US"/>
        </w:rPr>
        <w:t>, its relationships with humans and other material things and</w:t>
      </w:r>
      <w:r w:rsidR="00313C8F">
        <w:rPr>
          <w:lang w:val="en-US"/>
        </w:rPr>
        <w:t xml:space="preserve"> the ways it can be used or shaped</w:t>
      </w:r>
      <w:r w:rsidR="0005594F">
        <w:rPr>
          <w:lang w:val="en-US"/>
        </w:rPr>
        <w:t>, both physically and socially.</w:t>
      </w:r>
      <w:r w:rsidR="003C4DB4">
        <w:rPr>
          <w:lang w:val="en-US"/>
        </w:rPr>
        <w:t xml:space="preserve"> </w:t>
      </w:r>
      <w:r w:rsidR="00CE7CC4">
        <w:rPr>
          <w:lang w:val="en-US"/>
        </w:rPr>
        <w:t>While primarily characterized by the physicality of things, materiality is present in concepts and debates across a wide range of disciplines, including but not limited to archaeology, anthropology and philosophy, and thus cannot be restricted to its role within one single school of thought. The term materiality can also be synonymous with relevance and significance, which relates to other concepts within this discussion topic such as vibrancy and object agency.</w:t>
      </w:r>
    </w:p>
    <w:p w14:paraId="10EA18DD" w14:textId="2A7A12F7" w:rsidR="00A24338" w:rsidRPr="00CE7CC4" w:rsidRDefault="0005594F" w:rsidP="00CE7CC4">
      <w:pPr>
        <w:rPr>
          <w:b/>
          <w:bCs/>
          <w:lang w:val="en-US"/>
        </w:rPr>
      </w:pPr>
      <w:r>
        <w:rPr>
          <w:noProof/>
        </w:rPr>
        <w:drawing>
          <wp:inline distT="0" distB="0" distL="0" distR="0" wp14:anchorId="326016D2" wp14:editId="273071DE">
            <wp:extent cx="3873500" cy="2582333"/>
            <wp:effectExtent l="0" t="0" r="0" b="8890"/>
            <wp:docPr id="1746649566" name="Picture 1" descr="Types of Clay for Pottery - The Main Clay Types – Soul Ceram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Clay for Pottery - The Main Clay Types – Soul Ceramic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85002" cy="2590001"/>
                    </a:xfrm>
                    <a:prstGeom prst="rect">
                      <a:avLst/>
                    </a:prstGeom>
                    <a:noFill/>
                    <a:ln>
                      <a:noFill/>
                    </a:ln>
                  </pic:spPr>
                </pic:pic>
              </a:graphicData>
            </a:graphic>
          </wp:inline>
        </w:drawing>
      </w:r>
    </w:p>
    <w:p w14:paraId="4EAF42FB" w14:textId="524D9E31" w:rsidR="005802D2" w:rsidRPr="00A24338" w:rsidRDefault="00A24338" w:rsidP="00A24338">
      <w:pPr>
        <w:rPr>
          <w:sz w:val="16"/>
          <w:szCs w:val="16"/>
          <w:lang w:val="en-US"/>
        </w:rPr>
      </w:pPr>
      <w:r w:rsidRPr="00A24338">
        <w:rPr>
          <w:sz w:val="16"/>
          <w:szCs w:val="16"/>
          <w:lang w:val="en-US"/>
        </w:rPr>
        <w:t>Figure 1: The hands of a person, manipulating clay on a pottery wheel. Image via soulceramics.com</w:t>
      </w:r>
    </w:p>
    <w:p w14:paraId="75F33531" w14:textId="6B2E72AB" w:rsidR="00676A07" w:rsidRPr="00676A07" w:rsidRDefault="0098505D" w:rsidP="00676A07">
      <w:pPr>
        <w:pStyle w:val="ListParagraph"/>
        <w:numPr>
          <w:ilvl w:val="0"/>
          <w:numId w:val="2"/>
        </w:numPr>
        <w:rPr>
          <w:b/>
          <w:bCs/>
          <w:lang w:val="en-US"/>
        </w:rPr>
      </w:pPr>
      <w:r w:rsidRPr="00A24338">
        <w:rPr>
          <w:b/>
          <w:bCs/>
          <w:lang w:val="en-US"/>
        </w:rPr>
        <w:t>New Materialisms</w:t>
      </w:r>
      <w:r w:rsidR="001C43B7">
        <w:rPr>
          <w:b/>
          <w:bCs/>
          <w:lang w:val="en-US"/>
        </w:rPr>
        <w:t xml:space="preserve">: </w:t>
      </w:r>
      <w:r w:rsidR="001C43B7" w:rsidRPr="001C43B7">
        <w:rPr>
          <w:lang w:val="en-US"/>
        </w:rPr>
        <w:t>R</w:t>
      </w:r>
      <w:r w:rsidR="00FE2649">
        <w:rPr>
          <w:lang w:val="en-US"/>
        </w:rPr>
        <w:t>efers to a broad interdisciplinary field within the humanities born from a greater shift in the way we think about the world, moving away from an anthropocentric approach towards a more material or object-oriented worldview. New materialisms question the privileging of human agency over that of objects and explores matter’s agency and transformative role in the world. New materialisms seek to engage with material philosophies while bringing new interdisciplinary connections into the discussion, most notably the sciences, borrowing and incorporating ideas from chemistry, quantum physics and more</w:t>
      </w:r>
      <w:r w:rsidR="00042FEF">
        <w:rPr>
          <w:lang w:val="en-US"/>
        </w:rPr>
        <w:t>, creating new philosophies within the world of materiality studies.</w:t>
      </w:r>
    </w:p>
    <w:p w14:paraId="312A1F01" w14:textId="77777777" w:rsidR="00676A07" w:rsidRPr="00676A07" w:rsidRDefault="00676A07" w:rsidP="00676A07">
      <w:pPr>
        <w:rPr>
          <w:b/>
          <w:bCs/>
          <w:lang w:val="en-US"/>
        </w:rPr>
      </w:pPr>
    </w:p>
    <w:p w14:paraId="2C328E99" w14:textId="644A50AB" w:rsidR="00676A07" w:rsidRPr="00676A07" w:rsidRDefault="00AE3282" w:rsidP="00676A07">
      <w:pPr>
        <w:pStyle w:val="ListParagraph"/>
        <w:numPr>
          <w:ilvl w:val="0"/>
          <w:numId w:val="2"/>
        </w:numPr>
        <w:rPr>
          <w:b/>
          <w:bCs/>
          <w:lang w:val="en-US"/>
        </w:rPr>
      </w:pPr>
      <w:r>
        <w:rPr>
          <w:b/>
          <w:bCs/>
          <w:lang w:val="en-US"/>
        </w:rPr>
        <w:t>Object</w:t>
      </w:r>
      <w:r w:rsidR="00B36EA8">
        <w:rPr>
          <w:b/>
          <w:bCs/>
          <w:lang w:val="en-US"/>
        </w:rPr>
        <w:t xml:space="preserve">: </w:t>
      </w:r>
      <w:r w:rsidR="00B36EA8">
        <w:rPr>
          <w:lang w:val="en-US"/>
        </w:rPr>
        <w:t xml:space="preserve">There is no singular ‘correct’ definition of what an object is in the context of materiality. Within this field of study academics are more concerned with what objects are not, namely things, artefacts and </w:t>
      </w:r>
      <w:proofErr w:type="spellStart"/>
      <w:r w:rsidR="00B36EA8">
        <w:rPr>
          <w:lang w:val="en-US"/>
        </w:rPr>
        <w:t>ecofacts</w:t>
      </w:r>
      <w:proofErr w:type="spellEnd"/>
      <w:r w:rsidR="00B36EA8">
        <w:rPr>
          <w:lang w:val="en-US"/>
        </w:rPr>
        <w:t xml:space="preserve">. Artefacts imply human </w:t>
      </w:r>
      <w:r w:rsidR="008C6E0F">
        <w:rPr>
          <w:lang w:val="en-US"/>
        </w:rPr>
        <w:t>agency,</w:t>
      </w:r>
      <w:r w:rsidR="00B36EA8">
        <w:rPr>
          <w:lang w:val="en-US"/>
        </w:rPr>
        <w:t xml:space="preserve"> and objects imply a perceiving subject</w:t>
      </w:r>
      <w:r w:rsidR="008C6E0F">
        <w:rPr>
          <w:lang w:val="en-US"/>
        </w:rPr>
        <w:t xml:space="preserve">, yet parts of the material world can be defined by any of the above terms depending on an individual’s personal perception of their meanings. Unless heading an argument about the differences between an object and a thing, many academics do use the terms interchangeably, although object is the most common and is the term used most widely by far in books, articles and theories related to the subject </w:t>
      </w:r>
      <w:r w:rsidR="008C6E0F">
        <w:rPr>
          <w:lang w:val="en-US"/>
        </w:rPr>
        <w:lastRenderedPageBreak/>
        <w:t>of materiality, and is used to describe any one entity existing in the material world</w:t>
      </w:r>
      <w:r w:rsidR="00676A07">
        <w:rPr>
          <w:lang w:val="en-US"/>
        </w:rPr>
        <w:t xml:space="preserve"> both natural and man-made, both sentient and not.</w:t>
      </w:r>
      <w:r w:rsidR="00676A07" w:rsidRPr="00676A07">
        <w:rPr>
          <w:noProof/>
        </w:rPr>
        <w:t xml:space="preserve"> </w:t>
      </w:r>
    </w:p>
    <w:p w14:paraId="36117AC8" w14:textId="7B8B5B17" w:rsidR="00676A07" w:rsidRPr="00676A07" w:rsidRDefault="00676A07" w:rsidP="00676A07">
      <w:pPr>
        <w:rPr>
          <w:b/>
          <w:bCs/>
          <w:lang w:val="en-US"/>
        </w:rPr>
      </w:pPr>
      <w:r w:rsidRPr="00676A07">
        <w:drawing>
          <wp:inline distT="0" distB="0" distL="0" distR="0" wp14:anchorId="758B8755" wp14:editId="261EEBF5">
            <wp:extent cx="4521200" cy="2426901"/>
            <wp:effectExtent l="0" t="0" r="0" b="0"/>
            <wp:docPr id="1656856307" name="Picture 1" descr="A table top view of various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856307" name="Picture 1" descr="A table top view of various objects&#10;&#10;Description automatically generated"/>
                    <pic:cNvPicPr/>
                  </pic:nvPicPr>
                  <pic:blipFill>
                    <a:blip r:embed="rId7"/>
                    <a:stretch>
                      <a:fillRect/>
                    </a:stretch>
                  </pic:blipFill>
                  <pic:spPr>
                    <a:xfrm>
                      <a:off x="0" y="0"/>
                      <a:ext cx="4542892" cy="2438545"/>
                    </a:xfrm>
                    <a:prstGeom prst="rect">
                      <a:avLst/>
                    </a:prstGeom>
                  </pic:spPr>
                </pic:pic>
              </a:graphicData>
            </a:graphic>
          </wp:inline>
        </w:drawing>
      </w:r>
    </w:p>
    <w:p w14:paraId="5F64965F" w14:textId="2EDD86BD" w:rsidR="008C6E0F" w:rsidRPr="00676A07" w:rsidRDefault="00676A07" w:rsidP="008C6E0F">
      <w:pPr>
        <w:rPr>
          <w:sz w:val="16"/>
          <w:szCs w:val="16"/>
          <w:lang w:val="en-US"/>
        </w:rPr>
      </w:pPr>
      <w:r>
        <w:rPr>
          <w:sz w:val="16"/>
          <w:szCs w:val="16"/>
          <w:lang w:val="en-US"/>
        </w:rPr>
        <w:t>Figure 2: A collection of common household objects displayed on a pink background. Image via itsnicethat.com</w:t>
      </w:r>
    </w:p>
    <w:p w14:paraId="4E28F243" w14:textId="2519FA1E" w:rsidR="00AE3282" w:rsidRPr="00013F4E" w:rsidRDefault="005D28D3" w:rsidP="00AE3282">
      <w:pPr>
        <w:pStyle w:val="ListParagraph"/>
        <w:numPr>
          <w:ilvl w:val="0"/>
          <w:numId w:val="2"/>
        </w:numPr>
        <w:rPr>
          <w:b/>
          <w:bCs/>
          <w:lang w:val="en-US"/>
        </w:rPr>
      </w:pPr>
      <w:r w:rsidRPr="0098505D">
        <w:rPr>
          <w:b/>
          <w:bCs/>
          <w:lang w:val="en-US"/>
        </w:rPr>
        <w:t xml:space="preserve">Anthropomorphism: </w:t>
      </w:r>
      <w:r w:rsidRPr="0098505D">
        <w:rPr>
          <w:lang w:val="en-US"/>
        </w:rPr>
        <w:t xml:space="preserve">The attributing of human characteristics to a non-human entity. As applied to material culture studies, </w:t>
      </w:r>
      <w:r>
        <w:rPr>
          <w:lang w:val="en-US"/>
        </w:rPr>
        <w:t>an anthropo</w:t>
      </w:r>
      <w:r w:rsidR="007B1362">
        <w:rPr>
          <w:lang w:val="en-US"/>
        </w:rPr>
        <w:t>centric</w:t>
      </w:r>
      <w:r>
        <w:rPr>
          <w:lang w:val="en-US"/>
        </w:rPr>
        <w:t xml:space="preserve"> approach is one that considers objects secondary to that of people. This approach views objects only as creations of and belongings of people, and that the meaning of an object can only be ascribed by humans, believing that objects do not possess meaning or agency independently.</w:t>
      </w:r>
      <w:r w:rsidR="00A80917">
        <w:rPr>
          <w:lang w:val="en-US"/>
        </w:rPr>
        <w:t xml:space="preserve"> </w:t>
      </w:r>
      <w:r w:rsidR="007B1362">
        <w:rPr>
          <w:lang w:val="en-US"/>
        </w:rPr>
        <w:t>In many contemporary discussions around materiality, anthropocentric views and philosophies are increasingly being challenged by academics such as Latour (1999) and Joyce (2015).</w:t>
      </w:r>
    </w:p>
    <w:p w14:paraId="55EE03D1" w14:textId="77777777" w:rsidR="00013F4E" w:rsidRPr="00013F4E" w:rsidRDefault="00013F4E" w:rsidP="00013F4E">
      <w:pPr>
        <w:rPr>
          <w:b/>
          <w:bCs/>
          <w:lang w:val="en-US"/>
        </w:rPr>
      </w:pPr>
    </w:p>
    <w:p w14:paraId="4ED93305" w14:textId="019E5180" w:rsidR="00013F4E" w:rsidRPr="00F218D9" w:rsidRDefault="005D28D3" w:rsidP="00F218D9">
      <w:pPr>
        <w:pStyle w:val="ListParagraph"/>
        <w:numPr>
          <w:ilvl w:val="0"/>
          <w:numId w:val="2"/>
        </w:numPr>
        <w:rPr>
          <w:b/>
          <w:bCs/>
          <w:lang w:val="en-US"/>
        </w:rPr>
      </w:pPr>
      <w:r>
        <w:rPr>
          <w:b/>
          <w:bCs/>
          <w:lang w:val="en-US"/>
        </w:rPr>
        <w:t>Agency</w:t>
      </w:r>
      <w:r w:rsidR="00013F4E">
        <w:rPr>
          <w:b/>
          <w:bCs/>
          <w:lang w:val="en-US"/>
        </w:rPr>
        <w:t xml:space="preserve">: </w:t>
      </w:r>
      <w:r w:rsidR="00013F4E">
        <w:rPr>
          <w:lang w:val="en-US"/>
        </w:rPr>
        <w:t>The ability to act or exist in a way that influences another object or being</w:t>
      </w:r>
      <w:r w:rsidR="003A16DA">
        <w:rPr>
          <w:lang w:val="en-US"/>
        </w:rPr>
        <w:t xml:space="preserve">. Some scholars conflate agency with intentionality and assume it is only a product of humans capable of rational thinking. Many others, however, </w:t>
      </w:r>
      <w:r w:rsidR="00F32E0A">
        <w:rPr>
          <w:lang w:val="en-US"/>
        </w:rPr>
        <w:t xml:space="preserve">believe that objects can display agency in various ways. For example, Gell (1998) uses art as an example of objects that influence individuals, making a case for their having agency and being what he calls ‘social agents.’ While Gell and others argues that objects can have agency independently, others propose that while objects can have agency, they must be ascribed agency by an individual in order to do </w:t>
      </w:r>
      <w:proofErr w:type="gramStart"/>
      <w:r w:rsidR="00F32E0A">
        <w:rPr>
          <w:lang w:val="en-US"/>
        </w:rPr>
        <w:t>so, or</w:t>
      </w:r>
      <w:proofErr w:type="gramEnd"/>
      <w:r w:rsidR="00F32E0A">
        <w:rPr>
          <w:lang w:val="en-US"/>
        </w:rPr>
        <w:t xml:space="preserve"> be used as an extension of that</w:t>
      </w:r>
      <w:r w:rsidR="00F32E0A" w:rsidRPr="00F218D9">
        <w:rPr>
          <w:lang w:val="en-US"/>
        </w:rPr>
        <w:t xml:space="preserve"> person necessary for them to influence their surroundings in the desired way. This conditional view of object agency is known as distributed personhood.</w:t>
      </w:r>
    </w:p>
    <w:p w14:paraId="4AC00513" w14:textId="77777777" w:rsidR="00F218D9" w:rsidRPr="00F218D9" w:rsidRDefault="00F218D9" w:rsidP="00F218D9">
      <w:pPr>
        <w:pStyle w:val="ListParagraph"/>
        <w:rPr>
          <w:b/>
          <w:bCs/>
          <w:lang w:val="en-US"/>
        </w:rPr>
      </w:pPr>
    </w:p>
    <w:p w14:paraId="00270A3C" w14:textId="3810275E" w:rsidR="00F218D9" w:rsidRDefault="00F218D9" w:rsidP="003E39E4">
      <w:pPr>
        <w:pStyle w:val="ListParagraph"/>
        <w:numPr>
          <w:ilvl w:val="0"/>
          <w:numId w:val="2"/>
        </w:numPr>
        <w:rPr>
          <w:lang w:val="en-US"/>
        </w:rPr>
      </w:pPr>
      <w:r>
        <w:rPr>
          <w:b/>
          <w:bCs/>
          <w:lang w:val="en-US"/>
        </w:rPr>
        <w:t xml:space="preserve">Material vitalism: </w:t>
      </w:r>
      <w:r>
        <w:rPr>
          <w:lang w:val="en-US"/>
        </w:rPr>
        <w:t>Also known as vibrancy of materials</w:t>
      </w:r>
      <w:r w:rsidR="00D9155A">
        <w:rPr>
          <w:lang w:val="en-US"/>
        </w:rPr>
        <w:t xml:space="preserve"> (referring to a state of being lively</w:t>
      </w:r>
      <w:r>
        <w:rPr>
          <w:lang w:val="en-US"/>
        </w:rPr>
        <w:t>,</w:t>
      </w:r>
      <w:r w:rsidR="00D9155A">
        <w:rPr>
          <w:lang w:val="en-US"/>
        </w:rPr>
        <w:t>)</w:t>
      </w:r>
      <w:r>
        <w:rPr>
          <w:lang w:val="en-US"/>
        </w:rPr>
        <w:t xml:space="preserve"> </w:t>
      </w:r>
      <w:r w:rsidR="003E39E4">
        <w:rPr>
          <w:lang w:val="en-US"/>
        </w:rPr>
        <w:t xml:space="preserve">pursues the inhuman agent, arguing that objects have inherent vitality and agency by nature of their existence. The notion of ‘thing power’ (Bennet, 2010) is intrinsically linked to materiality and the capacities of various materials. Bennet in particular focuses on naturally occurring materials such as oceans and many parts of the human body (as it is composed of countless </w:t>
      </w:r>
      <w:r w:rsidR="00D9155A">
        <w:rPr>
          <w:lang w:val="en-US"/>
        </w:rPr>
        <w:t>individual material parts)</w:t>
      </w:r>
      <w:r w:rsidR="003E39E4">
        <w:rPr>
          <w:lang w:val="en-US"/>
        </w:rPr>
        <w:t xml:space="preserve"> to make the case that objects can have ‘thing power’ that is independent of human interaction, although they admit that it is </w:t>
      </w:r>
      <w:r w:rsidR="003E39E4" w:rsidRPr="003E39E4">
        <w:rPr>
          <w:lang w:val="en-US"/>
        </w:rPr>
        <w:t>“more challenging to conceive of</w:t>
      </w:r>
      <w:r w:rsidR="003E39E4">
        <w:rPr>
          <w:lang w:val="en-US"/>
        </w:rPr>
        <w:t xml:space="preserve"> </w:t>
      </w:r>
      <w:r w:rsidR="003E39E4" w:rsidRPr="003E39E4">
        <w:rPr>
          <w:lang w:val="en-US"/>
        </w:rPr>
        <w:t>these materials as lively &amp; self-organising rather than as passive or</w:t>
      </w:r>
      <w:r w:rsidR="003E39E4">
        <w:rPr>
          <w:lang w:val="en-US"/>
        </w:rPr>
        <w:t xml:space="preserve"> </w:t>
      </w:r>
      <w:r w:rsidR="003E39E4" w:rsidRPr="003E39E4">
        <w:rPr>
          <w:lang w:val="en-US"/>
        </w:rPr>
        <w:t>mechanical” (2010, 10</w:t>
      </w:r>
      <w:r w:rsidR="003E39E4">
        <w:rPr>
          <w:lang w:val="en-US"/>
        </w:rPr>
        <w:t>)</w:t>
      </w:r>
    </w:p>
    <w:p w14:paraId="79F59B5C" w14:textId="3B364427" w:rsidR="00D9155A" w:rsidRDefault="00D9155A" w:rsidP="00D9155A">
      <w:pPr>
        <w:rPr>
          <w:lang w:val="en-US"/>
        </w:rPr>
      </w:pPr>
      <w:r>
        <w:rPr>
          <w:noProof/>
        </w:rPr>
        <w:lastRenderedPageBreak/>
        <w:drawing>
          <wp:inline distT="0" distB="0" distL="0" distR="0" wp14:anchorId="0B026560" wp14:editId="117A1161">
            <wp:extent cx="2583007" cy="3321050"/>
            <wp:effectExtent l="0" t="0" r="8255" b="0"/>
            <wp:docPr id="75569045" name="Picture 7" descr="Vibrant Objects | Stable Diffusion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ibrant Objects | Stable Diffusion Onlin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96690" cy="3338643"/>
                    </a:xfrm>
                    <a:prstGeom prst="rect">
                      <a:avLst/>
                    </a:prstGeom>
                    <a:noFill/>
                    <a:ln>
                      <a:noFill/>
                    </a:ln>
                  </pic:spPr>
                </pic:pic>
              </a:graphicData>
            </a:graphic>
          </wp:inline>
        </w:drawing>
      </w:r>
    </w:p>
    <w:p w14:paraId="74C0609B" w14:textId="3E7CBDAC" w:rsidR="00F218D9" w:rsidRPr="00D9155A" w:rsidRDefault="00D9155A" w:rsidP="00D9155A">
      <w:pPr>
        <w:rPr>
          <w:sz w:val="16"/>
          <w:szCs w:val="16"/>
          <w:lang w:val="en-US"/>
        </w:rPr>
      </w:pPr>
      <w:r>
        <w:rPr>
          <w:sz w:val="16"/>
          <w:szCs w:val="16"/>
          <w:lang w:val="en-US"/>
        </w:rPr>
        <w:t xml:space="preserve">Figure 3: A collection of brightly </w:t>
      </w:r>
      <w:proofErr w:type="spellStart"/>
      <w:r>
        <w:rPr>
          <w:sz w:val="16"/>
          <w:szCs w:val="16"/>
          <w:lang w:val="en-US"/>
        </w:rPr>
        <w:t>coloured</w:t>
      </w:r>
      <w:proofErr w:type="spellEnd"/>
      <w:r>
        <w:rPr>
          <w:sz w:val="16"/>
          <w:szCs w:val="16"/>
          <w:lang w:val="en-US"/>
        </w:rPr>
        <w:t xml:space="preserve"> ceramic objects. Image via stablediffusionweb.com</w:t>
      </w:r>
    </w:p>
    <w:p w14:paraId="11479FFF" w14:textId="3DBFBF9F" w:rsidR="00AE1F1C" w:rsidRPr="00F218D9" w:rsidRDefault="00AE1F1C" w:rsidP="00F218D9">
      <w:pPr>
        <w:pStyle w:val="ListParagraph"/>
        <w:numPr>
          <w:ilvl w:val="0"/>
          <w:numId w:val="2"/>
        </w:numPr>
        <w:rPr>
          <w:b/>
          <w:bCs/>
          <w:lang w:val="en-US"/>
        </w:rPr>
      </w:pPr>
      <w:r w:rsidRPr="00F218D9">
        <w:rPr>
          <w:b/>
          <w:bCs/>
          <w:lang w:val="en-US"/>
        </w:rPr>
        <w:t>Fragmentation</w:t>
      </w:r>
      <w:r w:rsidR="00AE3DFB" w:rsidRPr="00F218D9">
        <w:rPr>
          <w:b/>
          <w:bCs/>
          <w:lang w:val="en-US"/>
        </w:rPr>
        <w:t xml:space="preserve">: </w:t>
      </w:r>
      <w:r w:rsidR="00AE3DFB" w:rsidRPr="00F218D9">
        <w:rPr>
          <w:lang w:val="en-US"/>
        </w:rPr>
        <w:t xml:space="preserve">A theory developed by Chapman to explain phenomena he observed in various archaeological sites regarding the high number of broken or separated parts of objects found there which seemed unusually high and unlikely to have all been broken in natural circumstances. Chapman’s theory relies heavily on the notion of relationships between people and objects and suggests various reasons for the fragmentation of objects, such as their being buried due to being broken accidentally, ritual ‘killing’ of an object deemed too important to it’s owner to be separated from, </w:t>
      </w:r>
      <w:r w:rsidR="00D330BE" w:rsidRPr="00F218D9">
        <w:rPr>
          <w:lang w:val="en-US"/>
        </w:rPr>
        <w:t>exchanges</w:t>
      </w:r>
      <w:r w:rsidR="00737F4A" w:rsidRPr="00F218D9">
        <w:rPr>
          <w:lang w:val="en-US"/>
        </w:rPr>
        <w:t xml:space="preserve">, </w:t>
      </w:r>
      <w:r w:rsidR="00AE3DFB" w:rsidRPr="00F218D9">
        <w:rPr>
          <w:lang w:val="en-US"/>
        </w:rPr>
        <w:t xml:space="preserve">and </w:t>
      </w:r>
      <w:r w:rsidR="00737F4A" w:rsidRPr="00F218D9">
        <w:rPr>
          <w:lang w:val="en-US"/>
        </w:rPr>
        <w:t>fragmentation for</w:t>
      </w:r>
      <w:r w:rsidR="00AE3DFB" w:rsidRPr="00F218D9">
        <w:rPr>
          <w:lang w:val="en-US"/>
        </w:rPr>
        <w:t xml:space="preserve"> reasons of enchainment,</w:t>
      </w:r>
      <w:r w:rsidR="00737F4A" w:rsidRPr="00F218D9">
        <w:rPr>
          <w:lang w:val="en-US"/>
        </w:rPr>
        <w:t xml:space="preserve"> (Chapman, 2000)</w:t>
      </w:r>
      <w:r w:rsidR="00AE3DFB" w:rsidRPr="00F218D9">
        <w:rPr>
          <w:lang w:val="en-US"/>
        </w:rPr>
        <w:t xml:space="preserve"> all of which rely on </w:t>
      </w:r>
      <w:r w:rsidR="00737F4A" w:rsidRPr="00F218D9">
        <w:rPr>
          <w:lang w:val="en-US"/>
        </w:rPr>
        <w:t>an individual’s relationship and care for said object</w:t>
      </w:r>
      <w:r w:rsidR="00D330BE" w:rsidRPr="00F218D9">
        <w:rPr>
          <w:lang w:val="en-US"/>
        </w:rPr>
        <w:t>, firmly connecting people and the material things they crafted and curated.</w:t>
      </w:r>
    </w:p>
    <w:p w14:paraId="0774E554" w14:textId="7A267CDB" w:rsidR="008A4263" w:rsidRDefault="008A4263" w:rsidP="008A4263">
      <w:pPr>
        <w:rPr>
          <w:b/>
          <w:bCs/>
          <w:lang w:val="en-US"/>
        </w:rPr>
      </w:pPr>
      <w:r>
        <w:rPr>
          <w:noProof/>
        </w:rPr>
        <w:drawing>
          <wp:inline distT="0" distB="0" distL="0" distR="0" wp14:anchorId="065DC2EC" wp14:editId="4CD64F5E">
            <wp:extent cx="4286250" cy="2854018"/>
            <wp:effectExtent l="0" t="0" r="0" b="3810"/>
            <wp:docPr id="1562363362" name="Picture 2" descr="Ravi Phase Pottery Fragments | Harapp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vi Phase Pottery Fragments | Harapp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00873" cy="2863755"/>
                    </a:xfrm>
                    <a:prstGeom prst="rect">
                      <a:avLst/>
                    </a:prstGeom>
                    <a:noFill/>
                    <a:ln>
                      <a:noFill/>
                    </a:ln>
                  </pic:spPr>
                </pic:pic>
              </a:graphicData>
            </a:graphic>
          </wp:inline>
        </w:drawing>
      </w:r>
    </w:p>
    <w:p w14:paraId="77376560" w14:textId="7A7889C6" w:rsidR="00F218D9" w:rsidRDefault="008A4263" w:rsidP="00F218D9">
      <w:pPr>
        <w:rPr>
          <w:sz w:val="16"/>
          <w:szCs w:val="16"/>
          <w:lang w:val="en-US"/>
        </w:rPr>
      </w:pPr>
      <w:r w:rsidRPr="008A4263">
        <w:rPr>
          <w:sz w:val="16"/>
          <w:szCs w:val="16"/>
          <w:lang w:val="en-US"/>
        </w:rPr>
        <w:t xml:space="preserve">Figure </w:t>
      </w:r>
      <w:r w:rsidR="003666EB">
        <w:rPr>
          <w:sz w:val="16"/>
          <w:szCs w:val="16"/>
          <w:lang w:val="en-US"/>
        </w:rPr>
        <w:t>4</w:t>
      </w:r>
      <w:r>
        <w:rPr>
          <w:sz w:val="16"/>
          <w:szCs w:val="16"/>
          <w:lang w:val="en-US"/>
        </w:rPr>
        <w:t>: Ravi Phase pottery fragments. Image via harappa.com</w:t>
      </w:r>
    </w:p>
    <w:p w14:paraId="2EE6B123" w14:textId="42D9DDB7" w:rsidR="00AE1F1C" w:rsidRPr="00F218D9" w:rsidRDefault="00AE1F1C" w:rsidP="00F218D9">
      <w:pPr>
        <w:pStyle w:val="ListParagraph"/>
        <w:numPr>
          <w:ilvl w:val="0"/>
          <w:numId w:val="2"/>
        </w:numPr>
        <w:rPr>
          <w:sz w:val="16"/>
          <w:szCs w:val="16"/>
          <w:lang w:val="en-US"/>
        </w:rPr>
      </w:pPr>
      <w:r w:rsidRPr="00F218D9">
        <w:rPr>
          <w:b/>
          <w:bCs/>
          <w:lang w:val="en-US"/>
        </w:rPr>
        <w:lastRenderedPageBreak/>
        <w:t>Enchainment</w:t>
      </w:r>
      <w:r w:rsidR="00D330BE" w:rsidRPr="00F218D9">
        <w:rPr>
          <w:b/>
          <w:bCs/>
          <w:lang w:val="en-US"/>
        </w:rPr>
        <w:t xml:space="preserve">: </w:t>
      </w:r>
      <w:r w:rsidR="00D330BE" w:rsidRPr="00F218D9">
        <w:rPr>
          <w:lang w:val="en-US"/>
        </w:rPr>
        <w:t xml:space="preserve">Enchainment is one of Chapman’s suggested reasons for the fragmentation of objects. Enchainment </w:t>
      </w:r>
      <w:proofErr w:type="gramStart"/>
      <w:r w:rsidR="00D330BE" w:rsidRPr="00F218D9">
        <w:rPr>
          <w:lang w:val="en-US"/>
        </w:rPr>
        <w:t>in particular is</w:t>
      </w:r>
      <w:proofErr w:type="gramEnd"/>
      <w:r w:rsidR="00D330BE" w:rsidRPr="00F218D9">
        <w:rPr>
          <w:lang w:val="en-US"/>
        </w:rPr>
        <w:t xml:space="preserve"> heavily related to the wider culture an object may be present in and interpersonal relationships between people. Fragmentation for enchainment purposes encompasses when an object may be purposefully broken or a collection regarded as ‘whole’ has a part or parts separated from it. This can be for gifting or exchanging, to symbolize a relationship between multiple parties. An object accidentally or naturally broken may also relate to enchainment if an individual chooses to hold onto what is left of it for many of the same reasons.</w:t>
      </w:r>
    </w:p>
    <w:p w14:paraId="0F2B246B" w14:textId="4C0E7CFC" w:rsidR="00D330BE" w:rsidRDefault="00CF5DE8" w:rsidP="00D330BE">
      <w:pPr>
        <w:rPr>
          <w:b/>
          <w:bCs/>
          <w:lang w:val="en-US"/>
        </w:rPr>
      </w:pPr>
      <w:r>
        <w:rPr>
          <w:noProof/>
        </w:rPr>
        <w:drawing>
          <wp:inline distT="0" distB="0" distL="0" distR="0" wp14:anchorId="064E8C93" wp14:editId="6AB088B9">
            <wp:extent cx="3111500" cy="2487545"/>
            <wp:effectExtent l="0" t="0" r="0" b="8255"/>
            <wp:docPr id="766339193" name="Picture 3" descr="Two Halves of Heart Necklace - Etsy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wo Halves of Heart Necklace - Etsy U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26554" cy="2499580"/>
                    </a:xfrm>
                    <a:prstGeom prst="rect">
                      <a:avLst/>
                    </a:prstGeom>
                    <a:noFill/>
                    <a:ln>
                      <a:noFill/>
                    </a:ln>
                  </pic:spPr>
                </pic:pic>
              </a:graphicData>
            </a:graphic>
          </wp:inline>
        </w:drawing>
      </w:r>
    </w:p>
    <w:p w14:paraId="2157CA3E" w14:textId="05A6088F" w:rsidR="00CF5DE8" w:rsidRPr="00CF5DE8" w:rsidRDefault="00CF5DE8" w:rsidP="00D330BE">
      <w:pPr>
        <w:rPr>
          <w:sz w:val="16"/>
          <w:szCs w:val="16"/>
          <w:lang w:val="en-US"/>
        </w:rPr>
      </w:pPr>
      <w:r>
        <w:rPr>
          <w:sz w:val="16"/>
          <w:szCs w:val="16"/>
          <w:lang w:val="en-US"/>
        </w:rPr>
        <w:t xml:space="preserve">Figure </w:t>
      </w:r>
      <w:r w:rsidR="003666EB">
        <w:rPr>
          <w:sz w:val="16"/>
          <w:szCs w:val="16"/>
          <w:lang w:val="en-US"/>
        </w:rPr>
        <w:t>5:</w:t>
      </w:r>
      <w:r>
        <w:rPr>
          <w:sz w:val="16"/>
          <w:szCs w:val="16"/>
          <w:lang w:val="en-US"/>
        </w:rPr>
        <w:t xml:space="preserve"> Two necklaces, each with half a heart pendant, both of which fit together to create a whole heart. Image via etsy.com</w:t>
      </w:r>
    </w:p>
    <w:p w14:paraId="6B179C0E" w14:textId="51CDCB69" w:rsidR="00AE1F1C" w:rsidRDefault="00AE1F1C" w:rsidP="00112D9B">
      <w:pPr>
        <w:pStyle w:val="ListParagraph"/>
        <w:rPr>
          <w:b/>
          <w:bCs/>
          <w:lang w:val="en-US"/>
        </w:rPr>
      </w:pPr>
    </w:p>
    <w:p w14:paraId="4C8F7540" w14:textId="423F0ADE" w:rsidR="007866A4" w:rsidRPr="00D9155A" w:rsidRDefault="007866A4" w:rsidP="009715D9">
      <w:pPr>
        <w:pStyle w:val="ListParagraph"/>
        <w:numPr>
          <w:ilvl w:val="0"/>
          <w:numId w:val="2"/>
        </w:numPr>
        <w:rPr>
          <w:b/>
          <w:bCs/>
          <w:lang w:val="en-US"/>
        </w:rPr>
      </w:pPr>
      <w:r>
        <w:rPr>
          <w:b/>
          <w:bCs/>
          <w:lang w:val="en-US"/>
        </w:rPr>
        <w:t>Relation</w:t>
      </w:r>
      <w:r w:rsidR="005802D2">
        <w:rPr>
          <w:b/>
          <w:bCs/>
          <w:lang w:val="en-US"/>
        </w:rPr>
        <w:t>al</w:t>
      </w:r>
      <w:r>
        <w:rPr>
          <w:b/>
          <w:bCs/>
          <w:lang w:val="en-US"/>
        </w:rPr>
        <w:t>ism</w:t>
      </w:r>
      <w:r w:rsidR="00A24338">
        <w:rPr>
          <w:b/>
          <w:bCs/>
          <w:lang w:val="en-US"/>
        </w:rPr>
        <w:t xml:space="preserve">: </w:t>
      </w:r>
      <w:r w:rsidR="00A24338">
        <w:rPr>
          <w:lang w:val="en-US"/>
        </w:rPr>
        <w:t>A philosophical theory</w:t>
      </w:r>
      <w:r w:rsidR="00240C12">
        <w:rPr>
          <w:lang w:val="en-US"/>
        </w:rPr>
        <w:t xml:space="preserve"> put forward by Joseph Kaipayil</w:t>
      </w:r>
      <w:r w:rsidR="00A24338">
        <w:rPr>
          <w:lang w:val="en-US"/>
        </w:rPr>
        <w:t xml:space="preserve"> that interprets the physicality and meanings of objects and people in terms of their relationships to </w:t>
      </w:r>
      <w:r w:rsidR="00240C12">
        <w:rPr>
          <w:lang w:val="en-US"/>
        </w:rPr>
        <w:t>each other. Relationism does not define the boundaries of objects or beings by their differences in materials or physical boundaries, but where they differ from each other is in the mutual relations between subjects</w:t>
      </w:r>
      <w:r w:rsidR="00AB688C">
        <w:rPr>
          <w:lang w:val="en-US"/>
        </w:rPr>
        <w:t xml:space="preserve"> and subjects,</w:t>
      </w:r>
      <w:r w:rsidR="00240C12">
        <w:rPr>
          <w:lang w:val="en-US"/>
        </w:rPr>
        <w:t xml:space="preserve"> </w:t>
      </w:r>
      <w:r w:rsidR="00AB688C">
        <w:rPr>
          <w:lang w:val="en-US"/>
        </w:rPr>
        <w:t xml:space="preserve">subjects </w:t>
      </w:r>
      <w:r w:rsidR="00240C12">
        <w:rPr>
          <w:lang w:val="en-US"/>
        </w:rPr>
        <w:t>and objects</w:t>
      </w:r>
      <w:r w:rsidR="00AB688C">
        <w:rPr>
          <w:lang w:val="en-US"/>
        </w:rPr>
        <w:t xml:space="preserve"> &amp; objects and objects.</w:t>
      </w:r>
      <w:r w:rsidR="005802D2">
        <w:rPr>
          <w:lang w:val="en-US"/>
        </w:rPr>
        <w:t xml:space="preserve"> While not referencing materiality or new materialisms, </w:t>
      </w:r>
      <w:proofErr w:type="spellStart"/>
      <w:r w:rsidR="005802D2">
        <w:rPr>
          <w:lang w:val="en-US"/>
        </w:rPr>
        <w:t>Kaipayil’s</w:t>
      </w:r>
      <w:proofErr w:type="spellEnd"/>
      <w:r w:rsidR="005802D2">
        <w:rPr>
          <w:lang w:val="en-US"/>
        </w:rPr>
        <w:t xml:space="preserve"> theories relate to many key concepts within these topics, and many theories within new materialisms follow his line of thought regarding the boundaries between things and the importance of considering their relationships within their respective material and cultural spheres.</w:t>
      </w:r>
    </w:p>
    <w:p w14:paraId="11D45368" w14:textId="6D12384E" w:rsidR="00D9155A" w:rsidRDefault="005A7E84" w:rsidP="00D9155A">
      <w:pPr>
        <w:rPr>
          <w:b/>
          <w:bCs/>
          <w:lang w:val="en-US"/>
        </w:rPr>
      </w:pPr>
      <w:r>
        <w:rPr>
          <w:noProof/>
        </w:rPr>
        <w:lastRenderedPageBreak/>
        <w:drawing>
          <wp:inline distT="0" distB="0" distL="0" distR="0" wp14:anchorId="3A4DA7E3" wp14:editId="449E9267">
            <wp:extent cx="4258101" cy="2839049"/>
            <wp:effectExtent l="0" t="0" r="0" b="0"/>
            <wp:docPr id="558445639" name="Picture 11" descr="The Relationship Route - Thrive 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The Relationship Route - Thrive Glob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78416" cy="2852594"/>
                    </a:xfrm>
                    <a:prstGeom prst="rect">
                      <a:avLst/>
                    </a:prstGeom>
                    <a:noFill/>
                    <a:ln>
                      <a:noFill/>
                    </a:ln>
                  </pic:spPr>
                </pic:pic>
              </a:graphicData>
            </a:graphic>
          </wp:inline>
        </w:drawing>
      </w:r>
    </w:p>
    <w:p w14:paraId="2DFE41EB" w14:textId="48BEBD10" w:rsidR="005A7E84" w:rsidRPr="005A7E84" w:rsidRDefault="005A7E84" w:rsidP="00D9155A">
      <w:pPr>
        <w:rPr>
          <w:sz w:val="16"/>
          <w:szCs w:val="16"/>
          <w:lang w:val="en-US"/>
        </w:rPr>
      </w:pPr>
      <w:r>
        <w:rPr>
          <w:sz w:val="16"/>
          <w:szCs w:val="16"/>
          <w:lang w:val="en-US"/>
        </w:rPr>
        <w:t xml:space="preserve">Figure 6: Two humanoid wood cutouts positioned with overlapping hands, as if </w:t>
      </w:r>
      <w:proofErr w:type="gramStart"/>
      <w:r>
        <w:rPr>
          <w:sz w:val="16"/>
          <w:szCs w:val="16"/>
          <w:lang w:val="en-US"/>
        </w:rPr>
        <w:t>high-fiving</w:t>
      </w:r>
      <w:proofErr w:type="gramEnd"/>
      <w:r>
        <w:rPr>
          <w:sz w:val="16"/>
          <w:szCs w:val="16"/>
          <w:lang w:val="en-US"/>
        </w:rPr>
        <w:t>. Image via thriveglobal.com</w:t>
      </w:r>
    </w:p>
    <w:p w14:paraId="165F3260" w14:textId="4DEF8FC9" w:rsidR="007866A4" w:rsidRPr="00112D9B" w:rsidRDefault="007866A4" w:rsidP="009715D9">
      <w:pPr>
        <w:pStyle w:val="ListParagraph"/>
        <w:numPr>
          <w:ilvl w:val="0"/>
          <w:numId w:val="2"/>
        </w:numPr>
        <w:rPr>
          <w:b/>
          <w:bCs/>
          <w:lang w:val="en-US"/>
        </w:rPr>
      </w:pPr>
      <w:r>
        <w:rPr>
          <w:b/>
          <w:bCs/>
          <w:lang w:val="en-US"/>
        </w:rPr>
        <w:t>Sensory Archaeology/Anthropology</w:t>
      </w:r>
      <w:r w:rsidR="004C06D1">
        <w:rPr>
          <w:b/>
          <w:bCs/>
          <w:lang w:val="en-US"/>
        </w:rPr>
        <w:t xml:space="preserve">: </w:t>
      </w:r>
      <w:r w:rsidR="004C06D1">
        <w:rPr>
          <w:lang w:val="en-US"/>
        </w:rPr>
        <w:t>Sensory archaeology and anthropology emerges in response to its absence in material culture studies and the perceived over-emphasis on sight in Western ontologies. It draws on Heidegger’s concept of embodiment, which is to utilize all available senses to explore one’s place and time in the world</w:t>
      </w:r>
      <w:r w:rsidR="00BE1656">
        <w:rPr>
          <w:lang w:val="en-US"/>
        </w:rPr>
        <w:t xml:space="preserve"> through examining our lived experiences. Heidegger suggests that our ‘being in the world’ is mediated through the body, which sensory archaeology and anthropology build on as they are both disciplines that lend themselves well to using various senses to explore their subject matter. Using senses beyond sight allows for more experiential approaches and can yield more information and understanding of the past and present cultures studied under these disciplines. For example, making music with unfamiliar instruments, holding a figurine and playing games can give archaeologists and anthropologists a much greater level of understanding of the material they are studying than relying on sight alone can.</w:t>
      </w:r>
    </w:p>
    <w:p w14:paraId="3AC059B1" w14:textId="3FBA11E4" w:rsidR="00112D9B" w:rsidRDefault="00112D9B" w:rsidP="00112D9B">
      <w:pPr>
        <w:ind w:left="360"/>
        <w:rPr>
          <w:b/>
          <w:bCs/>
          <w:lang w:val="en-US"/>
        </w:rPr>
      </w:pPr>
      <w:r>
        <w:rPr>
          <w:noProof/>
        </w:rPr>
        <w:drawing>
          <wp:inline distT="0" distB="0" distL="0" distR="0" wp14:anchorId="25DF525E" wp14:editId="053B859B">
            <wp:extent cx="4560824" cy="2565400"/>
            <wp:effectExtent l="0" t="0" r="0" b="6350"/>
            <wp:docPr id="473450425" name="Picture 6" descr="Handling or moving of artefacts | Western Australian Mus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andling or moving of artefacts | Western Australian Museu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1601" cy="2571462"/>
                    </a:xfrm>
                    <a:prstGeom prst="rect">
                      <a:avLst/>
                    </a:prstGeom>
                    <a:noFill/>
                    <a:ln>
                      <a:noFill/>
                    </a:ln>
                  </pic:spPr>
                </pic:pic>
              </a:graphicData>
            </a:graphic>
          </wp:inline>
        </w:drawing>
      </w:r>
    </w:p>
    <w:p w14:paraId="4CF9F31B" w14:textId="14BC3159" w:rsidR="00112D9B" w:rsidRPr="00112D9B" w:rsidRDefault="00112D9B" w:rsidP="00112D9B">
      <w:pPr>
        <w:ind w:left="360"/>
        <w:rPr>
          <w:sz w:val="16"/>
          <w:szCs w:val="16"/>
          <w:lang w:val="en-US"/>
        </w:rPr>
      </w:pPr>
      <w:r>
        <w:rPr>
          <w:sz w:val="16"/>
          <w:szCs w:val="16"/>
          <w:lang w:val="en-US"/>
        </w:rPr>
        <w:t>Figure</w:t>
      </w:r>
      <w:r w:rsidR="00DC0926">
        <w:rPr>
          <w:sz w:val="16"/>
          <w:szCs w:val="16"/>
          <w:lang w:val="en-US"/>
        </w:rPr>
        <w:t xml:space="preserve"> 7</w:t>
      </w:r>
      <w:r>
        <w:rPr>
          <w:sz w:val="16"/>
          <w:szCs w:val="16"/>
          <w:lang w:val="en-US"/>
        </w:rPr>
        <w:t xml:space="preserve">: A woven grass basket with an object ID tag, being held by gloved hands. Image via </w:t>
      </w:r>
      <w:r w:rsidRPr="00112D9B">
        <w:rPr>
          <w:sz w:val="16"/>
          <w:szCs w:val="16"/>
          <w:lang w:val="en-US"/>
        </w:rPr>
        <w:t>museum.wa.gov.au</w:t>
      </w:r>
    </w:p>
    <w:p w14:paraId="2212F45A" w14:textId="2AEFCD70" w:rsidR="004C06D1" w:rsidRDefault="00112D9B" w:rsidP="00F218D9">
      <w:pPr>
        <w:pStyle w:val="ListParagraph"/>
        <w:numPr>
          <w:ilvl w:val="0"/>
          <w:numId w:val="2"/>
        </w:numPr>
      </w:pPr>
      <w:r>
        <w:rPr>
          <w:b/>
          <w:bCs/>
          <w:lang w:val="en-US"/>
        </w:rPr>
        <w:lastRenderedPageBreak/>
        <w:t>Phenomenology:</w:t>
      </w:r>
      <w:r>
        <w:rPr>
          <w:b/>
          <w:bCs/>
          <w:lang w:val="en-US"/>
        </w:rPr>
        <w:t xml:space="preserve"> </w:t>
      </w:r>
      <w:r w:rsidRPr="00112D9B">
        <w:rPr>
          <w:lang w:val="en-US"/>
        </w:rPr>
        <w:t>Phenomenology is</w:t>
      </w:r>
      <w:r w:rsidRPr="00112D9B">
        <w:t xml:space="preserve"> </w:t>
      </w:r>
      <w:r>
        <w:t>another concept closely related to</w:t>
      </w:r>
      <w:r w:rsidRPr="00112D9B">
        <w:t xml:space="preserve"> </w:t>
      </w:r>
      <w:r>
        <w:t>sensory archaeology and anthropology</w:t>
      </w:r>
      <w:r w:rsidR="00F218D9">
        <w:t>, more specifically relating to how people personally experience the world, as well as how memory can be different to and affect that experience as “</w:t>
      </w:r>
      <w:r w:rsidR="004C06D1" w:rsidRPr="004C06D1">
        <w:t>the human body provides the fundamental mediation point between thought &amp; the world</w:t>
      </w:r>
      <w:r w:rsidR="00F218D9">
        <w:t>.</w:t>
      </w:r>
      <w:r w:rsidR="004C06D1" w:rsidRPr="004C06D1">
        <w:t>” (Tilley 1994: 14)</w:t>
      </w:r>
      <w:r w:rsidR="00F218D9">
        <w:t xml:space="preserve"> Phenomenology focuses much more on the personal, acknowledging how different cultures may have vastly different ideas of the senses, such as their importance compared to other senses, and the belief in more or less than the 5 senses we see as typical in Western culture. It is chiefly informed by the interconnections between senses, the mind, the body and the material, incorporating the observer into the environment and acknowledging experiences that are more intrinsic or natural than taught.</w:t>
      </w:r>
    </w:p>
    <w:p w14:paraId="0B338284" w14:textId="77777777" w:rsidR="00F218D9" w:rsidRPr="00112D9B" w:rsidRDefault="00F218D9" w:rsidP="00F218D9"/>
    <w:p w14:paraId="1D4FBAE7" w14:textId="77777777" w:rsidR="001D71B4" w:rsidRPr="001D71B4" w:rsidRDefault="007866A4" w:rsidP="001D71B4">
      <w:pPr>
        <w:pStyle w:val="ListParagraph"/>
        <w:numPr>
          <w:ilvl w:val="0"/>
          <w:numId w:val="2"/>
        </w:numPr>
        <w:rPr>
          <w:b/>
          <w:bCs/>
          <w:lang w:val="en-US"/>
        </w:rPr>
      </w:pPr>
      <w:r>
        <w:rPr>
          <w:b/>
          <w:bCs/>
          <w:lang w:val="en-US"/>
        </w:rPr>
        <w:t>Actor Network Theory</w:t>
      </w:r>
      <w:r w:rsidR="001C43B7">
        <w:rPr>
          <w:b/>
          <w:bCs/>
          <w:lang w:val="en-US"/>
        </w:rPr>
        <w:t>:</w:t>
      </w:r>
      <w:r w:rsidR="00400D31">
        <w:rPr>
          <w:b/>
          <w:bCs/>
          <w:lang w:val="en-US"/>
        </w:rPr>
        <w:t xml:space="preserve"> </w:t>
      </w:r>
      <w:r w:rsidR="00942C20" w:rsidRPr="00942C20">
        <w:rPr>
          <w:lang w:val="en-US"/>
        </w:rPr>
        <w:t>Posited by Latour,</w:t>
      </w:r>
      <w:r w:rsidR="00942C20">
        <w:rPr>
          <w:b/>
          <w:bCs/>
          <w:lang w:val="en-US"/>
        </w:rPr>
        <w:t xml:space="preserve"> </w:t>
      </w:r>
      <w:r w:rsidR="00942C20">
        <w:rPr>
          <w:lang w:val="en-US"/>
        </w:rPr>
        <w:t>ANT c</w:t>
      </w:r>
      <w:r w:rsidR="00D55605" w:rsidRPr="00942C20">
        <w:rPr>
          <w:lang w:val="en-US"/>
        </w:rPr>
        <w:t>enters around</w:t>
      </w:r>
      <w:r w:rsidR="00910CC5" w:rsidRPr="00942C20">
        <w:rPr>
          <w:lang w:val="en-US"/>
        </w:rPr>
        <w:t xml:space="preserve"> how associations are made between actors/actants, defined as someone or something that modifies a </w:t>
      </w:r>
      <w:proofErr w:type="gramStart"/>
      <w:r w:rsidR="00910CC5" w:rsidRPr="00942C20">
        <w:rPr>
          <w:lang w:val="en-US"/>
        </w:rPr>
        <w:t>state of affairs</w:t>
      </w:r>
      <w:proofErr w:type="gramEnd"/>
      <w:r w:rsidR="00910CC5" w:rsidRPr="00942C20">
        <w:rPr>
          <w:lang w:val="en-US"/>
        </w:rPr>
        <w:t xml:space="preserve"> and has a perceptible impact. This network of connections</w:t>
      </w:r>
      <w:r w:rsidR="00D55605" w:rsidRPr="00942C20">
        <w:rPr>
          <w:lang w:val="en-US"/>
        </w:rPr>
        <w:t xml:space="preserve"> between actors leaves a recordable, followable trace. ANT </w:t>
      </w:r>
      <w:r w:rsidR="00942C20">
        <w:rPr>
          <w:lang w:val="en-US"/>
        </w:rPr>
        <w:t xml:space="preserve">suggests </w:t>
      </w:r>
      <w:r w:rsidR="00D55605" w:rsidRPr="00942C20">
        <w:rPr>
          <w:lang w:val="en-US"/>
        </w:rPr>
        <w:t>that these networks include objects as participants or ‘actors’ as the theory assumes symmetry between people and the material world as objects have noticeable affects and contribute to the impact of the network at large and how relationships within the network are made and transformed</w:t>
      </w:r>
      <w:r w:rsidR="00942C20">
        <w:rPr>
          <w:lang w:val="en-US"/>
        </w:rPr>
        <w:t xml:space="preserve">. However, neither human nor inhuman actors within the network have agency </w:t>
      </w:r>
      <w:r w:rsidR="00942C20">
        <w:rPr>
          <w:i/>
          <w:iCs/>
          <w:lang w:val="en-US"/>
        </w:rPr>
        <w:t xml:space="preserve">a priori, </w:t>
      </w:r>
      <w:r w:rsidR="00942C20">
        <w:rPr>
          <w:lang w:val="en-US"/>
        </w:rPr>
        <w:t>instead actors “</w:t>
      </w:r>
      <w:r w:rsidR="00942C20" w:rsidRPr="00942C20">
        <w:t>draw</w:t>
      </w:r>
      <w:r w:rsidR="00942C20">
        <w:t>[s]</w:t>
      </w:r>
      <w:r w:rsidR="00942C20" w:rsidRPr="00942C20">
        <w:t xml:space="preserve"> upon constellations that have a traceable effect</w:t>
      </w:r>
      <w:r w:rsidR="00942C20">
        <w:t>.</w:t>
      </w:r>
      <w:r w:rsidR="00942C20" w:rsidRPr="00942C20">
        <w:t>” (Van Oyen 2015, 65</w:t>
      </w:r>
      <w:r w:rsidR="00942C20">
        <w:t>.)</w:t>
      </w:r>
    </w:p>
    <w:p w14:paraId="5B68A326" w14:textId="77777777" w:rsidR="001D71B4" w:rsidRPr="001D71B4" w:rsidRDefault="001D71B4" w:rsidP="001D71B4">
      <w:pPr>
        <w:ind w:left="360"/>
        <w:rPr>
          <w:b/>
          <w:bCs/>
          <w:lang w:val="en-US"/>
        </w:rPr>
      </w:pPr>
      <w:r>
        <w:rPr>
          <w:noProof/>
        </w:rPr>
        <w:drawing>
          <wp:inline distT="0" distB="0" distL="0" distR="0" wp14:anchorId="58305581" wp14:editId="119FF36D">
            <wp:extent cx="3651250" cy="2434031"/>
            <wp:effectExtent l="0" t="0" r="6350" b="4445"/>
            <wp:docPr id="590537881" name="Picture 1" descr="Front view hands interacting  with a plasma b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ont view hands interacting  with a plasma bal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74420" cy="2449476"/>
                    </a:xfrm>
                    <a:prstGeom prst="rect">
                      <a:avLst/>
                    </a:prstGeom>
                    <a:noFill/>
                    <a:ln>
                      <a:noFill/>
                    </a:ln>
                  </pic:spPr>
                </pic:pic>
              </a:graphicData>
            </a:graphic>
          </wp:inline>
        </w:drawing>
      </w:r>
    </w:p>
    <w:p w14:paraId="2B569C29" w14:textId="6DC58FCC" w:rsidR="001D71B4" w:rsidRPr="001D71B4" w:rsidRDefault="001D71B4" w:rsidP="001D71B4">
      <w:pPr>
        <w:rPr>
          <w:sz w:val="16"/>
          <w:szCs w:val="16"/>
          <w:lang w:val="en-US"/>
        </w:rPr>
      </w:pPr>
      <w:r w:rsidRPr="001D71B4">
        <w:rPr>
          <w:sz w:val="16"/>
          <w:szCs w:val="16"/>
          <w:lang w:val="en-US"/>
        </w:rPr>
        <w:t xml:space="preserve">Figure </w:t>
      </w:r>
      <w:r w:rsidR="00DC0926">
        <w:rPr>
          <w:sz w:val="16"/>
          <w:szCs w:val="16"/>
          <w:lang w:val="en-US"/>
        </w:rPr>
        <w:t>8</w:t>
      </w:r>
      <w:r w:rsidRPr="001D71B4">
        <w:rPr>
          <w:sz w:val="16"/>
          <w:szCs w:val="16"/>
          <w:lang w:val="en-US"/>
        </w:rPr>
        <w:t>: A person holding their hands up to a plasma ball. Image via freepik.com</w:t>
      </w:r>
    </w:p>
    <w:p w14:paraId="0C49DEEF" w14:textId="2D2270D7" w:rsidR="00CF5DE8" w:rsidRPr="001D71B4" w:rsidRDefault="007866A4" w:rsidP="001D71B4">
      <w:pPr>
        <w:pStyle w:val="ListParagraph"/>
        <w:numPr>
          <w:ilvl w:val="0"/>
          <w:numId w:val="2"/>
        </w:numPr>
        <w:rPr>
          <w:b/>
          <w:bCs/>
          <w:lang w:val="en-US"/>
        </w:rPr>
      </w:pPr>
      <w:r w:rsidRPr="001D71B4">
        <w:rPr>
          <w:b/>
          <w:bCs/>
          <w:lang w:val="en-US"/>
        </w:rPr>
        <w:t>Material Engagement Theory</w:t>
      </w:r>
      <w:r w:rsidR="00CF5DE8" w:rsidRPr="001D71B4">
        <w:rPr>
          <w:b/>
          <w:bCs/>
          <w:lang w:val="en-US"/>
        </w:rPr>
        <w:t xml:space="preserve">: </w:t>
      </w:r>
      <w:r w:rsidR="00CF5DE8" w:rsidRPr="001D71B4">
        <w:rPr>
          <w:lang w:val="en-US"/>
        </w:rPr>
        <w:t>MET explores relationships between people and objects further, by bringing materials and materiality “</w:t>
      </w:r>
      <w:r w:rsidR="00CF5DE8" w:rsidRPr="00CF5DE8">
        <w:t>firmly into the cognitive fold” (</w:t>
      </w:r>
      <w:proofErr w:type="spellStart"/>
      <w:r w:rsidR="00CF5DE8" w:rsidRPr="00CF5DE8">
        <w:t>Malafouris</w:t>
      </w:r>
      <w:proofErr w:type="spellEnd"/>
      <w:r w:rsidR="00CF5DE8" w:rsidRPr="00CF5DE8">
        <w:t xml:space="preserve"> 2013, 2</w:t>
      </w:r>
      <w:r w:rsidR="00CF5DE8">
        <w:t>.</w:t>
      </w:r>
      <w:r w:rsidR="00CF5DE8" w:rsidRPr="00CF5DE8">
        <w:t>)</w:t>
      </w:r>
      <w:r w:rsidR="0010698B">
        <w:t xml:space="preserve"> MET, first developed by </w:t>
      </w:r>
      <w:proofErr w:type="spellStart"/>
      <w:r w:rsidR="0010698B">
        <w:t>Malafouris</w:t>
      </w:r>
      <w:proofErr w:type="spellEnd"/>
      <w:r w:rsidR="0010698B">
        <w:t xml:space="preserve">, sees the boundaries between people and objects as fluid and permeable, and acknowledges the ability of the material world to influence people’s cognitive and physical perceptions of the world and the material within it. </w:t>
      </w:r>
      <w:proofErr w:type="spellStart"/>
      <w:r w:rsidR="0010698B">
        <w:t>Malafouris</w:t>
      </w:r>
      <w:proofErr w:type="spellEnd"/>
      <w:r w:rsidR="0010698B">
        <w:t xml:space="preserve"> shows this link through the cognitive abilities needed to interact with objects, such as the dexterity and mental engagement needed for shaping clay or playing an instrument.</w:t>
      </w:r>
      <w:r w:rsidR="003920EC">
        <w:t xml:space="preserve"> In so doing, MET </w:t>
      </w:r>
      <w:r w:rsidR="003920EC" w:rsidRPr="0010698B">
        <w:t xml:space="preserve">Lambros </w:t>
      </w:r>
      <w:r w:rsidR="003920EC">
        <w:t xml:space="preserve">questions cartesian boundaries </w:t>
      </w:r>
      <w:r w:rsidR="003920EC">
        <w:lastRenderedPageBreak/>
        <w:t>between our bodies, minds and objects and posits that object agency extends beyond the physical impacts it may have to include the mental impacts alongside them.</w:t>
      </w:r>
    </w:p>
    <w:p w14:paraId="27BE89C3" w14:textId="3328E218" w:rsidR="00CF5DE8" w:rsidRDefault="003920EC" w:rsidP="003920EC">
      <w:pPr>
        <w:ind w:left="360"/>
      </w:pPr>
      <w:r>
        <w:rPr>
          <w:noProof/>
        </w:rPr>
        <w:drawing>
          <wp:inline distT="0" distB="0" distL="0" distR="0" wp14:anchorId="14A6691C" wp14:editId="061A99AF">
            <wp:extent cx="3657600" cy="2365247"/>
            <wp:effectExtent l="0" t="0" r="0" b="0"/>
            <wp:docPr id="824540737" name="Picture 5" descr="Brain Lighting Up: Over 4,473 Royalty-Free Licensable Stock Illustrations &amp;  Drawing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rain Lighting Up: Over 4,473 Royalty-Free Licensable Stock Illustrations &amp;  Drawings | Shutterstoc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77557" cy="2378153"/>
                    </a:xfrm>
                    <a:prstGeom prst="rect">
                      <a:avLst/>
                    </a:prstGeom>
                    <a:noFill/>
                    <a:ln>
                      <a:noFill/>
                    </a:ln>
                  </pic:spPr>
                </pic:pic>
              </a:graphicData>
            </a:graphic>
          </wp:inline>
        </w:drawing>
      </w:r>
    </w:p>
    <w:p w14:paraId="607F3831" w14:textId="2C158D93" w:rsidR="007866A4" w:rsidRPr="00F218D9" w:rsidRDefault="003920EC" w:rsidP="00F218D9">
      <w:pPr>
        <w:ind w:left="360"/>
        <w:rPr>
          <w:sz w:val="16"/>
          <w:szCs w:val="16"/>
        </w:rPr>
      </w:pPr>
      <w:r>
        <w:rPr>
          <w:sz w:val="16"/>
          <w:szCs w:val="16"/>
        </w:rPr>
        <w:t xml:space="preserve">Figure </w:t>
      </w:r>
      <w:r w:rsidR="00DC0926">
        <w:rPr>
          <w:sz w:val="16"/>
          <w:szCs w:val="16"/>
        </w:rPr>
        <w:t>9</w:t>
      </w:r>
      <w:r>
        <w:rPr>
          <w:sz w:val="16"/>
          <w:szCs w:val="16"/>
        </w:rPr>
        <w:t xml:space="preserve">: </w:t>
      </w:r>
      <w:r w:rsidR="003666EB">
        <w:rPr>
          <w:sz w:val="16"/>
          <w:szCs w:val="16"/>
        </w:rPr>
        <w:t>A</w:t>
      </w:r>
      <w:r>
        <w:rPr>
          <w:sz w:val="16"/>
          <w:szCs w:val="16"/>
        </w:rPr>
        <w:t xml:space="preserve"> silhouette of a man, showing the brain area lit up with electricity. Image via </w:t>
      </w:r>
      <w:proofErr w:type="spellStart"/>
      <w:r>
        <w:rPr>
          <w:sz w:val="16"/>
          <w:szCs w:val="16"/>
        </w:rPr>
        <w:t>shuttershock</w:t>
      </w:r>
      <w:proofErr w:type="spellEnd"/>
      <w:r>
        <w:rPr>
          <w:sz w:val="16"/>
          <w:szCs w:val="16"/>
        </w:rPr>
        <w:t>.</w:t>
      </w:r>
    </w:p>
    <w:p w14:paraId="1ECE8D55" w14:textId="77777777" w:rsidR="00123EE9" w:rsidRPr="00123EE9" w:rsidRDefault="007866A4" w:rsidP="00123EE9">
      <w:pPr>
        <w:pStyle w:val="ListParagraph"/>
        <w:numPr>
          <w:ilvl w:val="0"/>
          <w:numId w:val="2"/>
        </w:numPr>
        <w:rPr>
          <w:b/>
          <w:bCs/>
          <w:lang w:val="en-US"/>
        </w:rPr>
      </w:pPr>
      <w:r>
        <w:rPr>
          <w:b/>
          <w:bCs/>
          <w:lang w:val="en-US"/>
        </w:rPr>
        <w:t>Assemblages</w:t>
      </w:r>
      <w:r w:rsidR="00D9155A">
        <w:rPr>
          <w:b/>
          <w:bCs/>
          <w:lang w:val="en-US"/>
        </w:rPr>
        <w:t xml:space="preserve">: </w:t>
      </w:r>
      <w:r w:rsidR="00D9155A">
        <w:rPr>
          <w:lang w:val="en-US"/>
        </w:rPr>
        <w:t>Assemblages are not simply groupings or accumulations of objects, but also the process in which they move in an out of physical space and relationships with other objects within the assemblage. Assemblages allow for examination of groupings at multiple levels, from bacterial colonies to</w:t>
      </w:r>
      <w:r w:rsidR="003666EB">
        <w:rPr>
          <w:lang w:val="en-US"/>
        </w:rPr>
        <w:t xml:space="preserve"> political systems to museum storage rooms. On each of these levels pasts and relationships can be traced and shaped by persons or objects inside and outside the defined assemblage, as they are always in flux, or as put by Harris, a state of becoming.</w:t>
      </w:r>
    </w:p>
    <w:p w14:paraId="4B3DB696" w14:textId="51C8BC1E" w:rsidR="00123EE9" w:rsidRPr="00123EE9" w:rsidRDefault="003666EB" w:rsidP="00123EE9">
      <w:pPr>
        <w:pStyle w:val="ListParagraph"/>
        <w:numPr>
          <w:ilvl w:val="0"/>
          <w:numId w:val="2"/>
        </w:numPr>
        <w:rPr>
          <w:b/>
          <w:bCs/>
          <w:lang w:val="en-US"/>
        </w:rPr>
      </w:pPr>
      <w:r w:rsidRPr="00123EE9">
        <w:rPr>
          <w:b/>
          <w:bCs/>
          <w:lang w:val="en-US"/>
        </w:rPr>
        <w:t xml:space="preserve">Object Biography: </w:t>
      </w:r>
      <w:r w:rsidR="00123EE9" w:rsidRPr="00123EE9">
        <w:rPr>
          <w:lang w:val="en-US"/>
        </w:rPr>
        <w:t>A biography of an object follows its complete life trajectory from creation, consumption and discard.</w:t>
      </w:r>
      <w:r w:rsidR="00123EE9">
        <w:rPr>
          <w:lang w:val="en-US"/>
        </w:rPr>
        <w:t xml:space="preserve"> It is </w:t>
      </w:r>
      <w:r w:rsidR="00123EE9" w:rsidRPr="00323650">
        <w:t>“the accretion of connections, sentiments, values, &amp; significance that even humble objects can experience over time</w:t>
      </w:r>
      <w:r w:rsidR="00123EE9">
        <w:t>.</w:t>
      </w:r>
      <w:r w:rsidR="00123EE9" w:rsidRPr="00323650">
        <w:t>” (</w:t>
      </w:r>
      <w:r w:rsidR="00123EE9" w:rsidRPr="00123EE9">
        <w:t>Joyce 2015, 21</w:t>
      </w:r>
      <w:r w:rsidR="00123EE9" w:rsidRPr="00323650">
        <w:t>)</w:t>
      </w:r>
      <w:r w:rsidR="00123EE9">
        <w:t xml:space="preserve"> </w:t>
      </w:r>
      <w:r w:rsidR="00123EE9" w:rsidRPr="00123EE9">
        <w:rPr>
          <w:lang w:val="en-US"/>
        </w:rPr>
        <w:t>Kopytof</w:t>
      </w:r>
      <w:r w:rsidR="00123EE9" w:rsidRPr="00123EE9">
        <w:rPr>
          <w:b/>
          <w:bCs/>
          <w:u w:val="single"/>
          <w:lang w:val="en-US"/>
        </w:rPr>
        <w:t>f</w:t>
      </w:r>
      <w:r w:rsidR="00123EE9" w:rsidRPr="00123EE9">
        <w:rPr>
          <w:lang w:val="en-US"/>
        </w:rPr>
        <w:t xml:space="preserve"> recognized objects as having social life &amp; thus having a biography</w:t>
      </w:r>
      <w:r w:rsidR="00123EE9">
        <w:rPr>
          <w:lang w:val="en-US"/>
        </w:rPr>
        <w:t xml:space="preserve"> and agential potentials, also recognizing the potential of an object to have multiple accumulated identities, with some areas of is biography highlighted, and others discarded dependent on its biography and other parties that the object may interact with throughout its life cycle.</w:t>
      </w:r>
    </w:p>
    <w:p w14:paraId="1FE5F353" w14:textId="6724EA0B" w:rsidR="00123EE9" w:rsidRDefault="00544175" w:rsidP="00123EE9">
      <w:pPr>
        <w:rPr>
          <w:b/>
          <w:bCs/>
          <w:lang w:val="en-US"/>
        </w:rPr>
      </w:pPr>
      <w:r w:rsidRPr="00544175">
        <w:lastRenderedPageBreak/>
        <w:drawing>
          <wp:inline distT="0" distB="0" distL="0" distR="0" wp14:anchorId="0E339EC3" wp14:editId="60D203CA">
            <wp:extent cx="2831910" cy="3431437"/>
            <wp:effectExtent l="0" t="0" r="6985" b="0"/>
            <wp:docPr id="45985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85454" name=""/>
                    <pic:cNvPicPr/>
                  </pic:nvPicPr>
                  <pic:blipFill>
                    <a:blip r:embed="rId15"/>
                    <a:stretch>
                      <a:fillRect/>
                    </a:stretch>
                  </pic:blipFill>
                  <pic:spPr>
                    <a:xfrm>
                      <a:off x="0" y="0"/>
                      <a:ext cx="2845574" cy="3447994"/>
                    </a:xfrm>
                    <a:prstGeom prst="rect">
                      <a:avLst/>
                    </a:prstGeom>
                  </pic:spPr>
                </pic:pic>
              </a:graphicData>
            </a:graphic>
          </wp:inline>
        </w:drawing>
      </w:r>
    </w:p>
    <w:p w14:paraId="32CD6855" w14:textId="6A745087" w:rsidR="00544175" w:rsidRPr="00544175" w:rsidRDefault="00544175" w:rsidP="00123EE9">
      <w:pPr>
        <w:rPr>
          <w:sz w:val="16"/>
          <w:szCs w:val="16"/>
          <w:lang w:val="en-US"/>
        </w:rPr>
      </w:pPr>
      <w:r>
        <w:rPr>
          <w:sz w:val="16"/>
          <w:szCs w:val="16"/>
          <w:lang w:val="en-US"/>
        </w:rPr>
        <w:t xml:space="preserve">Figure </w:t>
      </w:r>
      <w:r w:rsidR="00DC0926">
        <w:rPr>
          <w:sz w:val="16"/>
          <w:szCs w:val="16"/>
          <w:lang w:val="en-US"/>
        </w:rPr>
        <w:t>10</w:t>
      </w:r>
      <w:r>
        <w:rPr>
          <w:sz w:val="16"/>
          <w:szCs w:val="16"/>
          <w:lang w:val="en-US"/>
        </w:rPr>
        <w:t xml:space="preserve">: A tattered looking teddy bear. Image via </w:t>
      </w:r>
      <w:r w:rsidRPr="00544175">
        <w:rPr>
          <w:sz w:val="16"/>
          <w:szCs w:val="16"/>
          <w:lang w:val="en-US"/>
        </w:rPr>
        <w:t>elenaginter.tedsby.com</w:t>
      </w:r>
    </w:p>
    <w:p w14:paraId="54927F59" w14:textId="5EFA06AF" w:rsidR="00123EE9" w:rsidRPr="00544175" w:rsidRDefault="003666EB" w:rsidP="00123EE9">
      <w:pPr>
        <w:pStyle w:val="ListParagraph"/>
        <w:numPr>
          <w:ilvl w:val="0"/>
          <w:numId w:val="2"/>
        </w:numPr>
        <w:rPr>
          <w:b/>
          <w:bCs/>
          <w:lang w:val="en-US"/>
        </w:rPr>
      </w:pPr>
      <w:r w:rsidRPr="00123EE9">
        <w:rPr>
          <w:b/>
          <w:bCs/>
          <w:lang w:val="en-US"/>
        </w:rPr>
        <w:t>Object Itinerary</w:t>
      </w:r>
      <w:r w:rsidR="00123EE9" w:rsidRPr="00123EE9">
        <w:rPr>
          <w:b/>
          <w:bCs/>
          <w:lang w:val="en-US"/>
        </w:rPr>
        <w:t xml:space="preserve">: </w:t>
      </w:r>
      <w:r w:rsidR="00544175">
        <w:rPr>
          <w:lang w:val="en-US"/>
        </w:rPr>
        <w:t>Object itineraries exist in r</w:t>
      </w:r>
      <w:r w:rsidR="00123EE9" w:rsidRPr="00123EE9">
        <w:rPr>
          <w:lang w:val="en-US"/>
        </w:rPr>
        <w:t>esponse to object biograph</w:t>
      </w:r>
      <w:r w:rsidR="00544175">
        <w:rPr>
          <w:lang w:val="en-US"/>
        </w:rPr>
        <w:t>ies</w:t>
      </w:r>
      <w:r w:rsidR="00123EE9" w:rsidRPr="00123EE9">
        <w:rPr>
          <w:lang w:val="en-US"/>
        </w:rPr>
        <w:t xml:space="preserve"> </w:t>
      </w:r>
      <w:r w:rsidR="00544175">
        <w:rPr>
          <w:lang w:val="en-US"/>
        </w:rPr>
        <w:t>and</w:t>
      </w:r>
      <w:r w:rsidR="00123EE9" w:rsidRPr="00123EE9">
        <w:rPr>
          <w:lang w:val="en-US"/>
        </w:rPr>
        <w:t xml:space="preserve"> the assumption that the animation of objects is an “explicitly anthropomorphic construct</w:t>
      </w:r>
      <w:r w:rsidR="00544175">
        <w:rPr>
          <w:lang w:val="en-US"/>
        </w:rPr>
        <w:t>.</w:t>
      </w:r>
      <w:r w:rsidR="00123EE9" w:rsidRPr="00123EE9">
        <w:rPr>
          <w:lang w:val="en-US"/>
        </w:rPr>
        <w:t xml:space="preserve">” </w:t>
      </w:r>
      <w:r w:rsidR="00123EE9" w:rsidRPr="00544175">
        <w:rPr>
          <w:lang w:val="en-US"/>
        </w:rPr>
        <w:t>(Joyce 2015, 21</w:t>
      </w:r>
      <w:r w:rsidR="00123EE9" w:rsidRPr="00123EE9">
        <w:rPr>
          <w:b/>
          <w:bCs/>
          <w:lang w:val="en-US"/>
        </w:rPr>
        <w:t>)</w:t>
      </w:r>
      <w:r w:rsidR="00544175">
        <w:rPr>
          <w:b/>
          <w:bCs/>
          <w:lang w:val="en-US"/>
        </w:rPr>
        <w:t xml:space="preserve"> </w:t>
      </w:r>
      <w:r w:rsidR="00544175" w:rsidRPr="00544175">
        <w:rPr>
          <w:lang w:val="en-US"/>
        </w:rPr>
        <w:t>Joyce</w:t>
      </w:r>
      <w:r w:rsidR="00544175">
        <w:rPr>
          <w:lang w:val="en-US"/>
        </w:rPr>
        <w:t xml:space="preserve"> argues that unique characteristics of objects are lost by attempting to fit their life cycles in human ones and diminish them solely to what has been observed of that </w:t>
      </w:r>
      <w:proofErr w:type="gramStart"/>
      <w:r w:rsidR="00544175">
        <w:rPr>
          <w:lang w:val="en-US"/>
        </w:rPr>
        <w:t>particular object</w:t>
      </w:r>
      <w:proofErr w:type="gramEnd"/>
      <w:r w:rsidR="00544175">
        <w:rPr>
          <w:lang w:val="en-US"/>
        </w:rPr>
        <w:t xml:space="preserve"> by people. Archaeologists in particular benefit from using the term itinerary over biography when cataloguing the life cycles of artefacts as there are many aspects of their life cycles that cannot ever be known by the archaeologist. They </w:t>
      </w:r>
      <w:proofErr w:type="gramStart"/>
      <w:r w:rsidR="00544175">
        <w:rPr>
          <w:lang w:val="en-US"/>
        </w:rPr>
        <w:t>are able to</w:t>
      </w:r>
      <w:proofErr w:type="gramEnd"/>
      <w:r w:rsidR="00544175">
        <w:rPr>
          <w:lang w:val="en-US"/>
        </w:rPr>
        <w:t xml:space="preserve"> use clues to determine how and when an object was made and used, but those are only small elements in that object’s story, therefore using the term ‘biography’ for such an ambiguous object may be disingenuous.</w:t>
      </w:r>
    </w:p>
    <w:p w14:paraId="2F6055F3" w14:textId="2B63579B" w:rsidR="00544175" w:rsidRDefault="00544175" w:rsidP="00544175">
      <w:pPr>
        <w:rPr>
          <w:b/>
          <w:bCs/>
          <w:lang w:val="en-US"/>
        </w:rPr>
      </w:pPr>
      <w:r w:rsidRPr="00544175">
        <w:drawing>
          <wp:inline distT="0" distB="0" distL="0" distR="0" wp14:anchorId="1D249394" wp14:editId="4534396D">
            <wp:extent cx="3828197" cy="2759814"/>
            <wp:effectExtent l="0" t="0" r="1270" b="2540"/>
            <wp:docPr id="1440690194" name="Picture 1" descr="A stone statue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690194" name="Picture 1" descr="A stone statue of a person's face&#10;&#10;Description automatically generated"/>
                    <pic:cNvPicPr/>
                  </pic:nvPicPr>
                  <pic:blipFill>
                    <a:blip r:embed="rId16"/>
                    <a:stretch>
                      <a:fillRect/>
                    </a:stretch>
                  </pic:blipFill>
                  <pic:spPr>
                    <a:xfrm>
                      <a:off x="0" y="0"/>
                      <a:ext cx="3832777" cy="2763116"/>
                    </a:xfrm>
                    <a:prstGeom prst="rect">
                      <a:avLst/>
                    </a:prstGeom>
                  </pic:spPr>
                </pic:pic>
              </a:graphicData>
            </a:graphic>
          </wp:inline>
        </w:drawing>
      </w:r>
    </w:p>
    <w:p w14:paraId="338B3C96" w14:textId="042EBC89" w:rsidR="00544175" w:rsidRPr="00544175" w:rsidRDefault="00544175" w:rsidP="00544175">
      <w:pPr>
        <w:rPr>
          <w:sz w:val="16"/>
          <w:szCs w:val="16"/>
          <w:lang w:val="en-US"/>
        </w:rPr>
      </w:pPr>
      <w:r w:rsidRPr="00544175">
        <w:rPr>
          <w:sz w:val="16"/>
          <w:szCs w:val="16"/>
          <w:lang w:val="en-US"/>
        </w:rPr>
        <w:t>Figure 1</w:t>
      </w:r>
      <w:r w:rsidR="00DC0926">
        <w:rPr>
          <w:sz w:val="16"/>
          <w:szCs w:val="16"/>
          <w:lang w:val="en-US"/>
        </w:rPr>
        <w:t>1</w:t>
      </w:r>
      <w:r w:rsidRPr="00544175">
        <w:rPr>
          <w:sz w:val="16"/>
          <w:szCs w:val="16"/>
          <w:lang w:val="en-US"/>
        </w:rPr>
        <w:t>:</w:t>
      </w:r>
      <w:r>
        <w:rPr>
          <w:sz w:val="16"/>
          <w:szCs w:val="16"/>
          <w:lang w:val="en-US"/>
        </w:rPr>
        <w:t xml:space="preserve"> </w:t>
      </w:r>
      <w:r w:rsidR="00F222E8">
        <w:rPr>
          <w:sz w:val="16"/>
          <w:szCs w:val="16"/>
          <w:lang w:val="en-US"/>
        </w:rPr>
        <w:t>The head of a Roman bust found in Egypt, seemingly recently unearthed. Image via arabnews.com</w:t>
      </w:r>
    </w:p>
    <w:p w14:paraId="068E5FA6" w14:textId="458834F3" w:rsidR="00F222E8" w:rsidRPr="004579CE" w:rsidRDefault="003666EB" w:rsidP="00F222E8">
      <w:pPr>
        <w:pStyle w:val="ListParagraph"/>
        <w:numPr>
          <w:ilvl w:val="0"/>
          <w:numId w:val="2"/>
        </w:numPr>
        <w:rPr>
          <w:b/>
          <w:bCs/>
          <w:lang w:val="en-US"/>
        </w:rPr>
      </w:pPr>
      <w:r w:rsidRPr="00123EE9">
        <w:rPr>
          <w:b/>
          <w:bCs/>
          <w:lang w:val="en-US"/>
        </w:rPr>
        <w:lastRenderedPageBreak/>
        <w:t xml:space="preserve">Inalienable </w:t>
      </w:r>
      <w:r w:rsidR="004579CE">
        <w:rPr>
          <w:b/>
          <w:bCs/>
          <w:lang w:val="en-US"/>
        </w:rPr>
        <w:t>object</w:t>
      </w:r>
      <w:r w:rsidRPr="00123EE9">
        <w:rPr>
          <w:b/>
          <w:bCs/>
          <w:lang w:val="en-US"/>
        </w:rPr>
        <w:t>s</w:t>
      </w:r>
      <w:r w:rsidR="00F222E8">
        <w:rPr>
          <w:b/>
          <w:bCs/>
          <w:lang w:val="en-US"/>
        </w:rPr>
        <w:t xml:space="preserve">: </w:t>
      </w:r>
      <w:r w:rsidR="00F222E8">
        <w:rPr>
          <w:lang w:val="en-US"/>
        </w:rPr>
        <w:t xml:space="preserve">An inalienable possession is one which cannot be subjected to separation from its owner. That is to say that both object and owner (or group in which the object in question belongs to) are intrinsically linked to each other in writing or memory and cannot be thought of separately even if physically distanced from one another. A good example of this phenomenon is the </w:t>
      </w:r>
      <w:r w:rsidR="00F222E8" w:rsidRPr="00F222E8">
        <w:t xml:space="preserve">caryatid from the </w:t>
      </w:r>
      <w:proofErr w:type="spellStart"/>
      <w:r w:rsidR="00F222E8" w:rsidRPr="00F222E8">
        <w:t>Erechtheion</w:t>
      </w:r>
      <w:proofErr w:type="spellEnd"/>
      <w:r w:rsidR="00F222E8">
        <w:t xml:space="preserve"> currently housed in the British Museum, separated from its counterparts but no more disconnected spiritually. Inalienable possessions are often kept out of circulation due to their imbued memories and perceived importance to their owners or communities. These objects often provide links to the past and stability in a world in which objects are constantly exchanged, moved or otherwise change relationships and meanings.</w:t>
      </w:r>
    </w:p>
    <w:p w14:paraId="41213904" w14:textId="3CEDB46F" w:rsidR="004579CE" w:rsidRDefault="004579CE" w:rsidP="004579CE">
      <w:pPr>
        <w:rPr>
          <w:b/>
          <w:bCs/>
          <w:lang w:val="en-US"/>
        </w:rPr>
      </w:pPr>
      <w:r>
        <w:rPr>
          <w:noProof/>
        </w:rPr>
        <w:drawing>
          <wp:inline distT="0" distB="0" distL="0" distR="0" wp14:anchorId="2CFE0440" wp14:editId="7EF9CA80">
            <wp:extent cx="5731510" cy="3295015"/>
            <wp:effectExtent l="0" t="0" r="2540" b="635"/>
            <wp:docPr id="1069567500" name="Picture 9" descr="Why Is There One Caryatid at the British Museum and Five in Ath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Why Is There One Caryatid at the British Museum and Five in Athen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95015"/>
                    </a:xfrm>
                    <a:prstGeom prst="rect">
                      <a:avLst/>
                    </a:prstGeom>
                    <a:noFill/>
                    <a:ln>
                      <a:noFill/>
                    </a:ln>
                  </pic:spPr>
                </pic:pic>
              </a:graphicData>
            </a:graphic>
          </wp:inline>
        </w:drawing>
      </w:r>
    </w:p>
    <w:p w14:paraId="7B76242F" w14:textId="72400F5E" w:rsidR="004579CE" w:rsidRPr="004579CE" w:rsidRDefault="004579CE" w:rsidP="004579CE">
      <w:pPr>
        <w:rPr>
          <w:sz w:val="16"/>
          <w:szCs w:val="16"/>
          <w:lang w:val="en-US"/>
        </w:rPr>
      </w:pPr>
      <w:r>
        <w:rPr>
          <w:sz w:val="16"/>
          <w:szCs w:val="16"/>
          <w:lang w:val="en-US"/>
        </w:rPr>
        <w:t>Figure 1</w:t>
      </w:r>
      <w:r w:rsidR="00DC0926">
        <w:rPr>
          <w:sz w:val="16"/>
          <w:szCs w:val="16"/>
          <w:lang w:val="en-US"/>
        </w:rPr>
        <w:t>2</w:t>
      </w:r>
      <w:r>
        <w:rPr>
          <w:sz w:val="16"/>
          <w:szCs w:val="16"/>
          <w:lang w:val="en-US"/>
        </w:rPr>
        <w:t>: Five caryatids at the Acropolis Museum with an empty display space for their ‘sister’ housed in the British Museum. Image via thecollector.com</w:t>
      </w:r>
    </w:p>
    <w:p w14:paraId="7B76B782" w14:textId="2930AFC8" w:rsidR="004579CE" w:rsidRDefault="004579CE" w:rsidP="00123EE9">
      <w:pPr>
        <w:pStyle w:val="ListParagraph"/>
        <w:numPr>
          <w:ilvl w:val="0"/>
          <w:numId w:val="2"/>
        </w:numPr>
        <w:rPr>
          <w:lang w:val="en-US"/>
        </w:rPr>
      </w:pPr>
      <w:r>
        <w:rPr>
          <w:b/>
          <w:bCs/>
          <w:lang w:val="en-US"/>
        </w:rPr>
        <w:t xml:space="preserve">Representationalism: </w:t>
      </w:r>
      <w:r w:rsidRPr="004579CE">
        <w:rPr>
          <w:lang w:val="en-US"/>
        </w:rPr>
        <w:t xml:space="preserve">Representationalism </w:t>
      </w:r>
      <w:r>
        <w:rPr>
          <w:lang w:val="en-US"/>
        </w:rPr>
        <w:t xml:space="preserve">is a tripartite structure consisting of the represented, or known reality, the observer of the known reality, and the representation, the knowledge and thoughts of the thinking observer regarding the represented subject or object. This creates a gap between </w:t>
      </w:r>
      <w:r w:rsidR="005A7E84">
        <w:rPr>
          <w:lang w:val="en-US"/>
        </w:rPr>
        <w:t>what is observable and what is known born from anthropocentric tendencies that separate us, the observers, from the physical matter of the world as they reinforce anthropocentric beliefs that the world exists to be perceived by humans and not of its own validity and agency.</w:t>
      </w:r>
    </w:p>
    <w:p w14:paraId="149E9C67" w14:textId="3D8180CF" w:rsidR="005A7E84" w:rsidRDefault="005A7E84" w:rsidP="005A7E84">
      <w:pPr>
        <w:rPr>
          <w:lang w:val="en-US"/>
        </w:rPr>
      </w:pPr>
      <w:r>
        <w:rPr>
          <w:noProof/>
        </w:rPr>
        <w:lastRenderedPageBreak/>
        <w:drawing>
          <wp:inline distT="0" distB="0" distL="0" distR="0" wp14:anchorId="091B55AE" wp14:editId="6ED02BC2">
            <wp:extent cx="4254662" cy="1753737"/>
            <wp:effectExtent l="0" t="0" r="0" b="0"/>
            <wp:docPr id="1312952545" name="Picture 10" descr="Direct and indirect realism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Direct and indirect realism - Wikipedi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71865" cy="1760828"/>
                    </a:xfrm>
                    <a:prstGeom prst="rect">
                      <a:avLst/>
                    </a:prstGeom>
                    <a:noFill/>
                    <a:ln>
                      <a:noFill/>
                    </a:ln>
                  </pic:spPr>
                </pic:pic>
              </a:graphicData>
            </a:graphic>
          </wp:inline>
        </w:drawing>
      </w:r>
    </w:p>
    <w:p w14:paraId="7A3BA0C5" w14:textId="26A8B512" w:rsidR="005A7E84" w:rsidRPr="005A7E84" w:rsidRDefault="005A7E84" w:rsidP="005A7E84">
      <w:pPr>
        <w:rPr>
          <w:sz w:val="16"/>
          <w:szCs w:val="16"/>
          <w:lang w:val="en-US"/>
        </w:rPr>
      </w:pPr>
      <w:r w:rsidRPr="005A7E84">
        <w:rPr>
          <w:sz w:val="16"/>
          <w:szCs w:val="16"/>
          <w:lang w:val="en-US"/>
        </w:rPr>
        <w:t>Figure 1</w:t>
      </w:r>
      <w:r w:rsidR="00DC0926">
        <w:rPr>
          <w:sz w:val="16"/>
          <w:szCs w:val="16"/>
          <w:lang w:val="en-US"/>
        </w:rPr>
        <w:t>3</w:t>
      </w:r>
      <w:r w:rsidRPr="005A7E84">
        <w:rPr>
          <w:sz w:val="16"/>
          <w:szCs w:val="16"/>
          <w:lang w:val="en-US"/>
        </w:rPr>
        <w:t xml:space="preserve">: A simplified diagram explaining representational theory of perception. Image via </w:t>
      </w:r>
      <w:r>
        <w:rPr>
          <w:sz w:val="16"/>
          <w:szCs w:val="16"/>
          <w:lang w:val="en-US"/>
        </w:rPr>
        <w:t>Wikipedia.org</w:t>
      </w:r>
    </w:p>
    <w:p w14:paraId="5B838171" w14:textId="459527B7" w:rsidR="00993E2F" w:rsidRPr="00993E2F" w:rsidRDefault="00993E2F" w:rsidP="00123EE9">
      <w:pPr>
        <w:pStyle w:val="ListParagraph"/>
        <w:numPr>
          <w:ilvl w:val="0"/>
          <w:numId w:val="2"/>
        </w:numPr>
        <w:rPr>
          <w:b/>
          <w:bCs/>
          <w:lang w:val="en-US"/>
        </w:rPr>
      </w:pPr>
      <w:r>
        <w:rPr>
          <w:b/>
          <w:bCs/>
          <w:lang w:val="en-US"/>
        </w:rPr>
        <w:t xml:space="preserve">Agential Realism: </w:t>
      </w:r>
      <w:r w:rsidRPr="00993E2F">
        <w:rPr>
          <w:lang w:val="en-US"/>
        </w:rPr>
        <w:t>Agential realism</w:t>
      </w:r>
      <w:r>
        <w:rPr>
          <w:lang w:val="en-US"/>
        </w:rPr>
        <w:t xml:space="preserve"> is a relational ontology developed by Barad deriving from quantum physics which seeks to challenge representationalism at a quantum level. </w:t>
      </w:r>
      <w:r w:rsidR="008D2506">
        <w:rPr>
          <w:lang w:val="en-US"/>
        </w:rPr>
        <w:t xml:space="preserve">It is a typically scientific response to a philosophical thought structure, rejecting the idea that language, culture and memory is more important than the measurable physicality of matter. While the scientific approach to matter consists of measuring and charting, agential realism also raises the question of scientific data representation and </w:t>
      </w:r>
      <w:proofErr w:type="gramStart"/>
      <w:r w:rsidR="008D2506">
        <w:rPr>
          <w:lang w:val="en-US"/>
        </w:rPr>
        <w:t>whether or not</w:t>
      </w:r>
      <w:proofErr w:type="gramEnd"/>
      <w:r w:rsidR="008D2506">
        <w:rPr>
          <w:lang w:val="en-US"/>
        </w:rPr>
        <w:t xml:space="preserve"> it too falls into the trap of representations being inescapably divorced from the real represented object.</w:t>
      </w:r>
    </w:p>
    <w:p w14:paraId="3195FC5B" w14:textId="77777777" w:rsidR="00993E2F" w:rsidRPr="00993E2F" w:rsidRDefault="00993E2F" w:rsidP="00993E2F">
      <w:pPr>
        <w:rPr>
          <w:b/>
          <w:bCs/>
          <w:lang w:val="en-US"/>
        </w:rPr>
      </w:pPr>
    </w:p>
    <w:p w14:paraId="03FF38B1" w14:textId="7C9782D8" w:rsidR="00123EE9" w:rsidRPr="00993E2F" w:rsidRDefault="0005594F" w:rsidP="00123EE9">
      <w:pPr>
        <w:pStyle w:val="ListParagraph"/>
        <w:numPr>
          <w:ilvl w:val="0"/>
          <w:numId w:val="2"/>
        </w:numPr>
        <w:rPr>
          <w:b/>
          <w:bCs/>
          <w:lang w:val="en-US"/>
        </w:rPr>
      </w:pPr>
      <w:r w:rsidRPr="00123EE9">
        <w:rPr>
          <w:b/>
          <w:bCs/>
          <w:lang w:val="en-US"/>
        </w:rPr>
        <w:t>Ontology</w:t>
      </w:r>
      <w:r w:rsidR="00DC0926">
        <w:rPr>
          <w:b/>
          <w:bCs/>
          <w:lang w:val="en-US"/>
        </w:rPr>
        <w:t xml:space="preserve">: </w:t>
      </w:r>
      <w:r w:rsidR="00DC0926">
        <w:rPr>
          <w:lang w:val="en-US"/>
        </w:rPr>
        <w:t xml:space="preserve">Ontology is a term borrowed from philosophy and a subdiscipline of metaphysics, being the philosophical study of being and a focus on the basic features of reality in their respective contexts. An ontology seeks to encompass every entity in known reality and examine their commonalities. As applied to material culture studies, ontologies are used as labels to various theories, </w:t>
      </w:r>
      <w:r w:rsidR="00A57245">
        <w:rPr>
          <w:lang w:val="en-US"/>
        </w:rPr>
        <w:t>often to give a shorthand for how the theory deals with human-object and object-object interactions and importance. F</w:t>
      </w:r>
      <w:r w:rsidR="00DC0926">
        <w:rPr>
          <w:lang w:val="en-US"/>
        </w:rPr>
        <w:t xml:space="preserve">or example, theories described as flat ontologies view neither person nor object as superior to one another, </w:t>
      </w:r>
      <w:r w:rsidR="00A57245">
        <w:rPr>
          <w:lang w:val="en-US"/>
        </w:rPr>
        <w:t xml:space="preserve">whereas a Heidegger influenced object-oriented ontology describes a theory that flatly rejects the </w:t>
      </w:r>
      <w:proofErr w:type="gramStart"/>
      <w:r w:rsidR="00A57245">
        <w:rPr>
          <w:lang w:val="en-US"/>
        </w:rPr>
        <w:t>privileging</w:t>
      </w:r>
      <w:proofErr w:type="gramEnd"/>
      <w:r w:rsidR="00A57245">
        <w:rPr>
          <w:lang w:val="en-US"/>
        </w:rPr>
        <w:t xml:space="preserve"> of humans over objects. </w:t>
      </w:r>
    </w:p>
    <w:p w14:paraId="73505620" w14:textId="77777777" w:rsidR="00993E2F" w:rsidRPr="00993E2F" w:rsidRDefault="00993E2F" w:rsidP="00993E2F">
      <w:pPr>
        <w:pStyle w:val="ListParagraph"/>
        <w:rPr>
          <w:b/>
          <w:bCs/>
          <w:lang w:val="en-US"/>
        </w:rPr>
      </w:pPr>
    </w:p>
    <w:p w14:paraId="47BB8380" w14:textId="77777777" w:rsidR="00042FEF" w:rsidRDefault="00042FEF" w:rsidP="00042FEF">
      <w:pPr>
        <w:rPr>
          <w:b/>
          <w:bCs/>
          <w:lang w:val="en-US"/>
        </w:rPr>
      </w:pPr>
    </w:p>
    <w:p w14:paraId="0852CD79" w14:textId="77777777" w:rsidR="00042FEF" w:rsidRDefault="00042FEF" w:rsidP="00042FEF">
      <w:pPr>
        <w:rPr>
          <w:b/>
          <w:bCs/>
          <w:lang w:val="en-US"/>
        </w:rPr>
      </w:pPr>
    </w:p>
    <w:p w14:paraId="264AC9FF" w14:textId="77777777" w:rsidR="00042FEF" w:rsidRDefault="00042FEF" w:rsidP="00042FEF">
      <w:pPr>
        <w:rPr>
          <w:b/>
          <w:bCs/>
          <w:lang w:val="en-US"/>
        </w:rPr>
      </w:pPr>
    </w:p>
    <w:p w14:paraId="4F1D3B82" w14:textId="77777777" w:rsidR="00042FEF" w:rsidRDefault="00042FEF" w:rsidP="00042FEF">
      <w:pPr>
        <w:rPr>
          <w:b/>
          <w:bCs/>
          <w:lang w:val="en-US"/>
        </w:rPr>
      </w:pPr>
    </w:p>
    <w:p w14:paraId="7C55B62B" w14:textId="77777777" w:rsidR="00042FEF" w:rsidRDefault="00042FEF" w:rsidP="00042FEF">
      <w:pPr>
        <w:rPr>
          <w:b/>
          <w:bCs/>
          <w:lang w:val="en-US"/>
        </w:rPr>
      </w:pPr>
    </w:p>
    <w:p w14:paraId="04AC6367" w14:textId="77777777" w:rsidR="00042FEF" w:rsidRDefault="00042FEF" w:rsidP="00042FEF">
      <w:pPr>
        <w:rPr>
          <w:b/>
          <w:bCs/>
          <w:lang w:val="en-US"/>
        </w:rPr>
      </w:pPr>
    </w:p>
    <w:p w14:paraId="6FE12C7B" w14:textId="77777777" w:rsidR="00042FEF" w:rsidRDefault="00042FEF" w:rsidP="00042FEF">
      <w:pPr>
        <w:rPr>
          <w:b/>
          <w:bCs/>
          <w:lang w:val="en-US"/>
        </w:rPr>
      </w:pPr>
    </w:p>
    <w:p w14:paraId="068936FF" w14:textId="77777777" w:rsidR="00042FEF" w:rsidRDefault="00042FEF" w:rsidP="00042FEF">
      <w:pPr>
        <w:rPr>
          <w:b/>
          <w:bCs/>
          <w:lang w:val="en-US"/>
        </w:rPr>
      </w:pPr>
    </w:p>
    <w:p w14:paraId="426183AB" w14:textId="77777777" w:rsidR="00042FEF" w:rsidRDefault="00042FEF" w:rsidP="00042FEF">
      <w:pPr>
        <w:rPr>
          <w:b/>
          <w:bCs/>
          <w:lang w:val="en-US"/>
        </w:rPr>
      </w:pPr>
    </w:p>
    <w:p w14:paraId="047A40CC" w14:textId="77777777" w:rsidR="00042FEF" w:rsidRDefault="00042FEF" w:rsidP="00042FEF">
      <w:pPr>
        <w:rPr>
          <w:b/>
          <w:bCs/>
          <w:lang w:val="en-US"/>
        </w:rPr>
      </w:pPr>
    </w:p>
    <w:p w14:paraId="6B7AFB7B" w14:textId="77777777" w:rsidR="00042FEF" w:rsidRDefault="00042FEF" w:rsidP="00042FEF">
      <w:pPr>
        <w:rPr>
          <w:b/>
          <w:bCs/>
          <w:lang w:val="en-US"/>
        </w:rPr>
      </w:pPr>
    </w:p>
    <w:p w14:paraId="11731A52" w14:textId="77777777" w:rsidR="00042FEF" w:rsidRDefault="00042FEF" w:rsidP="00042FEF">
      <w:pPr>
        <w:rPr>
          <w:b/>
          <w:bCs/>
          <w:lang w:val="en-US"/>
        </w:rPr>
      </w:pPr>
    </w:p>
    <w:p w14:paraId="3B280270" w14:textId="01B7AEF4" w:rsidR="00042FEF" w:rsidRDefault="00042FEF" w:rsidP="00AE3DFB">
      <w:pPr>
        <w:tabs>
          <w:tab w:val="left" w:pos="3210"/>
        </w:tabs>
        <w:rPr>
          <w:u w:val="single"/>
          <w:lang w:val="en-US"/>
        </w:rPr>
      </w:pPr>
      <w:r>
        <w:rPr>
          <w:u w:val="single"/>
          <w:lang w:val="en-US"/>
        </w:rPr>
        <w:t>Bibliography</w:t>
      </w:r>
    </w:p>
    <w:p w14:paraId="3077039C" w14:textId="617153EB" w:rsidR="00993E2F" w:rsidRDefault="00993E2F" w:rsidP="00AE3DFB">
      <w:pPr>
        <w:tabs>
          <w:tab w:val="left" w:pos="3210"/>
        </w:tabs>
      </w:pPr>
      <w:r w:rsidRPr="00993E2F">
        <w:t xml:space="preserve">Barad, K. (2007). Meeting the universe halfway: Quantum physics and the entanglement of matter and meaning. </w:t>
      </w:r>
      <w:r w:rsidRPr="00993E2F">
        <w:rPr>
          <w:i/>
          <w:iCs/>
        </w:rPr>
        <w:t>Duke Up</w:t>
      </w:r>
      <w:r w:rsidRPr="00993E2F">
        <w:t>.</w:t>
      </w:r>
    </w:p>
    <w:p w14:paraId="18874353" w14:textId="1531BEF2" w:rsidR="003E39E4" w:rsidRPr="003E39E4" w:rsidRDefault="003E39E4" w:rsidP="00AE3DFB">
      <w:pPr>
        <w:tabs>
          <w:tab w:val="left" w:pos="3210"/>
        </w:tabs>
        <w:rPr>
          <w:lang w:val="en-US"/>
        </w:rPr>
      </w:pPr>
      <w:r w:rsidRPr="003E39E4">
        <w:t>Bennett, J. (2010). Vibrant Matter: A Political Ecology of Things. Durham and London: Duke University Press.</w:t>
      </w:r>
    </w:p>
    <w:p w14:paraId="57F36448" w14:textId="05BA6001" w:rsidR="00AE3DFB" w:rsidRPr="00AE3DFB" w:rsidRDefault="00AE3DFB" w:rsidP="00042FEF">
      <w:pPr>
        <w:rPr>
          <w:lang w:val="en-US"/>
        </w:rPr>
      </w:pPr>
      <w:r w:rsidRPr="00AE3DFB">
        <w:t xml:space="preserve">Chapman, J. (2000). </w:t>
      </w:r>
      <w:r w:rsidRPr="00AE3DFB">
        <w:rPr>
          <w:i/>
          <w:iCs/>
        </w:rPr>
        <w:t>Fragmentation in archaeology, people, places and broken objects in the prehistory of South-Eastern Europe</w:t>
      </w:r>
      <w:r w:rsidRPr="00AE3DFB">
        <w:t>. London: Routledge.</w:t>
      </w:r>
    </w:p>
    <w:p w14:paraId="742D286A" w14:textId="58D9B75C" w:rsidR="003A16DA" w:rsidRDefault="003A16DA" w:rsidP="00042FEF">
      <w:r w:rsidRPr="003A16DA">
        <w:t xml:space="preserve">Gell, Alfred (1998). </w:t>
      </w:r>
      <w:r w:rsidRPr="003A16DA">
        <w:rPr>
          <w:i/>
          <w:iCs/>
        </w:rPr>
        <w:t>Art and Agency: An Anthropological Theory</w:t>
      </w:r>
      <w:r w:rsidRPr="003A16DA">
        <w:t>. Clarendon Press.</w:t>
      </w:r>
    </w:p>
    <w:p w14:paraId="18424780" w14:textId="5B2C1B5A" w:rsidR="003666EB" w:rsidRPr="003A16DA" w:rsidRDefault="003666EB" w:rsidP="00042FEF">
      <w:r w:rsidRPr="003666EB">
        <w:t xml:space="preserve">Harris, O. J. (2017). Assemblages and scale in archaeology. </w:t>
      </w:r>
      <w:r w:rsidRPr="003666EB">
        <w:rPr>
          <w:i/>
          <w:iCs/>
        </w:rPr>
        <w:t>Cambridge archaeological journal</w:t>
      </w:r>
      <w:r w:rsidRPr="003666EB">
        <w:t xml:space="preserve">, </w:t>
      </w:r>
      <w:r w:rsidRPr="003666EB">
        <w:rPr>
          <w:i/>
          <w:iCs/>
        </w:rPr>
        <w:t>27</w:t>
      </w:r>
      <w:r w:rsidRPr="003666EB">
        <w:t>(1), 127-139.</w:t>
      </w:r>
    </w:p>
    <w:p w14:paraId="22A72FA5" w14:textId="5B2EE1FE" w:rsidR="00042FEF" w:rsidRDefault="00042FEF" w:rsidP="00042FEF">
      <w:r w:rsidRPr="00042FEF">
        <w:t xml:space="preserve">Joyce, R.A. (2015). </w:t>
      </w:r>
      <w:r w:rsidRPr="00042FEF">
        <w:rPr>
          <w:i/>
          <w:iCs/>
        </w:rPr>
        <w:t>Things in Motion</w:t>
      </w:r>
      <w:r w:rsidRPr="00042FEF">
        <w:t xml:space="preserve">: </w:t>
      </w:r>
      <w:r w:rsidRPr="00042FEF">
        <w:rPr>
          <w:i/>
          <w:iCs/>
        </w:rPr>
        <w:t>Object Itineraries in Anthropological Practice</w:t>
      </w:r>
      <w:r w:rsidRPr="00042FEF">
        <w:t>. (first ed.).</w:t>
      </w:r>
      <w:r>
        <w:t xml:space="preserve"> </w:t>
      </w:r>
      <w:r w:rsidRPr="00042FEF">
        <w:t xml:space="preserve">Santa Fe: SAR Press. </w:t>
      </w:r>
      <w:hyperlink r:id="rId19" w:history="1">
        <w:r w:rsidRPr="00042FEF">
          <w:rPr>
            <w:rStyle w:val="Hyperlink"/>
            <w:u w:val="none"/>
          </w:rPr>
          <w:t>https://muse.jhu.edu/book/40217</w:t>
        </w:r>
      </w:hyperlink>
      <w:r w:rsidRPr="00042FEF">
        <w:t>.</w:t>
      </w:r>
    </w:p>
    <w:p w14:paraId="08613742" w14:textId="11914F0F" w:rsidR="00042FEF" w:rsidRDefault="00042FEF" w:rsidP="00042FEF">
      <w:proofErr w:type="spellStart"/>
      <w:r w:rsidRPr="00042FEF">
        <w:t>Kaipayil</w:t>
      </w:r>
      <w:proofErr w:type="spellEnd"/>
      <w:r w:rsidRPr="00042FEF">
        <w:t xml:space="preserve">, J. (2009). </w:t>
      </w:r>
      <w:proofErr w:type="spellStart"/>
      <w:r w:rsidRPr="00042FEF">
        <w:rPr>
          <w:i/>
          <w:iCs/>
        </w:rPr>
        <w:t>Relationalism</w:t>
      </w:r>
      <w:proofErr w:type="spellEnd"/>
      <w:r w:rsidRPr="00042FEF">
        <w:rPr>
          <w:i/>
          <w:iCs/>
        </w:rPr>
        <w:t>: A Theory of Being</w:t>
      </w:r>
      <w:r w:rsidRPr="00042FEF">
        <w:t>.</w:t>
      </w:r>
    </w:p>
    <w:p w14:paraId="32972531" w14:textId="172A3841" w:rsidR="00123EE9" w:rsidRDefault="00123EE9" w:rsidP="00042FEF">
      <w:r w:rsidRPr="00123EE9">
        <w:t xml:space="preserve">Kopytoff, I. (1986). The cultural biography of things: commoditization as process. </w:t>
      </w:r>
      <w:r w:rsidRPr="00123EE9">
        <w:rPr>
          <w:i/>
          <w:iCs/>
        </w:rPr>
        <w:t>The social life of things: Commodities in cultural perspective</w:t>
      </w:r>
      <w:r w:rsidRPr="00123EE9">
        <w:t xml:space="preserve">, </w:t>
      </w:r>
      <w:r w:rsidRPr="00123EE9">
        <w:rPr>
          <w:i/>
          <w:iCs/>
        </w:rPr>
        <w:t>68</w:t>
      </w:r>
      <w:r w:rsidRPr="00123EE9">
        <w:t>, 70-73.</w:t>
      </w:r>
    </w:p>
    <w:p w14:paraId="1F43292F" w14:textId="184AE31C" w:rsidR="00042FEF" w:rsidRDefault="00042FEF" w:rsidP="00042FEF">
      <w:r w:rsidRPr="00042FEF">
        <w:t xml:space="preserve">Latour, B. (1999). Factures/fractures: From the concept of network to the concept of attachment. </w:t>
      </w:r>
      <w:r w:rsidRPr="00042FEF">
        <w:rPr>
          <w:i/>
          <w:iCs/>
        </w:rPr>
        <w:t>Res: Anthropology and aesthetics</w:t>
      </w:r>
      <w:r w:rsidRPr="00042FEF">
        <w:t xml:space="preserve">, </w:t>
      </w:r>
      <w:r w:rsidRPr="00042FEF">
        <w:rPr>
          <w:i/>
          <w:iCs/>
        </w:rPr>
        <w:t>36</w:t>
      </w:r>
      <w:r w:rsidRPr="00042FEF">
        <w:t>(1), 20-31.</w:t>
      </w:r>
    </w:p>
    <w:p w14:paraId="72ADDD74" w14:textId="1DCBC315" w:rsidR="0010698B" w:rsidRDefault="0010698B" w:rsidP="00042FEF">
      <w:proofErr w:type="spellStart"/>
      <w:r w:rsidRPr="0010698B">
        <w:t>Malafouris</w:t>
      </w:r>
      <w:proofErr w:type="spellEnd"/>
      <w:r>
        <w:t>, L</w:t>
      </w:r>
      <w:r w:rsidRPr="0010698B">
        <w:t xml:space="preserve">. </w:t>
      </w:r>
      <w:r>
        <w:t xml:space="preserve">(2013) </w:t>
      </w:r>
      <w:r w:rsidRPr="0010698B">
        <w:rPr>
          <w:i/>
          <w:iCs/>
        </w:rPr>
        <w:t xml:space="preserve">How Things Shape the Mind: A Theory of Material Engagement. </w:t>
      </w:r>
      <w:r w:rsidRPr="0010698B">
        <w:t xml:space="preserve">Cambridge, MA. MIT Press. </w:t>
      </w:r>
    </w:p>
    <w:p w14:paraId="2966BE09" w14:textId="77777777" w:rsidR="004C06D1" w:rsidRPr="004C06D1" w:rsidRDefault="004C06D1" w:rsidP="004C06D1">
      <w:r w:rsidRPr="004C06D1">
        <w:t xml:space="preserve">Peters, M. E. (2019). Heidegger’s embodied others: On critiques of the body and ‘intersubjectivity’ in Being and Time. </w:t>
      </w:r>
      <w:r w:rsidRPr="004C06D1">
        <w:rPr>
          <w:i/>
          <w:iCs/>
        </w:rPr>
        <w:t>Phenomenology and the Cognitive Sciences</w:t>
      </w:r>
      <w:r w:rsidRPr="004C06D1">
        <w:t xml:space="preserve">, </w:t>
      </w:r>
      <w:r w:rsidRPr="004C06D1">
        <w:rPr>
          <w:i/>
          <w:iCs/>
        </w:rPr>
        <w:t>18</w:t>
      </w:r>
      <w:r w:rsidRPr="004C06D1">
        <w:t xml:space="preserve">(2), 441–458. </w:t>
      </w:r>
      <w:hyperlink r:id="rId20" w:history="1">
        <w:r w:rsidRPr="004C06D1">
          <w:rPr>
            <w:rStyle w:val="Hyperlink"/>
          </w:rPr>
          <w:t>https://doi.org/10.1007/s11097-018-9580-0</w:t>
        </w:r>
      </w:hyperlink>
    </w:p>
    <w:p w14:paraId="3018C88A" w14:textId="757E98F8" w:rsidR="004C06D1" w:rsidRPr="0010698B" w:rsidRDefault="00112D9B" w:rsidP="00042FEF">
      <w:r w:rsidRPr="00112D9B">
        <w:t xml:space="preserve">Tilley, C. Y. (1994). </w:t>
      </w:r>
      <w:r w:rsidRPr="00112D9B">
        <w:rPr>
          <w:i/>
          <w:iCs/>
        </w:rPr>
        <w:t xml:space="preserve">A phenomenology of </w:t>
      </w:r>
      <w:proofErr w:type="gramStart"/>
      <w:r w:rsidRPr="00112D9B">
        <w:rPr>
          <w:i/>
          <w:iCs/>
        </w:rPr>
        <w:t>landscape :</w:t>
      </w:r>
      <w:proofErr w:type="gramEnd"/>
      <w:r w:rsidRPr="00112D9B">
        <w:rPr>
          <w:i/>
          <w:iCs/>
        </w:rPr>
        <w:t xml:space="preserve"> places, paths, and monuments</w:t>
      </w:r>
      <w:r w:rsidRPr="00112D9B">
        <w:t>. Berg.</w:t>
      </w:r>
    </w:p>
    <w:p w14:paraId="7B5269BF" w14:textId="77777777" w:rsidR="00942C20" w:rsidRPr="00942C20" w:rsidRDefault="00942C20" w:rsidP="00942C20">
      <w:r w:rsidRPr="00942C20">
        <w:t xml:space="preserve">Van Oyen, A. (2015). Actor-Network Theory’s Take on Archaeological Types: Becoming, Material Agency and Historical Explanation. </w:t>
      </w:r>
      <w:r w:rsidRPr="00942C20">
        <w:rPr>
          <w:i/>
          <w:iCs/>
        </w:rPr>
        <w:t>Cambridge Archaeological Journal</w:t>
      </w:r>
      <w:r w:rsidRPr="00942C20">
        <w:t xml:space="preserve">, </w:t>
      </w:r>
      <w:r w:rsidRPr="00942C20">
        <w:rPr>
          <w:i/>
          <w:iCs/>
        </w:rPr>
        <w:t>25</w:t>
      </w:r>
      <w:r w:rsidRPr="00942C20">
        <w:t xml:space="preserve">(1), 63–78. doi:10.1017/S0959774314000705 </w:t>
      </w:r>
    </w:p>
    <w:p w14:paraId="0ECA4AEB" w14:textId="77777777" w:rsidR="00942C20" w:rsidRPr="00042FEF" w:rsidRDefault="00942C20" w:rsidP="00042FEF">
      <w:pPr>
        <w:rPr>
          <w:lang w:val="en-US"/>
        </w:rPr>
      </w:pPr>
    </w:p>
    <w:sectPr w:rsidR="00942C20" w:rsidRPr="00042F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C5815"/>
    <w:multiLevelType w:val="hybridMultilevel"/>
    <w:tmpl w:val="8436AB8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3EB76F8"/>
    <w:multiLevelType w:val="hybridMultilevel"/>
    <w:tmpl w:val="9E0E1594"/>
    <w:lvl w:ilvl="0" w:tplc="21AAE90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32058E"/>
    <w:multiLevelType w:val="hybridMultilevel"/>
    <w:tmpl w:val="31CA5F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3D48F9"/>
    <w:multiLevelType w:val="hybridMultilevel"/>
    <w:tmpl w:val="9A4270EC"/>
    <w:lvl w:ilvl="0" w:tplc="11068D7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7463FF"/>
    <w:multiLevelType w:val="hybridMultilevel"/>
    <w:tmpl w:val="8BD26F4C"/>
    <w:lvl w:ilvl="0" w:tplc="4EE2AA9A">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B85422"/>
    <w:multiLevelType w:val="hybridMultilevel"/>
    <w:tmpl w:val="79ECC804"/>
    <w:lvl w:ilvl="0" w:tplc="AD225CC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2376D8"/>
    <w:multiLevelType w:val="hybridMultilevel"/>
    <w:tmpl w:val="086EE1BA"/>
    <w:lvl w:ilvl="0" w:tplc="18AE398A">
      <w:start w:val="1"/>
      <w:numFmt w:val="bullet"/>
      <w:lvlText w:val=""/>
      <w:lvlJc w:val="left"/>
      <w:pPr>
        <w:tabs>
          <w:tab w:val="num" w:pos="720"/>
        </w:tabs>
        <w:ind w:left="720" w:hanging="360"/>
      </w:pPr>
      <w:rPr>
        <w:rFonts w:ascii="Wingdings 2" w:hAnsi="Wingdings 2" w:hint="default"/>
      </w:rPr>
    </w:lvl>
    <w:lvl w:ilvl="1" w:tplc="C5A4D762" w:tentative="1">
      <w:start w:val="1"/>
      <w:numFmt w:val="bullet"/>
      <w:lvlText w:val=""/>
      <w:lvlJc w:val="left"/>
      <w:pPr>
        <w:tabs>
          <w:tab w:val="num" w:pos="1440"/>
        </w:tabs>
        <w:ind w:left="1440" w:hanging="360"/>
      </w:pPr>
      <w:rPr>
        <w:rFonts w:ascii="Wingdings 2" w:hAnsi="Wingdings 2" w:hint="default"/>
      </w:rPr>
    </w:lvl>
    <w:lvl w:ilvl="2" w:tplc="43D81318" w:tentative="1">
      <w:start w:val="1"/>
      <w:numFmt w:val="bullet"/>
      <w:lvlText w:val=""/>
      <w:lvlJc w:val="left"/>
      <w:pPr>
        <w:tabs>
          <w:tab w:val="num" w:pos="2160"/>
        </w:tabs>
        <w:ind w:left="2160" w:hanging="360"/>
      </w:pPr>
      <w:rPr>
        <w:rFonts w:ascii="Wingdings 2" w:hAnsi="Wingdings 2" w:hint="default"/>
      </w:rPr>
    </w:lvl>
    <w:lvl w:ilvl="3" w:tplc="FA788A92" w:tentative="1">
      <w:start w:val="1"/>
      <w:numFmt w:val="bullet"/>
      <w:lvlText w:val=""/>
      <w:lvlJc w:val="left"/>
      <w:pPr>
        <w:tabs>
          <w:tab w:val="num" w:pos="2880"/>
        </w:tabs>
        <w:ind w:left="2880" w:hanging="360"/>
      </w:pPr>
      <w:rPr>
        <w:rFonts w:ascii="Wingdings 2" w:hAnsi="Wingdings 2" w:hint="default"/>
      </w:rPr>
    </w:lvl>
    <w:lvl w:ilvl="4" w:tplc="A33A62B8" w:tentative="1">
      <w:start w:val="1"/>
      <w:numFmt w:val="bullet"/>
      <w:lvlText w:val=""/>
      <w:lvlJc w:val="left"/>
      <w:pPr>
        <w:tabs>
          <w:tab w:val="num" w:pos="3600"/>
        </w:tabs>
        <w:ind w:left="3600" w:hanging="360"/>
      </w:pPr>
      <w:rPr>
        <w:rFonts w:ascii="Wingdings 2" w:hAnsi="Wingdings 2" w:hint="default"/>
      </w:rPr>
    </w:lvl>
    <w:lvl w:ilvl="5" w:tplc="8BA25736" w:tentative="1">
      <w:start w:val="1"/>
      <w:numFmt w:val="bullet"/>
      <w:lvlText w:val=""/>
      <w:lvlJc w:val="left"/>
      <w:pPr>
        <w:tabs>
          <w:tab w:val="num" w:pos="4320"/>
        </w:tabs>
        <w:ind w:left="4320" w:hanging="360"/>
      </w:pPr>
      <w:rPr>
        <w:rFonts w:ascii="Wingdings 2" w:hAnsi="Wingdings 2" w:hint="default"/>
      </w:rPr>
    </w:lvl>
    <w:lvl w:ilvl="6" w:tplc="3B4AE492" w:tentative="1">
      <w:start w:val="1"/>
      <w:numFmt w:val="bullet"/>
      <w:lvlText w:val=""/>
      <w:lvlJc w:val="left"/>
      <w:pPr>
        <w:tabs>
          <w:tab w:val="num" w:pos="5040"/>
        </w:tabs>
        <w:ind w:left="5040" w:hanging="360"/>
      </w:pPr>
      <w:rPr>
        <w:rFonts w:ascii="Wingdings 2" w:hAnsi="Wingdings 2" w:hint="default"/>
      </w:rPr>
    </w:lvl>
    <w:lvl w:ilvl="7" w:tplc="30988A74" w:tentative="1">
      <w:start w:val="1"/>
      <w:numFmt w:val="bullet"/>
      <w:lvlText w:val=""/>
      <w:lvlJc w:val="left"/>
      <w:pPr>
        <w:tabs>
          <w:tab w:val="num" w:pos="5760"/>
        </w:tabs>
        <w:ind w:left="5760" w:hanging="360"/>
      </w:pPr>
      <w:rPr>
        <w:rFonts w:ascii="Wingdings 2" w:hAnsi="Wingdings 2" w:hint="default"/>
      </w:rPr>
    </w:lvl>
    <w:lvl w:ilvl="8" w:tplc="FC2A783E"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59B41A30"/>
    <w:multiLevelType w:val="hybridMultilevel"/>
    <w:tmpl w:val="8436A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6420E4"/>
    <w:multiLevelType w:val="hybridMultilevel"/>
    <w:tmpl w:val="1360C444"/>
    <w:lvl w:ilvl="0" w:tplc="F14CA2C2">
      <w:start w:val="1"/>
      <w:numFmt w:val="bullet"/>
      <w:lvlText w:val=""/>
      <w:lvlJc w:val="left"/>
      <w:pPr>
        <w:tabs>
          <w:tab w:val="num" w:pos="720"/>
        </w:tabs>
        <w:ind w:left="720" w:hanging="360"/>
      </w:pPr>
      <w:rPr>
        <w:rFonts w:ascii="Wingdings 2" w:hAnsi="Wingdings 2" w:hint="default"/>
      </w:rPr>
    </w:lvl>
    <w:lvl w:ilvl="1" w:tplc="8878C728" w:tentative="1">
      <w:start w:val="1"/>
      <w:numFmt w:val="bullet"/>
      <w:lvlText w:val=""/>
      <w:lvlJc w:val="left"/>
      <w:pPr>
        <w:tabs>
          <w:tab w:val="num" w:pos="1440"/>
        </w:tabs>
        <w:ind w:left="1440" w:hanging="360"/>
      </w:pPr>
      <w:rPr>
        <w:rFonts w:ascii="Wingdings 2" w:hAnsi="Wingdings 2" w:hint="default"/>
      </w:rPr>
    </w:lvl>
    <w:lvl w:ilvl="2" w:tplc="FEEAF16E" w:tentative="1">
      <w:start w:val="1"/>
      <w:numFmt w:val="bullet"/>
      <w:lvlText w:val=""/>
      <w:lvlJc w:val="left"/>
      <w:pPr>
        <w:tabs>
          <w:tab w:val="num" w:pos="2160"/>
        </w:tabs>
        <w:ind w:left="2160" w:hanging="360"/>
      </w:pPr>
      <w:rPr>
        <w:rFonts w:ascii="Wingdings 2" w:hAnsi="Wingdings 2" w:hint="default"/>
      </w:rPr>
    </w:lvl>
    <w:lvl w:ilvl="3" w:tplc="C0BC7418" w:tentative="1">
      <w:start w:val="1"/>
      <w:numFmt w:val="bullet"/>
      <w:lvlText w:val=""/>
      <w:lvlJc w:val="left"/>
      <w:pPr>
        <w:tabs>
          <w:tab w:val="num" w:pos="2880"/>
        </w:tabs>
        <w:ind w:left="2880" w:hanging="360"/>
      </w:pPr>
      <w:rPr>
        <w:rFonts w:ascii="Wingdings 2" w:hAnsi="Wingdings 2" w:hint="default"/>
      </w:rPr>
    </w:lvl>
    <w:lvl w:ilvl="4" w:tplc="28EADB9A" w:tentative="1">
      <w:start w:val="1"/>
      <w:numFmt w:val="bullet"/>
      <w:lvlText w:val=""/>
      <w:lvlJc w:val="left"/>
      <w:pPr>
        <w:tabs>
          <w:tab w:val="num" w:pos="3600"/>
        </w:tabs>
        <w:ind w:left="3600" w:hanging="360"/>
      </w:pPr>
      <w:rPr>
        <w:rFonts w:ascii="Wingdings 2" w:hAnsi="Wingdings 2" w:hint="default"/>
      </w:rPr>
    </w:lvl>
    <w:lvl w:ilvl="5" w:tplc="58CAC99C" w:tentative="1">
      <w:start w:val="1"/>
      <w:numFmt w:val="bullet"/>
      <w:lvlText w:val=""/>
      <w:lvlJc w:val="left"/>
      <w:pPr>
        <w:tabs>
          <w:tab w:val="num" w:pos="4320"/>
        </w:tabs>
        <w:ind w:left="4320" w:hanging="360"/>
      </w:pPr>
      <w:rPr>
        <w:rFonts w:ascii="Wingdings 2" w:hAnsi="Wingdings 2" w:hint="default"/>
      </w:rPr>
    </w:lvl>
    <w:lvl w:ilvl="6" w:tplc="D938B148" w:tentative="1">
      <w:start w:val="1"/>
      <w:numFmt w:val="bullet"/>
      <w:lvlText w:val=""/>
      <w:lvlJc w:val="left"/>
      <w:pPr>
        <w:tabs>
          <w:tab w:val="num" w:pos="5040"/>
        </w:tabs>
        <w:ind w:left="5040" w:hanging="360"/>
      </w:pPr>
      <w:rPr>
        <w:rFonts w:ascii="Wingdings 2" w:hAnsi="Wingdings 2" w:hint="default"/>
      </w:rPr>
    </w:lvl>
    <w:lvl w:ilvl="7" w:tplc="8AE86A26" w:tentative="1">
      <w:start w:val="1"/>
      <w:numFmt w:val="bullet"/>
      <w:lvlText w:val=""/>
      <w:lvlJc w:val="left"/>
      <w:pPr>
        <w:tabs>
          <w:tab w:val="num" w:pos="5760"/>
        </w:tabs>
        <w:ind w:left="5760" w:hanging="360"/>
      </w:pPr>
      <w:rPr>
        <w:rFonts w:ascii="Wingdings 2" w:hAnsi="Wingdings 2" w:hint="default"/>
      </w:rPr>
    </w:lvl>
    <w:lvl w:ilvl="8" w:tplc="CC6E518E" w:tentative="1">
      <w:start w:val="1"/>
      <w:numFmt w:val="bullet"/>
      <w:lvlText w:val=""/>
      <w:lvlJc w:val="left"/>
      <w:pPr>
        <w:tabs>
          <w:tab w:val="num" w:pos="6480"/>
        </w:tabs>
        <w:ind w:left="6480" w:hanging="360"/>
      </w:pPr>
      <w:rPr>
        <w:rFonts w:ascii="Wingdings 2" w:hAnsi="Wingdings 2" w:hint="default"/>
      </w:rPr>
    </w:lvl>
  </w:abstractNum>
  <w:num w:numId="1" w16cid:durableId="1302617408">
    <w:abstractNumId w:val="2"/>
  </w:num>
  <w:num w:numId="2" w16cid:durableId="1388911902">
    <w:abstractNumId w:val="7"/>
  </w:num>
  <w:num w:numId="3" w16cid:durableId="461004893">
    <w:abstractNumId w:val="1"/>
  </w:num>
  <w:num w:numId="4" w16cid:durableId="178936308">
    <w:abstractNumId w:val="4"/>
  </w:num>
  <w:num w:numId="5" w16cid:durableId="547036718">
    <w:abstractNumId w:val="8"/>
  </w:num>
  <w:num w:numId="6" w16cid:durableId="1097795012">
    <w:abstractNumId w:val="6"/>
  </w:num>
  <w:num w:numId="7" w16cid:durableId="1502967801">
    <w:abstractNumId w:val="0"/>
  </w:num>
  <w:num w:numId="8" w16cid:durableId="1144005629">
    <w:abstractNumId w:val="5"/>
  </w:num>
  <w:num w:numId="9" w16cid:durableId="17401314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5D9"/>
    <w:rsid w:val="00013F4E"/>
    <w:rsid w:val="00042FEF"/>
    <w:rsid w:val="0005594F"/>
    <w:rsid w:val="00062534"/>
    <w:rsid w:val="000902DB"/>
    <w:rsid w:val="0010698B"/>
    <w:rsid w:val="00112D9B"/>
    <w:rsid w:val="00114CBF"/>
    <w:rsid w:val="00123EE9"/>
    <w:rsid w:val="001C43B7"/>
    <w:rsid w:val="001D71B4"/>
    <w:rsid w:val="00240C12"/>
    <w:rsid w:val="00246E24"/>
    <w:rsid w:val="00313C8F"/>
    <w:rsid w:val="003666EB"/>
    <w:rsid w:val="003920EC"/>
    <w:rsid w:val="00395A9C"/>
    <w:rsid w:val="003A16DA"/>
    <w:rsid w:val="003C4DB4"/>
    <w:rsid w:val="003E39E4"/>
    <w:rsid w:val="00400D31"/>
    <w:rsid w:val="00436DA8"/>
    <w:rsid w:val="004579CE"/>
    <w:rsid w:val="004C06D1"/>
    <w:rsid w:val="00544175"/>
    <w:rsid w:val="005802D2"/>
    <w:rsid w:val="00584A2E"/>
    <w:rsid w:val="005A7E84"/>
    <w:rsid w:val="005D28D3"/>
    <w:rsid w:val="00676A07"/>
    <w:rsid w:val="006F5551"/>
    <w:rsid w:val="00737F4A"/>
    <w:rsid w:val="007866A4"/>
    <w:rsid w:val="007B1362"/>
    <w:rsid w:val="008448C5"/>
    <w:rsid w:val="008A4263"/>
    <w:rsid w:val="008C6E0F"/>
    <w:rsid w:val="008D2506"/>
    <w:rsid w:val="00910CC5"/>
    <w:rsid w:val="00942C20"/>
    <w:rsid w:val="009715D9"/>
    <w:rsid w:val="0098505D"/>
    <w:rsid w:val="00993E2F"/>
    <w:rsid w:val="00A24338"/>
    <w:rsid w:val="00A57245"/>
    <w:rsid w:val="00A64160"/>
    <w:rsid w:val="00A76FB3"/>
    <w:rsid w:val="00A80917"/>
    <w:rsid w:val="00A92FB3"/>
    <w:rsid w:val="00AB688C"/>
    <w:rsid w:val="00AE1F1C"/>
    <w:rsid w:val="00AE3282"/>
    <w:rsid w:val="00AE3DFB"/>
    <w:rsid w:val="00B36EA8"/>
    <w:rsid w:val="00BA76B3"/>
    <w:rsid w:val="00BB24FF"/>
    <w:rsid w:val="00BE1656"/>
    <w:rsid w:val="00C428B5"/>
    <w:rsid w:val="00C54A88"/>
    <w:rsid w:val="00CE7CC4"/>
    <w:rsid w:val="00CF5DE8"/>
    <w:rsid w:val="00D330BE"/>
    <w:rsid w:val="00D55605"/>
    <w:rsid w:val="00D65678"/>
    <w:rsid w:val="00D9155A"/>
    <w:rsid w:val="00DC0926"/>
    <w:rsid w:val="00F218D9"/>
    <w:rsid w:val="00F222E8"/>
    <w:rsid w:val="00F30FFC"/>
    <w:rsid w:val="00F32E0A"/>
    <w:rsid w:val="00FE2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FC01F"/>
  <w15:chartTrackingRefBased/>
  <w15:docId w15:val="{8F9A4916-8F7C-4430-90C3-F0A7AF48A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15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15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15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15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15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15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15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15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15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5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15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15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15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15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15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15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15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15D9"/>
    <w:rPr>
      <w:rFonts w:eastAsiaTheme="majorEastAsia" w:cstheme="majorBidi"/>
      <w:color w:val="272727" w:themeColor="text1" w:themeTint="D8"/>
    </w:rPr>
  </w:style>
  <w:style w:type="paragraph" w:styleId="Title">
    <w:name w:val="Title"/>
    <w:basedOn w:val="Normal"/>
    <w:next w:val="Normal"/>
    <w:link w:val="TitleChar"/>
    <w:uiPriority w:val="10"/>
    <w:qFormat/>
    <w:rsid w:val="009715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15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15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15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15D9"/>
    <w:pPr>
      <w:spacing w:before="160"/>
      <w:jc w:val="center"/>
    </w:pPr>
    <w:rPr>
      <w:i/>
      <w:iCs/>
      <w:color w:val="404040" w:themeColor="text1" w:themeTint="BF"/>
    </w:rPr>
  </w:style>
  <w:style w:type="character" w:customStyle="1" w:styleId="QuoteChar">
    <w:name w:val="Quote Char"/>
    <w:basedOn w:val="DefaultParagraphFont"/>
    <w:link w:val="Quote"/>
    <w:uiPriority w:val="29"/>
    <w:rsid w:val="009715D9"/>
    <w:rPr>
      <w:i/>
      <w:iCs/>
      <w:color w:val="404040" w:themeColor="text1" w:themeTint="BF"/>
    </w:rPr>
  </w:style>
  <w:style w:type="paragraph" w:styleId="ListParagraph">
    <w:name w:val="List Paragraph"/>
    <w:basedOn w:val="Normal"/>
    <w:uiPriority w:val="34"/>
    <w:qFormat/>
    <w:rsid w:val="009715D9"/>
    <w:pPr>
      <w:ind w:left="720"/>
      <w:contextualSpacing/>
    </w:pPr>
  </w:style>
  <w:style w:type="character" w:styleId="IntenseEmphasis">
    <w:name w:val="Intense Emphasis"/>
    <w:basedOn w:val="DefaultParagraphFont"/>
    <w:uiPriority w:val="21"/>
    <w:qFormat/>
    <w:rsid w:val="009715D9"/>
    <w:rPr>
      <w:i/>
      <w:iCs/>
      <w:color w:val="0F4761" w:themeColor="accent1" w:themeShade="BF"/>
    </w:rPr>
  </w:style>
  <w:style w:type="paragraph" w:styleId="IntenseQuote">
    <w:name w:val="Intense Quote"/>
    <w:basedOn w:val="Normal"/>
    <w:next w:val="Normal"/>
    <w:link w:val="IntenseQuoteChar"/>
    <w:uiPriority w:val="30"/>
    <w:qFormat/>
    <w:rsid w:val="009715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15D9"/>
    <w:rPr>
      <w:i/>
      <w:iCs/>
      <w:color w:val="0F4761" w:themeColor="accent1" w:themeShade="BF"/>
    </w:rPr>
  </w:style>
  <w:style w:type="character" w:styleId="IntenseReference">
    <w:name w:val="Intense Reference"/>
    <w:basedOn w:val="DefaultParagraphFont"/>
    <w:uiPriority w:val="32"/>
    <w:qFormat/>
    <w:rsid w:val="009715D9"/>
    <w:rPr>
      <w:b/>
      <w:bCs/>
      <w:smallCaps/>
      <w:color w:val="0F4761" w:themeColor="accent1" w:themeShade="BF"/>
      <w:spacing w:val="5"/>
    </w:rPr>
  </w:style>
  <w:style w:type="character" w:styleId="Hyperlink">
    <w:name w:val="Hyperlink"/>
    <w:basedOn w:val="DefaultParagraphFont"/>
    <w:uiPriority w:val="99"/>
    <w:unhideWhenUsed/>
    <w:rsid w:val="00042FEF"/>
    <w:rPr>
      <w:color w:val="467886" w:themeColor="hyperlink"/>
      <w:u w:val="single"/>
    </w:rPr>
  </w:style>
  <w:style w:type="character" w:styleId="UnresolvedMention">
    <w:name w:val="Unresolved Mention"/>
    <w:basedOn w:val="DefaultParagraphFont"/>
    <w:uiPriority w:val="99"/>
    <w:semiHidden/>
    <w:unhideWhenUsed/>
    <w:rsid w:val="00042F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2325711">
      <w:bodyDiv w:val="1"/>
      <w:marLeft w:val="0"/>
      <w:marRight w:val="0"/>
      <w:marTop w:val="0"/>
      <w:marBottom w:val="0"/>
      <w:divBdr>
        <w:top w:val="none" w:sz="0" w:space="0" w:color="auto"/>
        <w:left w:val="none" w:sz="0" w:space="0" w:color="auto"/>
        <w:bottom w:val="none" w:sz="0" w:space="0" w:color="auto"/>
        <w:right w:val="none" w:sz="0" w:space="0" w:color="auto"/>
      </w:divBdr>
      <w:divsChild>
        <w:div w:id="180362990">
          <w:marLeft w:val="480"/>
          <w:marRight w:val="0"/>
          <w:marTop w:val="0"/>
          <w:marBottom w:val="0"/>
          <w:divBdr>
            <w:top w:val="none" w:sz="0" w:space="0" w:color="auto"/>
            <w:left w:val="none" w:sz="0" w:space="0" w:color="auto"/>
            <w:bottom w:val="none" w:sz="0" w:space="0" w:color="auto"/>
            <w:right w:val="none" w:sz="0" w:space="0" w:color="auto"/>
          </w:divBdr>
          <w:divsChild>
            <w:div w:id="1813139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972878">
      <w:bodyDiv w:val="1"/>
      <w:marLeft w:val="0"/>
      <w:marRight w:val="0"/>
      <w:marTop w:val="0"/>
      <w:marBottom w:val="0"/>
      <w:divBdr>
        <w:top w:val="none" w:sz="0" w:space="0" w:color="auto"/>
        <w:left w:val="none" w:sz="0" w:space="0" w:color="auto"/>
        <w:bottom w:val="none" w:sz="0" w:space="0" w:color="auto"/>
        <w:right w:val="none" w:sz="0" w:space="0" w:color="auto"/>
      </w:divBdr>
    </w:div>
    <w:div w:id="511601895">
      <w:bodyDiv w:val="1"/>
      <w:marLeft w:val="0"/>
      <w:marRight w:val="0"/>
      <w:marTop w:val="0"/>
      <w:marBottom w:val="0"/>
      <w:divBdr>
        <w:top w:val="none" w:sz="0" w:space="0" w:color="auto"/>
        <w:left w:val="none" w:sz="0" w:space="0" w:color="auto"/>
        <w:bottom w:val="none" w:sz="0" w:space="0" w:color="auto"/>
        <w:right w:val="none" w:sz="0" w:space="0" w:color="auto"/>
      </w:divBdr>
    </w:div>
    <w:div w:id="621694213">
      <w:bodyDiv w:val="1"/>
      <w:marLeft w:val="0"/>
      <w:marRight w:val="0"/>
      <w:marTop w:val="0"/>
      <w:marBottom w:val="0"/>
      <w:divBdr>
        <w:top w:val="none" w:sz="0" w:space="0" w:color="auto"/>
        <w:left w:val="none" w:sz="0" w:space="0" w:color="auto"/>
        <w:bottom w:val="none" w:sz="0" w:space="0" w:color="auto"/>
        <w:right w:val="none" w:sz="0" w:space="0" w:color="auto"/>
      </w:divBdr>
      <w:divsChild>
        <w:div w:id="1494450042">
          <w:marLeft w:val="480"/>
          <w:marRight w:val="0"/>
          <w:marTop w:val="0"/>
          <w:marBottom w:val="0"/>
          <w:divBdr>
            <w:top w:val="none" w:sz="0" w:space="0" w:color="auto"/>
            <w:left w:val="none" w:sz="0" w:space="0" w:color="auto"/>
            <w:bottom w:val="none" w:sz="0" w:space="0" w:color="auto"/>
            <w:right w:val="none" w:sz="0" w:space="0" w:color="auto"/>
          </w:divBdr>
          <w:divsChild>
            <w:div w:id="151094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948982">
      <w:bodyDiv w:val="1"/>
      <w:marLeft w:val="0"/>
      <w:marRight w:val="0"/>
      <w:marTop w:val="0"/>
      <w:marBottom w:val="0"/>
      <w:divBdr>
        <w:top w:val="none" w:sz="0" w:space="0" w:color="auto"/>
        <w:left w:val="none" w:sz="0" w:space="0" w:color="auto"/>
        <w:bottom w:val="none" w:sz="0" w:space="0" w:color="auto"/>
        <w:right w:val="none" w:sz="0" w:space="0" w:color="auto"/>
      </w:divBdr>
    </w:div>
    <w:div w:id="660432444">
      <w:bodyDiv w:val="1"/>
      <w:marLeft w:val="0"/>
      <w:marRight w:val="0"/>
      <w:marTop w:val="0"/>
      <w:marBottom w:val="0"/>
      <w:divBdr>
        <w:top w:val="none" w:sz="0" w:space="0" w:color="auto"/>
        <w:left w:val="none" w:sz="0" w:space="0" w:color="auto"/>
        <w:bottom w:val="none" w:sz="0" w:space="0" w:color="auto"/>
        <w:right w:val="none" w:sz="0" w:space="0" w:color="auto"/>
      </w:divBdr>
    </w:div>
    <w:div w:id="720711303">
      <w:bodyDiv w:val="1"/>
      <w:marLeft w:val="0"/>
      <w:marRight w:val="0"/>
      <w:marTop w:val="0"/>
      <w:marBottom w:val="0"/>
      <w:divBdr>
        <w:top w:val="none" w:sz="0" w:space="0" w:color="auto"/>
        <w:left w:val="none" w:sz="0" w:space="0" w:color="auto"/>
        <w:bottom w:val="none" w:sz="0" w:space="0" w:color="auto"/>
        <w:right w:val="none" w:sz="0" w:space="0" w:color="auto"/>
      </w:divBdr>
      <w:divsChild>
        <w:div w:id="1795443011">
          <w:marLeft w:val="480"/>
          <w:marRight w:val="0"/>
          <w:marTop w:val="0"/>
          <w:marBottom w:val="0"/>
          <w:divBdr>
            <w:top w:val="none" w:sz="0" w:space="0" w:color="auto"/>
            <w:left w:val="none" w:sz="0" w:space="0" w:color="auto"/>
            <w:bottom w:val="none" w:sz="0" w:space="0" w:color="auto"/>
            <w:right w:val="none" w:sz="0" w:space="0" w:color="auto"/>
          </w:divBdr>
          <w:divsChild>
            <w:div w:id="818230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926345">
      <w:bodyDiv w:val="1"/>
      <w:marLeft w:val="0"/>
      <w:marRight w:val="0"/>
      <w:marTop w:val="0"/>
      <w:marBottom w:val="0"/>
      <w:divBdr>
        <w:top w:val="none" w:sz="0" w:space="0" w:color="auto"/>
        <w:left w:val="none" w:sz="0" w:space="0" w:color="auto"/>
        <w:bottom w:val="none" w:sz="0" w:space="0" w:color="auto"/>
        <w:right w:val="none" w:sz="0" w:space="0" w:color="auto"/>
      </w:divBdr>
      <w:divsChild>
        <w:div w:id="60443134">
          <w:marLeft w:val="480"/>
          <w:marRight w:val="0"/>
          <w:marTop w:val="0"/>
          <w:marBottom w:val="0"/>
          <w:divBdr>
            <w:top w:val="none" w:sz="0" w:space="0" w:color="auto"/>
            <w:left w:val="none" w:sz="0" w:space="0" w:color="auto"/>
            <w:bottom w:val="none" w:sz="0" w:space="0" w:color="auto"/>
            <w:right w:val="none" w:sz="0" w:space="0" w:color="auto"/>
          </w:divBdr>
          <w:divsChild>
            <w:div w:id="730495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410268">
      <w:bodyDiv w:val="1"/>
      <w:marLeft w:val="0"/>
      <w:marRight w:val="0"/>
      <w:marTop w:val="0"/>
      <w:marBottom w:val="0"/>
      <w:divBdr>
        <w:top w:val="none" w:sz="0" w:space="0" w:color="auto"/>
        <w:left w:val="none" w:sz="0" w:space="0" w:color="auto"/>
        <w:bottom w:val="none" w:sz="0" w:space="0" w:color="auto"/>
        <w:right w:val="none" w:sz="0" w:space="0" w:color="auto"/>
      </w:divBdr>
      <w:divsChild>
        <w:div w:id="1479804786">
          <w:marLeft w:val="0"/>
          <w:marRight w:val="0"/>
          <w:marTop w:val="0"/>
          <w:marBottom w:val="0"/>
          <w:divBdr>
            <w:top w:val="none" w:sz="0" w:space="0" w:color="auto"/>
            <w:left w:val="none" w:sz="0" w:space="0" w:color="auto"/>
            <w:bottom w:val="none" w:sz="0" w:space="0" w:color="auto"/>
            <w:right w:val="none" w:sz="0" w:space="0" w:color="auto"/>
          </w:divBdr>
          <w:divsChild>
            <w:div w:id="1436170833">
              <w:marLeft w:val="0"/>
              <w:marRight w:val="0"/>
              <w:marTop w:val="0"/>
              <w:marBottom w:val="0"/>
              <w:divBdr>
                <w:top w:val="none" w:sz="0" w:space="0" w:color="auto"/>
                <w:left w:val="none" w:sz="0" w:space="0" w:color="auto"/>
                <w:bottom w:val="none" w:sz="0" w:space="0" w:color="auto"/>
                <w:right w:val="none" w:sz="0" w:space="0" w:color="auto"/>
              </w:divBdr>
              <w:divsChild>
                <w:div w:id="8122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323683">
      <w:bodyDiv w:val="1"/>
      <w:marLeft w:val="0"/>
      <w:marRight w:val="0"/>
      <w:marTop w:val="0"/>
      <w:marBottom w:val="0"/>
      <w:divBdr>
        <w:top w:val="none" w:sz="0" w:space="0" w:color="auto"/>
        <w:left w:val="none" w:sz="0" w:space="0" w:color="auto"/>
        <w:bottom w:val="none" w:sz="0" w:space="0" w:color="auto"/>
        <w:right w:val="none" w:sz="0" w:space="0" w:color="auto"/>
      </w:divBdr>
      <w:divsChild>
        <w:div w:id="1316299691">
          <w:marLeft w:val="691"/>
          <w:marRight w:val="0"/>
          <w:marTop w:val="0"/>
          <w:marBottom w:val="0"/>
          <w:divBdr>
            <w:top w:val="none" w:sz="0" w:space="0" w:color="auto"/>
            <w:left w:val="none" w:sz="0" w:space="0" w:color="auto"/>
            <w:bottom w:val="none" w:sz="0" w:space="0" w:color="auto"/>
            <w:right w:val="none" w:sz="0" w:space="0" w:color="auto"/>
          </w:divBdr>
        </w:div>
      </w:divsChild>
    </w:div>
    <w:div w:id="1487278674">
      <w:bodyDiv w:val="1"/>
      <w:marLeft w:val="0"/>
      <w:marRight w:val="0"/>
      <w:marTop w:val="0"/>
      <w:marBottom w:val="0"/>
      <w:divBdr>
        <w:top w:val="none" w:sz="0" w:space="0" w:color="auto"/>
        <w:left w:val="none" w:sz="0" w:space="0" w:color="auto"/>
        <w:bottom w:val="none" w:sz="0" w:space="0" w:color="auto"/>
        <w:right w:val="none" w:sz="0" w:space="0" w:color="auto"/>
      </w:divBdr>
      <w:divsChild>
        <w:div w:id="995300492">
          <w:marLeft w:val="480"/>
          <w:marRight w:val="0"/>
          <w:marTop w:val="0"/>
          <w:marBottom w:val="0"/>
          <w:divBdr>
            <w:top w:val="none" w:sz="0" w:space="0" w:color="auto"/>
            <w:left w:val="none" w:sz="0" w:space="0" w:color="auto"/>
            <w:bottom w:val="none" w:sz="0" w:space="0" w:color="auto"/>
            <w:right w:val="none" w:sz="0" w:space="0" w:color="auto"/>
          </w:divBdr>
          <w:divsChild>
            <w:div w:id="45999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959572">
      <w:bodyDiv w:val="1"/>
      <w:marLeft w:val="0"/>
      <w:marRight w:val="0"/>
      <w:marTop w:val="0"/>
      <w:marBottom w:val="0"/>
      <w:divBdr>
        <w:top w:val="none" w:sz="0" w:space="0" w:color="auto"/>
        <w:left w:val="none" w:sz="0" w:space="0" w:color="auto"/>
        <w:bottom w:val="none" w:sz="0" w:space="0" w:color="auto"/>
        <w:right w:val="none" w:sz="0" w:space="0" w:color="auto"/>
      </w:divBdr>
      <w:divsChild>
        <w:div w:id="440345992">
          <w:marLeft w:val="480"/>
          <w:marRight w:val="0"/>
          <w:marTop w:val="0"/>
          <w:marBottom w:val="0"/>
          <w:divBdr>
            <w:top w:val="none" w:sz="0" w:space="0" w:color="auto"/>
            <w:left w:val="none" w:sz="0" w:space="0" w:color="auto"/>
            <w:bottom w:val="none" w:sz="0" w:space="0" w:color="auto"/>
            <w:right w:val="none" w:sz="0" w:space="0" w:color="auto"/>
          </w:divBdr>
          <w:divsChild>
            <w:div w:id="1309676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100440">
      <w:bodyDiv w:val="1"/>
      <w:marLeft w:val="0"/>
      <w:marRight w:val="0"/>
      <w:marTop w:val="0"/>
      <w:marBottom w:val="0"/>
      <w:divBdr>
        <w:top w:val="none" w:sz="0" w:space="0" w:color="auto"/>
        <w:left w:val="none" w:sz="0" w:space="0" w:color="auto"/>
        <w:bottom w:val="none" w:sz="0" w:space="0" w:color="auto"/>
        <w:right w:val="none" w:sz="0" w:space="0" w:color="auto"/>
      </w:divBdr>
      <w:divsChild>
        <w:div w:id="1614441836">
          <w:marLeft w:val="0"/>
          <w:marRight w:val="0"/>
          <w:marTop w:val="0"/>
          <w:marBottom w:val="0"/>
          <w:divBdr>
            <w:top w:val="none" w:sz="0" w:space="0" w:color="auto"/>
            <w:left w:val="none" w:sz="0" w:space="0" w:color="auto"/>
            <w:bottom w:val="none" w:sz="0" w:space="0" w:color="auto"/>
            <w:right w:val="none" w:sz="0" w:space="0" w:color="auto"/>
          </w:divBdr>
          <w:divsChild>
            <w:div w:id="1320498205">
              <w:marLeft w:val="0"/>
              <w:marRight w:val="0"/>
              <w:marTop w:val="0"/>
              <w:marBottom w:val="0"/>
              <w:divBdr>
                <w:top w:val="none" w:sz="0" w:space="0" w:color="auto"/>
                <w:left w:val="none" w:sz="0" w:space="0" w:color="auto"/>
                <w:bottom w:val="none" w:sz="0" w:space="0" w:color="auto"/>
                <w:right w:val="none" w:sz="0" w:space="0" w:color="auto"/>
              </w:divBdr>
              <w:divsChild>
                <w:div w:id="48051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213515">
      <w:bodyDiv w:val="1"/>
      <w:marLeft w:val="0"/>
      <w:marRight w:val="0"/>
      <w:marTop w:val="0"/>
      <w:marBottom w:val="0"/>
      <w:divBdr>
        <w:top w:val="none" w:sz="0" w:space="0" w:color="auto"/>
        <w:left w:val="none" w:sz="0" w:space="0" w:color="auto"/>
        <w:bottom w:val="none" w:sz="0" w:space="0" w:color="auto"/>
        <w:right w:val="none" w:sz="0" w:space="0" w:color="auto"/>
      </w:divBdr>
      <w:divsChild>
        <w:div w:id="978728503">
          <w:marLeft w:val="691"/>
          <w:marRight w:val="0"/>
          <w:marTop w:val="0"/>
          <w:marBottom w:val="0"/>
          <w:divBdr>
            <w:top w:val="none" w:sz="0" w:space="0" w:color="auto"/>
            <w:left w:val="none" w:sz="0" w:space="0" w:color="auto"/>
            <w:bottom w:val="none" w:sz="0" w:space="0" w:color="auto"/>
            <w:right w:val="none" w:sz="0" w:space="0" w:color="auto"/>
          </w:divBdr>
        </w:div>
      </w:divsChild>
    </w:div>
    <w:div w:id="2124766765">
      <w:bodyDiv w:val="1"/>
      <w:marLeft w:val="0"/>
      <w:marRight w:val="0"/>
      <w:marTop w:val="0"/>
      <w:marBottom w:val="0"/>
      <w:divBdr>
        <w:top w:val="none" w:sz="0" w:space="0" w:color="auto"/>
        <w:left w:val="none" w:sz="0" w:space="0" w:color="auto"/>
        <w:bottom w:val="none" w:sz="0" w:space="0" w:color="auto"/>
        <w:right w:val="none" w:sz="0" w:space="0" w:color="auto"/>
      </w:divBdr>
      <w:divsChild>
        <w:div w:id="916980009">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doi.org/10.1007/s11097-018-9580-0"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jpeg"/><Relationship Id="rId19" Type="http://schemas.openxmlformats.org/officeDocument/2006/relationships/hyperlink" Target="https://muse.jhu.edu/book/40217"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8EAFFC-1CF4-440F-A377-AFF57794B6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478</TotalTime>
  <Pages>11</Pages>
  <Words>2781</Words>
  <Characters>15519</Characters>
  <Application>Microsoft Office Word</Application>
  <DocSecurity>0</DocSecurity>
  <Lines>267</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Apollo Caddy (2305582)</dc:creator>
  <cp:keywords/>
  <dc:description/>
  <cp:lastModifiedBy>Apollo Caddy (2305582)</cp:lastModifiedBy>
  <cp:revision>9</cp:revision>
  <dcterms:created xsi:type="dcterms:W3CDTF">2024-11-19T14:39:00Z</dcterms:created>
  <dcterms:modified xsi:type="dcterms:W3CDTF">2024-11-19T22:40:00Z</dcterms:modified>
</cp:coreProperties>
</file>