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32A6F" w14:textId="77777777" w:rsidR="00792E62" w:rsidRDefault="00792E62" w:rsidP="00792E62">
      <w:pPr>
        <w:spacing w:line="480" w:lineRule="auto"/>
        <w:jc w:val="center"/>
        <w:rPr>
          <w:rFonts w:ascii="Times New Roman" w:hAnsi="Times New Roman" w:cs="Times New Roman"/>
        </w:rPr>
      </w:pPr>
    </w:p>
    <w:p w14:paraId="7A25E194" w14:textId="77777777" w:rsidR="00792E62" w:rsidRDefault="00792E62" w:rsidP="00792E62">
      <w:pPr>
        <w:spacing w:line="480" w:lineRule="auto"/>
        <w:jc w:val="center"/>
        <w:rPr>
          <w:rFonts w:ascii="Times New Roman" w:hAnsi="Times New Roman" w:cs="Times New Roman"/>
        </w:rPr>
      </w:pPr>
    </w:p>
    <w:p w14:paraId="7EEDB44D" w14:textId="201FAC68" w:rsidR="00792E62" w:rsidRPr="00792E62" w:rsidRDefault="00792E62" w:rsidP="00792E62">
      <w:pPr>
        <w:spacing w:line="480" w:lineRule="auto"/>
        <w:jc w:val="center"/>
        <w:rPr>
          <w:rFonts w:ascii="Times New Roman" w:hAnsi="Times New Roman" w:cs="Times New Roman"/>
          <w:sz w:val="24"/>
          <w:szCs w:val="24"/>
        </w:rPr>
      </w:pPr>
      <w:r w:rsidRPr="00792E62">
        <w:rPr>
          <w:rFonts w:ascii="Times New Roman" w:hAnsi="Times New Roman" w:cs="Times New Roman"/>
          <w:sz w:val="24"/>
          <w:szCs w:val="24"/>
        </w:rPr>
        <w:t>ASSIGNMENT 2</w:t>
      </w:r>
    </w:p>
    <w:p w14:paraId="002ADE38" w14:textId="7A3C206D" w:rsidR="00792E62" w:rsidRPr="00792E62" w:rsidRDefault="00792E62" w:rsidP="00792E62">
      <w:pPr>
        <w:spacing w:line="480" w:lineRule="auto"/>
        <w:jc w:val="center"/>
        <w:rPr>
          <w:rFonts w:ascii="Times New Roman" w:hAnsi="Times New Roman" w:cs="Times New Roman"/>
          <w:sz w:val="24"/>
          <w:szCs w:val="24"/>
        </w:rPr>
      </w:pPr>
      <w:r w:rsidRPr="00792E62">
        <w:rPr>
          <w:rFonts w:ascii="Times New Roman" w:hAnsi="Times New Roman" w:cs="Times New Roman"/>
          <w:sz w:val="24"/>
          <w:szCs w:val="24"/>
        </w:rPr>
        <w:t>MANAGEMENT ACCOUNTING LCBB5002</w:t>
      </w:r>
    </w:p>
    <w:p w14:paraId="079BCD1C" w14:textId="32064118" w:rsidR="00792E62" w:rsidRPr="00792E62" w:rsidRDefault="00792E62" w:rsidP="00792E62">
      <w:pPr>
        <w:spacing w:line="480" w:lineRule="auto"/>
        <w:jc w:val="center"/>
        <w:rPr>
          <w:rFonts w:ascii="Times New Roman" w:hAnsi="Times New Roman" w:cs="Times New Roman"/>
          <w:sz w:val="24"/>
          <w:szCs w:val="24"/>
        </w:rPr>
      </w:pPr>
      <w:r w:rsidRPr="00792E62">
        <w:rPr>
          <w:rFonts w:ascii="Times New Roman" w:hAnsi="Times New Roman" w:cs="Times New Roman"/>
          <w:sz w:val="24"/>
          <w:szCs w:val="24"/>
        </w:rPr>
        <w:t>LECTURER WINFIRED SORIBE</w:t>
      </w:r>
    </w:p>
    <w:p w14:paraId="7F185894" w14:textId="77777777" w:rsidR="00792E62" w:rsidRPr="00792E62" w:rsidRDefault="00792E62" w:rsidP="00792E62">
      <w:pPr>
        <w:spacing w:line="480" w:lineRule="auto"/>
        <w:jc w:val="center"/>
        <w:rPr>
          <w:rFonts w:ascii="Times New Roman" w:hAnsi="Times New Roman" w:cs="Times New Roman"/>
          <w:sz w:val="24"/>
          <w:szCs w:val="24"/>
        </w:rPr>
      </w:pPr>
      <w:r w:rsidRPr="00792E62">
        <w:rPr>
          <w:rFonts w:ascii="Times New Roman" w:hAnsi="Times New Roman" w:cs="Times New Roman"/>
          <w:sz w:val="24"/>
          <w:szCs w:val="24"/>
        </w:rPr>
        <w:t>UNIVERSITY OF WALES TRINITY SAINT DAVID</w:t>
      </w:r>
    </w:p>
    <w:p w14:paraId="640B10D4" w14:textId="77777777" w:rsidR="00792E62" w:rsidRPr="00792E62" w:rsidRDefault="00792E62" w:rsidP="00792E62">
      <w:pPr>
        <w:spacing w:line="480" w:lineRule="auto"/>
        <w:jc w:val="center"/>
        <w:rPr>
          <w:rFonts w:ascii="Times New Roman" w:hAnsi="Times New Roman" w:cs="Times New Roman"/>
          <w:sz w:val="24"/>
          <w:szCs w:val="24"/>
        </w:rPr>
      </w:pPr>
      <w:r w:rsidRPr="00792E62">
        <w:rPr>
          <w:rFonts w:ascii="Times New Roman" w:hAnsi="Times New Roman" w:cs="Times New Roman"/>
          <w:sz w:val="24"/>
          <w:szCs w:val="24"/>
        </w:rPr>
        <w:t>MAY 2022 BUSINESS MANAGEMENT</w:t>
      </w:r>
    </w:p>
    <w:p w14:paraId="2DBEA6ED" w14:textId="34FC0DE9" w:rsidR="00792E62" w:rsidRPr="00792E62" w:rsidRDefault="00792E62" w:rsidP="00792E62">
      <w:pPr>
        <w:spacing w:after="0" w:line="480" w:lineRule="auto"/>
        <w:jc w:val="center"/>
        <w:rPr>
          <w:rFonts w:ascii="Times New Roman" w:hAnsi="Times New Roman" w:cs="Times New Roman"/>
          <w:sz w:val="24"/>
          <w:szCs w:val="24"/>
        </w:rPr>
      </w:pPr>
      <w:r w:rsidRPr="00792E62">
        <w:rPr>
          <w:rFonts w:ascii="Times New Roman" w:hAnsi="Times New Roman" w:cs="Times New Roman"/>
          <w:sz w:val="24"/>
          <w:szCs w:val="24"/>
        </w:rPr>
        <w:t>DANIEL ANTONESCU 1914798</w:t>
      </w:r>
    </w:p>
    <w:p w14:paraId="44AE7577" w14:textId="73DD3D8E" w:rsidR="00792E62" w:rsidRPr="00792E62" w:rsidRDefault="00792E62" w:rsidP="00792E62">
      <w:pPr>
        <w:spacing w:after="0" w:line="480" w:lineRule="auto"/>
        <w:jc w:val="center"/>
        <w:rPr>
          <w:rFonts w:ascii="Times New Roman" w:hAnsi="Times New Roman" w:cs="Times New Roman"/>
          <w:sz w:val="24"/>
          <w:szCs w:val="24"/>
        </w:rPr>
      </w:pPr>
    </w:p>
    <w:p w14:paraId="098F5CF0" w14:textId="5BED0979" w:rsidR="00792E62" w:rsidRPr="00792E62" w:rsidRDefault="00792E62" w:rsidP="00792E62">
      <w:pPr>
        <w:spacing w:after="0" w:line="480" w:lineRule="auto"/>
        <w:jc w:val="center"/>
        <w:rPr>
          <w:rFonts w:ascii="Times New Roman" w:hAnsi="Times New Roman" w:cs="Times New Roman"/>
          <w:sz w:val="24"/>
          <w:szCs w:val="24"/>
        </w:rPr>
      </w:pPr>
    </w:p>
    <w:p w14:paraId="2F916031" w14:textId="77240D97" w:rsidR="00792E62" w:rsidRPr="00792E62" w:rsidRDefault="00792E62" w:rsidP="00792E62">
      <w:pPr>
        <w:spacing w:after="0" w:line="480" w:lineRule="auto"/>
        <w:jc w:val="center"/>
        <w:rPr>
          <w:rFonts w:ascii="Times New Roman" w:hAnsi="Times New Roman" w:cs="Times New Roman"/>
          <w:sz w:val="24"/>
          <w:szCs w:val="24"/>
        </w:rPr>
      </w:pPr>
    </w:p>
    <w:p w14:paraId="3D2A593C" w14:textId="1CAE248C" w:rsidR="00792E62" w:rsidRPr="00792E62" w:rsidRDefault="00792E62" w:rsidP="00792E62">
      <w:pPr>
        <w:spacing w:after="0" w:line="480" w:lineRule="auto"/>
        <w:jc w:val="center"/>
        <w:rPr>
          <w:rFonts w:ascii="Times New Roman" w:hAnsi="Times New Roman" w:cs="Times New Roman"/>
          <w:sz w:val="24"/>
          <w:szCs w:val="24"/>
        </w:rPr>
      </w:pPr>
    </w:p>
    <w:p w14:paraId="5FBCC8DA" w14:textId="687243A9" w:rsidR="00792E62" w:rsidRPr="00792E62" w:rsidRDefault="00792E62" w:rsidP="00792E62">
      <w:pPr>
        <w:spacing w:after="0" w:line="480" w:lineRule="auto"/>
        <w:jc w:val="center"/>
        <w:rPr>
          <w:rFonts w:ascii="Times New Roman" w:hAnsi="Times New Roman" w:cs="Times New Roman"/>
          <w:sz w:val="24"/>
          <w:szCs w:val="24"/>
        </w:rPr>
      </w:pPr>
    </w:p>
    <w:p w14:paraId="029A9CE4" w14:textId="77C78715" w:rsidR="00792E62" w:rsidRPr="00792E62" w:rsidRDefault="00792E62" w:rsidP="00792E62">
      <w:pPr>
        <w:spacing w:after="0" w:line="480" w:lineRule="auto"/>
        <w:jc w:val="center"/>
        <w:rPr>
          <w:rFonts w:ascii="Times New Roman" w:hAnsi="Times New Roman" w:cs="Times New Roman"/>
          <w:sz w:val="24"/>
          <w:szCs w:val="24"/>
        </w:rPr>
      </w:pPr>
      <w:r w:rsidRPr="00792E62">
        <w:rPr>
          <w:rFonts w:ascii="Times New Roman" w:hAnsi="Times New Roman" w:cs="Times New Roman"/>
          <w:sz w:val="24"/>
          <w:szCs w:val="24"/>
        </w:rPr>
        <w:t>ASSIGNMENT 2</w:t>
      </w:r>
    </w:p>
    <w:p w14:paraId="3C9619FB" w14:textId="656F74A5" w:rsidR="00792E62" w:rsidRPr="00792E62" w:rsidRDefault="00792E62" w:rsidP="00792E62">
      <w:pPr>
        <w:spacing w:after="0" w:line="480" w:lineRule="auto"/>
        <w:jc w:val="center"/>
        <w:rPr>
          <w:rFonts w:ascii="Times New Roman" w:hAnsi="Times New Roman" w:cs="Times New Roman"/>
        </w:rPr>
      </w:pPr>
    </w:p>
    <w:p w14:paraId="7FDABC33" w14:textId="0572DDB4" w:rsidR="00792E62" w:rsidRPr="00792E62" w:rsidRDefault="00792E62" w:rsidP="00792E62">
      <w:pPr>
        <w:spacing w:after="0" w:line="480" w:lineRule="auto"/>
        <w:jc w:val="center"/>
        <w:rPr>
          <w:rFonts w:ascii="Times New Roman" w:hAnsi="Times New Roman" w:cs="Times New Roman"/>
        </w:rPr>
      </w:pPr>
    </w:p>
    <w:p w14:paraId="22AFE888" w14:textId="51786E57" w:rsidR="00792E62" w:rsidRPr="00792E62" w:rsidRDefault="00792E62" w:rsidP="00792E62">
      <w:pPr>
        <w:spacing w:after="0" w:line="480" w:lineRule="auto"/>
        <w:jc w:val="both"/>
        <w:rPr>
          <w:rFonts w:ascii="Times New Roman" w:hAnsi="Times New Roman" w:cs="Times New Roman"/>
        </w:rPr>
      </w:pPr>
    </w:p>
    <w:p w14:paraId="142DDDA5" w14:textId="3E9CB4D8" w:rsidR="00792E62" w:rsidRPr="00792E62" w:rsidRDefault="00792E62" w:rsidP="00792E62">
      <w:pPr>
        <w:spacing w:after="0" w:line="480" w:lineRule="auto"/>
        <w:jc w:val="both"/>
        <w:rPr>
          <w:rFonts w:ascii="Times New Roman" w:hAnsi="Times New Roman" w:cs="Times New Roman"/>
        </w:rPr>
      </w:pPr>
    </w:p>
    <w:p w14:paraId="1CD29B43" w14:textId="569B162E" w:rsidR="00792E62" w:rsidRPr="00792E62" w:rsidRDefault="00792E62" w:rsidP="00792E62">
      <w:pPr>
        <w:spacing w:after="0" w:line="480" w:lineRule="auto"/>
        <w:jc w:val="both"/>
        <w:rPr>
          <w:rFonts w:ascii="Times New Roman" w:hAnsi="Times New Roman" w:cs="Times New Roman"/>
        </w:rPr>
      </w:pPr>
    </w:p>
    <w:p w14:paraId="16AECF6F" w14:textId="4B589E4E" w:rsidR="00792E62" w:rsidRPr="00792E62" w:rsidRDefault="00792E62" w:rsidP="00792E62">
      <w:pPr>
        <w:spacing w:after="0" w:line="480" w:lineRule="auto"/>
        <w:jc w:val="both"/>
        <w:rPr>
          <w:rFonts w:ascii="Times New Roman" w:hAnsi="Times New Roman" w:cs="Times New Roman"/>
        </w:rPr>
      </w:pPr>
    </w:p>
    <w:p w14:paraId="21BDED08" w14:textId="0E3B0574" w:rsidR="00792E62" w:rsidRPr="00792E62" w:rsidRDefault="00792E62" w:rsidP="00792E62">
      <w:pPr>
        <w:spacing w:after="0" w:line="480" w:lineRule="auto"/>
        <w:jc w:val="both"/>
        <w:rPr>
          <w:rFonts w:ascii="Times New Roman" w:hAnsi="Times New Roman" w:cs="Times New Roman"/>
        </w:rPr>
      </w:pPr>
    </w:p>
    <w:p w14:paraId="094CF9CD" w14:textId="77777777" w:rsidR="00792E62" w:rsidRPr="00792E62" w:rsidRDefault="00792E62" w:rsidP="00792E62">
      <w:pPr>
        <w:spacing w:after="0" w:line="480" w:lineRule="auto"/>
        <w:jc w:val="both"/>
        <w:rPr>
          <w:rFonts w:ascii="Times New Roman" w:hAnsi="Times New Roman" w:cs="Times New Roman"/>
          <w:lang w:val="en-GB"/>
        </w:rPr>
      </w:pPr>
    </w:p>
    <w:p w14:paraId="06168D72" w14:textId="77777777" w:rsidR="00792E62" w:rsidRPr="00792E62" w:rsidRDefault="00792E62" w:rsidP="00792E62">
      <w:pPr>
        <w:spacing w:after="0" w:line="480" w:lineRule="auto"/>
        <w:jc w:val="both"/>
        <w:rPr>
          <w:rFonts w:ascii="Times New Roman" w:hAnsi="Times New Roman" w:cs="Times New Roman"/>
          <w:lang w:val="en-GB"/>
        </w:rPr>
      </w:pPr>
    </w:p>
    <w:p w14:paraId="2A3CFC7F" w14:textId="77777777" w:rsidR="00792E62" w:rsidRPr="00792E62" w:rsidRDefault="00792E62" w:rsidP="00792E62">
      <w:pPr>
        <w:spacing w:after="0" w:line="480" w:lineRule="auto"/>
        <w:jc w:val="both"/>
        <w:rPr>
          <w:rFonts w:ascii="Times New Roman" w:hAnsi="Times New Roman" w:cs="Times New Roman"/>
          <w:lang w:val="en-GB"/>
        </w:rPr>
      </w:pPr>
    </w:p>
    <w:p w14:paraId="244DD675" w14:textId="4D5C5399" w:rsidR="00792E62" w:rsidRPr="00792E62" w:rsidRDefault="00792E62" w:rsidP="00792E62">
      <w:pPr>
        <w:spacing w:line="480" w:lineRule="auto"/>
        <w:jc w:val="center"/>
        <w:rPr>
          <w:rFonts w:ascii="Times New Roman" w:hAnsi="Times New Roman" w:cs="Times New Roman"/>
          <w:sz w:val="24"/>
          <w:szCs w:val="24"/>
          <w:lang w:val="en-GB"/>
        </w:rPr>
      </w:pPr>
      <w:r w:rsidRPr="00792E62">
        <w:rPr>
          <w:rFonts w:ascii="Times New Roman" w:hAnsi="Times New Roman" w:cs="Times New Roman"/>
          <w:lang w:val="en-GB"/>
        </w:rPr>
        <w:br w:type="page"/>
      </w:r>
      <w:r w:rsidRPr="00792E62">
        <w:rPr>
          <w:rFonts w:ascii="Times New Roman" w:hAnsi="Times New Roman" w:cs="Times New Roman"/>
          <w:sz w:val="24"/>
          <w:szCs w:val="24"/>
          <w:lang w:val="en-GB"/>
        </w:rPr>
        <w:lastRenderedPageBreak/>
        <w:t>Table of contents</w:t>
      </w:r>
    </w:p>
    <w:p w14:paraId="6A00020D" w14:textId="1D5B9506" w:rsidR="00792E62" w:rsidRPr="00792E62" w:rsidRDefault="00792E62" w:rsidP="00792E62">
      <w:pPr>
        <w:spacing w:line="480" w:lineRule="auto"/>
        <w:jc w:val="both"/>
        <w:rPr>
          <w:rFonts w:ascii="Times New Roman" w:hAnsi="Times New Roman" w:cs="Times New Roman"/>
          <w:sz w:val="24"/>
          <w:szCs w:val="24"/>
          <w:lang w:val="en-GB"/>
        </w:rPr>
      </w:pPr>
    </w:p>
    <w:p w14:paraId="5D70DB06" w14:textId="4D8F58D5" w:rsidR="00792E62" w:rsidRPr="00792E62" w:rsidRDefault="00792E62" w:rsidP="00792E62">
      <w:pPr>
        <w:spacing w:line="480" w:lineRule="auto"/>
        <w:jc w:val="both"/>
        <w:rPr>
          <w:rFonts w:ascii="Times New Roman" w:hAnsi="Times New Roman" w:cs="Times New Roman"/>
          <w:sz w:val="24"/>
          <w:szCs w:val="24"/>
          <w:lang w:val="en-GB"/>
        </w:rPr>
      </w:pPr>
    </w:p>
    <w:p w14:paraId="0F4FD38D" w14:textId="2914C2CD" w:rsidR="00792E62" w:rsidRPr="00792E62" w:rsidRDefault="00792E62" w:rsidP="00792E62">
      <w:pPr>
        <w:spacing w:line="480" w:lineRule="auto"/>
        <w:jc w:val="both"/>
        <w:rPr>
          <w:rFonts w:ascii="Times New Roman" w:hAnsi="Times New Roman" w:cs="Times New Roman"/>
          <w:sz w:val="24"/>
          <w:szCs w:val="24"/>
          <w:lang w:val="en-GB"/>
        </w:rPr>
      </w:pPr>
      <w:r w:rsidRPr="00792E62">
        <w:rPr>
          <w:rFonts w:ascii="Times New Roman" w:hAnsi="Times New Roman" w:cs="Times New Roman"/>
          <w:sz w:val="24"/>
          <w:szCs w:val="24"/>
          <w:lang w:val="en-GB"/>
        </w:rPr>
        <w:t>Part A…………………………………………………………………………………3</w:t>
      </w:r>
    </w:p>
    <w:p w14:paraId="4E570F5D" w14:textId="6B51006A" w:rsidR="00792E62" w:rsidRDefault="00792E62" w:rsidP="00792E62">
      <w:pPr>
        <w:spacing w:line="480" w:lineRule="auto"/>
        <w:jc w:val="both"/>
        <w:rPr>
          <w:rFonts w:ascii="Times New Roman" w:hAnsi="Times New Roman" w:cs="Times New Roman"/>
          <w:sz w:val="24"/>
          <w:szCs w:val="24"/>
          <w:lang w:val="en-GB"/>
        </w:rPr>
      </w:pPr>
      <w:r w:rsidRPr="00792E62">
        <w:rPr>
          <w:rFonts w:ascii="Times New Roman" w:hAnsi="Times New Roman" w:cs="Times New Roman"/>
          <w:sz w:val="24"/>
          <w:szCs w:val="24"/>
          <w:lang w:val="en-GB"/>
        </w:rPr>
        <w:t>Monthly control report……………………………………………………………….3</w:t>
      </w:r>
    </w:p>
    <w:p w14:paraId="1D89C32B" w14:textId="751573F0" w:rsidR="00032F7C" w:rsidRDefault="00032F7C" w:rsidP="00792E62">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Amana performance report……………………………………………….………….5</w:t>
      </w:r>
    </w:p>
    <w:p w14:paraId="5D8D3FC8" w14:textId="3B12F451" w:rsidR="00032F7C" w:rsidRDefault="00032F7C" w:rsidP="00792E62">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Recommendations…………………………………………………………….……...7</w:t>
      </w:r>
    </w:p>
    <w:p w14:paraId="6A1B701B" w14:textId="304A6B90" w:rsidR="00032F7C" w:rsidRDefault="00032F7C" w:rsidP="00792E62">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Part B………………………………………………………………………..………..8</w:t>
      </w:r>
    </w:p>
    <w:p w14:paraId="320D474F" w14:textId="1D1FA838" w:rsidR="00032F7C" w:rsidRDefault="00032F7C" w:rsidP="00792E62">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Going online………………………………………………………………………</w:t>
      </w:r>
      <w:r w:rsidR="00E1491C">
        <w:rPr>
          <w:rFonts w:ascii="Times New Roman" w:hAnsi="Times New Roman" w:cs="Times New Roman"/>
          <w:sz w:val="24"/>
          <w:szCs w:val="24"/>
          <w:lang w:val="en-GB"/>
        </w:rPr>
        <w:t>.</w:t>
      </w:r>
      <w:r>
        <w:rPr>
          <w:rFonts w:ascii="Times New Roman" w:hAnsi="Times New Roman" w:cs="Times New Roman"/>
          <w:sz w:val="24"/>
          <w:szCs w:val="24"/>
          <w:lang w:val="en-GB"/>
        </w:rPr>
        <w:t>…9</w:t>
      </w:r>
    </w:p>
    <w:p w14:paraId="62851BEC" w14:textId="2A2BE2B9" w:rsidR="00096BB4" w:rsidRDefault="00096BB4" w:rsidP="00792E62">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Selling on Amazon………………………………………………………………….12</w:t>
      </w:r>
    </w:p>
    <w:p w14:paraId="4FAB2E12" w14:textId="0D7136F8" w:rsidR="00E1491C" w:rsidRDefault="00E1491C" w:rsidP="00792E62">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Conclusion…………………………………………………………………………..13</w:t>
      </w:r>
    </w:p>
    <w:p w14:paraId="4B567CEB" w14:textId="1202BA48" w:rsidR="00E1491C" w:rsidRPr="00792E62" w:rsidRDefault="00E1491C" w:rsidP="00792E62">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References…………………………………………………………………………..14</w:t>
      </w:r>
    </w:p>
    <w:p w14:paraId="2080C21E" w14:textId="77777777" w:rsidR="00792E62" w:rsidRPr="00792E62" w:rsidRDefault="00792E62" w:rsidP="00792E62">
      <w:pPr>
        <w:spacing w:line="480" w:lineRule="auto"/>
        <w:jc w:val="both"/>
        <w:rPr>
          <w:rFonts w:ascii="Times New Roman" w:hAnsi="Times New Roman" w:cs="Times New Roman"/>
          <w:lang w:val="en-GB"/>
        </w:rPr>
      </w:pPr>
    </w:p>
    <w:p w14:paraId="5CE1B942" w14:textId="5A8D0A1E" w:rsidR="00792E62" w:rsidRPr="00792E62" w:rsidRDefault="00792E62" w:rsidP="00792E62">
      <w:pPr>
        <w:spacing w:line="480" w:lineRule="auto"/>
        <w:jc w:val="both"/>
        <w:rPr>
          <w:rFonts w:ascii="Times New Roman" w:hAnsi="Times New Roman" w:cs="Times New Roman"/>
          <w:lang w:val="en-GB"/>
        </w:rPr>
      </w:pPr>
    </w:p>
    <w:p w14:paraId="6FCA0560" w14:textId="343D23F8" w:rsidR="00792E62" w:rsidRPr="00792E62" w:rsidRDefault="00792E62" w:rsidP="00792E62">
      <w:pPr>
        <w:spacing w:line="480" w:lineRule="auto"/>
        <w:jc w:val="both"/>
        <w:rPr>
          <w:rFonts w:ascii="Times New Roman" w:hAnsi="Times New Roman" w:cs="Times New Roman"/>
          <w:lang w:val="en-GB"/>
        </w:rPr>
      </w:pPr>
    </w:p>
    <w:p w14:paraId="2899B0BF" w14:textId="2B1E4616" w:rsidR="00792E62" w:rsidRPr="00792E62" w:rsidRDefault="00792E62" w:rsidP="00792E62">
      <w:pPr>
        <w:spacing w:line="480" w:lineRule="auto"/>
        <w:jc w:val="both"/>
        <w:rPr>
          <w:rFonts w:ascii="Times New Roman" w:hAnsi="Times New Roman" w:cs="Times New Roman"/>
          <w:lang w:val="en-GB"/>
        </w:rPr>
      </w:pPr>
    </w:p>
    <w:p w14:paraId="43738465" w14:textId="41AAFEB1" w:rsidR="00792E62" w:rsidRPr="00792E62" w:rsidRDefault="00792E62" w:rsidP="00792E62">
      <w:pPr>
        <w:spacing w:line="480" w:lineRule="auto"/>
        <w:jc w:val="both"/>
        <w:rPr>
          <w:rFonts w:ascii="Times New Roman" w:hAnsi="Times New Roman" w:cs="Times New Roman"/>
          <w:lang w:val="en-GB"/>
        </w:rPr>
      </w:pPr>
    </w:p>
    <w:p w14:paraId="57F9AAA2" w14:textId="2013FCFE" w:rsidR="00792E62" w:rsidRPr="00792E62" w:rsidRDefault="00792E62" w:rsidP="00792E62">
      <w:pPr>
        <w:spacing w:line="480" w:lineRule="auto"/>
        <w:jc w:val="both"/>
        <w:rPr>
          <w:rFonts w:ascii="Times New Roman" w:hAnsi="Times New Roman" w:cs="Times New Roman"/>
          <w:lang w:val="en-GB"/>
        </w:rPr>
      </w:pPr>
    </w:p>
    <w:p w14:paraId="2E9FC229" w14:textId="0DB121FE" w:rsidR="00032F7C" w:rsidRDefault="00032F7C" w:rsidP="00792E62">
      <w:pPr>
        <w:spacing w:line="480" w:lineRule="auto"/>
        <w:jc w:val="both"/>
        <w:rPr>
          <w:rFonts w:ascii="Times New Roman" w:hAnsi="Times New Roman" w:cs="Times New Roman"/>
          <w:lang w:val="en-GB"/>
        </w:rPr>
      </w:pPr>
    </w:p>
    <w:p w14:paraId="46489670" w14:textId="77777777" w:rsidR="00792E62" w:rsidRPr="00792E62" w:rsidRDefault="00792E62" w:rsidP="00792E62">
      <w:pPr>
        <w:spacing w:line="480" w:lineRule="auto"/>
        <w:jc w:val="both"/>
        <w:rPr>
          <w:rFonts w:ascii="Times New Roman" w:hAnsi="Times New Roman" w:cs="Times New Roman"/>
          <w:lang w:val="en-GB"/>
        </w:rPr>
      </w:pPr>
    </w:p>
    <w:p w14:paraId="59290EBC" w14:textId="471A1289" w:rsidR="00792E62" w:rsidRDefault="00792E62" w:rsidP="00792E62">
      <w:pPr>
        <w:spacing w:after="0" w:line="480" w:lineRule="auto"/>
        <w:ind w:left="720"/>
        <w:jc w:val="both"/>
        <w:rPr>
          <w:rFonts w:ascii="Times New Roman" w:hAnsi="Times New Roman" w:cs="Times New Roman"/>
          <w:sz w:val="24"/>
          <w:szCs w:val="24"/>
          <w:lang w:val="en-GB"/>
        </w:rPr>
      </w:pPr>
      <w:r w:rsidRPr="00792E62">
        <w:rPr>
          <w:rFonts w:ascii="Times New Roman" w:hAnsi="Times New Roman" w:cs="Times New Roman"/>
          <w:sz w:val="24"/>
          <w:szCs w:val="24"/>
          <w:lang w:val="en-GB"/>
        </w:rPr>
        <w:lastRenderedPageBreak/>
        <w:t>Part A</w:t>
      </w:r>
    </w:p>
    <w:p w14:paraId="4E45E90F" w14:textId="77777777" w:rsidR="00792E62" w:rsidRPr="00792E62" w:rsidRDefault="00792E62" w:rsidP="00792E62">
      <w:pPr>
        <w:spacing w:after="0" w:line="480" w:lineRule="auto"/>
        <w:ind w:left="720"/>
        <w:jc w:val="both"/>
        <w:rPr>
          <w:rFonts w:ascii="Times New Roman" w:hAnsi="Times New Roman" w:cs="Times New Roman"/>
          <w:sz w:val="24"/>
          <w:szCs w:val="24"/>
          <w:lang w:val="en-GB"/>
        </w:rPr>
      </w:pPr>
    </w:p>
    <w:p w14:paraId="17272009" w14:textId="77777777" w:rsidR="00792E62" w:rsidRPr="00792E62" w:rsidRDefault="00792E62" w:rsidP="00792E62">
      <w:pPr>
        <w:spacing w:after="0" w:line="480" w:lineRule="auto"/>
        <w:jc w:val="both"/>
        <w:rPr>
          <w:rFonts w:ascii="Times New Roman" w:hAnsi="Times New Roman" w:cs="Times New Roman"/>
          <w:bCs/>
          <w:sz w:val="24"/>
          <w:szCs w:val="24"/>
          <w:lang w:val="en-GB"/>
        </w:rPr>
      </w:pPr>
      <w:r w:rsidRPr="00792E62">
        <w:rPr>
          <w:rFonts w:ascii="Times New Roman" w:hAnsi="Times New Roman" w:cs="Times New Roman"/>
          <w:bCs/>
          <w:sz w:val="24"/>
          <w:szCs w:val="24"/>
          <w:lang w:val="en-GB"/>
        </w:rPr>
        <w:t>Monthly Control Report</w:t>
      </w:r>
    </w:p>
    <w:tbl>
      <w:tblPr>
        <w:tblW w:w="8894" w:type="dxa"/>
        <w:tblLook w:val="04A0" w:firstRow="1" w:lastRow="0" w:firstColumn="1" w:lastColumn="0" w:noHBand="0" w:noVBand="1"/>
      </w:tblPr>
      <w:tblGrid>
        <w:gridCol w:w="2549"/>
        <w:gridCol w:w="1485"/>
        <w:gridCol w:w="1737"/>
        <w:gridCol w:w="1862"/>
        <w:gridCol w:w="1261"/>
      </w:tblGrid>
      <w:tr w:rsidR="00792E62" w:rsidRPr="00792E62" w14:paraId="37E73FD9" w14:textId="77777777" w:rsidTr="00BF477F">
        <w:trPr>
          <w:trHeight w:val="552"/>
        </w:trPr>
        <w:tc>
          <w:tcPr>
            <w:tcW w:w="25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04B5A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c>
          <w:tcPr>
            <w:tcW w:w="1485" w:type="dxa"/>
            <w:tcBorders>
              <w:top w:val="single" w:sz="4" w:space="0" w:color="auto"/>
              <w:left w:val="nil"/>
              <w:bottom w:val="single" w:sz="4" w:space="0" w:color="auto"/>
              <w:right w:val="single" w:sz="4" w:space="0" w:color="auto"/>
            </w:tcBorders>
            <w:shd w:val="clear" w:color="auto" w:fill="auto"/>
            <w:hideMark/>
          </w:tcPr>
          <w:p w14:paraId="76B9FDAA"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Fixed Budget</w:t>
            </w:r>
          </w:p>
        </w:tc>
        <w:tc>
          <w:tcPr>
            <w:tcW w:w="1737" w:type="dxa"/>
            <w:tcBorders>
              <w:top w:val="single" w:sz="4" w:space="0" w:color="auto"/>
              <w:left w:val="nil"/>
              <w:bottom w:val="single" w:sz="4" w:space="0" w:color="auto"/>
              <w:right w:val="single" w:sz="4" w:space="0" w:color="auto"/>
            </w:tcBorders>
            <w:shd w:val="clear" w:color="auto" w:fill="auto"/>
            <w:hideMark/>
          </w:tcPr>
          <w:p w14:paraId="58456AD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Flexible</w:t>
            </w:r>
            <w:r w:rsidRPr="00792E62">
              <w:rPr>
                <w:rFonts w:ascii="Times New Roman" w:eastAsia="Times New Roman" w:hAnsi="Times New Roman" w:cs="Times New Roman"/>
                <w:b/>
                <w:bCs/>
                <w:color w:val="000000"/>
                <w:lang w:val="en-GB"/>
              </w:rPr>
              <w:br/>
              <w:t>Budget</w:t>
            </w:r>
          </w:p>
        </w:tc>
        <w:tc>
          <w:tcPr>
            <w:tcW w:w="1862" w:type="dxa"/>
            <w:tcBorders>
              <w:top w:val="single" w:sz="4" w:space="0" w:color="auto"/>
              <w:left w:val="nil"/>
              <w:bottom w:val="single" w:sz="4" w:space="0" w:color="auto"/>
              <w:right w:val="single" w:sz="4" w:space="0" w:color="auto"/>
            </w:tcBorders>
            <w:shd w:val="clear" w:color="auto" w:fill="auto"/>
            <w:hideMark/>
          </w:tcPr>
          <w:p w14:paraId="7A201B7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Actual</w:t>
            </w:r>
            <w:r w:rsidRPr="00792E62">
              <w:rPr>
                <w:rFonts w:ascii="Times New Roman" w:eastAsia="Times New Roman" w:hAnsi="Times New Roman" w:cs="Times New Roman"/>
                <w:b/>
                <w:bCs/>
                <w:color w:val="000000"/>
                <w:lang w:val="en-GB"/>
              </w:rPr>
              <w:br/>
              <w:t>Results</w:t>
            </w:r>
          </w:p>
        </w:tc>
        <w:tc>
          <w:tcPr>
            <w:tcW w:w="1261" w:type="dxa"/>
            <w:tcBorders>
              <w:top w:val="single" w:sz="4" w:space="0" w:color="auto"/>
              <w:left w:val="nil"/>
              <w:bottom w:val="single" w:sz="4" w:space="0" w:color="auto"/>
              <w:right w:val="single" w:sz="4" w:space="0" w:color="auto"/>
            </w:tcBorders>
            <w:shd w:val="clear" w:color="auto" w:fill="auto"/>
            <w:hideMark/>
          </w:tcPr>
          <w:p w14:paraId="3CCA4C8B"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Variance</w:t>
            </w:r>
          </w:p>
        </w:tc>
      </w:tr>
      <w:tr w:rsidR="00792E62" w:rsidRPr="00792E62" w14:paraId="65241505"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3D89290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Sales Volume</w:t>
            </w:r>
          </w:p>
        </w:tc>
        <w:tc>
          <w:tcPr>
            <w:tcW w:w="1485" w:type="dxa"/>
            <w:tcBorders>
              <w:top w:val="nil"/>
              <w:left w:val="nil"/>
              <w:bottom w:val="nil"/>
              <w:right w:val="nil"/>
            </w:tcBorders>
            <w:shd w:val="clear" w:color="auto" w:fill="auto"/>
            <w:noWrap/>
            <w:vAlign w:val="bottom"/>
            <w:hideMark/>
          </w:tcPr>
          <w:p w14:paraId="51F77FB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100,000 </w:t>
            </w:r>
          </w:p>
        </w:tc>
        <w:tc>
          <w:tcPr>
            <w:tcW w:w="1737" w:type="dxa"/>
            <w:tcBorders>
              <w:top w:val="nil"/>
              <w:left w:val="nil"/>
              <w:bottom w:val="nil"/>
              <w:right w:val="nil"/>
            </w:tcBorders>
            <w:shd w:val="clear" w:color="auto" w:fill="auto"/>
            <w:noWrap/>
            <w:vAlign w:val="bottom"/>
            <w:hideMark/>
          </w:tcPr>
          <w:p w14:paraId="1EEB02E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80,000 </w:t>
            </w:r>
          </w:p>
        </w:tc>
        <w:tc>
          <w:tcPr>
            <w:tcW w:w="1862" w:type="dxa"/>
            <w:tcBorders>
              <w:top w:val="nil"/>
              <w:left w:val="nil"/>
              <w:bottom w:val="nil"/>
              <w:right w:val="nil"/>
            </w:tcBorders>
            <w:shd w:val="clear" w:color="auto" w:fill="auto"/>
            <w:noWrap/>
            <w:vAlign w:val="bottom"/>
            <w:hideMark/>
          </w:tcPr>
          <w:p w14:paraId="38DAD140"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80,000 </w:t>
            </w:r>
          </w:p>
        </w:tc>
        <w:tc>
          <w:tcPr>
            <w:tcW w:w="1261" w:type="dxa"/>
            <w:tcBorders>
              <w:top w:val="nil"/>
              <w:left w:val="nil"/>
              <w:bottom w:val="nil"/>
              <w:right w:val="single" w:sz="4" w:space="0" w:color="auto"/>
            </w:tcBorders>
            <w:shd w:val="clear" w:color="auto" w:fill="auto"/>
            <w:noWrap/>
            <w:vAlign w:val="bottom"/>
            <w:hideMark/>
          </w:tcPr>
          <w:p w14:paraId="3D9A57B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r>
      <w:tr w:rsidR="00792E62" w:rsidRPr="00792E62" w14:paraId="58EE93D4"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34473F3A"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Unit Price</w:t>
            </w:r>
          </w:p>
        </w:tc>
        <w:tc>
          <w:tcPr>
            <w:tcW w:w="1485" w:type="dxa"/>
            <w:tcBorders>
              <w:top w:val="nil"/>
              <w:left w:val="nil"/>
              <w:bottom w:val="nil"/>
              <w:right w:val="nil"/>
            </w:tcBorders>
            <w:shd w:val="clear" w:color="auto" w:fill="auto"/>
            <w:noWrap/>
            <w:vAlign w:val="center"/>
            <w:hideMark/>
          </w:tcPr>
          <w:p w14:paraId="2C5168D1"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25 </w:t>
            </w:r>
          </w:p>
        </w:tc>
        <w:tc>
          <w:tcPr>
            <w:tcW w:w="1737" w:type="dxa"/>
            <w:tcBorders>
              <w:top w:val="nil"/>
              <w:left w:val="nil"/>
              <w:bottom w:val="nil"/>
              <w:right w:val="nil"/>
            </w:tcBorders>
            <w:shd w:val="clear" w:color="auto" w:fill="auto"/>
            <w:noWrap/>
            <w:vAlign w:val="center"/>
            <w:hideMark/>
          </w:tcPr>
          <w:p w14:paraId="4A2EDE1C"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25 </w:t>
            </w:r>
          </w:p>
        </w:tc>
        <w:tc>
          <w:tcPr>
            <w:tcW w:w="1862" w:type="dxa"/>
            <w:tcBorders>
              <w:top w:val="nil"/>
              <w:left w:val="nil"/>
              <w:bottom w:val="nil"/>
              <w:right w:val="nil"/>
            </w:tcBorders>
            <w:shd w:val="clear" w:color="auto" w:fill="auto"/>
            <w:noWrap/>
            <w:vAlign w:val="center"/>
            <w:hideMark/>
          </w:tcPr>
          <w:p w14:paraId="030BBD41"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 </w:t>
            </w:r>
          </w:p>
        </w:tc>
        <w:tc>
          <w:tcPr>
            <w:tcW w:w="1261" w:type="dxa"/>
            <w:tcBorders>
              <w:top w:val="nil"/>
              <w:left w:val="nil"/>
              <w:bottom w:val="nil"/>
              <w:right w:val="single" w:sz="4" w:space="0" w:color="auto"/>
            </w:tcBorders>
            <w:shd w:val="clear" w:color="auto" w:fill="auto"/>
            <w:noWrap/>
            <w:vAlign w:val="bottom"/>
            <w:hideMark/>
          </w:tcPr>
          <w:p w14:paraId="74681B5C"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r>
      <w:tr w:rsidR="00792E62" w:rsidRPr="00792E62" w14:paraId="0FB42257" w14:textId="77777777" w:rsidTr="00BF477F">
        <w:trPr>
          <w:trHeight w:val="276"/>
        </w:trPr>
        <w:tc>
          <w:tcPr>
            <w:tcW w:w="25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AA231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Sales</w:t>
            </w:r>
          </w:p>
        </w:tc>
        <w:tc>
          <w:tcPr>
            <w:tcW w:w="1485" w:type="dxa"/>
            <w:tcBorders>
              <w:top w:val="single" w:sz="4" w:space="0" w:color="auto"/>
              <w:left w:val="nil"/>
              <w:bottom w:val="single" w:sz="4" w:space="0" w:color="auto"/>
              <w:right w:val="nil"/>
            </w:tcBorders>
            <w:shd w:val="clear" w:color="auto" w:fill="auto"/>
            <w:noWrap/>
            <w:vAlign w:val="bottom"/>
            <w:hideMark/>
          </w:tcPr>
          <w:p w14:paraId="411081CB"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2,500,000 </w:t>
            </w:r>
          </w:p>
        </w:tc>
        <w:tc>
          <w:tcPr>
            <w:tcW w:w="1737" w:type="dxa"/>
            <w:tcBorders>
              <w:top w:val="single" w:sz="4" w:space="0" w:color="auto"/>
              <w:left w:val="nil"/>
              <w:bottom w:val="single" w:sz="4" w:space="0" w:color="auto"/>
              <w:right w:val="nil"/>
            </w:tcBorders>
            <w:shd w:val="clear" w:color="auto" w:fill="auto"/>
            <w:noWrap/>
            <w:vAlign w:val="bottom"/>
            <w:hideMark/>
          </w:tcPr>
          <w:p w14:paraId="3150262F"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2,000,000 </w:t>
            </w:r>
          </w:p>
        </w:tc>
        <w:tc>
          <w:tcPr>
            <w:tcW w:w="1862" w:type="dxa"/>
            <w:tcBorders>
              <w:top w:val="single" w:sz="4" w:space="0" w:color="auto"/>
              <w:left w:val="nil"/>
              <w:bottom w:val="single" w:sz="4" w:space="0" w:color="auto"/>
              <w:right w:val="nil"/>
            </w:tcBorders>
            <w:shd w:val="clear" w:color="auto" w:fill="auto"/>
            <w:noWrap/>
            <w:vAlign w:val="bottom"/>
            <w:hideMark/>
          </w:tcPr>
          <w:p w14:paraId="6AD59FF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1,600,000 </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14:paraId="20664D67"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400,000 </w:t>
            </w:r>
          </w:p>
        </w:tc>
      </w:tr>
      <w:tr w:rsidR="00792E62" w:rsidRPr="00792E62" w14:paraId="3A9232AD"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0C9626BF"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Less: Costs</w:t>
            </w:r>
          </w:p>
        </w:tc>
        <w:tc>
          <w:tcPr>
            <w:tcW w:w="1485" w:type="dxa"/>
            <w:tcBorders>
              <w:top w:val="nil"/>
              <w:left w:val="nil"/>
              <w:bottom w:val="nil"/>
              <w:right w:val="nil"/>
            </w:tcBorders>
            <w:shd w:val="clear" w:color="auto" w:fill="auto"/>
            <w:noWrap/>
            <w:vAlign w:val="bottom"/>
            <w:hideMark/>
          </w:tcPr>
          <w:p w14:paraId="7759174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w:t>
            </w:r>
          </w:p>
        </w:tc>
        <w:tc>
          <w:tcPr>
            <w:tcW w:w="1737" w:type="dxa"/>
            <w:tcBorders>
              <w:top w:val="nil"/>
              <w:left w:val="nil"/>
              <w:bottom w:val="nil"/>
              <w:right w:val="nil"/>
            </w:tcBorders>
            <w:shd w:val="clear" w:color="auto" w:fill="auto"/>
            <w:noWrap/>
            <w:vAlign w:val="bottom"/>
            <w:hideMark/>
          </w:tcPr>
          <w:p w14:paraId="2FDEA08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w:t>
            </w:r>
          </w:p>
        </w:tc>
        <w:tc>
          <w:tcPr>
            <w:tcW w:w="1862" w:type="dxa"/>
            <w:tcBorders>
              <w:top w:val="nil"/>
              <w:left w:val="nil"/>
              <w:bottom w:val="nil"/>
              <w:right w:val="nil"/>
            </w:tcBorders>
            <w:shd w:val="clear" w:color="auto" w:fill="auto"/>
            <w:noWrap/>
            <w:vAlign w:val="bottom"/>
            <w:hideMark/>
          </w:tcPr>
          <w:p w14:paraId="0AC0918B"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w:t>
            </w:r>
          </w:p>
        </w:tc>
        <w:tc>
          <w:tcPr>
            <w:tcW w:w="1261" w:type="dxa"/>
            <w:tcBorders>
              <w:top w:val="nil"/>
              <w:left w:val="nil"/>
              <w:bottom w:val="nil"/>
              <w:right w:val="single" w:sz="4" w:space="0" w:color="auto"/>
            </w:tcBorders>
            <w:shd w:val="clear" w:color="auto" w:fill="auto"/>
            <w:noWrap/>
            <w:vAlign w:val="bottom"/>
            <w:hideMark/>
          </w:tcPr>
          <w:p w14:paraId="189C2DB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w:t>
            </w:r>
          </w:p>
        </w:tc>
      </w:tr>
      <w:tr w:rsidR="00792E62" w:rsidRPr="00792E62" w14:paraId="5C35C213"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15AED9F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Material</w:t>
            </w:r>
          </w:p>
        </w:tc>
        <w:tc>
          <w:tcPr>
            <w:tcW w:w="1485" w:type="dxa"/>
            <w:tcBorders>
              <w:top w:val="nil"/>
              <w:left w:val="nil"/>
              <w:bottom w:val="nil"/>
              <w:right w:val="nil"/>
            </w:tcBorders>
            <w:shd w:val="clear" w:color="auto" w:fill="auto"/>
            <w:noWrap/>
            <w:vAlign w:val="bottom"/>
            <w:hideMark/>
          </w:tcPr>
          <w:p w14:paraId="6FED68C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250,000 </w:t>
            </w:r>
          </w:p>
        </w:tc>
        <w:tc>
          <w:tcPr>
            <w:tcW w:w="1737" w:type="dxa"/>
            <w:tcBorders>
              <w:top w:val="nil"/>
              <w:left w:val="nil"/>
              <w:bottom w:val="nil"/>
              <w:right w:val="nil"/>
            </w:tcBorders>
            <w:shd w:val="clear" w:color="auto" w:fill="auto"/>
            <w:noWrap/>
            <w:vAlign w:val="bottom"/>
            <w:hideMark/>
          </w:tcPr>
          <w:p w14:paraId="01DA2232"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200,000 </w:t>
            </w:r>
          </w:p>
        </w:tc>
        <w:tc>
          <w:tcPr>
            <w:tcW w:w="1862" w:type="dxa"/>
            <w:tcBorders>
              <w:top w:val="nil"/>
              <w:left w:val="nil"/>
              <w:bottom w:val="nil"/>
              <w:right w:val="nil"/>
            </w:tcBorders>
            <w:shd w:val="clear" w:color="auto" w:fill="auto"/>
            <w:noWrap/>
            <w:vAlign w:val="bottom"/>
            <w:hideMark/>
          </w:tcPr>
          <w:p w14:paraId="285E81C0"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280,000 </w:t>
            </w:r>
          </w:p>
        </w:tc>
        <w:tc>
          <w:tcPr>
            <w:tcW w:w="1261" w:type="dxa"/>
            <w:tcBorders>
              <w:top w:val="nil"/>
              <w:left w:val="nil"/>
              <w:bottom w:val="nil"/>
              <w:right w:val="single" w:sz="4" w:space="0" w:color="auto"/>
            </w:tcBorders>
            <w:shd w:val="clear" w:color="auto" w:fill="auto"/>
            <w:noWrap/>
            <w:vAlign w:val="bottom"/>
            <w:hideMark/>
          </w:tcPr>
          <w:p w14:paraId="4CA47553"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80,000 </w:t>
            </w:r>
          </w:p>
        </w:tc>
      </w:tr>
      <w:tr w:rsidR="00792E62" w:rsidRPr="00792E62" w14:paraId="0952E8AC"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15633357"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roofErr w:type="spellStart"/>
            <w:r w:rsidRPr="00792E62">
              <w:rPr>
                <w:rFonts w:ascii="Times New Roman" w:eastAsia="Times New Roman" w:hAnsi="Times New Roman" w:cs="Times New Roman"/>
                <w:b/>
                <w:bCs/>
                <w:color w:val="000000"/>
                <w:lang w:val="en-GB"/>
              </w:rPr>
              <w:t>Labor</w:t>
            </w:r>
            <w:proofErr w:type="spellEnd"/>
          </w:p>
        </w:tc>
        <w:tc>
          <w:tcPr>
            <w:tcW w:w="1485" w:type="dxa"/>
            <w:tcBorders>
              <w:top w:val="nil"/>
              <w:left w:val="nil"/>
              <w:bottom w:val="nil"/>
              <w:right w:val="nil"/>
            </w:tcBorders>
            <w:shd w:val="clear" w:color="auto" w:fill="auto"/>
            <w:noWrap/>
            <w:vAlign w:val="bottom"/>
            <w:hideMark/>
          </w:tcPr>
          <w:p w14:paraId="19B53B51"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400,000 </w:t>
            </w:r>
          </w:p>
        </w:tc>
        <w:tc>
          <w:tcPr>
            <w:tcW w:w="1737" w:type="dxa"/>
            <w:tcBorders>
              <w:top w:val="nil"/>
              <w:left w:val="nil"/>
              <w:bottom w:val="nil"/>
              <w:right w:val="nil"/>
            </w:tcBorders>
            <w:shd w:val="clear" w:color="auto" w:fill="auto"/>
            <w:noWrap/>
            <w:vAlign w:val="bottom"/>
            <w:hideMark/>
          </w:tcPr>
          <w:p w14:paraId="58B15A6E"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320,000 </w:t>
            </w:r>
          </w:p>
        </w:tc>
        <w:tc>
          <w:tcPr>
            <w:tcW w:w="1862" w:type="dxa"/>
            <w:tcBorders>
              <w:top w:val="nil"/>
              <w:left w:val="nil"/>
              <w:bottom w:val="nil"/>
              <w:right w:val="nil"/>
            </w:tcBorders>
            <w:shd w:val="clear" w:color="auto" w:fill="auto"/>
            <w:noWrap/>
            <w:vAlign w:val="bottom"/>
            <w:hideMark/>
          </w:tcPr>
          <w:p w14:paraId="26E71D2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440,000 </w:t>
            </w:r>
          </w:p>
        </w:tc>
        <w:tc>
          <w:tcPr>
            <w:tcW w:w="1261" w:type="dxa"/>
            <w:tcBorders>
              <w:top w:val="nil"/>
              <w:left w:val="nil"/>
              <w:bottom w:val="nil"/>
              <w:right w:val="single" w:sz="4" w:space="0" w:color="auto"/>
            </w:tcBorders>
            <w:shd w:val="clear" w:color="auto" w:fill="auto"/>
            <w:noWrap/>
            <w:vAlign w:val="bottom"/>
            <w:hideMark/>
          </w:tcPr>
          <w:p w14:paraId="0B56504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120,000 </w:t>
            </w:r>
          </w:p>
        </w:tc>
      </w:tr>
      <w:tr w:rsidR="00792E62" w:rsidRPr="00792E62" w14:paraId="7CA23878"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4CB4D46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Overhead</w:t>
            </w:r>
          </w:p>
        </w:tc>
        <w:tc>
          <w:tcPr>
            <w:tcW w:w="1485" w:type="dxa"/>
            <w:tcBorders>
              <w:top w:val="nil"/>
              <w:left w:val="nil"/>
              <w:bottom w:val="nil"/>
              <w:right w:val="nil"/>
            </w:tcBorders>
            <w:shd w:val="clear" w:color="auto" w:fill="auto"/>
            <w:noWrap/>
            <w:vAlign w:val="bottom"/>
            <w:hideMark/>
          </w:tcPr>
          <w:p w14:paraId="5044EC3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150,000 </w:t>
            </w:r>
          </w:p>
        </w:tc>
        <w:tc>
          <w:tcPr>
            <w:tcW w:w="1737" w:type="dxa"/>
            <w:tcBorders>
              <w:top w:val="nil"/>
              <w:left w:val="nil"/>
              <w:bottom w:val="nil"/>
              <w:right w:val="nil"/>
            </w:tcBorders>
            <w:shd w:val="clear" w:color="auto" w:fill="auto"/>
            <w:noWrap/>
            <w:vAlign w:val="bottom"/>
            <w:hideMark/>
          </w:tcPr>
          <w:p w14:paraId="7F27361F"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120,000 </w:t>
            </w:r>
          </w:p>
        </w:tc>
        <w:tc>
          <w:tcPr>
            <w:tcW w:w="1862" w:type="dxa"/>
            <w:tcBorders>
              <w:top w:val="nil"/>
              <w:left w:val="nil"/>
              <w:bottom w:val="nil"/>
              <w:right w:val="nil"/>
            </w:tcBorders>
            <w:shd w:val="clear" w:color="auto" w:fill="auto"/>
            <w:noWrap/>
            <w:vAlign w:val="bottom"/>
            <w:hideMark/>
          </w:tcPr>
          <w:p w14:paraId="1E54474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120,000 </w:t>
            </w:r>
          </w:p>
        </w:tc>
        <w:tc>
          <w:tcPr>
            <w:tcW w:w="1261" w:type="dxa"/>
            <w:tcBorders>
              <w:top w:val="nil"/>
              <w:left w:val="nil"/>
              <w:bottom w:val="nil"/>
              <w:right w:val="single" w:sz="4" w:space="0" w:color="auto"/>
            </w:tcBorders>
            <w:shd w:val="clear" w:color="auto" w:fill="auto"/>
            <w:noWrap/>
            <w:vAlign w:val="bottom"/>
            <w:hideMark/>
          </w:tcPr>
          <w:p w14:paraId="223F977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   </w:t>
            </w:r>
          </w:p>
        </w:tc>
      </w:tr>
      <w:tr w:rsidR="00792E62" w:rsidRPr="00792E62" w14:paraId="60294D43" w14:textId="77777777" w:rsidTr="00BF477F">
        <w:trPr>
          <w:trHeight w:val="276"/>
        </w:trPr>
        <w:tc>
          <w:tcPr>
            <w:tcW w:w="25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5D530B"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Contribution</w:t>
            </w:r>
          </w:p>
        </w:tc>
        <w:tc>
          <w:tcPr>
            <w:tcW w:w="1485" w:type="dxa"/>
            <w:tcBorders>
              <w:top w:val="single" w:sz="4" w:space="0" w:color="auto"/>
              <w:left w:val="nil"/>
              <w:bottom w:val="single" w:sz="4" w:space="0" w:color="auto"/>
              <w:right w:val="nil"/>
            </w:tcBorders>
            <w:shd w:val="clear" w:color="auto" w:fill="auto"/>
            <w:noWrap/>
            <w:vAlign w:val="bottom"/>
            <w:hideMark/>
          </w:tcPr>
          <w:p w14:paraId="7547CC2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1,700,000 </w:t>
            </w:r>
          </w:p>
        </w:tc>
        <w:tc>
          <w:tcPr>
            <w:tcW w:w="1737" w:type="dxa"/>
            <w:tcBorders>
              <w:top w:val="single" w:sz="4" w:space="0" w:color="auto"/>
              <w:left w:val="nil"/>
              <w:bottom w:val="single" w:sz="4" w:space="0" w:color="auto"/>
              <w:right w:val="nil"/>
            </w:tcBorders>
            <w:shd w:val="clear" w:color="auto" w:fill="auto"/>
            <w:noWrap/>
            <w:vAlign w:val="bottom"/>
            <w:hideMark/>
          </w:tcPr>
          <w:p w14:paraId="5E6FB11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1,360,000 </w:t>
            </w:r>
          </w:p>
        </w:tc>
        <w:tc>
          <w:tcPr>
            <w:tcW w:w="1862" w:type="dxa"/>
            <w:tcBorders>
              <w:top w:val="single" w:sz="4" w:space="0" w:color="auto"/>
              <w:left w:val="nil"/>
              <w:bottom w:val="single" w:sz="4" w:space="0" w:color="auto"/>
              <w:right w:val="nil"/>
            </w:tcBorders>
            <w:shd w:val="clear" w:color="auto" w:fill="auto"/>
            <w:noWrap/>
            <w:vAlign w:val="bottom"/>
            <w:hideMark/>
          </w:tcPr>
          <w:p w14:paraId="7DE9666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760,000 </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14:paraId="7E09FC8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600,000 </w:t>
            </w:r>
          </w:p>
        </w:tc>
      </w:tr>
      <w:tr w:rsidR="00792E62" w:rsidRPr="00792E62" w14:paraId="49F5F4D9"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2B85E02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Fixed Costs:</w:t>
            </w:r>
          </w:p>
        </w:tc>
        <w:tc>
          <w:tcPr>
            <w:tcW w:w="1485" w:type="dxa"/>
            <w:tcBorders>
              <w:top w:val="nil"/>
              <w:left w:val="nil"/>
              <w:bottom w:val="nil"/>
              <w:right w:val="nil"/>
            </w:tcBorders>
            <w:shd w:val="clear" w:color="auto" w:fill="auto"/>
            <w:noWrap/>
            <w:vAlign w:val="bottom"/>
            <w:hideMark/>
          </w:tcPr>
          <w:p w14:paraId="49F5FA36"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
        </w:tc>
        <w:tc>
          <w:tcPr>
            <w:tcW w:w="1737" w:type="dxa"/>
            <w:tcBorders>
              <w:top w:val="nil"/>
              <w:left w:val="nil"/>
              <w:bottom w:val="nil"/>
              <w:right w:val="nil"/>
            </w:tcBorders>
            <w:shd w:val="clear" w:color="auto" w:fill="auto"/>
            <w:noWrap/>
            <w:vAlign w:val="bottom"/>
            <w:hideMark/>
          </w:tcPr>
          <w:p w14:paraId="7C8CB79D" w14:textId="77777777" w:rsidR="00792E62" w:rsidRPr="00792E62" w:rsidRDefault="00792E62" w:rsidP="00792E62">
            <w:pPr>
              <w:spacing w:after="0" w:line="480" w:lineRule="auto"/>
              <w:jc w:val="both"/>
              <w:rPr>
                <w:rFonts w:ascii="Times New Roman" w:eastAsia="Times New Roman" w:hAnsi="Times New Roman" w:cs="Times New Roman"/>
                <w:lang w:val="en-GB"/>
              </w:rPr>
            </w:pPr>
          </w:p>
        </w:tc>
        <w:tc>
          <w:tcPr>
            <w:tcW w:w="1862" w:type="dxa"/>
            <w:tcBorders>
              <w:top w:val="nil"/>
              <w:left w:val="nil"/>
              <w:bottom w:val="nil"/>
              <w:right w:val="nil"/>
            </w:tcBorders>
            <w:shd w:val="clear" w:color="auto" w:fill="auto"/>
            <w:noWrap/>
            <w:vAlign w:val="bottom"/>
            <w:hideMark/>
          </w:tcPr>
          <w:p w14:paraId="3D6D059C" w14:textId="77777777" w:rsidR="00792E62" w:rsidRPr="00792E62" w:rsidRDefault="00792E62" w:rsidP="00792E62">
            <w:pPr>
              <w:spacing w:after="0" w:line="480" w:lineRule="auto"/>
              <w:jc w:val="both"/>
              <w:rPr>
                <w:rFonts w:ascii="Times New Roman" w:eastAsia="Times New Roman" w:hAnsi="Times New Roman" w:cs="Times New Roman"/>
                <w:lang w:val="en-GB"/>
              </w:rPr>
            </w:pPr>
          </w:p>
        </w:tc>
        <w:tc>
          <w:tcPr>
            <w:tcW w:w="1261" w:type="dxa"/>
            <w:tcBorders>
              <w:top w:val="nil"/>
              <w:left w:val="nil"/>
              <w:bottom w:val="nil"/>
              <w:right w:val="single" w:sz="4" w:space="0" w:color="auto"/>
            </w:tcBorders>
            <w:shd w:val="clear" w:color="auto" w:fill="auto"/>
            <w:noWrap/>
            <w:vAlign w:val="bottom"/>
            <w:hideMark/>
          </w:tcPr>
          <w:p w14:paraId="1A7D0A0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r>
      <w:tr w:rsidR="00792E62" w:rsidRPr="00792E62" w14:paraId="7C0609B0"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7BBF07EA"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Warehouse rental</w:t>
            </w:r>
          </w:p>
        </w:tc>
        <w:tc>
          <w:tcPr>
            <w:tcW w:w="1485" w:type="dxa"/>
            <w:tcBorders>
              <w:top w:val="nil"/>
              <w:left w:val="nil"/>
              <w:bottom w:val="nil"/>
              <w:right w:val="nil"/>
            </w:tcBorders>
            <w:shd w:val="clear" w:color="auto" w:fill="auto"/>
            <w:noWrap/>
            <w:vAlign w:val="bottom"/>
            <w:hideMark/>
          </w:tcPr>
          <w:p w14:paraId="6A9F891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200,000 </w:t>
            </w:r>
          </w:p>
        </w:tc>
        <w:tc>
          <w:tcPr>
            <w:tcW w:w="1737" w:type="dxa"/>
            <w:tcBorders>
              <w:top w:val="nil"/>
              <w:left w:val="nil"/>
              <w:bottom w:val="nil"/>
              <w:right w:val="nil"/>
            </w:tcBorders>
            <w:shd w:val="clear" w:color="auto" w:fill="auto"/>
            <w:noWrap/>
            <w:vAlign w:val="bottom"/>
            <w:hideMark/>
          </w:tcPr>
          <w:p w14:paraId="055B964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200,000 </w:t>
            </w:r>
          </w:p>
        </w:tc>
        <w:tc>
          <w:tcPr>
            <w:tcW w:w="1862" w:type="dxa"/>
            <w:tcBorders>
              <w:top w:val="nil"/>
              <w:left w:val="nil"/>
              <w:bottom w:val="nil"/>
              <w:right w:val="nil"/>
            </w:tcBorders>
            <w:shd w:val="clear" w:color="auto" w:fill="auto"/>
            <w:noWrap/>
            <w:vAlign w:val="bottom"/>
            <w:hideMark/>
          </w:tcPr>
          <w:p w14:paraId="25A0972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170,000 </w:t>
            </w:r>
          </w:p>
        </w:tc>
        <w:tc>
          <w:tcPr>
            <w:tcW w:w="1261" w:type="dxa"/>
            <w:tcBorders>
              <w:top w:val="nil"/>
              <w:left w:val="nil"/>
              <w:bottom w:val="nil"/>
              <w:right w:val="single" w:sz="4" w:space="0" w:color="auto"/>
            </w:tcBorders>
            <w:shd w:val="clear" w:color="auto" w:fill="auto"/>
            <w:noWrap/>
            <w:vAlign w:val="bottom"/>
            <w:hideMark/>
          </w:tcPr>
          <w:p w14:paraId="1CD394F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30,000 </w:t>
            </w:r>
          </w:p>
        </w:tc>
      </w:tr>
      <w:tr w:rsidR="00792E62" w:rsidRPr="00792E62" w14:paraId="6DECCDC9"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0EAE95D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Insurance</w:t>
            </w:r>
          </w:p>
        </w:tc>
        <w:tc>
          <w:tcPr>
            <w:tcW w:w="1485" w:type="dxa"/>
            <w:tcBorders>
              <w:top w:val="nil"/>
              <w:left w:val="nil"/>
              <w:bottom w:val="nil"/>
              <w:right w:val="nil"/>
            </w:tcBorders>
            <w:shd w:val="clear" w:color="auto" w:fill="auto"/>
            <w:noWrap/>
            <w:vAlign w:val="bottom"/>
            <w:hideMark/>
          </w:tcPr>
          <w:p w14:paraId="5AB7C23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100,000 </w:t>
            </w:r>
          </w:p>
        </w:tc>
        <w:tc>
          <w:tcPr>
            <w:tcW w:w="1737" w:type="dxa"/>
            <w:tcBorders>
              <w:top w:val="nil"/>
              <w:left w:val="nil"/>
              <w:bottom w:val="nil"/>
              <w:right w:val="nil"/>
            </w:tcBorders>
            <w:shd w:val="clear" w:color="auto" w:fill="auto"/>
            <w:noWrap/>
            <w:vAlign w:val="bottom"/>
            <w:hideMark/>
          </w:tcPr>
          <w:p w14:paraId="56A24850"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100,000 </w:t>
            </w:r>
          </w:p>
        </w:tc>
        <w:tc>
          <w:tcPr>
            <w:tcW w:w="1862" w:type="dxa"/>
            <w:tcBorders>
              <w:top w:val="nil"/>
              <w:left w:val="nil"/>
              <w:bottom w:val="nil"/>
              <w:right w:val="nil"/>
            </w:tcBorders>
            <w:shd w:val="clear" w:color="auto" w:fill="auto"/>
            <w:noWrap/>
            <w:vAlign w:val="bottom"/>
            <w:hideMark/>
          </w:tcPr>
          <w:p w14:paraId="2ABD15D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100,000 </w:t>
            </w:r>
          </w:p>
        </w:tc>
        <w:tc>
          <w:tcPr>
            <w:tcW w:w="1261" w:type="dxa"/>
            <w:tcBorders>
              <w:top w:val="nil"/>
              <w:left w:val="nil"/>
              <w:bottom w:val="nil"/>
              <w:right w:val="single" w:sz="4" w:space="0" w:color="auto"/>
            </w:tcBorders>
            <w:shd w:val="clear" w:color="auto" w:fill="auto"/>
            <w:noWrap/>
            <w:vAlign w:val="bottom"/>
            <w:hideMark/>
          </w:tcPr>
          <w:p w14:paraId="32FB4E0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   </w:t>
            </w:r>
          </w:p>
        </w:tc>
      </w:tr>
      <w:tr w:rsidR="00792E62" w:rsidRPr="00792E62" w14:paraId="66222C5B" w14:textId="77777777" w:rsidTr="00BF477F">
        <w:trPr>
          <w:trHeight w:val="276"/>
        </w:trPr>
        <w:tc>
          <w:tcPr>
            <w:tcW w:w="2549" w:type="dxa"/>
            <w:tcBorders>
              <w:top w:val="nil"/>
              <w:left w:val="single" w:sz="4" w:space="0" w:color="auto"/>
              <w:bottom w:val="nil"/>
              <w:right w:val="single" w:sz="4" w:space="0" w:color="auto"/>
            </w:tcBorders>
            <w:shd w:val="clear" w:color="auto" w:fill="auto"/>
            <w:noWrap/>
            <w:vAlign w:val="bottom"/>
            <w:hideMark/>
          </w:tcPr>
          <w:p w14:paraId="309F8C29"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FW Sup Sal</w:t>
            </w:r>
          </w:p>
        </w:tc>
        <w:tc>
          <w:tcPr>
            <w:tcW w:w="1485" w:type="dxa"/>
            <w:tcBorders>
              <w:top w:val="nil"/>
              <w:left w:val="nil"/>
              <w:bottom w:val="nil"/>
              <w:right w:val="nil"/>
            </w:tcBorders>
            <w:shd w:val="clear" w:color="auto" w:fill="auto"/>
            <w:noWrap/>
            <w:vAlign w:val="bottom"/>
            <w:hideMark/>
          </w:tcPr>
          <w:p w14:paraId="73D0C95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737" w:type="dxa"/>
            <w:tcBorders>
              <w:top w:val="nil"/>
              <w:left w:val="nil"/>
              <w:bottom w:val="nil"/>
              <w:right w:val="nil"/>
            </w:tcBorders>
            <w:shd w:val="clear" w:color="auto" w:fill="auto"/>
            <w:noWrap/>
            <w:vAlign w:val="bottom"/>
            <w:hideMark/>
          </w:tcPr>
          <w:p w14:paraId="2BC94DF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862" w:type="dxa"/>
            <w:tcBorders>
              <w:top w:val="nil"/>
              <w:left w:val="nil"/>
              <w:bottom w:val="nil"/>
              <w:right w:val="nil"/>
            </w:tcBorders>
            <w:shd w:val="clear" w:color="auto" w:fill="auto"/>
            <w:noWrap/>
            <w:vAlign w:val="bottom"/>
            <w:hideMark/>
          </w:tcPr>
          <w:p w14:paraId="64C11FFF"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c>
          <w:tcPr>
            <w:tcW w:w="1261" w:type="dxa"/>
            <w:tcBorders>
              <w:top w:val="nil"/>
              <w:left w:val="nil"/>
              <w:bottom w:val="nil"/>
              <w:right w:val="single" w:sz="4" w:space="0" w:color="auto"/>
            </w:tcBorders>
            <w:shd w:val="clear" w:color="auto" w:fill="auto"/>
            <w:noWrap/>
            <w:vAlign w:val="bottom"/>
            <w:hideMark/>
          </w:tcPr>
          <w:p w14:paraId="5FF571F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 </w:t>
            </w:r>
          </w:p>
        </w:tc>
      </w:tr>
      <w:tr w:rsidR="00792E62" w:rsidRPr="00792E62" w14:paraId="0ABE981F" w14:textId="77777777" w:rsidTr="00BF477F">
        <w:trPr>
          <w:trHeight w:val="276"/>
        </w:trPr>
        <w:tc>
          <w:tcPr>
            <w:tcW w:w="25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0C832A"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Net Operating Income</w:t>
            </w:r>
          </w:p>
        </w:tc>
        <w:tc>
          <w:tcPr>
            <w:tcW w:w="1485" w:type="dxa"/>
            <w:tcBorders>
              <w:top w:val="single" w:sz="4" w:space="0" w:color="auto"/>
              <w:left w:val="nil"/>
              <w:bottom w:val="single" w:sz="4" w:space="0" w:color="auto"/>
              <w:right w:val="nil"/>
            </w:tcBorders>
            <w:shd w:val="clear" w:color="auto" w:fill="auto"/>
            <w:noWrap/>
            <w:vAlign w:val="bottom"/>
            <w:hideMark/>
          </w:tcPr>
          <w:p w14:paraId="2310AF8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1,350,000 </w:t>
            </w:r>
          </w:p>
        </w:tc>
        <w:tc>
          <w:tcPr>
            <w:tcW w:w="1737" w:type="dxa"/>
            <w:tcBorders>
              <w:top w:val="single" w:sz="4" w:space="0" w:color="auto"/>
              <w:left w:val="nil"/>
              <w:bottom w:val="single" w:sz="4" w:space="0" w:color="auto"/>
              <w:right w:val="nil"/>
            </w:tcBorders>
            <w:shd w:val="clear" w:color="auto" w:fill="auto"/>
            <w:noWrap/>
            <w:vAlign w:val="bottom"/>
            <w:hideMark/>
          </w:tcPr>
          <w:p w14:paraId="5229F27B"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1,010,000 </w:t>
            </w:r>
          </w:p>
        </w:tc>
        <w:tc>
          <w:tcPr>
            <w:tcW w:w="1862" w:type="dxa"/>
            <w:tcBorders>
              <w:top w:val="single" w:sz="4" w:space="0" w:color="auto"/>
              <w:left w:val="nil"/>
              <w:bottom w:val="single" w:sz="4" w:space="0" w:color="auto"/>
              <w:right w:val="nil"/>
            </w:tcBorders>
            <w:shd w:val="clear" w:color="auto" w:fill="auto"/>
            <w:noWrap/>
            <w:vAlign w:val="bottom"/>
            <w:hideMark/>
          </w:tcPr>
          <w:p w14:paraId="2E4833DF"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455,000 </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14:paraId="22FACE07"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555,000 </w:t>
            </w:r>
          </w:p>
        </w:tc>
      </w:tr>
    </w:tbl>
    <w:p w14:paraId="4CDE8BDE" w14:textId="77777777" w:rsidR="00792E62" w:rsidRPr="00792E62" w:rsidRDefault="00792E62" w:rsidP="00792E62">
      <w:pPr>
        <w:tabs>
          <w:tab w:val="left" w:pos="2786"/>
        </w:tabs>
        <w:spacing w:after="0" w:line="480" w:lineRule="auto"/>
        <w:jc w:val="both"/>
        <w:rPr>
          <w:rFonts w:ascii="Times New Roman" w:hAnsi="Times New Roman" w:cs="Times New Roman"/>
          <w:lang w:val="en-GB"/>
        </w:rPr>
      </w:pPr>
      <w:r w:rsidRPr="00792E62">
        <w:rPr>
          <w:rFonts w:ascii="Times New Roman" w:hAnsi="Times New Roman" w:cs="Times New Roman"/>
          <w:lang w:val="en-GB"/>
        </w:rPr>
        <w:tab/>
      </w:r>
    </w:p>
    <w:p w14:paraId="10A89CBE" w14:textId="77777777" w:rsidR="00792E62" w:rsidRPr="00792E62" w:rsidRDefault="00792E62" w:rsidP="00792E62">
      <w:pPr>
        <w:spacing w:after="0" w:line="480" w:lineRule="auto"/>
        <w:jc w:val="both"/>
        <w:rPr>
          <w:rFonts w:ascii="Times New Roman" w:hAnsi="Times New Roman" w:cs="Times New Roman"/>
          <w:i/>
          <w:lang w:val="en-GB"/>
        </w:rPr>
      </w:pPr>
      <w:r w:rsidRPr="00792E62">
        <w:rPr>
          <w:rFonts w:ascii="Times New Roman" w:hAnsi="Times New Roman" w:cs="Times New Roman"/>
          <w:i/>
          <w:lang w:val="en-GB"/>
        </w:rPr>
        <w:t>Notes</w:t>
      </w:r>
    </w:p>
    <w:p w14:paraId="2F91D760" w14:textId="77777777"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Sales Revenue = Sales volume x Unit price</w:t>
      </w:r>
    </w:p>
    <w:p w14:paraId="09005A1E" w14:textId="08D911EB"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 xml:space="preserve">Contribution = Sales Revenue – Variable costs (Material + </w:t>
      </w:r>
      <w:r w:rsidR="00032F7C" w:rsidRPr="00792E62">
        <w:rPr>
          <w:rFonts w:ascii="Times New Roman" w:hAnsi="Times New Roman" w:cs="Times New Roman"/>
          <w:lang w:val="en-GB"/>
        </w:rPr>
        <w:t>Labour</w:t>
      </w:r>
      <w:r w:rsidRPr="00792E62">
        <w:rPr>
          <w:rFonts w:ascii="Times New Roman" w:hAnsi="Times New Roman" w:cs="Times New Roman"/>
          <w:lang w:val="en-GB"/>
        </w:rPr>
        <w:t xml:space="preserve"> + Overhead Costs)</w:t>
      </w:r>
    </w:p>
    <w:p w14:paraId="6D8DD503" w14:textId="77777777"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Net operating income = Contribution – Fixed costs (Warehouse rental + Insurance + FW Sup Sal)</w:t>
      </w:r>
    </w:p>
    <w:p w14:paraId="7531C30E" w14:textId="427B79E3" w:rsidR="00792E62" w:rsidRPr="00792E62" w:rsidRDefault="00792E62" w:rsidP="00792E62">
      <w:pPr>
        <w:spacing w:after="0" w:line="480" w:lineRule="auto"/>
        <w:ind w:firstLine="360"/>
        <w:jc w:val="both"/>
        <w:rPr>
          <w:rFonts w:ascii="Times New Roman" w:hAnsi="Times New Roman" w:cs="Times New Roman"/>
          <w:lang w:val="en-GB"/>
        </w:rPr>
      </w:pPr>
      <w:r w:rsidRPr="00792E62">
        <w:rPr>
          <w:rFonts w:ascii="Times New Roman" w:hAnsi="Times New Roman" w:cs="Times New Roman"/>
          <w:lang w:val="en-GB"/>
        </w:rPr>
        <w:t xml:space="preserve">The fixed budget shows Amana’s plan for the accounting period based on the assumptions at the beginning of the period. Amana Ltd targeted to sell 100,000 units of souvenirs at a unit price of £25. The costs were estimated at £2.5 per unit for materials cost, £4 per unit for </w:t>
      </w:r>
      <w:r w:rsidR="00032F7C" w:rsidRPr="00792E62">
        <w:rPr>
          <w:rFonts w:ascii="Times New Roman" w:hAnsi="Times New Roman" w:cs="Times New Roman"/>
          <w:lang w:val="en-GB"/>
        </w:rPr>
        <w:t>labour</w:t>
      </w:r>
      <w:r w:rsidRPr="00792E62">
        <w:rPr>
          <w:rFonts w:ascii="Times New Roman" w:hAnsi="Times New Roman" w:cs="Times New Roman"/>
          <w:lang w:val="en-GB"/>
        </w:rPr>
        <w:t xml:space="preserve"> </w:t>
      </w:r>
      <w:r w:rsidRPr="00792E62">
        <w:rPr>
          <w:rFonts w:ascii="Times New Roman" w:hAnsi="Times New Roman" w:cs="Times New Roman"/>
          <w:lang w:val="en-GB"/>
        </w:rPr>
        <w:lastRenderedPageBreak/>
        <w:t>cost, and £1.5 per unit for overhead costs. The contribution margin was estimated at £17 per unit. The fixed costs were estimated at £200,000 for warehouse rental, £100,000 for insurance cost, and £50,000 for full-time warehouse supervisory salary. Overall, Amana Ltd.’s net operating income based on the fixed budget assumptions is estimated at £1,350,000.</w:t>
      </w:r>
    </w:p>
    <w:p w14:paraId="1114F0BE" w14:textId="77777777" w:rsidR="00792E62" w:rsidRPr="00792E62" w:rsidRDefault="00792E62" w:rsidP="00792E62">
      <w:pPr>
        <w:spacing w:after="0" w:line="480" w:lineRule="auto"/>
        <w:ind w:firstLine="360"/>
        <w:jc w:val="both"/>
        <w:rPr>
          <w:rFonts w:ascii="Times New Roman" w:hAnsi="Times New Roman" w:cs="Times New Roman"/>
          <w:lang w:val="en-GB"/>
        </w:rPr>
      </w:pPr>
      <w:r w:rsidRPr="00792E62">
        <w:rPr>
          <w:rFonts w:ascii="Times New Roman" w:hAnsi="Times New Roman" w:cs="Times New Roman"/>
          <w:lang w:val="en-GB"/>
        </w:rPr>
        <w:t xml:space="preserve">For an effective comparison of the actual performance and the budgeted performance, it is necessary to create a flexible budget (Radu and </w:t>
      </w:r>
      <w:proofErr w:type="spellStart"/>
      <w:r w:rsidRPr="00792E62">
        <w:rPr>
          <w:rFonts w:ascii="Times New Roman" w:hAnsi="Times New Roman" w:cs="Times New Roman"/>
          <w:lang w:val="en-GB"/>
        </w:rPr>
        <w:t>Giju</w:t>
      </w:r>
      <w:proofErr w:type="spellEnd"/>
      <w:r w:rsidRPr="00792E62">
        <w:rPr>
          <w:rFonts w:ascii="Times New Roman" w:hAnsi="Times New Roman" w:cs="Times New Roman"/>
          <w:lang w:val="en-GB"/>
        </w:rPr>
        <w:t xml:space="preserve">, 2015). From a budgetary control standpoint, comparing the actual performance against a fixed budget-based performance would not be optimal, especially where the actual performance significantly differs from the fixed budget performance (Arnold and </w:t>
      </w:r>
      <w:proofErr w:type="spellStart"/>
      <w:r w:rsidRPr="00792E62">
        <w:rPr>
          <w:rFonts w:ascii="Times New Roman" w:hAnsi="Times New Roman" w:cs="Times New Roman"/>
          <w:lang w:val="en-GB"/>
        </w:rPr>
        <w:t>Artz</w:t>
      </w:r>
      <w:proofErr w:type="spellEnd"/>
      <w:r w:rsidRPr="00792E62">
        <w:rPr>
          <w:rFonts w:ascii="Times New Roman" w:hAnsi="Times New Roman" w:cs="Times New Roman"/>
          <w:lang w:val="en-GB"/>
        </w:rPr>
        <w:t xml:space="preserve">, 2019). Therefore, preparing a flexible budget will help compare performance under a similar set of circumstances and activity levels. Amana’s flexible budget is based on the actual sales volume of 80,000 units instead of 100,000 units, at a sale price of £25 per unit. All the other assumptions are similar to those used in preparing the fixed budget including the variable costs, overheads, and fixed costs. The contribution margin as per the flexible budget is £1,360,000 while the net operating income is estimated at £1,010,000. However, it is crucial to remember that the fixed budget still acts as the company’s plan for the period, and the flexible budget only serves as a tool for more effective management control (Radu and </w:t>
      </w:r>
      <w:proofErr w:type="spellStart"/>
      <w:r w:rsidRPr="00792E62">
        <w:rPr>
          <w:rFonts w:ascii="Times New Roman" w:hAnsi="Times New Roman" w:cs="Times New Roman"/>
          <w:lang w:val="en-GB"/>
        </w:rPr>
        <w:t>Giju</w:t>
      </w:r>
      <w:proofErr w:type="spellEnd"/>
      <w:r w:rsidRPr="00792E62">
        <w:rPr>
          <w:rFonts w:ascii="Times New Roman" w:hAnsi="Times New Roman" w:cs="Times New Roman"/>
          <w:lang w:val="en-GB"/>
        </w:rPr>
        <w:t>, 2015).</w:t>
      </w:r>
    </w:p>
    <w:p w14:paraId="6B6457DA" w14:textId="77777777" w:rsidR="00792E62" w:rsidRPr="00792E62" w:rsidRDefault="00792E62" w:rsidP="00792E62">
      <w:pPr>
        <w:spacing w:after="0" w:line="480" w:lineRule="auto"/>
        <w:ind w:firstLine="360"/>
        <w:jc w:val="both"/>
        <w:rPr>
          <w:rFonts w:ascii="Times New Roman" w:hAnsi="Times New Roman" w:cs="Times New Roman"/>
          <w:lang w:val="en-GB"/>
        </w:rPr>
      </w:pPr>
      <w:r w:rsidRPr="00792E62">
        <w:rPr>
          <w:rFonts w:ascii="Times New Roman" w:hAnsi="Times New Roman" w:cs="Times New Roman"/>
          <w:lang w:val="en-GB"/>
        </w:rPr>
        <w:t xml:space="preserve">The actual results are based on the actual activity and performance for the period. The sales volumes of souvenirs sold for the period were 80,000 units at a unit price of £20. The actual unit price dropped by £5 from the budget unit price of £25. Consequently, the actual contribution achieved was £760,000 while the net operating income was £455,000. </w:t>
      </w:r>
    </w:p>
    <w:p w14:paraId="038B3432" w14:textId="0C0D2A99" w:rsidR="00792E62" w:rsidRDefault="00792E62" w:rsidP="00792E62">
      <w:pPr>
        <w:spacing w:after="0" w:line="480" w:lineRule="auto"/>
        <w:ind w:firstLine="360"/>
        <w:jc w:val="both"/>
        <w:rPr>
          <w:rFonts w:ascii="Times New Roman" w:hAnsi="Times New Roman" w:cs="Times New Roman"/>
          <w:lang w:val="en-GB"/>
        </w:rPr>
      </w:pPr>
      <w:r w:rsidRPr="00792E62">
        <w:rPr>
          <w:rFonts w:ascii="Times New Roman" w:hAnsi="Times New Roman" w:cs="Times New Roman"/>
          <w:lang w:val="en-GB"/>
        </w:rPr>
        <w:tab/>
        <w:t xml:space="preserve">Variances depict the differences between the actual performance and the budgeted performance as per the flexible budget (Messer, 2017). Variances arise in situations where the actual revenue and cost performance differ from the budgeted performance (Arnold and </w:t>
      </w:r>
      <w:proofErr w:type="spellStart"/>
      <w:r w:rsidRPr="00792E62">
        <w:rPr>
          <w:rFonts w:ascii="Times New Roman" w:hAnsi="Times New Roman" w:cs="Times New Roman"/>
          <w:lang w:val="en-GB"/>
        </w:rPr>
        <w:t>Artz</w:t>
      </w:r>
      <w:proofErr w:type="spellEnd"/>
      <w:r w:rsidRPr="00792E62">
        <w:rPr>
          <w:rFonts w:ascii="Times New Roman" w:hAnsi="Times New Roman" w:cs="Times New Roman"/>
          <w:lang w:val="en-GB"/>
        </w:rPr>
        <w:t xml:space="preserve">, 2019). Variances can either be </w:t>
      </w:r>
      <w:r w:rsidR="00032F7C" w:rsidRPr="00792E62">
        <w:rPr>
          <w:rFonts w:ascii="Times New Roman" w:hAnsi="Times New Roman" w:cs="Times New Roman"/>
          <w:lang w:val="en-GB"/>
        </w:rPr>
        <w:t>favourable</w:t>
      </w:r>
      <w:r w:rsidRPr="00792E62">
        <w:rPr>
          <w:rFonts w:ascii="Times New Roman" w:hAnsi="Times New Roman" w:cs="Times New Roman"/>
          <w:lang w:val="en-GB"/>
        </w:rPr>
        <w:t xml:space="preserve"> or adverse. If the actual performance is better than the budgeted performance, the variance is termed as </w:t>
      </w:r>
      <w:r w:rsidR="00032F7C" w:rsidRPr="00792E62">
        <w:rPr>
          <w:rFonts w:ascii="Times New Roman" w:hAnsi="Times New Roman" w:cs="Times New Roman"/>
          <w:lang w:val="en-GB"/>
        </w:rPr>
        <w:t>favourable</w:t>
      </w:r>
      <w:r w:rsidRPr="00792E62">
        <w:rPr>
          <w:rFonts w:ascii="Times New Roman" w:hAnsi="Times New Roman" w:cs="Times New Roman"/>
          <w:lang w:val="en-GB"/>
        </w:rPr>
        <w:t xml:space="preserve">. For instance, if the budgeted sales revenue exceeds the budgeted revenue, or the actual costs are less than the budgeted costs, the variance is termed as </w:t>
      </w:r>
      <w:r w:rsidR="00032F7C" w:rsidRPr="00792E62">
        <w:rPr>
          <w:rFonts w:ascii="Times New Roman" w:hAnsi="Times New Roman" w:cs="Times New Roman"/>
          <w:lang w:val="en-GB"/>
        </w:rPr>
        <w:t>favourable</w:t>
      </w:r>
      <w:r w:rsidRPr="00792E62">
        <w:rPr>
          <w:rFonts w:ascii="Times New Roman" w:hAnsi="Times New Roman" w:cs="Times New Roman"/>
          <w:lang w:val="en-GB"/>
        </w:rPr>
        <w:t xml:space="preserve">. Both situations result in a higher actual profit compared </w:t>
      </w:r>
      <w:r w:rsidRPr="00792E62">
        <w:rPr>
          <w:rFonts w:ascii="Times New Roman" w:hAnsi="Times New Roman" w:cs="Times New Roman"/>
          <w:lang w:val="en-GB"/>
        </w:rPr>
        <w:lastRenderedPageBreak/>
        <w:t>to the budgeted profit. On the other hand, adverse variances result in lesser actual profit compared to the budged profit i.e., lower actual sales revenue or higher variable and fixed costs compared to the budget (Messer, 2020).</w:t>
      </w:r>
    </w:p>
    <w:p w14:paraId="7027EA9F" w14:textId="77777777" w:rsidR="00032F7C" w:rsidRPr="00792E62" w:rsidRDefault="00032F7C" w:rsidP="00792E62">
      <w:pPr>
        <w:spacing w:after="0" w:line="480" w:lineRule="auto"/>
        <w:ind w:firstLine="360"/>
        <w:jc w:val="both"/>
        <w:rPr>
          <w:rFonts w:ascii="Times New Roman" w:hAnsi="Times New Roman" w:cs="Times New Roman"/>
          <w:lang w:val="en-GB"/>
        </w:rPr>
      </w:pPr>
    </w:p>
    <w:p w14:paraId="0E5E0828" w14:textId="305CEAC7" w:rsidR="00792E62" w:rsidRDefault="00792E62" w:rsidP="00792E62">
      <w:pPr>
        <w:spacing w:after="0" w:line="480" w:lineRule="auto"/>
        <w:jc w:val="both"/>
        <w:rPr>
          <w:rFonts w:ascii="Times New Roman" w:hAnsi="Times New Roman" w:cs="Times New Roman"/>
          <w:bCs/>
          <w:sz w:val="24"/>
          <w:szCs w:val="24"/>
          <w:lang w:val="en-GB"/>
        </w:rPr>
      </w:pPr>
      <w:r w:rsidRPr="00032F7C">
        <w:rPr>
          <w:rFonts w:ascii="Times New Roman" w:hAnsi="Times New Roman" w:cs="Times New Roman"/>
          <w:bCs/>
          <w:sz w:val="24"/>
          <w:szCs w:val="24"/>
          <w:lang w:val="en-GB"/>
        </w:rPr>
        <w:t>Amana Ltd Performance Report</w:t>
      </w:r>
    </w:p>
    <w:p w14:paraId="77A7A297" w14:textId="77777777" w:rsidR="00032F7C" w:rsidRPr="00032F7C" w:rsidRDefault="00032F7C" w:rsidP="00792E62">
      <w:pPr>
        <w:spacing w:after="0" w:line="480" w:lineRule="auto"/>
        <w:jc w:val="both"/>
        <w:rPr>
          <w:rFonts w:ascii="Times New Roman" w:hAnsi="Times New Roman" w:cs="Times New Roman"/>
          <w:bCs/>
          <w:sz w:val="24"/>
          <w:szCs w:val="24"/>
          <w:lang w:val="en-GB"/>
        </w:rPr>
      </w:pPr>
    </w:p>
    <w:p w14:paraId="486B9D87" w14:textId="3A344A38" w:rsidR="00792E62" w:rsidRDefault="00792E62" w:rsidP="00792E62">
      <w:pPr>
        <w:spacing w:after="0" w:line="480" w:lineRule="auto"/>
        <w:ind w:firstLine="720"/>
        <w:jc w:val="both"/>
        <w:rPr>
          <w:rFonts w:ascii="Times New Roman" w:hAnsi="Times New Roman" w:cs="Times New Roman"/>
          <w:lang w:val="en-GB"/>
        </w:rPr>
      </w:pPr>
      <w:r w:rsidRPr="00792E62">
        <w:rPr>
          <w:rFonts w:ascii="Times New Roman" w:hAnsi="Times New Roman" w:cs="Times New Roman"/>
          <w:lang w:val="en-GB"/>
        </w:rPr>
        <w:t xml:space="preserve">Overall, Amana ltd.’s actual performance depicts dismal results compared to the flexible budget. Some of the areas that show poor performance include sales price per unit (£20 actual versus £25 per unit), sales revenue (£1.6 million actual revenue versus £2 million budgeted revenue), variable costs (£280,000 and £440,000 actual versus £200,000 and £ 320,000 budgeted for material and </w:t>
      </w:r>
      <w:r w:rsidR="00032F7C" w:rsidRPr="00792E62">
        <w:rPr>
          <w:rFonts w:ascii="Times New Roman" w:hAnsi="Times New Roman" w:cs="Times New Roman"/>
          <w:lang w:val="en-GB"/>
        </w:rPr>
        <w:t>labour</w:t>
      </w:r>
      <w:r w:rsidRPr="00792E62">
        <w:rPr>
          <w:rFonts w:ascii="Times New Roman" w:hAnsi="Times New Roman" w:cs="Times New Roman"/>
          <w:lang w:val="en-GB"/>
        </w:rPr>
        <w:t xml:space="preserve"> costs respectively), contribution (£760,000 actual versus £1.36 million budgeted), and net operating income (£455,000 actual versus £1.01 million budgeted). However, the company performed well in various aspects including management of fixed costs i.e., </w:t>
      </w:r>
      <w:r w:rsidR="00032F7C" w:rsidRPr="00792E62">
        <w:rPr>
          <w:rFonts w:ascii="Times New Roman" w:hAnsi="Times New Roman" w:cs="Times New Roman"/>
          <w:lang w:val="en-GB"/>
        </w:rPr>
        <w:t>£170,000,</w:t>
      </w:r>
      <w:r w:rsidRPr="00792E62">
        <w:rPr>
          <w:rFonts w:ascii="Times New Roman" w:hAnsi="Times New Roman" w:cs="Times New Roman"/>
          <w:lang w:val="en-GB"/>
        </w:rPr>
        <w:t xml:space="preserve"> and £35,000 actual versus £200,000 and £50,000 budgeted for warehouse rental and full-time warehouse supervisor salary costs respectively. Moreover, Amana Ltd managed to keep the actual overhead and insurance costs the same as the budgeted costs. The different line items are discussed below.</w:t>
      </w:r>
    </w:p>
    <w:p w14:paraId="03101ED7" w14:textId="77777777" w:rsidR="00032F7C" w:rsidRPr="00792E62" w:rsidRDefault="00032F7C" w:rsidP="00792E62">
      <w:pPr>
        <w:spacing w:after="0" w:line="480" w:lineRule="auto"/>
        <w:ind w:firstLine="720"/>
        <w:jc w:val="both"/>
        <w:rPr>
          <w:rFonts w:ascii="Times New Roman" w:hAnsi="Times New Roman" w:cs="Times New Roman"/>
          <w:lang w:val="en-GB"/>
        </w:rPr>
      </w:pPr>
    </w:p>
    <w:p w14:paraId="63872A51" w14:textId="5E796FED" w:rsidR="00792E62" w:rsidRDefault="00792E62" w:rsidP="00792E62">
      <w:pPr>
        <w:spacing w:after="0" w:line="480" w:lineRule="auto"/>
        <w:jc w:val="both"/>
        <w:rPr>
          <w:rFonts w:ascii="Times New Roman" w:hAnsi="Times New Roman" w:cs="Times New Roman"/>
          <w:bCs/>
          <w:sz w:val="24"/>
          <w:szCs w:val="24"/>
          <w:lang w:val="en-GB"/>
        </w:rPr>
      </w:pPr>
      <w:r w:rsidRPr="00032F7C">
        <w:rPr>
          <w:rFonts w:ascii="Times New Roman" w:hAnsi="Times New Roman" w:cs="Times New Roman"/>
          <w:bCs/>
          <w:sz w:val="24"/>
          <w:szCs w:val="24"/>
          <w:lang w:val="en-GB"/>
        </w:rPr>
        <w:t>Sales</w:t>
      </w:r>
    </w:p>
    <w:p w14:paraId="73C7C966" w14:textId="77777777" w:rsidR="00032F7C" w:rsidRPr="00032F7C" w:rsidRDefault="00032F7C" w:rsidP="00792E62">
      <w:pPr>
        <w:spacing w:after="0" w:line="480" w:lineRule="auto"/>
        <w:jc w:val="both"/>
        <w:rPr>
          <w:rFonts w:ascii="Times New Roman" w:hAnsi="Times New Roman" w:cs="Times New Roman"/>
          <w:bCs/>
          <w:sz w:val="24"/>
          <w:szCs w:val="24"/>
          <w:lang w:val="en-GB"/>
        </w:rPr>
      </w:pPr>
    </w:p>
    <w:p w14:paraId="536F634E" w14:textId="77777777"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ab/>
        <w:t xml:space="preserve">Due to the Covid-19 pandemic, the tourism sector was adversely affected. Amana Ltd.’s variance analysis shows adverse performance in both sales volume variance and sales price variance. Amana Ltd.’s sold 80,000 units for the period compared to 100,000 in the fixed budget plan, which is a decline of 20%. Therefore, Amana Ltd underperformed in sales volumes (sales volume variance) by 20,000 units. Some of the factors that led to the decline of units of souvenirs sold include prolonged lockdown, limited travel during the Easter holidays. </w:t>
      </w:r>
      <w:r w:rsidRPr="00792E62">
        <w:rPr>
          <w:rFonts w:ascii="Times New Roman" w:hAnsi="Times New Roman" w:cs="Times New Roman"/>
          <w:lang w:val="en-GB"/>
        </w:rPr>
        <w:lastRenderedPageBreak/>
        <w:t>The difference between the actual sales price per unit and the budgeted price per unit resulted in an adverse sales revenue variance of £400,000.</w:t>
      </w:r>
    </w:p>
    <w:p w14:paraId="7341872B" w14:textId="52863E99" w:rsidR="00792E62" w:rsidRDefault="00792E62" w:rsidP="00792E62">
      <w:pPr>
        <w:spacing w:after="0" w:line="480" w:lineRule="auto"/>
        <w:ind w:firstLine="720"/>
        <w:jc w:val="both"/>
        <w:rPr>
          <w:rFonts w:ascii="Times New Roman" w:hAnsi="Times New Roman" w:cs="Times New Roman"/>
          <w:lang w:val="en-GB"/>
        </w:rPr>
      </w:pPr>
      <w:r w:rsidRPr="00792E62">
        <w:rPr>
          <w:rFonts w:ascii="Times New Roman" w:hAnsi="Times New Roman" w:cs="Times New Roman"/>
          <w:lang w:val="en-GB"/>
        </w:rPr>
        <w:t>The adverse sales price variance and the overall decline in sales revenue may be a result of various factors. It is possible that Amana Ltd reduced the sales price per unit of souvenirs in the hope to achieve more sales volumes and achieve more sales revenue (Bhatti, 2017). Also, it is possible that the reduced price was occasioned by increased competition in the market (Gutiérrez and Philippon, 2018). However, the actual results in sales volumes show that the reduced price did not work as intended. The sales volume variance suggests that lower prices neither increased the customers’ intention to buy nor increased the company’s products competitiveness in the market.</w:t>
      </w:r>
    </w:p>
    <w:p w14:paraId="031C46D5" w14:textId="77777777" w:rsidR="00032F7C" w:rsidRPr="00792E62" w:rsidRDefault="00032F7C" w:rsidP="00792E62">
      <w:pPr>
        <w:spacing w:after="0" w:line="480" w:lineRule="auto"/>
        <w:ind w:firstLine="720"/>
        <w:jc w:val="both"/>
        <w:rPr>
          <w:rFonts w:ascii="Times New Roman" w:hAnsi="Times New Roman" w:cs="Times New Roman"/>
          <w:lang w:val="en-GB"/>
        </w:rPr>
      </w:pPr>
    </w:p>
    <w:p w14:paraId="33EB62AD" w14:textId="7EA5B04F" w:rsidR="00792E62" w:rsidRDefault="00792E62" w:rsidP="00792E62">
      <w:pPr>
        <w:spacing w:after="0" w:line="480" w:lineRule="auto"/>
        <w:jc w:val="both"/>
        <w:rPr>
          <w:rFonts w:ascii="Times New Roman" w:hAnsi="Times New Roman" w:cs="Times New Roman"/>
          <w:bCs/>
          <w:sz w:val="24"/>
          <w:szCs w:val="24"/>
          <w:lang w:val="en-GB"/>
        </w:rPr>
      </w:pPr>
      <w:r w:rsidRPr="00032F7C">
        <w:rPr>
          <w:rFonts w:ascii="Times New Roman" w:hAnsi="Times New Roman" w:cs="Times New Roman"/>
          <w:bCs/>
          <w:sz w:val="24"/>
          <w:szCs w:val="24"/>
          <w:lang w:val="en-GB"/>
        </w:rPr>
        <w:t>Contribution Margin Variance and Variable Costs Management</w:t>
      </w:r>
    </w:p>
    <w:p w14:paraId="3569D36A" w14:textId="77777777" w:rsidR="00032F7C" w:rsidRPr="00032F7C" w:rsidRDefault="00032F7C" w:rsidP="00792E62">
      <w:pPr>
        <w:spacing w:after="0" w:line="480" w:lineRule="auto"/>
        <w:jc w:val="both"/>
        <w:rPr>
          <w:rFonts w:ascii="Times New Roman" w:hAnsi="Times New Roman" w:cs="Times New Roman"/>
          <w:bCs/>
          <w:sz w:val="24"/>
          <w:szCs w:val="24"/>
          <w:lang w:val="en-GB"/>
        </w:rPr>
      </w:pPr>
    </w:p>
    <w:p w14:paraId="4347A377" w14:textId="3F3F7928" w:rsidR="00E1491C"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b/>
          <w:bCs/>
          <w:lang w:val="en-GB"/>
        </w:rPr>
        <w:tab/>
      </w:r>
      <w:r w:rsidRPr="00792E62">
        <w:rPr>
          <w:rFonts w:ascii="Times New Roman" w:hAnsi="Times New Roman" w:cs="Times New Roman"/>
          <w:bCs/>
          <w:lang w:val="en-GB"/>
        </w:rPr>
        <w:t xml:space="preserve">The </w:t>
      </w:r>
      <w:r w:rsidRPr="00792E62">
        <w:rPr>
          <w:rFonts w:ascii="Times New Roman" w:hAnsi="Times New Roman" w:cs="Times New Roman"/>
          <w:lang w:val="en-GB"/>
        </w:rPr>
        <w:t>contribution margin is calculated by deducting the variable costs from the sales revenue and shows the efficiency level of a firm in producing and selling each unit of a product (</w:t>
      </w:r>
      <w:proofErr w:type="spellStart"/>
      <w:r w:rsidRPr="00792E62">
        <w:rPr>
          <w:rFonts w:ascii="Times New Roman" w:hAnsi="Times New Roman" w:cs="Times New Roman"/>
          <w:lang w:val="en-GB"/>
        </w:rPr>
        <w:t>Enyi</w:t>
      </w:r>
      <w:proofErr w:type="spellEnd"/>
      <w:r w:rsidRPr="00792E62">
        <w:rPr>
          <w:rFonts w:ascii="Times New Roman" w:hAnsi="Times New Roman" w:cs="Times New Roman"/>
          <w:lang w:val="en-GB"/>
        </w:rPr>
        <w:t xml:space="preserve">, 2019). Overall, Amana Ltd reported a dismal performance in the management of variable costs. Despite the decline in sales volumes, which would be expected to result in lesser variable costs, the variable costs (material and </w:t>
      </w:r>
      <w:r w:rsidR="00032F7C" w:rsidRPr="00792E62">
        <w:rPr>
          <w:rFonts w:ascii="Times New Roman" w:hAnsi="Times New Roman" w:cs="Times New Roman"/>
          <w:lang w:val="en-GB"/>
        </w:rPr>
        <w:t>labour</w:t>
      </w:r>
      <w:r w:rsidRPr="00792E62">
        <w:rPr>
          <w:rFonts w:ascii="Times New Roman" w:hAnsi="Times New Roman" w:cs="Times New Roman"/>
          <w:lang w:val="en-GB"/>
        </w:rPr>
        <w:t xml:space="preserve"> costs) increased during the period. Material costs increased by £80,000 while the </w:t>
      </w:r>
      <w:r w:rsidR="00032F7C" w:rsidRPr="00792E62">
        <w:rPr>
          <w:rFonts w:ascii="Times New Roman" w:hAnsi="Times New Roman" w:cs="Times New Roman"/>
          <w:lang w:val="en-GB"/>
        </w:rPr>
        <w:t>labour</w:t>
      </w:r>
      <w:r w:rsidRPr="00792E62">
        <w:rPr>
          <w:rFonts w:ascii="Times New Roman" w:hAnsi="Times New Roman" w:cs="Times New Roman"/>
          <w:lang w:val="en-GB"/>
        </w:rPr>
        <w:t xml:space="preserve"> costs increased by £120,000. The overall contribution margin variance amounted to £600,000, a 44% decline from the budgeted performance. The variance could be explained by increased costs of doing business due to Covid-19 restrictions (Van </w:t>
      </w:r>
      <w:proofErr w:type="spellStart"/>
      <w:r w:rsidRPr="00792E62">
        <w:rPr>
          <w:rFonts w:ascii="Times New Roman" w:hAnsi="Times New Roman" w:cs="Times New Roman"/>
          <w:lang w:val="en-GB"/>
        </w:rPr>
        <w:t>Assche</w:t>
      </w:r>
      <w:proofErr w:type="spellEnd"/>
      <w:r w:rsidRPr="00792E62">
        <w:rPr>
          <w:rFonts w:ascii="Times New Roman" w:hAnsi="Times New Roman" w:cs="Times New Roman"/>
          <w:lang w:val="en-GB"/>
        </w:rPr>
        <w:t xml:space="preserve"> and </w:t>
      </w:r>
      <w:proofErr w:type="spellStart"/>
      <w:r w:rsidRPr="00792E62">
        <w:rPr>
          <w:rFonts w:ascii="Times New Roman" w:hAnsi="Times New Roman" w:cs="Times New Roman"/>
          <w:lang w:val="en-GB"/>
        </w:rPr>
        <w:t>Lundan</w:t>
      </w:r>
      <w:proofErr w:type="spellEnd"/>
      <w:r w:rsidRPr="00792E62">
        <w:rPr>
          <w:rFonts w:ascii="Times New Roman" w:hAnsi="Times New Roman" w:cs="Times New Roman"/>
          <w:lang w:val="en-GB"/>
        </w:rPr>
        <w:t>, 2020). Also, the increased variable costs may be occasioned by inefficiencies within the company’s processes.</w:t>
      </w:r>
    </w:p>
    <w:p w14:paraId="561B79D7" w14:textId="77777777" w:rsidR="00E1491C" w:rsidRPr="00792E62" w:rsidRDefault="00E1491C" w:rsidP="00792E62">
      <w:pPr>
        <w:spacing w:after="0" w:line="480" w:lineRule="auto"/>
        <w:jc w:val="both"/>
        <w:rPr>
          <w:rFonts w:ascii="Times New Roman" w:hAnsi="Times New Roman" w:cs="Times New Roman"/>
          <w:lang w:val="en-GB"/>
        </w:rPr>
      </w:pPr>
    </w:p>
    <w:p w14:paraId="57F10E7F" w14:textId="0117CFEC" w:rsidR="00E1491C" w:rsidRPr="00E1491C" w:rsidRDefault="00792E62" w:rsidP="00792E62">
      <w:pPr>
        <w:spacing w:after="0" w:line="480" w:lineRule="auto"/>
        <w:jc w:val="both"/>
        <w:rPr>
          <w:rFonts w:ascii="Times New Roman" w:hAnsi="Times New Roman" w:cs="Times New Roman"/>
          <w:bCs/>
          <w:sz w:val="24"/>
          <w:szCs w:val="24"/>
          <w:lang w:val="en-GB"/>
        </w:rPr>
      </w:pPr>
      <w:r w:rsidRPr="00E1491C">
        <w:rPr>
          <w:rFonts w:ascii="Times New Roman" w:hAnsi="Times New Roman" w:cs="Times New Roman"/>
          <w:bCs/>
          <w:sz w:val="24"/>
          <w:szCs w:val="24"/>
          <w:lang w:val="en-GB"/>
        </w:rPr>
        <w:t>Fixed Costs Management</w:t>
      </w:r>
    </w:p>
    <w:p w14:paraId="76B800BC" w14:textId="063C7D02" w:rsid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ab/>
        <w:t xml:space="preserve">Amana Ltd.’s performance shows a good fixed-costs management practice. The actual costs for both warehouse rental and Fulltime warehouse supervisor salaries were less than the </w:t>
      </w:r>
      <w:r w:rsidRPr="00792E62">
        <w:rPr>
          <w:rFonts w:ascii="Times New Roman" w:hAnsi="Times New Roman" w:cs="Times New Roman"/>
          <w:lang w:val="en-GB"/>
        </w:rPr>
        <w:lastRenderedPageBreak/>
        <w:t xml:space="preserve">budgeted costs, while the actual insurance cost was the same as budgeted. The </w:t>
      </w:r>
      <w:r w:rsidR="00032F7C" w:rsidRPr="00792E62">
        <w:rPr>
          <w:rFonts w:ascii="Times New Roman" w:hAnsi="Times New Roman" w:cs="Times New Roman"/>
          <w:lang w:val="en-GB"/>
        </w:rPr>
        <w:t>favourable</w:t>
      </w:r>
      <w:r w:rsidRPr="00792E62">
        <w:rPr>
          <w:rFonts w:ascii="Times New Roman" w:hAnsi="Times New Roman" w:cs="Times New Roman"/>
          <w:lang w:val="en-GB"/>
        </w:rPr>
        <w:t xml:space="preserve"> variance in the fixed costs may have been caused by a downward adjustment of rent due to renegotiation of lease agreements during covid season and closure of some </w:t>
      </w:r>
      <w:r w:rsidR="00032F7C" w:rsidRPr="00792E62">
        <w:rPr>
          <w:rFonts w:ascii="Times New Roman" w:hAnsi="Times New Roman" w:cs="Times New Roman"/>
          <w:lang w:val="en-GB"/>
        </w:rPr>
        <w:t>stores, and</w:t>
      </w:r>
      <w:r w:rsidRPr="00792E62">
        <w:rPr>
          <w:rFonts w:ascii="Times New Roman" w:hAnsi="Times New Roman" w:cs="Times New Roman"/>
          <w:lang w:val="en-GB"/>
        </w:rPr>
        <w:t xml:space="preserve"> reduced salary for the warehouse supervisor. Overall, the current fixed cost management policy is working and realistic.</w:t>
      </w:r>
    </w:p>
    <w:p w14:paraId="2EA7C5BC" w14:textId="77777777" w:rsidR="00032F7C" w:rsidRPr="00792E62" w:rsidRDefault="00032F7C" w:rsidP="00792E62">
      <w:pPr>
        <w:spacing w:after="0" w:line="480" w:lineRule="auto"/>
        <w:jc w:val="both"/>
        <w:rPr>
          <w:rFonts w:ascii="Times New Roman" w:hAnsi="Times New Roman" w:cs="Times New Roman"/>
          <w:lang w:val="en-GB"/>
        </w:rPr>
      </w:pPr>
    </w:p>
    <w:p w14:paraId="0C012097" w14:textId="7FADBB03" w:rsidR="00792E62" w:rsidRDefault="00792E62" w:rsidP="00792E62">
      <w:pPr>
        <w:spacing w:after="0" w:line="480" w:lineRule="auto"/>
        <w:jc w:val="both"/>
        <w:rPr>
          <w:rFonts w:ascii="Times New Roman" w:hAnsi="Times New Roman" w:cs="Times New Roman"/>
          <w:bCs/>
          <w:sz w:val="24"/>
          <w:szCs w:val="24"/>
          <w:lang w:val="en-GB"/>
        </w:rPr>
      </w:pPr>
      <w:r w:rsidRPr="00032F7C">
        <w:rPr>
          <w:rFonts w:ascii="Times New Roman" w:hAnsi="Times New Roman" w:cs="Times New Roman"/>
          <w:bCs/>
          <w:sz w:val="24"/>
          <w:szCs w:val="24"/>
          <w:lang w:val="en-GB"/>
        </w:rPr>
        <w:t>Net Operating Income Variance</w:t>
      </w:r>
    </w:p>
    <w:p w14:paraId="46EC6B49" w14:textId="77777777" w:rsidR="00032F7C" w:rsidRPr="00032F7C" w:rsidRDefault="00032F7C" w:rsidP="00792E62">
      <w:pPr>
        <w:spacing w:after="0" w:line="480" w:lineRule="auto"/>
        <w:jc w:val="both"/>
        <w:rPr>
          <w:rFonts w:ascii="Times New Roman" w:hAnsi="Times New Roman" w:cs="Times New Roman"/>
          <w:bCs/>
          <w:sz w:val="24"/>
          <w:szCs w:val="24"/>
          <w:lang w:val="en-GB"/>
        </w:rPr>
      </w:pPr>
    </w:p>
    <w:p w14:paraId="224BF0BD" w14:textId="76DC9979" w:rsid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b/>
          <w:bCs/>
          <w:lang w:val="en-GB"/>
        </w:rPr>
        <w:tab/>
      </w:r>
      <w:r w:rsidRPr="00792E62">
        <w:rPr>
          <w:rFonts w:ascii="Times New Roman" w:hAnsi="Times New Roman" w:cs="Times New Roman"/>
          <w:lang w:val="en-GB"/>
        </w:rPr>
        <w:t>The adverse net operating income variance of 55% shows a dismal performance in converting sales into a profit. Amana Ltd only attained a net operating income of £455,000 compared to the budgeted £1.01 million as per the flexible budget. As highlighted above, the dismal performance was caused by declined sales, lower prices, and higher variable costs. The performance shows poor pricing and management of variable costs. However, the company is performing well in the management of overhead and fixed costs. The dismal performance elicits various issues that the management should consider such as increasing the prices, diversifying the products mix and the market, and conducting promotional and sales campaigns. Also, the company could consider a further reduction in fixed and overhead costs.</w:t>
      </w:r>
    </w:p>
    <w:p w14:paraId="07F89B84" w14:textId="77777777" w:rsidR="00032F7C" w:rsidRPr="00792E62" w:rsidRDefault="00032F7C" w:rsidP="00792E62">
      <w:pPr>
        <w:spacing w:after="0" w:line="480" w:lineRule="auto"/>
        <w:jc w:val="both"/>
        <w:rPr>
          <w:rFonts w:ascii="Times New Roman" w:hAnsi="Times New Roman" w:cs="Times New Roman"/>
          <w:lang w:val="en-GB"/>
        </w:rPr>
      </w:pPr>
    </w:p>
    <w:p w14:paraId="565F38C2" w14:textId="4B79105C" w:rsidR="00792E62" w:rsidRDefault="00792E62" w:rsidP="00792E62">
      <w:pPr>
        <w:spacing w:after="0" w:line="480" w:lineRule="auto"/>
        <w:jc w:val="both"/>
        <w:rPr>
          <w:rFonts w:ascii="Times New Roman" w:hAnsi="Times New Roman" w:cs="Times New Roman"/>
          <w:bCs/>
          <w:sz w:val="24"/>
          <w:szCs w:val="24"/>
          <w:lang w:val="en-GB"/>
        </w:rPr>
      </w:pPr>
      <w:r w:rsidRPr="00032F7C">
        <w:rPr>
          <w:rFonts w:ascii="Times New Roman" w:hAnsi="Times New Roman" w:cs="Times New Roman"/>
          <w:bCs/>
          <w:sz w:val="24"/>
          <w:szCs w:val="24"/>
          <w:lang w:val="en-GB"/>
        </w:rPr>
        <w:t>Recommendations</w:t>
      </w:r>
    </w:p>
    <w:p w14:paraId="7E75876A" w14:textId="77777777" w:rsidR="00032F7C" w:rsidRPr="00032F7C" w:rsidRDefault="00032F7C" w:rsidP="00792E62">
      <w:pPr>
        <w:spacing w:after="0" w:line="480" w:lineRule="auto"/>
        <w:jc w:val="both"/>
        <w:rPr>
          <w:rFonts w:ascii="Times New Roman" w:hAnsi="Times New Roman" w:cs="Times New Roman"/>
          <w:bCs/>
          <w:sz w:val="24"/>
          <w:szCs w:val="24"/>
          <w:lang w:val="en-GB"/>
        </w:rPr>
      </w:pPr>
    </w:p>
    <w:p w14:paraId="1E1149DD" w14:textId="77777777" w:rsidR="00792E62" w:rsidRPr="00792E62" w:rsidRDefault="00792E62" w:rsidP="00792E62">
      <w:pPr>
        <w:spacing w:after="0" w:line="480" w:lineRule="auto"/>
        <w:ind w:firstLine="720"/>
        <w:jc w:val="both"/>
        <w:rPr>
          <w:rFonts w:ascii="Times New Roman" w:hAnsi="Times New Roman" w:cs="Times New Roman"/>
          <w:lang w:val="en-GB"/>
        </w:rPr>
      </w:pPr>
      <w:r w:rsidRPr="00792E62">
        <w:rPr>
          <w:rFonts w:ascii="Times New Roman" w:hAnsi="Times New Roman" w:cs="Times New Roman"/>
          <w:lang w:val="en-GB"/>
        </w:rPr>
        <w:t xml:space="preserve">The adverse sales units and revenue variances, despite the reduced prices, shows that Amana Ltd.’s management needs to revise both the sales targets and the pricing model. Firstly, the sales targets may be too ambitious and hence unattainable in light of the market challenges that are a result of the Covid-19 pandemic (Eastman et al., 2020). It is therefore imperative for the management to consider a more realistic sales target or consider </w:t>
      </w:r>
      <w:bookmarkStart w:id="0" w:name="_Hlk98348284"/>
      <w:r w:rsidRPr="00792E62">
        <w:rPr>
          <w:rFonts w:ascii="Times New Roman" w:hAnsi="Times New Roman" w:cs="Times New Roman"/>
          <w:lang w:val="en-GB"/>
        </w:rPr>
        <w:t xml:space="preserve">diversifying the products portfolio </w:t>
      </w:r>
      <w:bookmarkEnd w:id="0"/>
      <w:r w:rsidRPr="00792E62">
        <w:rPr>
          <w:rFonts w:ascii="Times New Roman" w:hAnsi="Times New Roman" w:cs="Times New Roman"/>
          <w:lang w:val="en-GB"/>
        </w:rPr>
        <w:t>(</w:t>
      </w:r>
      <w:proofErr w:type="spellStart"/>
      <w:r w:rsidRPr="00792E62">
        <w:rPr>
          <w:rFonts w:ascii="Times New Roman" w:hAnsi="Times New Roman" w:cs="Times New Roman"/>
          <w:lang w:val="en-GB"/>
        </w:rPr>
        <w:t>Dosi</w:t>
      </w:r>
      <w:proofErr w:type="spellEnd"/>
      <w:r w:rsidRPr="00792E62">
        <w:rPr>
          <w:rFonts w:ascii="Times New Roman" w:hAnsi="Times New Roman" w:cs="Times New Roman"/>
          <w:lang w:val="en-GB"/>
        </w:rPr>
        <w:t xml:space="preserve"> et al., 2020) or target market (geographical diversification) (Wood et al., 2017) to attain the sales target of 100,000 units. Secondly, the management needs to revisit the pricing </w:t>
      </w:r>
      <w:r w:rsidRPr="00792E62">
        <w:rPr>
          <w:rFonts w:ascii="Times New Roman" w:hAnsi="Times New Roman" w:cs="Times New Roman"/>
          <w:lang w:val="en-GB"/>
        </w:rPr>
        <w:lastRenderedPageBreak/>
        <w:t>model for the souvenirs to attain the intended results. For instance, under the current circumstances, the reduced prices did not promote more sales, and hence need to consider other ways of promoting sales such as promotion campaigns, offering discounts instead of reducing prices, and advertising (Deepak, 2019) besides the website.</w:t>
      </w:r>
    </w:p>
    <w:p w14:paraId="184B5F88" w14:textId="77777777" w:rsidR="00792E62" w:rsidRPr="00792E62" w:rsidRDefault="00792E62" w:rsidP="00792E62">
      <w:pPr>
        <w:spacing w:after="0" w:line="480" w:lineRule="auto"/>
        <w:ind w:firstLine="720"/>
        <w:jc w:val="both"/>
        <w:rPr>
          <w:rFonts w:ascii="Times New Roman" w:hAnsi="Times New Roman" w:cs="Times New Roman"/>
          <w:lang w:val="en-GB"/>
        </w:rPr>
      </w:pPr>
      <w:r w:rsidRPr="00792E62">
        <w:rPr>
          <w:rFonts w:ascii="Times New Roman" w:hAnsi="Times New Roman" w:cs="Times New Roman"/>
          <w:lang w:val="en-GB"/>
        </w:rPr>
        <w:t>Based on the contribution margin adverse variance of 44%, Amana Ltd.’s management needs to consider various measures. Firstly, there is a need to revise the processes and consider reducing the variable cost by reducing the workforce or increasing productivity (Simon, 2010). Also, there is a need to relook into waste to eliminate material wastage during the production process and consider sourcing raw materials from alternative sources that would result in savings. Also, there is a need to conduct an audit of the company’s processes to eliminate inefficiencies and determine whether the variable costs in the budget are accurate considering the prevailing market conditions. It is also important to consider making provisions for future increases in fixed costs as Covid-19 restrictions ease.</w:t>
      </w:r>
    </w:p>
    <w:p w14:paraId="19C010A0" w14:textId="099042CA" w:rsidR="00E1491C" w:rsidRDefault="00792E62" w:rsidP="00E1491C">
      <w:pPr>
        <w:spacing w:after="0" w:line="480" w:lineRule="auto"/>
        <w:ind w:firstLine="720"/>
        <w:jc w:val="both"/>
        <w:rPr>
          <w:rFonts w:ascii="Times New Roman" w:hAnsi="Times New Roman" w:cs="Times New Roman"/>
          <w:lang w:val="en-GB"/>
        </w:rPr>
      </w:pPr>
      <w:r w:rsidRPr="00792E62">
        <w:rPr>
          <w:rFonts w:ascii="Times New Roman" w:hAnsi="Times New Roman" w:cs="Times New Roman"/>
          <w:lang w:val="en-GB"/>
        </w:rPr>
        <w:t xml:space="preserve">Based on the dismal operating income performance </w:t>
      </w:r>
      <w:r w:rsidR="00032F7C" w:rsidRPr="00792E62">
        <w:rPr>
          <w:rFonts w:ascii="Times New Roman" w:hAnsi="Times New Roman" w:cs="Times New Roman"/>
          <w:lang w:val="en-GB"/>
        </w:rPr>
        <w:t>i.e.,</w:t>
      </w:r>
      <w:r w:rsidRPr="00792E62">
        <w:rPr>
          <w:rFonts w:ascii="Times New Roman" w:hAnsi="Times New Roman" w:cs="Times New Roman"/>
          <w:lang w:val="en-GB"/>
        </w:rPr>
        <w:t xml:space="preserve"> an adverse variance of 55%, Amana Ltd.’s management should consider various measures to turn around the financial performance. Firstly, the management should consider ways of making more revenue such as revamping the website to serve as a sales channel to complement sales at the physical stores. Secondly, the management should consider testing different pricing models to boost sales revenue. Finally, the management should consider adopting more efficient practices of managing variable costs.</w:t>
      </w:r>
    </w:p>
    <w:p w14:paraId="177BCAE9" w14:textId="77777777" w:rsidR="00032F7C" w:rsidRPr="00792E62" w:rsidRDefault="00032F7C" w:rsidP="00792E62">
      <w:pPr>
        <w:spacing w:after="0" w:line="480" w:lineRule="auto"/>
        <w:ind w:firstLine="720"/>
        <w:jc w:val="both"/>
        <w:rPr>
          <w:rFonts w:ascii="Times New Roman" w:hAnsi="Times New Roman" w:cs="Times New Roman"/>
          <w:lang w:val="en-GB"/>
        </w:rPr>
      </w:pPr>
    </w:p>
    <w:p w14:paraId="78B5082F" w14:textId="591C0FF5" w:rsidR="00792E62" w:rsidRDefault="00792E62" w:rsidP="00792E62">
      <w:pPr>
        <w:spacing w:after="0" w:line="480" w:lineRule="auto"/>
        <w:jc w:val="both"/>
        <w:rPr>
          <w:rFonts w:ascii="Times New Roman" w:hAnsi="Times New Roman" w:cs="Times New Roman"/>
          <w:sz w:val="24"/>
          <w:szCs w:val="24"/>
          <w:lang w:val="en-GB"/>
        </w:rPr>
      </w:pPr>
      <w:r w:rsidRPr="00032F7C">
        <w:rPr>
          <w:rFonts w:ascii="Times New Roman" w:hAnsi="Times New Roman" w:cs="Times New Roman"/>
          <w:sz w:val="24"/>
          <w:szCs w:val="24"/>
          <w:lang w:val="en-GB"/>
        </w:rPr>
        <w:t>Part B</w:t>
      </w:r>
    </w:p>
    <w:p w14:paraId="249D214B" w14:textId="77777777" w:rsidR="00032F7C" w:rsidRPr="00032F7C" w:rsidRDefault="00032F7C" w:rsidP="00792E62">
      <w:pPr>
        <w:spacing w:after="0" w:line="480" w:lineRule="auto"/>
        <w:jc w:val="both"/>
        <w:rPr>
          <w:rFonts w:ascii="Times New Roman" w:hAnsi="Times New Roman" w:cs="Times New Roman"/>
          <w:sz w:val="24"/>
          <w:szCs w:val="24"/>
          <w:lang w:val="en-GB"/>
        </w:rPr>
      </w:pPr>
    </w:p>
    <w:p w14:paraId="5407ED22" w14:textId="04FAFA10" w:rsid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ab/>
        <w:t xml:space="preserve">To determine whether Mr. Amana should sell on Amazon or go online, it is important to analyse both the financial and non-financial implications of both alternatives. Going online would provide Amana with an opportunity to increase 100,000 units of souvenirs, with an initial investment of £150,000 and £50,000 to set up the delivery network and upgrade the </w:t>
      </w:r>
      <w:r w:rsidRPr="00792E62">
        <w:rPr>
          <w:rFonts w:ascii="Times New Roman" w:hAnsi="Times New Roman" w:cs="Times New Roman"/>
          <w:lang w:val="en-GB"/>
        </w:rPr>
        <w:lastRenderedPageBreak/>
        <w:t>current website respectively, and an ongoing fixed cost of £35,000 per annum. On the other hand, selling on Amazon will help Amana achieve additional sales of 65,000 units with additional fixed costs of £50,000 per annum.</w:t>
      </w:r>
    </w:p>
    <w:p w14:paraId="2B57DA35" w14:textId="77777777" w:rsidR="00032F7C" w:rsidRPr="00792E62" w:rsidRDefault="00032F7C" w:rsidP="00792E62">
      <w:pPr>
        <w:spacing w:after="0" w:line="480" w:lineRule="auto"/>
        <w:jc w:val="both"/>
        <w:rPr>
          <w:rFonts w:ascii="Times New Roman" w:hAnsi="Times New Roman" w:cs="Times New Roman"/>
          <w:lang w:val="en-GB"/>
        </w:rPr>
      </w:pPr>
    </w:p>
    <w:p w14:paraId="4F210725" w14:textId="49C389D8" w:rsidR="00792E62" w:rsidRDefault="00792E62" w:rsidP="00792E62">
      <w:pPr>
        <w:spacing w:after="0" w:line="480" w:lineRule="auto"/>
        <w:jc w:val="both"/>
        <w:rPr>
          <w:rFonts w:ascii="Times New Roman" w:hAnsi="Times New Roman" w:cs="Times New Roman"/>
          <w:bCs/>
          <w:sz w:val="24"/>
          <w:szCs w:val="24"/>
          <w:lang w:val="en-GB"/>
        </w:rPr>
      </w:pPr>
      <w:r w:rsidRPr="00032F7C">
        <w:rPr>
          <w:rFonts w:ascii="Times New Roman" w:hAnsi="Times New Roman" w:cs="Times New Roman"/>
          <w:bCs/>
          <w:sz w:val="24"/>
          <w:szCs w:val="24"/>
          <w:lang w:val="en-GB"/>
        </w:rPr>
        <w:t>Going Online</w:t>
      </w:r>
    </w:p>
    <w:p w14:paraId="6D8BFF67" w14:textId="77777777" w:rsidR="00032F7C" w:rsidRPr="00032F7C" w:rsidRDefault="00032F7C" w:rsidP="00792E62">
      <w:pPr>
        <w:spacing w:after="0" w:line="480" w:lineRule="auto"/>
        <w:jc w:val="both"/>
        <w:rPr>
          <w:rFonts w:ascii="Times New Roman" w:hAnsi="Times New Roman" w:cs="Times New Roman"/>
          <w:bCs/>
          <w:sz w:val="24"/>
          <w:szCs w:val="24"/>
          <w:lang w:val="en-GB"/>
        </w:rPr>
      </w:pPr>
    </w:p>
    <w:p w14:paraId="411BEF75" w14:textId="77777777"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b/>
          <w:bCs/>
          <w:lang w:val="en-GB"/>
        </w:rPr>
        <w:tab/>
      </w:r>
      <w:r w:rsidRPr="00792E62">
        <w:rPr>
          <w:rFonts w:ascii="Times New Roman" w:hAnsi="Times New Roman" w:cs="Times New Roman"/>
          <w:bCs/>
          <w:lang w:val="en-GB"/>
        </w:rPr>
        <w:t xml:space="preserve">The control report below summarises the financial impact of selling online using the company’s website. With incremental sales of 50,000 units (50%, Amana will achieve a sales revenue of </w:t>
      </w:r>
      <w:r w:rsidRPr="00792E62">
        <w:rPr>
          <w:rFonts w:ascii="Times New Roman" w:hAnsi="Times New Roman" w:cs="Times New Roman"/>
          <w:lang w:val="en-GB"/>
        </w:rPr>
        <w:t>£ 12.5 million at a unit price of £25 and £1 million at a unit price of £20. The sales revenue variance amounts to £250,000, which can be termed as relatively stable. The variable costs are based on the actual costs instead of the values on the fixed budget in PART A. The decision to use the actual variable costs is because the values are more realistic and more reliable for analysis purposes.</w:t>
      </w:r>
    </w:p>
    <w:p w14:paraId="67BE2D40" w14:textId="4B6657FD"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ab/>
        <w:t xml:space="preserve">The fixed cost analysis focuses on the incremental fixed costs incurred to set up a website, network delivery, and IT programmer’s salary. The other fixed costs are not </w:t>
      </w:r>
      <w:r w:rsidR="00032F7C" w:rsidRPr="00792E62">
        <w:rPr>
          <w:rFonts w:ascii="Times New Roman" w:hAnsi="Times New Roman" w:cs="Times New Roman"/>
          <w:lang w:val="en-GB"/>
        </w:rPr>
        <w:t>considered</w:t>
      </w:r>
      <w:r w:rsidRPr="00792E62">
        <w:rPr>
          <w:rFonts w:ascii="Times New Roman" w:hAnsi="Times New Roman" w:cs="Times New Roman"/>
          <w:lang w:val="en-GB"/>
        </w:rPr>
        <w:t xml:space="preserve"> since the analysis only focuses on the incremental costs. If Amana Ltd implements this option, the first year’s incremental fixed costs are estimated at £235,000, under both flexible and actual budget figures.</w:t>
      </w:r>
    </w:p>
    <w:p w14:paraId="5E2B7E52" w14:textId="1B96BD72" w:rsidR="00E1491C"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ab/>
        <w:t xml:space="preserve">The incremental net operating income is estimated at £490,000 at a selling price of £25 per unit. However, under the prevailing circumstances, the price may not be achievable. The projected net operating income at a selling price of £20 is £240,000, with an adverse net operating income variance of </w:t>
      </w:r>
      <w:r w:rsidR="00096BB4">
        <w:rPr>
          <w:rFonts w:ascii="Times New Roman" w:hAnsi="Times New Roman" w:cs="Times New Roman"/>
          <w:lang w:val="en-GB"/>
        </w:rPr>
        <w:t>£</w:t>
      </w:r>
      <w:r w:rsidRPr="00792E62">
        <w:rPr>
          <w:rFonts w:ascii="Times New Roman" w:hAnsi="Times New Roman" w:cs="Times New Roman"/>
          <w:lang w:val="en-GB"/>
        </w:rPr>
        <w:t xml:space="preserve">250,000. Therefore, the expected incremental net operating profit for year one after implementation of the project will be £240,000. However, the net operating income will increase in the subsequent periods since the initial investment of £200,000 for setting up the delivery network and the cost of upgrading the website are one-off costs. From year two, the projected incremental net operating income will rise to £440,000 as the fixed costs reduce to £35,000 which is the ongoing cost of the IT programmer. </w:t>
      </w:r>
    </w:p>
    <w:tbl>
      <w:tblPr>
        <w:tblW w:w="8456" w:type="dxa"/>
        <w:tblLook w:val="04A0" w:firstRow="1" w:lastRow="0" w:firstColumn="1" w:lastColumn="0" w:noHBand="0" w:noVBand="1"/>
      </w:tblPr>
      <w:tblGrid>
        <w:gridCol w:w="3365"/>
        <w:gridCol w:w="1697"/>
        <w:gridCol w:w="1697"/>
        <w:gridCol w:w="1697"/>
      </w:tblGrid>
      <w:tr w:rsidR="00792E62" w:rsidRPr="00792E62" w14:paraId="42B4AD28" w14:textId="77777777" w:rsidTr="00BF477F">
        <w:trPr>
          <w:trHeight w:val="529"/>
        </w:trPr>
        <w:tc>
          <w:tcPr>
            <w:tcW w:w="33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81BAC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lastRenderedPageBreak/>
              <w:t> </w:t>
            </w:r>
          </w:p>
        </w:tc>
        <w:tc>
          <w:tcPr>
            <w:tcW w:w="1697" w:type="dxa"/>
            <w:tcBorders>
              <w:top w:val="single" w:sz="4" w:space="0" w:color="auto"/>
              <w:left w:val="nil"/>
              <w:bottom w:val="single" w:sz="4" w:space="0" w:color="auto"/>
              <w:right w:val="single" w:sz="4" w:space="0" w:color="auto"/>
            </w:tcBorders>
            <w:shd w:val="clear" w:color="auto" w:fill="auto"/>
            <w:hideMark/>
          </w:tcPr>
          <w:p w14:paraId="29E7306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Flexible</w:t>
            </w:r>
            <w:r w:rsidRPr="00792E62">
              <w:rPr>
                <w:rFonts w:ascii="Times New Roman" w:eastAsia="Times New Roman" w:hAnsi="Times New Roman" w:cs="Times New Roman"/>
                <w:b/>
                <w:bCs/>
                <w:color w:val="000000"/>
                <w:lang w:val="en-GB"/>
              </w:rPr>
              <w:br/>
              <w:t>Budget</w:t>
            </w:r>
          </w:p>
        </w:tc>
        <w:tc>
          <w:tcPr>
            <w:tcW w:w="1697" w:type="dxa"/>
            <w:tcBorders>
              <w:top w:val="single" w:sz="4" w:space="0" w:color="auto"/>
              <w:left w:val="nil"/>
              <w:bottom w:val="single" w:sz="4" w:space="0" w:color="auto"/>
              <w:right w:val="single" w:sz="4" w:space="0" w:color="auto"/>
            </w:tcBorders>
            <w:shd w:val="clear" w:color="auto" w:fill="auto"/>
            <w:hideMark/>
          </w:tcPr>
          <w:p w14:paraId="253967B1"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Projected YR1</w:t>
            </w:r>
          </w:p>
        </w:tc>
        <w:tc>
          <w:tcPr>
            <w:tcW w:w="1697" w:type="dxa"/>
            <w:tcBorders>
              <w:top w:val="single" w:sz="4" w:space="0" w:color="auto"/>
              <w:left w:val="nil"/>
              <w:bottom w:val="single" w:sz="4" w:space="0" w:color="auto"/>
              <w:right w:val="single" w:sz="4" w:space="0" w:color="auto"/>
            </w:tcBorders>
          </w:tcPr>
          <w:p w14:paraId="264BBD9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Projected YR2</w:t>
            </w:r>
          </w:p>
        </w:tc>
      </w:tr>
      <w:tr w:rsidR="00792E62" w:rsidRPr="00792E62" w14:paraId="324F42CE"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2863C1E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Sales Volume</w:t>
            </w:r>
          </w:p>
        </w:tc>
        <w:tc>
          <w:tcPr>
            <w:tcW w:w="1697" w:type="dxa"/>
            <w:tcBorders>
              <w:top w:val="nil"/>
              <w:left w:val="nil"/>
              <w:bottom w:val="nil"/>
              <w:right w:val="nil"/>
            </w:tcBorders>
            <w:shd w:val="clear" w:color="auto" w:fill="auto"/>
            <w:noWrap/>
            <w:vAlign w:val="bottom"/>
            <w:hideMark/>
          </w:tcPr>
          <w:p w14:paraId="16139E9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697" w:type="dxa"/>
            <w:tcBorders>
              <w:top w:val="nil"/>
              <w:left w:val="nil"/>
              <w:bottom w:val="nil"/>
              <w:right w:val="nil"/>
            </w:tcBorders>
            <w:shd w:val="clear" w:color="auto" w:fill="auto"/>
            <w:noWrap/>
            <w:vAlign w:val="bottom"/>
            <w:hideMark/>
          </w:tcPr>
          <w:p w14:paraId="09B85D4E"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697" w:type="dxa"/>
            <w:tcBorders>
              <w:top w:val="nil"/>
              <w:left w:val="nil"/>
              <w:bottom w:val="nil"/>
              <w:right w:val="single" w:sz="4" w:space="0" w:color="auto"/>
            </w:tcBorders>
            <w:vAlign w:val="bottom"/>
          </w:tcPr>
          <w:p w14:paraId="00E0274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r>
      <w:tr w:rsidR="00792E62" w:rsidRPr="00792E62" w14:paraId="14746431"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25C2B048"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Unit Price</w:t>
            </w:r>
          </w:p>
        </w:tc>
        <w:tc>
          <w:tcPr>
            <w:tcW w:w="1697" w:type="dxa"/>
            <w:tcBorders>
              <w:top w:val="nil"/>
              <w:left w:val="nil"/>
              <w:bottom w:val="nil"/>
              <w:right w:val="nil"/>
            </w:tcBorders>
            <w:shd w:val="clear" w:color="auto" w:fill="auto"/>
            <w:noWrap/>
            <w:vAlign w:val="center"/>
            <w:hideMark/>
          </w:tcPr>
          <w:p w14:paraId="38F1782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25 </w:t>
            </w:r>
          </w:p>
        </w:tc>
        <w:tc>
          <w:tcPr>
            <w:tcW w:w="1697" w:type="dxa"/>
            <w:tcBorders>
              <w:top w:val="nil"/>
              <w:left w:val="nil"/>
              <w:bottom w:val="nil"/>
              <w:right w:val="nil"/>
            </w:tcBorders>
            <w:shd w:val="clear" w:color="auto" w:fill="auto"/>
            <w:noWrap/>
            <w:vAlign w:val="center"/>
            <w:hideMark/>
          </w:tcPr>
          <w:p w14:paraId="229B8F5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 </w:t>
            </w:r>
          </w:p>
        </w:tc>
        <w:tc>
          <w:tcPr>
            <w:tcW w:w="1697" w:type="dxa"/>
            <w:tcBorders>
              <w:top w:val="nil"/>
              <w:left w:val="nil"/>
              <w:bottom w:val="nil"/>
              <w:right w:val="single" w:sz="4" w:space="0" w:color="auto"/>
            </w:tcBorders>
            <w:vAlign w:val="center"/>
          </w:tcPr>
          <w:p w14:paraId="44D758BF"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 </w:t>
            </w:r>
          </w:p>
        </w:tc>
      </w:tr>
      <w:tr w:rsidR="00792E62" w:rsidRPr="00792E62" w14:paraId="4A39E5FB" w14:textId="77777777" w:rsidTr="00BF477F">
        <w:trPr>
          <w:trHeight w:val="264"/>
        </w:trPr>
        <w:tc>
          <w:tcPr>
            <w:tcW w:w="3365" w:type="dxa"/>
            <w:tcBorders>
              <w:top w:val="single" w:sz="4" w:space="0" w:color="auto"/>
              <w:left w:val="single" w:sz="4" w:space="0" w:color="auto"/>
              <w:bottom w:val="single" w:sz="4" w:space="0" w:color="auto"/>
              <w:right w:val="nil"/>
            </w:tcBorders>
            <w:shd w:val="clear" w:color="auto" w:fill="auto"/>
            <w:noWrap/>
            <w:vAlign w:val="bottom"/>
            <w:hideMark/>
          </w:tcPr>
          <w:p w14:paraId="5034663F"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Sales</w:t>
            </w:r>
          </w:p>
        </w:tc>
        <w:tc>
          <w:tcPr>
            <w:tcW w:w="1697" w:type="dxa"/>
            <w:tcBorders>
              <w:top w:val="single" w:sz="4" w:space="0" w:color="auto"/>
              <w:left w:val="single" w:sz="4" w:space="0" w:color="auto"/>
              <w:bottom w:val="single" w:sz="4" w:space="0" w:color="auto"/>
              <w:right w:val="nil"/>
            </w:tcBorders>
            <w:shd w:val="clear" w:color="auto" w:fill="auto"/>
            <w:noWrap/>
            <w:vAlign w:val="bottom"/>
            <w:hideMark/>
          </w:tcPr>
          <w:p w14:paraId="05434C71"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1,250,000 </w:t>
            </w:r>
          </w:p>
        </w:tc>
        <w:tc>
          <w:tcPr>
            <w:tcW w:w="1697" w:type="dxa"/>
            <w:tcBorders>
              <w:top w:val="single" w:sz="4" w:space="0" w:color="auto"/>
              <w:left w:val="nil"/>
              <w:bottom w:val="single" w:sz="4" w:space="0" w:color="auto"/>
              <w:right w:val="nil"/>
            </w:tcBorders>
            <w:shd w:val="clear" w:color="auto" w:fill="auto"/>
            <w:noWrap/>
            <w:vAlign w:val="bottom"/>
            <w:hideMark/>
          </w:tcPr>
          <w:p w14:paraId="01D83E7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1,000,000 </w:t>
            </w:r>
          </w:p>
        </w:tc>
        <w:tc>
          <w:tcPr>
            <w:tcW w:w="1697" w:type="dxa"/>
            <w:tcBorders>
              <w:top w:val="single" w:sz="4" w:space="0" w:color="auto"/>
              <w:left w:val="nil"/>
              <w:bottom w:val="single" w:sz="4" w:space="0" w:color="auto"/>
              <w:right w:val="single" w:sz="4" w:space="0" w:color="auto"/>
            </w:tcBorders>
            <w:vAlign w:val="bottom"/>
          </w:tcPr>
          <w:p w14:paraId="5FE0B2D8"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1,000,000 </w:t>
            </w:r>
          </w:p>
        </w:tc>
      </w:tr>
      <w:tr w:rsidR="00792E62" w:rsidRPr="00792E62" w14:paraId="464B90D7"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2A38B30A"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Less: Costs</w:t>
            </w:r>
          </w:p>
        </w:tc>
        <w:tc>
          <w:tcPr>
            <w:tcW w:w="1697" w:type="dxa"/>
            <w:tcBorders>
              <w:top w:val="nil"/>
              <w:left w:val="nil"/>
              <w:bottom w:val="nil"/>
              <w:right w:val="nil"/>
            </w:tcBorders>
            <w:shd w:val="clear" w:color="auto" w:fill="auto"/>
            <w:noWrap/>
            <w:vAlign w:val="bottom"/>
            <w:hideMark/>
          </w:tcPr>
          <w:p w14:paraId="5C394CD7"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
        </w:tc>
        <w:tc>
          <w:tcPr>
            <w:tcW w:w="1697" w:type="dxa"/>
            <w:tcBorders>
              <w:top w:val="nil"/>
              <w:left w:val="nil"/>
              <w:bottom w:val="nil"/>
              <w:right w:val="nil"/>
            </w:tcBorders>
            <w:shd w:val="clear" w:color="auto" w:fill="auto"/>
            <w:noWrap/>
            <w:vAlign w:val="bottom"/>
            <w:hideMark/>
          </w:tcPr>
          <w:p w14:paraId="1D45B584" w14:textId="77777777" w:rsidR="00792E62" w:rsidRPr="00792E62" w:rsidRDefault="00792E62" w:rsidP="00792E62">
            <w:pPr>
              <w:spacing w:after="0" w:line="480" w:lineRule="auto"/>
              <w:jc w:val="both"/>
              <w:rPr>
                <w:rFonts w:ascii="Times New Roman" w:eastAsia="Times New Roman" w:hAnsi="Times New Roman" w:cs="Times New Roman"/>
                <w:lang w:val="en-GB"/>
              </w:rPr>
            </w:pPr>
          </w:p>
        </w:tc>
        <w:tc>
          <w:tcPr>
            <w:tcW w:w="1697" w:type="dxa"/>
            <w:tcBorders>
              <w:top w:val="nil"/>
              <w:left w:val="nil"/>
              <w:bottom w:val="nil"/>
              <w:right w:val="single" w:sz="4" w:space="0" w:color="auto"/>
            </w:tcBorders>
            <w:vAlign w:val="bottom"/>
          </w:tcPr>
          <w:p w14:paraId="16514187"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
        </w:tc>
      </w:tr>
      <w:tr w:rsidR="00792E62" w:rsidRPr="00792E62" w14:paraId="1984597E"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5C0055C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Material</w:t>
            </w:r>
          </w:p>
        </w:tc>
        <w:tc>
          <w:tcPr>
            <w:tcW w:w="1697" w:type="dxa"/>
            <w:tcBorders>
              <w:top w:val="nil"/>
              <w:left w:val="nil"/>
              <w:bottom w:val="nil"/>
              <w:right w:val="nil"/>
            </w:tcBorders>
            <w:shd w:val="clear" w:color="auto" w:fill="auto"/>
            <w:noWrap/>
            <w:vAlign w:val="bottom"/>
            <w:hideMark/>
          </w:tcPr>
          <w:p w14:paraId="13E8A78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175,000 </w:t>
            </w:r>
          </w:p>
        </w:tc>
        <w:tc>
          <w:tcPr>
            <w:tcW w:w="1697" w:type="dxa"/>
            <w:tcBorders>
              <w:top w:val="nil"/>
              <w:left w:val="nil"/>
              <w:bottom w:val="nil"/>
              <w:right w:val="nil"/>
            </w:tcBorders>
            <w:shd w:val="clear" w:color="auto" w:fill="auto"/>
            <w:noWrap/>
            <w:vAlign w:val="bottom"/>
            <w:hideMark/>
          </w:tcPr>
          <w:p w14:paraId="5F701B9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175,000 </w:t>
            </w:r>
          </w:p>
        </w:tc>
        <w:tc>
          <w:tcPr>
            <w:tcW w:w="1697" w:type="dxa"/>
            <w:tcBorders>
              <w:top w:val="nil"/>
              <w:left w:val="nil"/>
              <w:bottom w:val="nil"/>
              <w:right w:val="single" w:sz="4" w:space="0" w:color="auto"/>
            </w:tcBorders>
            <w:vAlign w:val="bottom"/>
          </w:tcPr>
          <w:p w14:paraId="6ADF747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175,000 </w:t>
            </w:r>
          </w:p>
        </w:tc>
      </w:tr>
      <w:tr w:rsidR="00792E62" w:rsidRPr="00792E62" w14:paraId="36E54A31"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056A0347"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roofErr w:type="spellStart"/>
            <w:r w:rsidRPr="00792E62">
              <w:rPr>
                <w:rFonts w:ascii="Times New Roman" w:eastAsia="Times New Roman" w:hAnsi="Times New Roman" w:cs="Times New Roman"/>
                <w:b/>
                <w:bCs/>
                <w:color w:val="000000"/>
                <w:lang w:val="en-GB"/>
              </w:rPr>
              <w:t>labor</w:t>
            </w:r>
            <w:proofErr w:type="spellEnd"/>
          </w:p>
        </w:tc>
        <w:tc>
          <w:tcPr>
            <w:tcW w:w="1697" w:type="dxa"/>
            <w:tcBorders>
              <w:top w:val="nil"/>
              <w:left w:val="nil"/>
              <w:bottom w:val="nil"/>
              <w:right w:val="nil"/>
            </w:tcBorders>
            <w:shd w:val="clear" w:color="auto" w:fill="auto"/>
            <w:noWrap/>
            <w:vAlign w:val="bottom"/>
            <w:hideMark/>
          </w:tcPr>
          <w:p w14:paraId="4F0C7FB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275,000 </w:t>
            </w:r>
          </w:p>
        </w:tc>
        <w:tc>
          <w:tcPr>
            <w:tcW w:w="1697" w:type="dxa"/>
            <w:tcBorders>
              <w:top w:val="nil"/>
              <w:left w:val="nil"/>
              <w:bottom w:val="nil"/>
              <w:right w:val="nil"/>
            </w:tcBorders>
            <w:shd w:val="clear" w:color="auto" w:fill="auto"/>
            <w:noWrap/>
            <w:vAlign w:val="bottom"/>
            <w:hideMark/>
          </w:tcPr>
          <w:p w14:paraId="2D8CE09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275,000 </w:t>
            </w:r>
          </w:p>
        </w:tc>
        <w:tc>
          <w:tcPr>
            <w:tcW w:w="1697" w:type="dxa"/>
            <w:tcBorders>
              <w:top w:val="nil"/>
              <w:left w:val="nil"/>
              <w:bottom w:val="nil"/>
              <w:right w:val="single" w:sz="4" w:space="0" w:color="auto"/>
            </w:tcBorders>
            <w:vAlign w:val="bottom"/>
          </w:tcPr>
          <w:p w14:paraId="1091729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275,000 </w:t>
            </w:r>
          </w:p>
        </w:tc>
      </w:tr>
      <w:tr w:rsidR="00792E62" w:rsidRPr="00792E62" w14:paraId="7F707CB6"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155C1D02"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Overhead</w:t>
            </w:r>
          </w:p>
        </w:tc>
        <w:tc>
          <w:tcPr>
            <w:tcW w:w="1697" w:type="dxa"/>
            <w:tcBorders>
              <w:top w:val="nil"/>
              <w:left w:val="nil"/>
              <w:bottom w:val="nil"/>
              <w:right w:val="nil"/>
            </w:tcBorders>
            <w:shd w:val="clear" w:color="auto" w:fill="auto"/>
            <w:noWrap/>
            <w:vAlign w:val="bottom"/>
            <w:hideMark/>
          </w:tcPr>
          <w:p w14:paraId="09D19C16"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75,000 </w:t>
            </w:r>
          </w:p>
        </w:tc>
        <w:tc>
          <w:tcPr>
            <w:tcW w:w="1697" w:type="dxa"/>
            <w:tcBorders>
              <w:top w:val="nil"/>
              <w:left w:val="nil"/>
              <w:bottom w:val="nil"/>
              <w:right w:val="nil"/>
            </w:tcBorders>
            <w:shd w:val="clear" w:color="auto" w:fill="auto"/>
            <w:noWrap/>
            <w:vAlign w:val="bottom"/>
            <w:hideMark/>
          </w:tcPr>
          <w:p w14:paraId="495DC0F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75,000 </w:t>
            </w:r>
          </w:p>
        </w:tc>
        <w:tc>
          <w:tcPr>
            <w:tcW w:w="1697" w:type="dxa"/>
            <w:tcBorders>
              <w:top w:val="nil"/>
              <w:left w:val="nil"/>
              <w:bottom w:val="nil"/>
              <w:right w:val="single" w:sz="4" w:space="0" w:color="auto"/>
            </w:tcBorders>
            <w:vAlign w:val="bottom"/>
          </w:tcPr>
          <w:p w14:paraId="2CC0E72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75,000 </w:t>
            </w:r>
          </w:p>
        </w:tc>
      </w:tr>
      <w:tr w:rsidR="00792E62" w:rsidRPr="00792E62" w14:paraId="64687362" w14:textId="77777777" w:rsidTr="00BF477F">
        <w:trPr>
          <w:trHeight w:val="264"/>
        </w:trPr>
        <w:tc>
          <w:tcPr>
            <w:tcW w:w="33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6D3F2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Contribution</w:t>
            </w:r>
          </w:p>
        </w:tc>
        <w:tc>
          <w:tcPr>
            <w:tcW w:w="1697" w:type="dxa"/>
            <w:tcBorders>
              <w:top w:val="single" w:sz="4" w:space="0" w:color="auto"/>
              <w:left w:val="nil"/>
              <w:bottom w:val="single" w:sz="4" w:space="0" w:color="auto"/>
              <w:right w:val="nil"/>
            </w:tcBorders>
            <w:shd w:val="clear" w:color="auto" w:fill="auto"/>
            <w:noWrap/>
            <w:vAlign w:val="bottom"/>
            <w:hideMark/>
          </w:tcPr>
          <w:p w14:paraId="0F1C06A6"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725,000 </w:t>
            </w:r>
          </w:p>
        </w:tc>
        <w:tc>
          <w:tcPr>
            <w:tcW w:w="1697" w:type="dxa"/>
            <w:tcBorders>
              <w:top w:val="single" w:sz="4" w:space="0" w:color="auto"/>
              <w:left w:val="nil"/>
              <w:bottom w:val="single" w:sz="4" w:space="0" w:color="auto"/>
              <w:right w:val="nil"/>
            </w:tcBorders>
            <w:shd w:val="clear" w:color="auto" w:fill="auto"/>
            <w:noWrap/>
            <w:vAlign w:val="bottom"/>
            <w:hideMark/>
          </w:tcPr>
          <w:p w14:paraId="4137B51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475,000 </w:t>
            </w:r>
          </w:p>
        </w:tc>
        <w:tc>
          <w:tcPr>
            <w:tcW w:w="1697" w:type="dxa"/>
            <w:tcBorders>
              <w:top w:val="single" w:sz="4" w:space="0" w:color="auto"/>
              <w:left w:val="nil"/>
              <w:bottom w:val="single" w:sz="4" w:space="0" w:color="auto"/>
              <w:right w:val="single" w:sz="4" w:space="0" w:color="auto"/>
            </w:tcBorders>
            <w:vAlign w:val="bottom"/>
          </w:tcPr>
          <w:p w14:paraId="112C1D30"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475,000 </w:t>
            </w:r>
          </w:p>
        </w:tc>
      </w:tr>
      <w:tr w:rsidR="00792E62" w:rsidRPr="00792E62" w14:paraId="46F6A2CF"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161F523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Fixed Costs:</w:t>
            </w:r>
          </w:p>
        </w:tc>
        <w:tc>
          <w:tcPr>
            <w:tcW w:w="1697" w:type="dxa"/>
            <w:tcBorders>
              <w:top w:val="nil"/>
              <w:left w:val="nil"/>
              <w:bottom w:val="nil"/>
              <w:right w:val="nil"/>
            </w:tcBorders>
            <w:shd w:val="clear" w:color="auto" w:fill="auto"/>
            <w:noWrap/>
            <w:vAlign w:val="bottom"/>
            <w:hideMark/>
          </w:tcPr>
          <w:p w14:paraId="4AA2CD9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
        </w:tc>
        <w:tc>
          <w:tcPr>
            <w:tcW w:w="1697" w:type="dxa"/>
            <w:tcBorders>
              <w:top w:val="nil"/>
              <w:left w:val="nil"/>
              <w:bottom w:val="nil"/>
              <w:right w:val="nil"/>
            </w:tcBorders>
            <w:shd w:val="clear" w:color="auto" w:fill="auto"/>
            <w:noWrap/>
            <w:vAlign w:val="bottom"/>
            <w:hideMark/>
          </w:tcPr>
          <w:p w14:paraId="62B70FF8" w14:textId="77777777" w:rsidR="00792E62" w:rsidRPr="00792E62" w:rsidRDefault="00792E62" w:rsidP="00792E62">
            <w:pPr>
              <w:spacing w:after="0" w:line="480" w:lineRule="auto"/>
              <w:jc w:val="both"/>
              <w:rPr>
                <w:rFonts w:ascii="Times New Roman" w:eastAsia="Times New Roman" w:hAnsi="Times New Roman" w:cs="Times New Roman"/>
                <w:lang w:val="en-GB"/>
              </w:rPr>
            </w:pPr>
          </w:p>
        </w:tc>
        <w:tc>
          <w:tcPr>
            <w:tcW w:w="1697" w:type="dxa"/>
            <w:tcBorders>
              <w:top w:val="nil"/>
              <w:left w:val="nil"/>
              <w:bottom w:val="nil"/>
              <w:right w:val="single" w:sz="4" w:space="0" w:color="auto"/>
            </w:tcBorders>
            <w:vAlign w:val="bottom"/>
          </w:tcPr>
          <w:p w14:paraId="23EC9AAD"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p>
        </w:tc>
      </w:tr>
      <w:tr w:rsidR="00792E62" w:rsidRPr="00792E62" w14:paraId="50A84927"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7ED0AF5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Delivery Network</w:t>
            </w:r>
          </w:p>
        </w:tc>
        <w:tc>
          <w:tcPr>
            <w:tcW w:w="1697" w:type="dxa"/>
            <w:tcBorders>
              <w:top w:val="nil"/>
              <w:left w:val="nil"/>
              <w:bottom w:val="nil"/>
              <w:right w:val="nil"/>
            </w:tcBorders>
            <w:shd w:val="clear" w:color="auto" w:fill="auto"/>
            <w:noWrap/>
            <w:vAlign w:val="bottom"/>
            <w:hideMark/>
          </w:tcPr>
          <w:p w14:paraId="26E4B6FD"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150,000 </w:t>
            </w:r>
          </w:p>
        </w:tc>
        <w:tc>
          <w:tcPr>
            <w:tcW w:w="1697" w:type="dxa"/>
            <w:tcBorders>
              <w:top w:val="nil"/>
              <w:left w:val="nil"/>
              <w:bottom w:val="nil"/>
              <w:right w:val="nil"/>
            </w:tcBorders>
            <w:shd w:val="clear" w:color="auto" w:fill="auto"/>
            <w:noWrap/>
            <w:vAlign w:val="bottom"/>
            <w:hideMark/>
          </w:tcPr>
          <w:p w14:paraId="2F4CDBE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150,000 </w:t>
            </w:r>
          </w:p>
        </w:tc>
        <w:tc>
          <w:tcPr>
            <w:tcW w:w="1697" w:type="dxa"/>
            <w:tcBorders>
              <w:top w:val="nil"/>
              <w:left w:val="nil"/>
              <w:bottom w:val="nil"/>
              <w:right w:val="single" w:sz="4" w:space="0" w:color="auto"/>
            </w:tcBorders>
            <w:vAlign w:val="bottom"/>
          </w:tcPr>
          <w:p w14:paraId="329D1E83"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w:t>
            </w:r>
          </w:p>
        </w:tc>
      </w:tr>
      <w:tr w:rsidR="00792E62" w:rsidRPr="00792E62" w14:paraId="36224228"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630B3488"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Website Upgrade</w:t>
            </w:r>
          </w:p>
        </w:tc>
        <w:tc>
          <w:tcPr>
            <w:tcW w:w="1697" w:type="dxa"/>
            <w:tcBorders>
              <w:top w:val="nil"/>
              <w:left w:val="nil"/>
              <w:bottom w:val="nil"/>
              <w:right w:val="nil"/>
            </w:tcBorders>
            <w:shd w:val="clear" w:color="auto" w:fill="auto"/>
            <w:noWrap/>
            <w:vAlign w:val="bottom"/>
            <w:hideMark/>
          </w:tcPr>
          <w:p w14:paraId="3FEB3DA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697" w:type="dxa"/>
            <w:tcBorders>
              <w:top w:val="nil"/>
              <w:left w:val="nil"/>
              <w:bottom w:val="nil"/>
              <w:right w:val="nil"/>
            </w:tcBorders>
            <w:shd w:val="clear" w:color="auto" w:fill="auto"/>
            <w:noWrap/>
            <w:vAlign w:val="bottom"/>
            <w:hideMark/>
          </w:tcPr>
          <w:p w14:paraId="3EA9910D"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697" w:type="dxa"/>
            <w:tcBorders>
              <w:top w:val="nil"/>
              <w:left w:val="nil"/>
              <w:bottom w:val="nil"/>
              <w:right w:val="single" w:sz="4" w:space="0" w:color="auto"/>
            </w:tcBorders>
            <w:vAlign w:val="bottom"/>
          </w:tcPr>
          <w:p w14:paraId="0A2E87F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w:t>
            </w:r>
          </w:p>
        </w:tc>
      </w:tr>
      <w:tr w:rsidR="00792E62" w:rsidRPr="00792E62" w14:paraId="248204F7" w14:textId="77777777" w:rsidTr="00BF477F">
        <w:trPr>
          <w:trHeight w:val="264"/>
        </w:trPr>
        <w:tc>
          <w:tcPr>
            <w:tcW w:w="3365" w:type="dxa"/>
            <w:tcBorders>
              <w:top w:val="nil"/>
              <w:left w:val="single" w:sz="4" w:space="0" w:color="auto"/>
              <w:bottom w:val="nil"/>
              <w:right w:val="single" w:sz="4" w:space="0" w:color="auto"/>
            </w:tcBorders>
            <w:shd w:val="clear" w:color="auto" w:fill="auto"/>
            <w:noWrap/>
            <w:vAlign w:val="bottom"/>
            <w:hideMark/>
          </w:tcPr>
          <w:p w14:paraId="5B50B9F1"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IT Programmer </w:t>
            </w:r>
          </w:p>
        </w:tc>
        <w:tc>
          <w:tcPr>
            <w:tcW w:w="1697" w:type="dxa"/>
            <w:tcBorders>
              <w:top w:val="nil"/>
              <w:left w:val="nil"/>
              <w:bottom w:val="nil"/>
              <w:right w:val="nil"/>
            </w:tcBorders>
            <w:shd w:val="clear" w:color="auto" w:fill="auto"/>
            <w:noWrap/>
            <w:vAlign w:val="bottom"/>
            <w:hideMark/>
          </w:tcPr>
          <w:p w14:paraId="42FA425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c>
          <w:tcPr>
            <w:tcW w:w="1697" w:type="dxa"/>
            <w:tcBorders>
              <w:top w:val="nil"/>
              <w:left w:val="nil"/>
              <w:bottom w:val="nil"/>
              <w:right w:val="nil"/>
            </w:tcBorders>
            <w:shd w:val="clear" w:color="auto" w:fill="auto"/>
            <w:noWrap/>
            <w:vAlign w:val="bottom"/>
            <w:hideMark/>
          </w:tcPr>
          <w:p w14:paraId="15D0041C"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c>
          <w:tcPr>
            <w:tcW w:w="1697" w:type="dxa"/>
            <w:tcBorders>
              <w:top w:val="nil"/>
              <w:left w:val="nil"/>
              <w:bottom w:val="nil"/>
              <w:right w:val="single" w:sz="4" w:space="0" w:color="auto"/>
            </w:tcBorders>
            <w:vAlign w:val="bottom"/>
          </w:tcPr>
          <w:p w14:paraId="683A6D5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r>
      <w:tr w:rsidR="00792E62" w:rsidRPr="00792E62" w14:paraId="0FEC1215" w14:textId="77777777" w:rsidTr="00BF477F">
        <w:trPr>
          <w:trHeight w:val="264"/>
        </w:trPr>
        <w:tc>
          <w:tcPr>
            <w:tcW w:w="33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05477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Incremental Net Operating Income</w:t>
            </w:r>
          </w:p>
        </w:tc>
        <w:tc>
          <w:tcPr>
            <w:tcW w:w="1697" w:type="dxa"/>
            <w:tcBorders>
              <w:top w:val="single" w:sz="4" w:space="0" w:color="auto"/>
              <w:left w:val="nil"/>
              <w:bottom w:val="single" w:sz="4" w:space="0" w:color="auto"/>
              <w:right w:val="nil"/>
            </w:tcBorders>
            <w:shd w:val="clear" w:color="auto" w:fill="auto"/>
            <w:noWrap/>
            <w:vAlign w:val="bottom"/>
            <w:hideMark/>
          </w:tcPr>
          <w:p w14:paraId="0493112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490,000 </w:t>
            </w:r>
          </w:p>
        </w:tc>
        <w:tc>
          <w:tcPr>
            <w:tcW w:w="1697" w:type="dxa"/>
            <w:tcBorders>
              <w:top w:val="single" w:sz="4" w:space="0" w:color="auto"/>
              <w:left w:val="nil"/>
              <w:bottom w:val="single" w:sz="4" w:space="0" w:color="auto"/>
              <w:right w:val="nil"/>
            </w:tcBorders>
            <w:shd w:val="clear" w:color="auto" w:fill="auto"/>
            <w:noWrap/>
            <w:vAlign w:val="bottom"/>
            <w:hideMark/>
          </w:tcPr>
          <w:p w14:paraId="19068B4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240,000 </w:t>
            </w:r>
          </w:p>
        </w:tc>
        <w:tc>
          <w:tcPr>
            <w:tcW w:w="1697" w:type="dxa"/>
            <w:tcBorders>
              <w:top w:val="single" w:sz="4" w:space="0" w:color="auto"/>
              <w:left w:val="nil"/>
              <w:bottom w:val="single" w:sz="4" w:space="0" w:color="auto"/>
              <w:right w:val="single" w:sz="4" w:space="0" w:color="auto"/>
            </w:tcBorders>
            <w:vAlign w:val="bottom"/>
          </w:tcPr>
          <w:p w14:paraId="2B19981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440,000 </w:t>
            </w:r>
          </w:p>
        </w:tc>
      </w:tr>
    </w:tbl>
    <w:p w14:paraId="6E7E68CC" w14:textId="77777777" w:rsidR="00792E62" w:rsidRPr="00792E62" w:rsidRDefault="00792E62" w:rsidP="00792E62">
      <w:pPr>
        <w:spacing w:after="0" w:line="480" w:lineRule="auto"/>
        <w:jc w:val="both"/>
        <w:rPr>
          <w:rFonts w:ascii="Times New Roman" w:hAnsi="Times New Roman" w:cs="Times New Roman"/>
          <w:lang w:val="en-GB"/>
        </w:rPr>
      </w:pPr>
    </w:p>
    <w:p w14:paraId="02874AA8" w14:textId="6D52FDA1" w:rsidR="00792E62" w:rsidRDefault="00792E62" w:rsidP="00792E62">
      <w:pPr>
        <w:spacing w:after="0" w:line="480" w:lineRule="auto"/>
        <w:jc w:val="both"/>
        <w:rPr>
          <w:rFonts w:ascii="Times New Roman" w:hAnsi="Times New Roman" w:cs="Times New Roman"/>
          <w:bCs/>
          <w:sz w:val="24"/>
          <w:szCs w:val="24"/>
          <w:lang w:val="en-GB"/>
        </w:rPr>
      </w:pPr>
      <w:r w:rsidRPr="00032F7C">
        <w:rPr>
          <w:rFonts w:ascii="Times New Roman" w:hAnsi="Times New Roman" w:cs="Times New Roman"/>
          <w:bCs/>
          <w:sz w:val="24"/>
          <w:szCs w:val="24"/>
          <w:lang w:val="en-GB"/>
        </w:rPr>
        <w:t>Pros and Cons of Going Online</w:t>
      </w:r>
    </w:p>
    <w:p w14:paraId="23D8EDBF" w14:textId="77777777" w:rsidR="00032F7C" w:rsidRPr="00032F7C" w:rsidRDefault="00032F7C" w:rsidP="00792E62">
      <w:pPr>
        <w:spacing w:after="0" w:line="480" w:lineRule="auto"/>
        <w:jc w:val="both"/>
        <w:rPr>
          <w:rFonts w:ascii="Times New Roman" w:hAnsi="Times New Roman" w:cs="Times New Roman"/>
          <w:bCs/>
          <w:sz w:val="24"/>
          <w:szCs w:val="24"/>
          <w:lang w:val="en-GB"/>
        </w:rPr>
      </w:pPr>
    </w:p>
    <w:p w14:paraId="1B47BBEA" w14:textId="77777777"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b/>
          <w:bCs/>
          <w:lang w:val="en-GB"/>
        </w:rPr>
        <w:tab/>
      </w:r>
      <w:r w:rsidRPr="00792E62">
        <w:rPr>
          <w:rFonts w:ascii="Times New Roman" w:hAnsi="Times New Roman" w:cs="Times New Roman"/>
          <w:bCs/>
          <w:lang w:val="en-GB"/>
        </w:rPr>
        <w:t xml:space="preserve">Going online may prove beneficial to Amana Ltd in various ways. Firstly, the company will have an online outlet to sell their products to a wider market. As a result, the company will achieve more sales online with an incremental net operating income of </w:t>
      </w:r>
      <w:r w:rsidRPr="00792E62">
        <w:rPr>
          <w:rFonts w:ascii="Times New Roman" w:hAnsi="Times New Roman" w:cs="Times New Roman"/>
          <w:lang w:val="en-GB"/>
        </w:rPr>
        <w:t>£240,000 in year one and £440,000 in the subsequent periods. Also, the compa</w:t>
      </w:r>
      <w:r w:rsidRPr="00792E62">
        <w:rPr>
          <w:rFonts w:ascii="Times New Roman" w:hAnsi="Times New Roman" w:cs="Times New Roman"/>
          <w:lang w:val="en-GB"/>
        </w:rPr>
        <w:softHyphen/>
        <w:t xml:space="preserve">ny will close down some of the stores and hence cut down on fixed costs of operating Manchester, Birmingham, and Brighton branches; assumed to be 50% of the current actual costs. The overall increase in the operating income will be £90,000 in year one and £290 in subsequent years based on the projections </w:t>
      </w:r>
      <w:r w:rsidRPr="00792E62">
        <w:rPr>
          <w:rFonts w:ascii="Times New Roman" w:hAnsi="Times New Roman" w:cs="Times New Roman"/>
          <w:lang w:val="en-GB"/>
        </w:rPr>
        <w:lastRenderedPageBreak/>
        <w:t>below and the current actual performance. Moreover, Amana will retain control over pricing and hence the ability to reprice the products whenever need be.</w:t>
      </w:r>
    </w:p>
    <w:tbl>
      <w:tblPr>
        <w:tblW w:w="7972" w:type="dxa"/>
        <w:jc w:val="center"/>
        <w:tblLook w:val="04A0" w:firstRow="1" w:lastRow="0" w:firstColumn="1" w:lastColumn="0" w:noHBand="0" w:noVBand="1"/>
      </w:tblPr>
      <w:tblGrid>
        <w:gridCol w:w="3172"/>
        <w:gridCol w:w="1600"/>
        <w:gridCol w:w="1600"/>
        <w:gridCol w:w="1600"/>
      </w:tblGrid>
      <w:tr w:rsidR="00792E62" w:rsidRPr="00792E62" w14:paraId="195E8DB6" w14:textId="77777777" w:rsidTr="00BF477F">
        <w:trPr>
          <w:trHeight w:val="539"/>
          <w:jc w:val="center"/>
        </w:trPr>
        <w:tc>
          <w:tcPr>
            <w:tcW w:w="31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00D24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hAnsi="Times New Roman" w:cs="Times New Roman"/>
                <w:lang w:val="en-GB"/>
              </w:rPr>
              <w:tab/>
            </w:r>
            <w:r w:rsidRPr="00792E62">
              <w:rPr>
                <w:rFonts w:ascii="Times New Roman" w:eastAsia="Times New Roman" w:hAnsi="Times New Roman" w:cs="Times New Roman"/>
                <w:color w:val="000000"/>
                <w:lang w:val="en-GB"/>
              </w:rPr>
              <w:t> </w:t>
            </w:r>
          </w:p>
        </w:tc>
        <w:tc>
          <w:tcPr>
            <w:tcW w:w="1600" w:type="dxa"/>
            <w:tcBorders>
              <w:top w:val="single" w:sz="4" w:space="0" w:color="auto"/>
              <w:left w:val="nil"/>
              <w:bottom w:val="single" w:sz="4" w:space="0" w:color="auto"/>
              <w:right w:val="single" w:sz="4" w:space="0" w:color="auto"/>
            </w:tcBorders>
            <w:shd w:val="clear" w:color="auto" w:fill="auto"/>
            <w:hideMark/>
          </w:tcPr>
          <w:p w14:paraId="7C8FEF91"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Flexible</w:t>
            </w:r>
            <w:r w:rsidRPr="00792E62">
              <w:rPr>
                <w:rFonts w:ascii="Times New Roman" w:eastAsia="Times New Roman" w:hAnsi="Times New Roman" w:cs="Times New Roman"/>
                <w:b/>
                <w:bCs/>
                <w:color w:val="000000"/>
                <w:lang w:val="en-GB"/>
              </w:rPr>
              <w:br/>
              <w:t>Budget</w:t>
            </w:r>
          </w:p>
        </w:tc>
        <w:tc>
          <w:tcPr>
            <w:tcW w:w="1600" w:type="dxa"/>
            <w:tcBorders>
              <w:top w:val="single" w:sz="4" w:space="0" w:color="auto"/>
              <w:left w:val="nil"/>
              <w:bottom w:val="single" w:sz="4" w:space="0" w:color="auto"/>
              <w:right w:val="single" w:sz="4" w:space="0" w:color="auto"/>
            </w:tcBorders>
            <w:shd w:val="clear" w:color="auto" w:fill="auto"/>
            <w:hideMark/>
          </w:tcPr>
          <w:p w14:paraId="38E67E98"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Projected </w:t>
            </w:r>
            <w:r w:rsidRPr="00792E62">
              <w:rPr>
                <w:rFonts w:ascii="Times New Roman" w:eastAsia="Times New Roman" w:hAnsi="Times New Roman" w:cs="Times New Roman"/>
                <w:b/>
                <w:bCs/>
                <w:color w:val="000000"/>
                <w:lang w:val="en-GB"/>
              </w:rPr>
              <w:br/>
              <w:t>Actual Results YR1</w:t>
            </w:r>
          </w:p>
        </w:tc>
        <w:tc>
          <w:tcPr>
            <w:tcW w:w="1600" w:type="dxa"/>
            <w:tcBorders>
              <w:top w:val="single" w:sz="4" w:space="0" w:color="auto"/>
              <w:left w:val="nil"/>
              <w:bottom w:val="single" w:sz="4" w:space="0" w:color="auto"/>
              <w:right w:val="single" w:sz="4" w:space="0" w:color="auto"/>
            </w:tcBorders>
            <w:shd w:val="clear" w:color="auto" w:fill="auto"/>
            <w:hideMark/>
          </w:tcPr>
          <w:p w14:paraId="7D935CD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Projected </w:t>
            </w:r>
            <w:r w:rsidRPr="00792E62">
              <w:rPr>
                <w:rFonts w:ascii="Times New Roman" w:eastAsia="Times New Roman" w:hAnsi="Times New Roman" w:cs="Times New Roman"/>
                <w:b/>
                <w:bCs/>
                <w:color w:val="000000"/>
                <w:lang w:val="en-GB"/>
              </w:rPr>
              <w:br/>
              <w:t>Actual Results YR2</w:t>
            </w:r>
          </w:p>
        </w:tc>
      </w:tr>
      <w:tr w:rsidR="00792E62" w:rsidRPr="00792E62" w14:paraId="5BFAE271"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5B6F49AB"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Sales Volume</w:t>
            </w:r>
          </w:p>
        </w:tc>
        <w:tc>
          <w:tcPr>
            <w:tcW w:w="1600" w:type="dxa"/>
            <w:tcBorders>
              <w:top w:val="nil"/>
              <w:left w:val="nil"/>
              <w:bottom w:val="nil"/>
              <w:right w:val="nil"/>
            </w:tcBorders>
            <w:shd w:val="clear" w:color="auto" w:fill="auto"/>
            <w:noWrap/>
            <w:vAlign w:val="bottom"/>
            <w:hideMark/>
          </w:tcPr>
          <w:p w14:paraId="576A1B0F"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100,000 </w:t>
            </w:r>
          </w:p>
        </w:tc>
        <w:tc>
          <w:tcPr>
            <w:tcW w:w="1600" w:type="dxa"/>
            <w:tcBorders>
              <w:top w:val="nil"/>
              <w:left w:val="nil"/>
              <w:bottom w:val="nil"/>
              <w:right w:val="nil"/>
            </w:tcBorders>
            <w:shd w:val="clear" w:color="auto" w:fill="auto"/>
            <w:noWrap/>
            <w:vAlign w:val="bottom"/>
            <w:hideMark/>
          </w:tcPr>
          <w:p w14:paraId="1C9CE48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100,000 </w:t>
            </w:r>
          </w:p>
        </w:tc>
        <w:tc>
          <w:tcPr>
            <w:tcW w:w="1600" w:type="dxa"/>
            <w:tcBorders>
              <w:top w:val="nil"/>
              <w:left w:val="nil"/>
              <w:bottom w:val="nil"/>
              <w:right w:val="single" w:sz="4" w:space="0" w:color="auto"/>
            </w:tcBorders>
            <w:shd w:val="clear" w:color="auto" w:fill="auto"/>
            <w:noWrap/>
            <w:vAlign w:val="bottom"/>
            <w:hideMark/>
          </w:tcPr>
          <w:p w14:paraId="49F8770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100,000 </w:t>
            </w:r>
          </w:p>
        </w:tc>
      </w:tr>
      <w:tr w:rsidR="00792E62" w:rsidRPr="00792E62" w14:paraId="746E4B51"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42CDEAE8"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Unit Price</w:t>
            </w:r>
          </w:p>
        </w:tc>
        <w:tc>
          <w:tcPr>
            <w:tcW w:w="1600" w:type="dxa"/>
            <w:tcBorders>
              <w:top w:val="nil"/>
              <w:left w:val="nil"/>
              <w:bottom w:val="nil"/>
              <w:right w:val="nil"/>
            </w:tcBorders>
            <w:shd w:val="clear" w:color="auto" w:fill="auto"/>
            <w:noWrap/>
            <w:vAlign w:val="center"/>
            <w:hideMark/>
          </w:tcPr>
          <w:p w14:paraId="70B9A8A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25 </w:t>
            </w:r>
          </w:p>
        </w:tc>
        <w:tc>
          <w:tcPr>
            <w:tcW w:w="1600" w:type="dxa"/>
            <w:tcBorders>
              <w:top w:val="nil"/>
              <w:left w:val="nil"/>
              <w:bottom w:val="nil"/>
              <w:right w:val="nil"/>
            </w:tcBorders>
            <w:shd w:val="clear" w:color="auto" w:fill="auto"/>
            <w:noWrap/>
            <w:vAlign w:val="center"/>
            <w:hideMark/>
          </w:tcPr>
          <w:p w14:paraId="1D884831"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 </w:t>
            </w:r>
          </w:p>
        </w:tc>
        <w:tc>
          <w:tcPr>
            <w:tcW w:w="1600" w:type="dxa"/>
            <w:tcBorders>
              <w:top w:val="nil"/>
              <w:left w:val="nil"/>
              <w:bottom w:val="nil"/>
              <w:right w:val="single" w:sz="4" w:space="0" w:color="auto"/>
            </w:tcBorders>
            <w:shd w:val="clear" w:color="auto" w:fill="auto"/>
            <w:noWrap/>
            <w:vAlign w:val="center"/>
            <w:hideMark/>
          </w:tcPr>
          <w:p w14:paraId="10464FC1"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 </w:t>
            </w:r>
          </w:p>
        </w:tc>
      </w:tr>
      <w:tr w:rsidR="00792E62" w:rsidRPr="00792E62" w14:paraId="3A544514" w14:textId="77777777" w:rsidTr="00BF477F">
        <w:trPr>
          <w:trHeight w:val="269"/>
          <w:jc w:val="center"/>
        </w:trPr>
        <w:tc>
          <w:tcPr>
            <w:tcW w:w="3172" w:type="dxa"/>
            <w:tcBorders>
              <w:top w:val="single" w:sz="4" w:space="0" w:color="auto"/>
              <w:left w:val="single" w:sz="4" w:space="0" w:color="auto"/>
              <w:bottom w:val="single" w:sz="4" w:space="0" w:color="auto"/>
              <w:right w:val="nil"/>
            </w:tcBorders>
            <w:shd w:val="clear" w:color="auto" w:fill="auto"/>
            <w:noWrap/>
            <w:vAlign w:val="bottom"/>
            <w:hideMark/>
          </w:tcPr>
          <w:p w14:paraId="464C6912"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Sales</w:t>
            </w:r>
          </w:p>
        </w:tc>
        <w:tc>
          <w:tcPr>
            <w:tcW w:w="1600" w:type="dxa"/>
            <w:tcBorders>
              <w:top w:val="single" w:sz="4" w:space="0" w:color="auto"/>
              <w:left w:val="single" w:sz="4" w:space="0" w:color="auto"/>
              <w:bottom w:val="single" w:sz="4" w:space="0" w:color="auto"/>
              <w:right w:val="nil"/>
            </w:tcBorders>
            <w:shd w:val="clear" w:color="auto" w:fill="auto"/>
            <w:noWrap/>
            <w:vAlign w:val="bottom"/>
            <w:hideMark/>
          </w:tcPr>
          <w:p w14:paraId="7C67C11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2,500,000 </w:t>
            </w:r>
          </w:p>
        </w:tc>
        <w:tc>
          <w:tcPr>
            <w:tcW w:w="1600" w:type="dxa"/>
            <w:tcBorders>
              <w:top w:val="single" w:sz="4" w:space="0" w:color="auto"/>
              <w:left w:val="nil"/>
              <w:bottom w:val="single" w:sz="4" w:space="0" w:color="auto"/>
              <w:right w:val="nil"/>
            </w:tcBorders>
            <w:shd w:val="clear" w:color="auto" w:fill="auto"/>
            <w:noWrap/>
            <w:vAlign w:val="bottom"/>
            <w:hideMark/>
          </w:tcPr>
          <w:p w14:paraId="33684CC1"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2,000,000 </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43554C1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2,000,000 </w:t>
            </w:r>
          </w:p>
        </w:tc>
      </w:tr>
      <w:tr w:rsidR="00792E62" w:rsidRPr="00792E62" w14:paraId="0ED8AC20"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4DEAD161"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Less: Costs</w:t>
            </w:r>
          </w:p>
        </w:tc>
        <w:tc>
          <w:tcPr>
            <w:tcW w:w="1600" w:type="dxa"/>
            <w:tcBorders>
              <w:top w:val="nil"/>
              <w:left w:val="nil"/>
              <w:bottom w:val="nil"/>
              <w:right w:val="nil"/>
            </w:tcBorders>
            <w:shd w:val="clear" w:color="auto" w:fill="auto"/>
            <w:noWrap/>
            <w:vAlign w:val="bottom"/>
            <w:hideMark/>
          </w:tcPr>
          <w:p w14:paraId="446F4A28"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
        </w:tc>
        <w:tc>
          <w:tcPr>
            <w:tcW w:w="1600" w:type="dxa"/>
            <w:tcBorders>
              <w:top w:val="nil"/>
              <w:left w:val="nil"/>
              <w:bottom w:val="nil"/>
              <w:right w:val="nil"/>
            </w:tcBorders>
            <w:shd w:val="clear" w:color="auto" w:fill="auto"/>
            <w:noWrap/>
            <w:vAlign w:val="bottom"/>
            <w:hideMark/>
          </w:tcPr>
          <w:p w14:paraId="7C7CCB27" w14:textId="77777777" w:rsidR="00792E62" w:rsidRPr="00792E62" w:rsidRDefault="00792E62" w:rsidP="00792E62">
            <w:pPr>
              <w:spacing w:after="0" w:line="480" w:lineRule="auto"/>
              <w:jc w:val="both"/>
              <w:rPr>
                <w:rFonts w:ascii="Times New Roman" w:eastAsia="Times New Roman" w:hAnsi="Times New Roman" w:cs="Times New Roman"/>
                <w:lang w:val="en-GB"/>
              </w:rPr>
            </w:pPr>
          </w:p>
        </w:tc>
        <w:tc>
          <w:tcPr>
            <w:tcW w:w="1600" w:type="dxa"/>
            <w:tcBorders>
              <w:top w:val="nil"/>
              <w:left w:val="nil"/>
              <w:bottom w:val="nil"/>
              <w:right w:val="single" w:sz="4" w:space="0" w:color="auto"/>
            </w:tcBorders>
            <w:shd w:val="clear" w:color="auto" w:fill="auto"/>
            <w:noWrap/>
            <w:vAlign w:val="bottom"/>
            <w:hideMark/>
          </w:tcPr>
          <w:p w14:paraId="5A8A8337"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w:t>
            </w:r>
          </w:p>
        </w:tc>
      </w:tr>
      <w:tr w:rsidR="00792E62" w:rsidRPr="00792E62" w14:paraId="32B29CCA"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2950049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Material</w:t>
            </w:r>
          </w:p>
        </w:tc>
        <w:tc>
          <w:tcPr>
            <w:tcW w:w="1600" w:type="dxa"/>
            <w:tcBorders>
              <w:top w:val="nil"/>
              <w:left w:val="nil"/>
              <w:bottom w:val="nil"/>
              <w:right w:val="nil"/>
            </w:tcBorders>
            <w:shd w:val="clear" w:color="auto" w:fill="auto"/>
            <w:noWrap/>
            <w:vAlign w:val="bottom"/>
            <w:hideMark/>
          </w:tcPr>
          <w:p w14:paraId="7DCDF5B0"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350,000 </w:t>
            </w:r>
          </w:p>
        </w:tc>
        <w:tc>
          <w:tcPr>
            <w:tcW w:w="1600" w:type="dxa"/>
            <w:tcBorders>
              <w:top w:val="nil"/>
              <w:left w:val="nil"/>
              <w:bottom w:val="nil"/>
              <w:right w:val="nil"/>
            </w:tcBorders>
            <w:shd w:val="clear" w:color="auto" w:fill="auto"/>
            <w:noWrap/>
            <w:vAlign w:val="bottom"/>
            <w:hideMark/>
          </w:tcPr>
          <w:p w14:paraId="61576E6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350,000 </w:t>
            </w:r>
          </w:p>
        </w:tc>
        <w:tc>
          <w:tcPr>
            <w:tcW w:w="1600" w:type="dxa"/>
            <w:tcBorders>
              <w:top w:val="nil"/>
              <w:left w:val="nil"/>
              <w:bottom w:val="nil"/>
              <w:right w:val="single" w:sz="4" w:space="0" w:color="auto"/>
            </w:tcBorders>
            <w:shd w:val="clear" w:color="auto" w:fill="auto"/>
            <w:noWrap/>
            <w:vAlign w:val="bottom"/>
            <w:hideMark/>
          </w:tcPr>
          <w:p w14:paraId="72333CD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350,000 </w:t>
            </w:r>
          </w:p>
        </w:tc>
      </w:tr>
      <w:tr w:rsidR="00792E62" w:rsidRPr="00792E62" w14:paraId="16305F5C"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0935B559"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roofErr w:type="spellStart"/>
            <w:r w:rsidRPr="00792E62">
              <w:rPr>
                <w:rFonts w:ascii="Times New Roman" w:eastAsia="Times New Roman" w:hAnsi="Times New Roman" w:cs="Times New Roman"/>
                <w:b/>
                <w:bCs/>
                <w:color w:val="000000"/>
                <w:lang w:val="en-GB"/>
              </w:rPr>
              <w:t>labor</w:t>
            </w:r>
            <w:proofErr w:type="spellEnd"/>
          </w:p>
        </w:tc>
        <w:tc>
          <w:tcPr>
            <w:tcW w:w="1600" w:type="dxa"/>
            <w:tcBorders>
              <w:top w:val="nil"/>
              <w:left w:val="nil"/>
              <w:bottom w:val="nil"/>
              <w:right w:val="nil"/>
            </w:tcBorders>
            <w:shd w:val="clear" w:color="auto" w:fill="auto"/>
            <w:noWrap/>
            <w:vAlign w:val="bottom"/>
            <w:hideMark/>
          </w:tcPr>
          <w:p w14:paraId="6C7AC12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550,000 </w:t>
            </w:r>
          </w:p>
        </w:tc>
        <w:tc>
          <w:tcPr>
            <w:tcW w:w="1600" w:type="dxa"/>
            <w:tcBorders>
              <w:top w:val="nil"/>
              <w:left w:val="nil"/>
              <w:bottom w:val="nil"/>
              <w:right w:val="nil"/>
            </w:tcBorders>
            <w:shd w:val="clear" w:color="auto" w:fill="auto"/>
            <w:noWrap/>
            <w:vAlign w:val="bottom"/>
            <w:hideMark/>
          </w:tcPr>
          <w:p w14:paraId="3C50698E"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550,000 </w:t>
            </w:r>
          </w:p>
        </w:tc>
        <w:tc>
          <w:tcPr>
            <w:tcW w:w="1600" w:type="dxa"/>
            <w:tcBorders>
              <w:top w:val="nil"/>
              <w:left w:val="nil"/>
              <w:bottom w:val="nil"/>
              <w:right w:val="single" w:sz="4" w:space="0" w:color="auto"/>
            </w:tcBorders>
            <w:shd w:val="clear" w:color="auto" w:fill="auto"/>
            <w:noWrap/>
            <w:vAlign w:val="bottom"/>
            <w:hideMark/>
          </w:tcPr>
          <w:p w14:paraId="73EE409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550,000 </w:t>
            </w:r>
          </w:p>
        </w:tc>
      </w:tr>
      <w:tr w:rsidR="00792E62" w:rsidRPr="00792E62" w14:paraId="099EECD9"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58C70DF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Overhead</w:t>
            </w:r>
          </w:p>
        </w:tc>
        <w:tc>
          <w:tcPr>
            <w:tcW w:w="1600" w:type="dxa"/>
            <w:tcBorders>
              <w:top w:val="nil"/>
              <w:left w:val="nil"/>
              <w:bottom w:val="nil"/>
              <w:right w:val="nil"/>
            </w:tcBorders>
            <w:shd w:val="clear" w:color="auto" w:fill="auto"/>
            <w:noWrap/>
            <w:vAlign w:val="bottom"/>
            <w:hideMark/>
          </w:tcPr>
          <w:p w14:paraId="677053E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150,000 </w:t>
            </w:r>
          </w:p>
        </w:tc>
        <w:tc>
          <w:tcPr>
            <w:tcW w:w="1600" w:type="dxa"/>
            <w:tcBorders>
              <w:top w:val="nil"/>
              <w:left w:val="nil"/>
              <w:bottom w:val="nil"/>
              <w:right w:val="nil"/>
            </w:tcBorders>
            <w:shd w:val="clear" w:color="auto" w:fill="auto"/>
            <w:noWrap/>
            <w:vAlign w:val="bottom"/>
            <w:hideMark/>
          </w:tcPr>
          <w:p w14:paraId="5B5009E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150,000 </w:t>
            </w:r>
          </w:p>
        </w:tc>
        <w:tc>
          <w:tcPr>
            <w:tcW w:w="1600" w:type="dxa"/>
            <w:tcBorders>
              <w:top w:val="nil"/>
              <w:left w:val="nil"/>
              <w:bottom w:val="nil"/>
              <w:right w:val="single" w:sz="4" w:space="0" w:color="auto"/>
            </w:tcBorders>
            <w:shd w:val="clear" w:color="auto" w:fill="auto"/>
            <w:noWrap/>
            <w:vAlign w:val="bottom"/>
            <w:hideMark/>
          </w:tcPr>
          <w:p w14:paraId="2898D13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150,000 </w:t>
            </w:r>
          </w:p>
        </w:tc>
      </w:tr>
      <w:tr w:rsidR="00792E62" w:rsidRPr="00792E62" w14:paraId="2606016F" w14:textId="77777777" w:rsidTr="00BF477F">
        <w:trPr>
          <w:trHeight w:val="269"/>
          <w:jc w:val="center"/>
        </w:trPr>
        <w:tc>
          <w:tcPr>
            <w:tcW w:w="31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F0E759"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Contribution</w:t>
            </w:r>
          </w:p>
        </w:tc>
        <w:tc>
          <w:tcPr>
            <w:tcW w:w="1600" w:type="dxa"/>
            <w:tcBorders>
              <w:top w:val="single" w:sz="4" w:space="0" w:color="auto"/>
              <w:left w:val="nil"/>
              <w:bottom w:val="single" w:sz="4" w:space="0" w:color="auto"/>
              <w:right w:val="nil"/>
            </w:tcBorders>
            <w:shd w:val="clear" w:color="auto" w:fill="auto"/>
            <w:noWrap/>
            <w:vAlign w:val="bottom"/>
            <w:hideMark/>
          </w:tcPr>
          <w:p w14:paraId="24E802BF"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1,450,000 </w:t>
            </w:r>
          </w:p>
        </w:tc>
        <w:tc>
          <w:tcPr>
            <w:tcW w:w="1600" w:type="dxa"/>
            <w:tcBorders>
              <w:top w:val="single" w:sz="4" w:space="0" w:color="auto"/>
              <w:left w:val="nil"/>
              <w:bottom w:val="single" w:sz="4" w:space="0" w:color="auto"/>
              <w:right w:val="nil"/>
            </w:tcBorders>
            <w:shd w:val="clear" w:color="auto" w:fill="auto"/>
            <w:noWrap/>
            <w:vAlign w:val="bottom"/>
            <w:hideMark/>
          </w:tcPr>
          <w:p w14:paraId="73BE22D0"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950,000 </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604A8610"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950,000 </w:t>
            </w:r>
          </w:p>
        </w:tc>
      </w:tr>
      <w:tr w:rsidR="00792E62" w:rsidRPr="00792E62" w14:paraId="03569BEA"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4F71CF32"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Fixed Costs:</w:t>
            </w:r>
          </w:p>
        </w:tc>
        <w:tc>
          <w:tcPr>
            <w:tcW w:w="1600" w:type="dxa"/>
            <w:tcBorders>
              <w:top w:val="nil"/>
              <w:left w:val="nil"/>
              <w:bottom w:val="nil"/>
              <w:right w:val="nil"/>
            </w:tcBorders>
            <w:shd w:val="clear" w:color="auto" w:fill="auto"/>
            <w:noWrap/>
            <w:vAlign w:val="bottom"/>
            <w:hideMark/>
          </w:tcPr>
          <w:p w14:paraId="5C26A321"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
        </w:tc>
        <w:tc>
          <w:tcPr>
            <w:tcW w:w="1600" w:type="dxa"/>
            <w:tcBorders>
              <w:top w:val="nil"/>
              <w:left w:val="nil"/>
              <w:bottom w:val="nil"/>
              <w:right w:val="nil"/>
            </w:tcBorders>
            <w:shd w:val="clear" w:color="auto" w:fill="auto"/>
            <w:noWrap/>
            <w:vAlign w:val="bottom"/>
            <w:hideMark/>
          </w:tcPr>
          <w:p w14:paraId="514D0D64" w14:textId="77777777" w:rsidR="00792E62" w:rsidRPr="00792E62" w:rsidRDefault="00792E62" w:rsidP="00792E62">
            <w:pPr>
              <w:spacing w:after="0" w:line="480" w:lineRule="auto"/>
              <w:jc w:val="both"/>
              <w:rPr>
                <w:rFonts w:ascii="Times New Roman" w:eastAsia="Times New Roman" w:hAnsi="Times New Roman" w:cs="Times New Roman"/>
                <w:lang w:val="en-GB"/>
              </w:rPr>
            </w:pPr>
          </w:p>
        </w:tc>
        <w:tc>
          <w:tcPr>
            <w:tcW w:w="1600" w:type="dxa"/>
            <w:tcBorders>
              <w:top w:val="nil"/>
              <w:left w:val="nil"/>
              <w:bottom w:val="nil"/>
              <w:right w:val="single" w:sz="4" w:space="0" w:color="auto"/>
            </w:tcBorders>
            <w:shd w:val="clear" w:color="auto" w:fill="auto"/>
            <w:noWrap/>
            <w:vAlign w:val="bottom"/>
            <w:hideMark/>
          </w:tcPr>
          <w:p w14:paraId="14079E7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r>
      <w:tr w:rsidR="00792E62" w:rsidRPr="00792E62" w14:paraId="7EC312F3"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2CA8165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Warehouse rental</w:t>
            </w:r>
          </w:p>
        </w:tc>
        <w:tc>
          <w:tcPr>
            <w:tcW w:w="1600" w:type="dxa"/>
            <w:tcBorders>
              <w:top w:val="nil"/>
              <w:left w:val="nil"/>
              <w:bottom w:val="nil"/>
              <w:right w:val="nil"/>
            </w:tcBorders>
            <w:shd w:val="clear" w:color="auto" w:fill="auto"/>
            <w:noWrap/>
            <w:vAlign w:val="bottom"/>
            <w:hideMark/>
          </w:tcPr>
          <w:p w14:paraId="476D88CE"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85,000 </w:t>
            </w:r>
          </w:p>
        </w:tc>
        <w:tc>
          <w:tcPr>
            <w:tcW w:w="1600" w:type="dxa"/>
            <w:tcBorders>
              <w:top w:val="nil"/>
              <w:left w:val="nil"/>
              <w:bottom w:val="nil"/>
              <w:right w:val="nil"/>
            </w:tcBorders>
            <w:shd w:val="clear" w:color="auto" w:fill="auto"/>
            <w:noWrap/>
            <w:vAlign w:val="bottom"/>
            <w:hideMark/>
          </w:tcPr>
          <w:p w14:paraId="50261D14"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85,000 </w:t>
            </w:r>
          </w:p>
        </w:tc>
        <w:tc>
          <w:tcPr>
            <w:tcW w:w="1600" w:type="dxa"/>
            <w:tcBorders>
              <w:top w:val="nil"/>
              <w:left w:val="nil"/>
              <w:bottom w:val="nil"/>
              <w:right w:val="single" w:sz="4" w:space="0" w:color="auto"/>
            </w:tcBorders>
            <w:shd w:val="clear" w:color="auto" w:fill="auto"/>
            <w:noWrap/>
            <w:vAlign w:val="bottom"/>
            <w:hideMark/>
          </w:tcPr>
          <w:p w14:paraId="613664B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85,000 </w:t>
            </w:r>
          </w:p>
        </w:tc>
      </w:tr>
      <w:tr w:rsidR="00792E62" w:rsidRPr="00792E62" w14:paraId="29B5D24A"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1CBAFD40"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Insurance</w:t>
            </w:r>
          </w:p>
        </w:tc>
        <w:tc>
          <w:tcPr>
            <w:tcW w:w="1600" w:type="dxa"/>
            <w:tcBorders>
              <w:top w:val="nil"/>
              <w:left w:val="nil"/>
              <w:bottom w:val="nil"/>
              <w:right w:val="nil"/>
            </w:tcBorders>
            <w:shd w:val="clear" w:color="auto" w:fill="auto"/>
            <w:noWrap/>
            <w:vAlign w:val="bottom"/>
            <w:hideMark/>
          </w:tcPr>
          <w:p w14:paraId="4C92353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600" w:type="dxa"/>
            <w:tcBorders>
              <w:top w:val="nil"/>
              <w:left w:val="nil"/>
              <w:bottom w:val="nil"/>
              <w:right w:val="nil"/>
            </w:tcBorders>
            <w:shd w:val="clear" w:color="auto" w:fill="auto"/>
            <w:noWrap/>
            <w:vAlign w:val="bottom"/>
            <w:hideMark/>
          </w:tcPr>
          <w:p w14:paraId="2010B5A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600" w:type="dxa"/>
            <w:tcBorders>
              <w:top w:val="nil"/>
              <w:left w:val="nil"/>
              <w:bottom w:val="nil"/>
              <w:right w:val="single" w:sz="4" w:space="0" w:color="auto"/>
            </w:tcBorders>
            <w:shd w:val="clear" w:color="auto" w:fill="auto"/>
            <w:noWrap/>
            <w:vAlign w:val="bottom"/>
            <w:hideMark/>
          </w:tcPr>
          <w:p w14:paraId="3C15C1B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r>
      <w:tr w:rsidR="00792E62" w:rsidRPr="00792E62" w14:paraId="5A8E305B"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3F5132E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FW Sup Sal</w:t>
            </w:r>
          </w:p>
        </w:tc>
        <w:tc>
          <w:tcPr>
            <w:tcW w:w="1600" w:type="dxa"/>
            <w:tcBorders>
              <w:top w:val="nil"/>
              <w:left w:val="nil"/>
              <w:bottom w:val="nil"/>
              <w:right w:val="nil"/>
            </w:tcBorders>
            <w:shd w:val="clear" w:color="auto" w:fill="auto"/>
            <w:noWrap/>
            <w:vAlign w:val="bottom"/>
            <w:hideMark/>
          </w:tcPr>
          <w:p w14:paraId="291BAA5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c>
          <w:tcPr>
            <w:tcW w:w="1600" w:type="dxa"/>
            <w:tcBorders>
              <w:top w:val="nil"/>
              <w:left w:val="nil"/>
              <w:bottom w:val="nil"/>
              <w:right w:val="nil"/>
            </w:tcBorders>
            <w:shd w:val="clear" w:color="auto" w:fill="auto"/>
            <w:noWrap/>
            <w:vAlign w:val="bottom"/>
            <w:hideMark/>
          </w:tcPr>
          <w:p w14:paraId="25623880"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c>
          <w:tcPr>
            <w:tcW w:w="1600" w:type="dxa"/>
            <w:tcBorders>
              <w:top w:val="nil"/>
              <w:left w:val="nil"/>
              <w:bottom w:val="nil"/>
              <w:right w:val="single" w:sz="4" w:space="0" w:color="auto"/>
            </w:tcBorders>
            <w:shd w:val="clear" w:color="auto" w:fill="auto"/>
            <w:noWrap/>
            <w:vAlign w:val="bottom"/>
            <w:hideMark/>
          </w:tcPr>
          <w:p w14:paraId="441E5420"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r>
      <w:tr w:rsidR="00792E62" w:rsidRPr="00792E62" w14:paraId="040DC792"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1BE20002"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Delivery Network</w:t>
            </w:r>
          </w:p>
        </w:tc>
        <w:tc>
          <w:tcPr>
            <w:tcW w:w="1600" w:type="dxa"/>
            <w:tcBorders>
              <w:top w:val="nil"/>
              <w:left w:val="nil"/>
              <w:bottom w:val="nil"/>
              <w:right w:val="nil"/>
            </w:tcBorders>
            <w:shd w:val="clear" w:color="auto" w:fill="auto"/>
            <w:noWrap/>
            <w:vAlign w:val="bottom"/>
            <w:hideMark/>
          </w:tcPr>
          <w:p w14:paraId="48270440"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150,000 </w:t>
            </w:r>
          </w:p>
        </w:tc>
        <w:tc>
          <w:tcPr>
            <w:tcW w:w="1600" w:type="dxa"/>
            <w:tcBorders>
              <w:top w:val="nil"/>
              <w:left w:val="nil"/>
              <w:bottom w:val="nil"/>
              <w:right w:val="nil"/>
            </w:tcBorders>
            <w:shd w:val="clear" w:color="auto" w:fill="auto"/>
            <w:noWrap/>
            <w:vAlign w:val="bottom"/>
            <w:hideMark/>
          </w:tcPr>
          <w:p w14:paraId="1BDAD59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150,000 </w:t>
            </w:r>
          </w:p>
        </w:tc>
        <w:tc>
          <w:tcPr>
            <w:tcW w:w="1600" w:type="dxa"/>
            <w:tcBorders>
              <w:top w:val="nil"/>
              <w:left w:val="nil"/>
              <w:bottom w:val="nil"/>
              <w:right w:val="single" w:sz="4" w:space="0" w:color="auto"/>
            </w:tcBorders>
            <w:shd w:val="clear" w:color="auto" w:fill="auto"/>
            <w:noWrap/>
            <w:vAlign w:val="bottom"/>
            <w:hideMark/>
          </w:tcPr>
          <w:p w14:paraId="35406FCC"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 </w:t>
            </w:r>
          </w:p>
        </w:tc>
      </w:tr>
      <w:tr w:rsidR="00792E62" w:rsidRPr="00792E62" w14:paraId="386A3E36"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1FADD314"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Website Upgrade</w:t>
            </w:r>
          </w:p>
        </w:tc>
        <w:tc>
          <w:tcPr>
            <w:tcW w:w="1600" w:type="dxa"/>
            <w:tcBorders>
              <w:top w:val="nil"/>
              <w:left w:val="nil"/>
              <w:bottom w:val="nil"/>
              <w:right w:val="nil"/>
            </w:tcBorders>
            <w:shd w:val="clear" w:color="auto" w:fill="auto"/>
            <w:noWrap/>
            <w:vAlign w:val="bottom"/>
            <w:hideMark/>
          </w:tcPr>
          <w:p w14:paraId="6A87721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600" w:type="dxa"/>
            <w:tcBorders>
              <w:top w:val="nil"/>
              <w:left w:val="nil"/>
              <w:bottom w:val="nil"/>
              <w:right w:val="nil"/>
            </w:tcBorders>
            <w:shd w:val="clear" w:color="auto" w:fill="auto"/>
            <w:noWrap/>
            <w:vAlign w:val="bottom"/>
            <w:hideMark/>
          </w:tcPr>
          <w:p w14:paraId="6930D5A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600" w:type="dxa"/>
            <w:tcBorders>
              <w:top w:val="nil"/>
              <w:left w:val="nil"/>
              <w:bottom w:val="nil"/>
              <w:right w:val="single" w:sz="4" w:space="0" w:color="auto"/>
            </w:tcBorders>
            <w:shd w:val="clear" w:color="auto" w:fill="auto"/>
            <w:noWrap/>
            <w:vAlign w:val="bottom"/>
            <w:hideMark/>
          </w:tcPr>
          <w:p w14:paraId="1181B786"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 </w:t>
            </w:r>
          </w:p>
        </w:tc>
      </w:tr>
      <w:tr w:rsidR="00792E62" w:rsidRPr="00792E62" w14:paraId="43E04136" w14:textId="77777777" w:rsidTr="00BF477F">
        <w:trPr>
          <w:trHeight w:val="269"/>
          <w:jc w:val="center"/>
        </w:trPr>
        <w:tc>
          <w:tcPr>
            <w:tcW w:w="3172" w:type="dxa"/>
            <w:tcBorders>
              <w:top w:val="nil"/>
              <w:left w:val="single" w:sz="4" w:space="0" w:color="auto"/>
              <w:bottom w:val="nil"/>
              <w:right w:val="single" w:sz="4" w:space="0" w:color="auto"/>
            </w:tcBorders>
            <w:shd w:val="clear" w:color="auto" w:fill="auto"/>
            <w:noWrap/>
            <w:vAlign w:val="bottom"/>
            <w:hideMark/>
          </w:tcPr>
          <w:p w14:paraId="5EE16FB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IT Programmer Hotel</w:t>
            </w:r>
          </w:p>
        </w:tc>
        <w:tc>
          <w:tcPr>
            <w:tcW w:w="1600" w:type="dxa"/>
            <w:tcBorders>
              <w:top w:val="nil"/>
              <w:left w:val="nil"/>
              <w:bottom w:val="nil"/>
              <w:right w:val="nil"/>
            </w:tcBorders>
            <w:shd w:val="clear" w:color="auto" w:fill="auto"/>
            <w:noWrap/>
            <w:vAlign w:val="bottom"/>
            <w:hideMark/>
          </w:tcPr>
          <w:p w14:paraId="09888280"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c>
          <w:tcPr>
            <w:tcW w:w="1600" w:type="dxa"/>
            <w:tcBorders>
              <w:top w:val="nil"/>
              <w:left w:val="nil"/>
              <w:bottom w:val="nil"/>
              <w:right w:val="nil"/>
            </w:tcBorders>
            <w:shd w:val="clear" w:color="auto" w:fill="auto"/>
            <w:noWrap/>
            <w:vAlign w:val="bottom"/>
            <w:hideMark/>
          </w:tcPr>
          <w:p w14:paraId="55031DFF"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c>
          <w:tcPr>
            <w:tcW w:w="1600" w:type="dxa"/>
            <w:tcBorders>
              <w:top w:val="nil"/>
              <w:left w:val="nil"/>
              <w:bottom w:val="nil"/>
              <w:right w:val="single" w:sz="4" w:space="0" w:color="auto"/>
            </w:tcBorders>
            <w:shd w:val="clear" w:color="auto" w:fill="auto"/>
            <w:noWrap/>
            <w:vAlign w:val="bottom"/>
            <w:hideMark/>
          </w:tcPr>
          <w:p w14:paraId="73A2B3FF"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35,000 </w:t>
            </w:r>
          </w:p>
        </w:tc>
      </w:tr>
      <w:tr w:rsidR="00792E62" w:rsidRPr="00792E62" w14:paraId="3A7ADBD7" w14:textId="77777777" w:rsidTr="00BF477F">
        <w:trPr>
          <w:trHeight w:val="269"/>
          <w:jc w:val="center"/>
        </w:trPr>
        <w:tc>
          <w:tcPr>
            <w:tcW w:w="31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328CF6"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Net Operating Income</w:t>
            </w:r>
          </w:p>
        </w:tc>
        <w:tc>
          <w:tcPr>
            <w:tcW w:w="1600" w:type="dxa"/>
            <w:tcBorders>
              <w:top w:val="single" w:sz="4" w:space="0" w:color="auto"/>
              <w:left w:val="nil"/>
              <w:bottom w:val="single" w:sz="4" w:space="0" w:color="auto"/>
              <w:right w:val="nil"/>
            </w:tcBorders>
            <w:shd w:val="clear" w:color="auto" w:fill="auto"/>
            <w:noWrap/>
            <w:vAlign w:val="bottom"/>
            <w:hideMark/>
          </w:tcPr>
          <w:p w14:paraId="675672C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1,045,000 </w:t>
            </w:r>
          </w:p>
        </w:tc>
        <w:tc>
          <w:tcPr>
            <w:tcW w:w="1600" w:type="dxa"/>
            <w:tcBorders>
              <w:top w:val="single" w:sz="4" w:space="0" w:color="auto"/>
              <w:left w:val="nil"/>
              <w:bottom w:val="single" w:sz="4" w:space="0" w:color="auto"/>
              <w:right w:val="nil"/>
            </w:tcBorders>
            <w:shd w:val="clear" w:color="auto" w:fill="auto"/>
            <w:noWrap/>
            <w:vAlign w:val="bottom"/>
            <w:hideMark/>
          </w:tcPr>
          <w:p w14:paraId="7A7D81E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545,000 </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3BEE27D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745,000 </w:t>
            </w:r>
          </w:p>
        </w:tc>
      </w:tr>
    </w:tbl>
    <w:p w14:paraId="16508932" w14:textId="77777777" w:rsidR="00792E62" w:rsidRPr="00792E62" w:rsidRDefault="00792E62" w:rsidP="00792E62">
      <w:pPr>
        <w:spacing w:after="0" w:line="480" w:lineRule="auto"/>
        <w:jc w:val="both"/>
        <w:rPr>
          <w:rFonts w:ascii="Times New Roman" w:hAnsi="Times New Roman" w:cs="Times New Roman"/>
          <w:b/>
          <w:bCs/>
          <w:lang w:val="en-GB"/>
        </w:rPr>
      </w:pPr>
    </w:p>
    <w:p w14:paraId="2AABFE95" w14:textId="54256D5C" w:rsidR="00792E62" w:rsidRDefault="00792E62" w:rsidP="00792E62">
      <w:pPr>
        <w:spacing w:after="0" w:line="480" w:lineRule="auto"/>
        <w:ind w:firstLine="720"/>
        <w:jc w:val="both"/>
        <w:rPr>
          <w:rFonts w:ascii="Times New Roman" w:hAnsi="Times New Roman" w:cs="Times New Roman"/>
          <w:lang w:val="en-GB"/>
        </w:rPr>
      </w:pPr>
      <w:r w:rsidRPr="00792E62">
        <w:rPr>
          <w:rFonts w:ascii="Times New Roman" w:hAnsi="Times New Roman" w:cs="Times New Roman"/>
          <w:lang w:val="en-GB"/>
        </w:rPr>
        <w:t>On the other hand, going online has a downside that is worth considering. Firstly, Amana will need to close down some outlets such as Birmingham, Manchester, and Brighton. The closure will lead to a decline in-store sales from the current actual sales of 80,000 units to 50,000 units to achieve 50% sales at the stores and 50% online sales, which makes the incremental sales volumes only 20,000 units.</w:t>
      </w:r>
    </w:p>
    <w:p w14:paraId="3AE14C5F" w14:textId="77777777" w:rsidR="00032F7C" w:rsidRPr="00792E62" w:rsidRDefault="00032F7C" w:rsidP="00792E62">
      <w:pPr>
        <w:spacing w:after="0" w:line="480" w:lineRule="auto"/>
        <w:ind w:firstLine="720"/>
        <w:jc w:val="both"/>
        <w:rPr>
          <w:rFonts w:ascii="Times New Roman" w:hAnsi="Times New Roman" w:cs="Times New Roman"/>
          <w:b/>
          <w:bCs/>
          <w:lang w:val="en-GB"/>
        </w:rPr>
      </w:pPr>
    </w:p>
    <w:p w14:paraId="2352758B" w14:textId="16AD065F" w:rsidR="00792E62" w:rsidRDefault="00792E62" w:rsidP="00792E62">
      <w:pPr>
        <w:spacing w:after="0" w:line="480" w:lineRule="auto"/>
        <w:jc w:val="both"/>
        <w:rPr>
          <w:rFonts w:ascii="Times New Roman" w:hAnsi="Times New Roman" w:cs="Times New Roman"/>
          <w:bCs/>
          <w:sz w:val="24"/>
          <w:szCs w:val="24"/>
          <w:lang w:val="en-GB"/>
        </w:rPr>
      </w:pPr>
      <w:r w:rsidRPr="00032F7C">
        <w:rPr>
          <w:rFonts w:ascii="Times New Roman" w:hAnsi="Times New Roman" w:cs="Times New Roman"/>
          <w:bCs/>
          <w:sz w:val="24"/>
          <w:szCs w:val="24"/>
          <w:lang w:val="en-GB"/>
        </w:rPr>
        <w:lastRenderedPageBreak/>
        <w:t>Selling on Amazon</w:t>
      </w:r>
    </w:p>
    <w:p w14:paraId="06DA312C" w14:textId="77777777" w:rsidR="00032F7C" w:rsidRPr="00032F7C" w:rsidRDefault="00032F7C" w:rsidP="00792E62">
      <w:pPr>
        <w:spacing w:after="0" w:line="480" w:lineRule="auto"/>
        <w:jc w:val="both"/>
        <w:rPr>
          <w:rFonts w:ascii="Times New Roman" w:hAnsi="Times New Roman" w:cs="Times New Roman"/>
          <w:bCs/>
          <w:sz w:val="24"/>
          <w:szCs w:val="24"/>
          <w:lang w:val="en-GB"/>
        </w:rPr>
      </w:pPr>
    </w:p>
    <w:p w14:paraId="2D74200D" w14:textId="77777777"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lang w:val="en-GB"/>
        </w:rPr>
        <w:tab/>
        <w:t xml:space="preserve">Selling on Amazon leads to an incremental sale of 65,000 units, with only a £50,000 increase in fulfilment fees. If Amana sells on Amazon, the competition will intensify and consequently, the company will lose the power to set prices. Therefore, the price assumption entails the current price of £20 per unit in the flexible budget and a conservative price of £15 per unit in the projected actual results. At the conservative of £15, Amana would only realise an incremental contribution margin of £292,000 compared to going </w:t>
      </w:r>
      <w:proofErr w:type="spellStart"/>
      <w:r w:rsidRPr="00792E62">
        <w:rPr>
          <w:rFonts w:ascii="Times New Roman" w:hAnsi="Times New Roman" w:cs="Times New Roman"/>
          <w:lang w:val="en-GB"/>
        </w:rPr>
        <w:t>online’s</w:t>
      </w:r>
      <w:proofErr w:type="spellEnd"/>
      <w:r w:rsidRPr="00792E62">
        <w:rPr>
          <w:rFonts w:ascii="Times New Roman" w:hAnsi="Times New Roman" w:cs="Times New Roman"/>
          <w:lang w:val="en-GB"/>
        </w:rPr>
        <w:t xml:space="preserve"> £475,000. The company would realise a net operating income of £242,500 compared to going </w:t>
      </w:r>
      <w:proofErr w:type="spellStart"/>
      <w:r w:rsidRPr="00792E62">
        <w:rPr>
          <w:rFonts w:ascii="Times New Roman" w:hAnsi="Times New Roman" w:cs="Times New Roman"/>
          <w:lang w:val="en-GB"/>
        </w:rPr>
        <w:t>online’s</w:t>
      </w:r>
      <w:proofErr w:type="spellEnd"/>
      <w:r w:rsidRPr="00792E62">
        <w:rPr>
          <w:rFonts w:ascii="Times New Roman" w:hAnsi="Times New Roman" w:cs="Times New Roman"/>
          <w:lang w:val="en-GB"/>
        </w:rPr>
        <w:t xml:space="preserve"> operating income of £240,000 in the first year and £440,000 in the second year.</w:t>
      </w:r>
    </w:p>
    <w:tbl>
      <w:tblPr>
        <w:tblW w:w="7892" w:type="dxa"/>
        <w:tblLook w:val="04A0" w:firstRow="1" w:lastRow="0" w:firstColumn="1" w:lastColumn="0" w:noHBand="0" w:noVBand="1"/>
      </w:tblPr>
      <w:tblGrid>
        <w:gridCol w:w="3396"/>
        <w:gridCol w:w="1563"/>
        <w:gridCol w:w="1563"/>
        <w:gridCol w:w="1370"/>
      </w:tblGrid>
      <w:tr w:rsidR="00792E62" w:rsidRPr="00792E62" w14:paraId="15A59EB6" w14:textId="77777777" w:rsidTr="00BF477F">
        <w:trPr>
          <w:trHeight w:val="573"/>
        </w:trPr>
        <w:tc>
          <w:tcPr>
            <w:tcW w:w="33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FE624C"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c>
          <w:tcPr>
            <w:tcW w:w="1563" w:type="dxa"/>
            <w:tcBorders>
              <w:top w:val="single" w:sz="4" w:space="0" w:color="auto"/>
              <w:left w:val="nil"/>
              <w:bottom w:val="single" w:sz="4" w:space="0" w:color="auto"/>
              <w:right w:val="single" w:sz="4" w:space="0" w:color="auto"/>
            </w:tcBorders>
            <w:shd w:val="clear" w:color="auto" w:fill="auto"/>
            <w:hideMark/>
          </w:tcPr>
          <w:p w14:paraId="6C0DD3B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Flexible</w:t>
            </w:r>
            <w:r w:rsidRPr="00792E62">
              <w:rPr>
                <w:rFonts w:ascii="Times New Roman" w:eastAsia="Times New Roman" w:hAnsi="Times New Roman" w:cs="Times New Roman"/>
                <w:b/>
                <w:bCs/>
                <w:color w:val="000000"/>
                <w:lang w:val="en-GB"/>
              </w:rPr>
              <w:br/>
              <w:t>Budget</w:t>
            </w:r>
          </w:p>
        </w:tc>
        <w:tc>
          <w:tcPr>
            <w:tcW w:w="1563" w:type="dxa"/>
            <w:tcBorders>
              <w:top w:val="single" w:sz="4" w:space="0" w:color="auto"/>
              <w:left w:val="nil"/>
              <w:bottom w:val="single" w:sz="4" w:space="0" w:color="auto"/>
              <w:right w:val="single" w:sz="4" w:space="0" w:color="auto"/>
            </w:tcBorders>
            <w:shd w:val="clear" w:color="auto" w:fill="auto"/>
            <w:hideMark/>
          </w:tcPr>
          <w:p w14:paraId="697F6EEA"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Projected Actual</w:t>
            </w:r>
            <w:r w:rsidRPr="00792E62">
              <w:rPr>
                <w:rFonts w:ascii="Times New Roman" w:eastAsia="Times New Roman" w:hAnsi="Times New Roman" w:cs="Times New Roman"/>
                <w:b/>
                <w:bCs/>
                <w:color w:val="000000"/>
                <w:lang w:val="en-GB"/>
              </w:rPr>
              <w:br/>
              <w:t>Results</w:t>
            </w:r>
          </w:p>
        </w:tc>
        <w:tc>
          <w:tcPr>
            <w:tcW w:w="1370" w:type="dxa"/>
            <w:tcBorders>
              <w:top w:val="single" w:sz="4" w:space="0" w:color="auto"/>
              <w:left w:val="nil"/>
              <w:bottom w:val="single" w:sz="4" w:space="0" w:color="auto"/>
              <w:right w:val="single" w:sz="4" w:space="0" w:color="auto"/>
            </w:tcBorders>
            <w:shd w:val="clear" w:color="auto" w:fill="auto"/>
            <w:hideMark/>
          </w:tcPr>
          <w:p w14:paraId="58CEEEA2"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Variance</w:t>
            </w:r>
          </w:p>
        </w:tc>
      </w:tr>
      <w:tr w:rsidR="00792E62" w:rsidRPr="00792E62" w14:paraId="225E69DC" w14:textId="77777777" w:rsidTr="00BF477F">
        <w:trPr>
          <w:trHeight w:val="286"/>
        </w:trPr>
        <w:tc>
          <w:tcPr>
            <w:tcW w:w="3396" w:type="dxa"/>
            <w:tcBorders>
              <w:top w:val="nil"/>
              <w:left w:val="single" w:sz="4" w:space="0" w:color="auto"/>
              <w:bottom w:val="nil"/>
              <w:right w:val="single" w:sz="4" w:space="0" w:color="auto"/>
            </w:tcBorders>
            <w:shd w:val="clear" w:color="auto" w:fill="auto"/>
            <w:noWrap/>
            <w:vAlign w:val="bottom"/>
            <w:hideMark/>
          </w:tcPr>
          <w:p w14:paraId="0DC6682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Sales Volume</w:t>
            </w:r>
          </w:p>
        </w:tc>
        <w:tc>
          <w:tcPr>
            <w:tcW w:w="1563" w:type="dxa"/>
            <w:tcBorders>
              <w:top w:val="nil"/>
              <w:left w:val="nil"/>
              <w:bottom w:val="nil"/>
              <w:right w:val="nil"/>
            </w:tcBorders>
            <w:shd w:val="clear" w:color="auto" w:fill="auto"/>
            <w:noWrap/>
            <w:vAlign w:val="bottom"/>
            <w:hideMark/>
          </w:tcPr>
          <w:p w14:paraId="0F95CD2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65,000 </w:t>
            </w:r>
          </w:p>
        </w:tc>
        <w:tc>
          <w:tcPr>
            <w:tcW w:w="1563" w:type="dxa"/>
            <w:tcBorders>
              <w:top w:val="nil"/>
              <w:left w:val="nil"/>
              <w:bottom w:val="nil"/>
              <w:right w:val="nil"/>
            </w:tcBorders>
            <w:shd w:val="clear" w:color="auto" w:fill="auto"/>
            <w:noWrap/>
            <w:vAlign w:val="bottom"/>
            <w:hideMark/>
          </w:tcPr>
          <w:p w14:paraId="00EBFAC2"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65,000 </w:t>
            </w:r>
          </w:p>
        </w:tc>
        <w:tc>
          <w:tcPr>
            <w:tcW w:w="1370" w:type="dxa"/>
            <w:tcBorders>
              <w:top w:val="nil"/>
              <w:left w:val="nil"/>
              <w:bottom w:val="nil"/>
              <w:right w:val="single" w:sz="4" w:space="0" w:color="auto"/>
            </w:tcBorders>
            <w:shd w:val="clear" w:color="auto" w:fill="auto"/>
            <w:noWrap/>
            <w:vAlign w:val="bottom"/>
            <w:hideMark/>
          </w:tcPr>
          <w:p w14:paraId="77FF90AE"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r>
      <w:tr w:rsidR="00792E62" w:rsidRPr="00792E62" w14:paraId="5188B649" w14:textId="77777777" w:rsidTr="00BF477F">
        <w:trPr>
          <w:trHeight w:val="286"/>
        </w:trPr>
        <w:tc>
          <w:tcPr>
            <w:tcW w:w="3396" w:type="dxa"/>
            <w:tcBorders>
              <w:top w:val="nil"/>
              <w:left w:val="single" w:sz="4" w:space="0" w:color="auto"/>
              <w:bottom w:val="nil"/>
              <w:right w:val="single" w:sz="4" w:space="0" w:color="auto"/>
            </w:tcBorders>
            <w:shd w:val="clear" w:color="auto" w:fill="auto"/>
            <w:noWrap/>
            <w:vAlign w:val="bottom"/>
            <w:hideMark/>
          </w:tcPr>
          <w:p w14:paraId="1B0FEBA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Unit Price</w:t>
            </w:r>
          </w:p>
        </w:tc>
        <w:tc>
          <w:tcPr>
            <w:tcW w:w="1563" w:type="dxa"/>
            <w:tcBorders>
              <w:top w:val="nil"/>
              <w:left w:val="nil"/>
              <w:bottom w:val="nil"/>
              <w:right w:val="nil"/>
            </w:tcBorders>
            <w:shd w:val="clear" w:color="auto" w:fill="auto"/>
            <w:noWrap/>
            <w:vAlign w:val="center"/>
            <w:hideMark/>
          </w:tcPr>
          <w:p w14:paraId="4CD0FBA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20 </w:t>
            </w:r>
          </w:p>
        </w:tc>
        <w:tc>
          <w:tcPr>
            <w:tcW w:w="1563" w:type="dxa"/>
            <w:tcBorders>
              <w:top w:val="nil"/>
              <w:left w:val="nil"/>
              <w:bottom w:val="nil"/>
              <w:right w:val="nil"/>
            </w:tcBorders>
            <w:shd w:val="clear" w:color="auto" w:fill="auto"/>
            <w:noWrap/>
            <w:vAlign w:val="center"/>
            <w:hideMark/>
          </w:tcPr>
          <w:p w14:paraId="08530B2A"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15 </w:t>
            </w:r>
          </w:p>
        </w:tc>
        <w:tc>
          <w:tcPr>
            <w:tcW w:w="1370" w:type="dxa"/>
            <w:tcBorders>
              <w:top w:val="nil"/>
              <w:left w:val="nil"/>
              <w:bottom w:val="nil"/>
              <w:right w:val="single" w:sz="4" w:space="0" w:color="auto"/>
            </w:tcBorders>
            <w:shd w:val="clear" w:color="auto" w:fill="auto"/>
            <w:noWrap/>
            <w:vAlign w:val="bottom"/>
            <w:hideMark/>
          </w:tcPr>
          <w:p w14:paraId="74E0076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r>
      <w:tr w:rsidR="00792E62" w:rsidRPr="00792E62" w14:paraId="429D3AE6" w14:textId="77777777" w:rsidTr="00BF477F">
        <w:trPr>
          <w:trHeight w:val="286"/>
        </w:trPr>
        <w:tc>
          <w:tcPr>
            <w:tcW w:w="33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C5ED7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Sales</w:t>
            </w:r>
          </w:p>
        </w:tc>
        <w:tc>
          <w:tcPr>
            <w:tcW w:w="1563" w:type="dxa"/>
            <w:tcBorders>
              <w:top w:val="single" w:sz="4" w:space="0" w:color="auto"/>
              <w:left w:val="nil"/>
              <w:bottom w:val="single" w:sz="4" w:space="0" w:color="auto"/>
              <w:right w:val="nil"/>
            </w:tcBorders>
            <w:shd w:val="clear" w:color="auto" w:fill="auto"/>
            <w:noWrap/>
            <w:vAlign w:val="bottom"/>
            <w:hideMark/>
          </w:tcPr>
          <w:p w14:paraId="38335A4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1,300,000 </w:t>
            </w:r>
          </w:p>
        </w:tc>
        <w:tc>
          <w:tcPr>
            <w:tcW w:w="1563" w:type="dxa"/>
            <w:tcBorders>
              <w:top w:val="single" w:sz="4" w:space="0" w:color="auto"/>
              <w:left w:val="single" w:sz="4" w:space="0" w:color="auto"/>
              <w:bottom w:val="single" w:sz="4" w:space="0" w:color="auto"/>
              <w:right w:val="nil"/>
            </w:tcBorders>
            <w:shd w:val="clear" w:color="auto" w:fill="auto"/>
            <w:noWrap/>
            <w:vAlign w:val="bottom"/>
            <w:hideMark/>
          </w:tcPr>
          <w:p w14:paraId="251C09A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975,000 </w:t>
            </w:r>
          </w:p>
        </w:tc>
        <w:tc>
          <w:tcPr>
            <w:tcW w:w="1370" w:type="dxa"/>
            <w:tcBorders>
              <w:top w:val="single" w:sz="4" w:space="0" w:color="auto"/>
              <w:left w:val="nil"/>
              <w:bottom w:val="single" w:sz="4" w:space="0" w:color="auto"/>
              <w:right w:val="single" w:sz="4" w:space="0" w:color="auto"/>
            </w:tcBorders>
            <w:shd w:val="clear" w:color="auto" w:fill="auto"/>
            <w:noWrap/>
            <w:vAlign w:val="bottom"/>
            <w:hideMark/>
          </w:tcPr>
          <w:p w14:paraId="3FABF32F"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325,000 </w:t>
            </w:r>
          </w:p>
        </w:tc>
      </w:tr>
      <w:tr w:rsidR="00792E62" w:rsidRPr="00792E62" w14:paraId="480DB9ED" w14:textId="77777777" w:rsidTr="00BF477F">
        <w:trPr>
          <w:trHeight w:val="286"/>
        </w:trPr>
        <w:tc>
          <w:tcPr>
            <w:tcW w:w="3396" w:type="dxa"/>
            <w:tcBorders>
              <w:top w:val="nil"/>
              <w:left w:val="single" w:sz="4" w:space="0" w:color="auto"/>
              <w:bottom w:val="nil"/>
              <w:right w:val="single" w:sz="4" w:space="0" w:color="auto"/>
            </w:tcBorders>
            <w:shd w:val="clear" w:color="auto" w:fill="auto"/>
            <w:noWrap/>
            <w:vAlign w:val="bottom"/>
            <w:hideMark/>
          </w:tcPr>
          <w:p w14:paraId="24E967D1"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Less: Costs</w:t>
            </w:r>
          </w:p>
        </w:tc>
        <w:tc>
          <w:tcPr>
            <w:tcW w:w="1563" w:type="dxa"/>
            <w:tcBorders>
              <w:top w:val="nil"/>
              <w:left w:val="nil"/>
              <w:bottom w:val="nil"/>
              <w:right w:val="nil"/>
            </w:tcBorders>
            <w:shd w:val="clear" w:color="auto" w:fill="auto"/>
            <w:noWrap/>
            <w:vAlign w:val="bottom"/>
            <w:hideMark/>
          </w:tcPr>
          <w:p w14:paraId="294083B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w:t>
            </w:r>
          </w:p>
        </w:tc>
        <w:tc>
          <w:tcPr>
            <w:tcW w:w="1563" w:type="dxa"/>
            <w:tcBorders>
              <w:top w:val="nil"/>
              <w:left w:val="nil"/>
              <w:bottom w:val="nil"/>
              <w:right w:val="nil"/>
            </w:tcBorders>
            <w:shd w:val="clear" w:color="auto" w:fill="auto"/>
            <w:noWrap/>
            <w:vAlign w:val="bottom"/>
            <w:hideMark/>
          </w:tcPr>
          <w:p w14:paraId="2B0A8FBA"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w:t>
            </w:r>
          </w:p>
        </w:tc>
        <w:tc>
          <w:tcPr>
            <w:tcW w:w="1370" w:type="dxa"/>
            <w:tcBorders>
              <w:top w:val="nil"/>
              <w:left w:val="nil"/>
              <w:bottom w:val="nil"/>
              <w:right w:val="single" w:sz="4" w:space="0" w:color="auto"/>
            </w:tcBorders>
            <w:shd w:val="clear" w:color="auto" w:fill="auto"/>
            <w:noWrap/>
            <w:vAlign w:val="bottom"/>
            <w:hideMark/>
          </w:tcPr>
          <w:p w14:paraId="4F389089"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w:t>
            </w:r>
          </w:p>
        </w:tc>
      </w:tr>
      <w:tr w:rsidR="00792E62" w:rsidRPr="00792E62" w14:paraId="58D6F50A" w14:textId="77777777" w:rsidTr="00BF477F">
        <w:trPr>
          <w:trHeight w:val="286"/>
        </w:trPr>
        <w:tc>
          <w:tcPr>
            <w:tcW w:w="3396" w:type="dxa"/>
            <w:tcBorders>
              <w:top w:val="nil"/>
              <w:left w:val="single" w:sz="4" w:space="0" w:color="auto"/>
              <w:bottom w:val="nil"/>
              <w:right w:val="single" w:sz="4" w:space="0" w:color="auto"/>
            </w:tcBorders>
            <w:shd w:val="clear" w:color="auto" w:fill="auto"/>
            <w:noWrap/>
            <w:vAlign w:val="bottom"/>
            <w:hideMark/>
          </w:tcPr>
          <w:p w14:paraId="51A290F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Material</w:t>
            </w:r>
          </w:p>
        </w:tc>
        <w:tc>
          <w:tcPr>
            <w:tcW w:w="1563" w:type="dxa"/>
            <w:tcBorders>
              <w:top w:val="nil"/>
              <w:left w:val="nil"/>
              <w:bottom w:val="nil"/>
              <w:right w:val="nil"/>
            </w:tcBorders>
            <w:shd w:val="clear" w:color="auto" w:fill="auto"/>
            <w:noWrap/>
            <w:vAlign w:val="bottom"/>
            <w:hideMark/>
          </w:tcPr>
          <w:p w14:paraId="64A1163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162,500 </w:t>
            </w:r>
          </w:p>
        </w:tc>
        <w:tc>
          <w:tcPr>
            <w:tcW w:w="1563" w:type="dxa"/>
            <w:tcBorders>
              <w:top w:val="nil"/>
              <w:left w:val="nil"/>
              <w:bottom w:val="nil"/>
              <w:right w:val="nil"/>
            </w:tcBorders>
            <w:shd w:val="clear" w:color="auto" w:fill="auto"/>
            <w:noWrap/>
            <w:vAlign w:val="bottom"/>
            <w:hideMark/>
          </w:tcPr>
          <w:p w14:paraId="12DE5A2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227,500 </w:t>
            </w:r>
          </w:p>
        </w:tc>
        <w:tc>
          <w:tcPr>
            <w:tcW w:w="1370" w:type="dxa"/>
            <w:tcBorders>
              <w:top w:val="nil"/>
              <w:left w:val="nil"/>
              <w:bottom w:val="nil"/>
              <w:right w:val="single" w:sz="4" w:space="0" w:color="auto"/>
            </w:tcBorders>
            <w:shd w:val="clear" w:color="auto" w:fill="auto"/>
            <w:noWrap/>
            <w:vAlign w:val="bottom"/>
            <w:hideMark/>
          </w:tcPr>
          <w:p w14:paraId="77357503"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r>
      <w:tr w:rsidR="00792E62" w:rsidRPr="00792E62" w14:paraId="685CA705" w14:textId="77777777" w:rsidTr="00BF477F">
        <w:trPr>
          <w:trHeight w:val="286"/>
        </w:trPr>
        <w:tc>
          <w:tcPr>
            <w:tcW w:w="3396" w:type="dxa"/>
            <w:tcBorders>
              <w:top w:val="nil"/>
              <w:left w:val="single" w:sz="4" w:space="0" w:color="auto"/>
              <w:bottom w:val="nil"/>
              <w:right w:val="single" w:sz="4" w:space="0" w:color="auto"/>
            </w:tcBorders>
            <w:shd w:val="clear" w:color="auto" w:fill="auto"/>
            <w:noWrap/>
            <w:vAlign w:val="bottom"/>
            <w:hideMark/>
          </w:tcPr>
          <w:p w14:paraId="498371B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roofErr w:type="spellStart"/>
            <w:r w:rsidRPr="00792E62">
              <w:rPr>
                <w:rFonts w:ascii="Times New Roman" w:eastAsia="Times New Roman" w:hAnsi="Times New Roman" w:cs="Times New Roman"/>
                <w:b/>
                <w:bCs/>
                <w:color w:val="000000"/>
                <w:lang w:val="en-GB"/>
              </w:rPr>
              <w:t>Labor</w:t>
            </w:r>
            <w:proofErr w:type="spellEnd"/>
          </w:p>
        </w:tc>
        <w:tc>
          <w:tcPr>
            <w:tcW w:w="1563" w:type="dxa"/>
            <w:tcBorders>
              <w:top w:val="nil"/>
              <w:left w:val="nil"/>
              <w:bottom w:val="nil"/>
              <w:right w:val="nil"/>
            </w:tcBorders>
            <w:shd w:val="clear" w:color="auto" w:fill="auto"/>
            <w:noWrap/>
            <w:vAlign w:val="bottom"/>
            <w:hideMark/>
          </w:tcPr>
          <w:p w14:paraId="52ADBD8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260,000 </w:t>
            </w:r>
          </w:p>
        </w:tc>
        <w:tc>
          <w:tcPr>
            <w:tcW w:w="1563" w:type="dxa"/>
            <w:tcBorders>
              <w:top w:val="nil"/>
              <w:left w:val="nil"/>
              <w:bottom w:val="nil"/>
              <w:right w:val="nil"/>
            </w:tcBorders>
            <w:shd w:val="clear" w:color="auto" w:fill="auto"/>
            <w:noWrap/>
            <w:vAlign w:val="bottom"/>
            <w:hideMark/>
          </w:tcPr>
          <w:p w14:paraId="6E4D24F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357,500 </w:t>
            </w:r>
          </w:p>
        </w:tc>
        <w:tc>
          <w:tcPr>
            <w:tcW w:w="1370" w:type="dxa"/>
            <w:tcBorders>
              <w:top w:val="nil"/>
              <w:left w:val="nil"/>
              <w:bottom w:val="nil"/>
              <w:right w:val="single" w:sz="4" w:space="0" w:color="auto"/>
            </w:tcBorders>
            <w:shd w:val="clear" w:color="auto" w:fill="auto"/>
            <w:noWrap/>
            <w:vAlign w:val="bottom"/>
            <w:hideMark/>
          </w:tcPr>
          <w:p w14:paraId="2090A6D3"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75,000 </w:t>
            </w:r>
          </w:p>
        </w:tc>
      </w:tr>
      <w:tr w:rsidR="00792E62" w:rsidRPr="00792E62" w14:paraId="3CE27B06" w14:textId="77777777" w:rsidTr="00BF477F">
        <w:trPr>
          <w:trHeight w:val="286"/>
        </w:trPr>
        <w:tc>
          <w:tcPr>
            <w:tcW w:w="3396" w:type="dxa"/>
            <w:tcBorders>
              <w:top w:val="nil"/>
              <w:left w:val="single" w:sz="4" w:space="0" w:color="auto"/>
              <w:bottom w:val="nil"/>
              <w:right w:val="single" w:sz="4" w:space="0" w:color="auto"/>
            </w:tcBorders>
            <w:shd w:val="clear" w:color="auto" w:fill="auto"/>
            <w:noWrap/>
            <w:vAlign w:val="bottom"/>
            <w:hideMark/>
          </w:tcPr>
          <w:p w14:paraId="458057C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Overhead</w:t>
            </w:r>
          </w:p>
        </w:tc>
        <w:tc>
          <w:tcPr>
            <w:tcW w:w="1563" w:type="dxa"/>
            <w:tcBorders>
              <w:top w:val="nil"/>
              <w:left w:val="nil"/>
              <w:bottom w:val="nil"/>
              <w:right w:val="nil"/>
            </w:tcBorders>
            <w:shd w:val="clear" w:color="auto" w:fill="auto"/>
            <w:noWrap/>
            <w:vAlign w:val="bottom"/>
            <w:hideMark/>
          </w:tcPr>
          <w:p w14:paraId="67B3B1B9"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97,500 </w:t>
            </w:r>
          </w:p>
        </w:tc>
        <w:tc>
          <w:tcPr>
            <w:tcW w:w="1563" w:type="dxa"/>
            <w:tcBorders>
              <w:top w:val="nil"/>
              <w:left w:val="nil"/>
              <w:bottom w:val="nil"/>
              <w:right w:val="nil"/>
            </w:tcBorders>
            <w:shd w:val="clear" w:color="auto" w:fill="auto"/>
            <w:noWrap/>
            <w:vAlign w:val="bottom"/>
            <w:hideMark/>
          </w:tcPr>
          <w:p w14:paraId="73B5F6E5"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97,500 </w:t>
            </w:r>
          </w:p>
        </w:tc>
        <w:tc>
          <w:tcPr>
            <w:tcW w:w="1370" w:type="dxa"/>
            <w:tcBorders>
              <w:top w:val="nil"/>
              <w:left w:val="nil"/>
              <w:bottom w:val="nil"/>
              <w:right w:val="single" w:sz="4" w:space="0" w:color="auto"/>
            </w:tcBorders>
            <w:shd w:val="clear" w:color="auto" w:fill="auto"/>
            <w:noWrap/>
            <w:vAlign w:val="bottom"/>
            <w:hideMark/>
          </w:tcPr>
          <w:p w14:paraId="26CDB697"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   </w:t>
            </w:r>
          </w:p>
        </w:tc>
      </w:tr>
      <w:tr w:rsidR="00792E62" w:rsidRPr="00792E62" w14:paraId="20128AD8" w14:textId="77777777" w:rsidTr="00BF477F">
        <w:trPr>
          <w:trHeight w:val="286"/>
        </w:trPr>
        <w:tc>
          <w:tcPr>
            <w:tcW w:w="33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96698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Contribution</w:t>
            </w:r>
          </w:p>
        </w:tc>
        <w:tc>
          <w:tcPr>
            <w:tcW w:w="1563" w:type="dxa"/>
            <w:tcBorders>
              <w:top w:val="single" w:sz="4" w:space="0" w:color="auto"/>
              <w:left w:val="nil"/>
              <w:bottom w:val="single" w:sz="4" w:space="0" w:color="auto"/>
              <w:right w:val="nil"/>
            </w:tcBorders>
            <w:shd w:val="clear" w:color="auto" w:fill="auto"/>
            <w:noWrap/>
            <w:vAlign w:val="bottom"/>
            <w:hideMark/>
          </w:tcPr>
          <w:p w14:paraId="405C0DEE"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780,000 </w:t>
            </w:r>
          </w:p>
        </w:tc>
        <w:tc>
          <w:tcPr>
            <w:tcW w:w="1563" w:type="dxa"/>
            <w:tcBorders>
              <w:top w:val="single" w:sz="4" w:space="0" w:color="auto"/>
              <w:left w:val="nil"/>
              <w:bottom w:val="single" w:sz="4" w:space="0" w:color="auto"/>
              <w:right w:val="nil"/>
            </w:tcBorders>
            <w:shd w:val="clear" w:color="auto" w:fill="auto"/>
            <w:noWrap/>
            <w:vAlign w:val="bottom"/>
            <w:hideMark/>
          </w:tcPr>
          <w:p w14:paraId="268F36C8"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292,500 </w:t>
            </w:r>
          </w:p>
        </w:tc>
        <w:tc>
          <w:tcPr>
            <w:tcW w:w="1370" w:type="dxa"/>
            <w:tcBorders>
              <w:top w:val="single" w:sz="4" w:space="0" w:color="auto"/>
              <w:left w:val="nil"/>
              <w:bottom w:val="single" w:sz="4" w:space="0" w:color="auto"/>
              <w:right w:val="single" w:sz="4" w:space="0" w:color="auto"/>
            </w:tcBorders>
            <w:shd w:val="clear" w:color="auto" w:fill="auto"/>
            <w:noWrap/>
            <w:vAlign w:val="bottom"/>
            <w:hideMark/>
          </w:tcPr>
          <w:p w14:paraId="5F356FE5"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487,500 </w:t>
            </w:r>
          </w:p>
        </w:tc>
      </w:tr>
      <w:tr w:rsidR="00792E62" w:rsidRPr="00792E62" w14:paraId="34394FB3" w14:textId="77777777" w:rsidTr="00BF477F">
        <w:trPr>
          <w:trHeight w:val="286"/>
        </w:trPr>
        <w:tc>
          <w:tcPr>
            <w:tcW w:w="3396" w:type="dxa"/>
            <w:tcBorders>
              <w:top w:val="nil"/>
              <w:left w:val="single" w:sz="4" w:space="0" w:color="auto"/>
              <w:bottom w:val="nil"/>
              <w:right w:val="single" w:sz="4" w:space="0" w:color="auto"/>
            </w:tcBorders>
            <w:shd w:val="clear" w:color="auto" w:fill="auto"/>
            <w:noWrap/>
            <w:vAlign w:val="bottom"/>
            <w:hideMark/>
          </w:tcPr>
          <w:p w14:paraId="02655478"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Fixed Costs:</w:t>
            </w:r>
          </w:p>
        </w:tc>
        <w:tc>
          <w:tcPr>
            <w:tcW w:w="1563" w:type="dxa"/>
            <w:tcBorders>
              <w:top w:val="nil"/>
              <w:left w:val="nil"/>
              <w:bottom w:val="nil"/>
              <w:right w:val="nil"/>
            </w:tcBorders>
            <w:shd w:val="clear" w:color="auto" w:fill="auto"/>
            <w:noWrap/>
            <w:vAlign w:val="bottom"/>
            <w:hideMark/>
          </w:tcPr>
          <w:p w14:paraId="04662476"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p>
        </w:tc>
        <w:tc>
          <w:tcPr>
            <w:tcW w:w="1563" w:type="dxa"/>
            <w:tcBorders>
              <w:top w:val="nil"/>
              <w:left w:val="nil"/>
              <w:bottom w:val="nil"/>
              <w:right w:val="nil"/>
            </w:tcBorders>
            <w:shd w:val="clear" w:color="auto" w:fill="auto"/>
            <w:noWrap/>
            <w:vAlign w:val="bottom"/>
            <w:hideMark/>
          </w:tcPr>
          <w:p w14:paraId="5D91846E" w14:textId="77777777" w:rsidR="00792E62" w:rsidRPr="00792E62" w:rsidRDefault="00792E62" w:rsidP="00792E62">
            <w:pPr>
              <w:spacing w:after="0" w:line="480" w:lineRule="auto"/>
              <w:jc w:val="both"/>
              <w:rPr>
                <w:rFonts w:ascii="Times New Roman" w:eastAsia="Times New Roman" w:hAnsi="Times New Roman" w:cs="Times New Roman"/>
                <w:lang w:val="en-GB"/>
              </w:rPr>
            </w:pPr>
          </w:p>
        </w:tc>
        <w:tc>
          <w:tcPr>
            <w:tcW w:w="1370" w:type="dxa"/>
            <w:tcBorders>
              <w:top w:val="nil"/>
              <w:left w:val="nil"/>
              <w:bottom w:val="nil"/>
              <w:right w:val="single" w:sz="4" w:space="0" w:color="auto"/>
            </w:tcBorders>
            <w:shd w:val="clear" w:color="auto" w:fill="auto"/>
            <w:noWrap/>
            <w:vAlign w:val="bottom"/>
            <w:hideMark/>
          </w:tcPr>
          <w:p w14:paraId="32925E52"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w:t>
            </w:r>
          </w:p>
        </w:tc>
      </w:tr>
      <w:tr w:rsidR="00792E62" w:rsidRPr="00792E62" w14:paraId="1D40867B" w14:textId="77777777" w:rsidTr="00BF477F">
        <w:trPr>
          <w:trHeight w:val="286"/>
        </w:trPr>
        <w:tc>
          <w:tcPr>
            <w:tcW w:w="3396" w:type="dxa"/>
            <w:tcBorders>
              <w:top w:val="nil"/>
              <w:left w:val="single" w:sz="4" w:space="0" w:color="auto"/>
              <w:bottom w:val="nil"/>
              <w:right w:val="single" w:sz="4" w:space="0" w:color="auto"/>
            </w:tcBorders>
            <w:shd w:val="clear" w:color="auto" w:fill="auto"/>
            <w:noWrap/>
            <w:vAlign w:val="bottom"/>
            <w:hideMark/>
          </w:tcPr>
          <w:p w14:paraId="15B34CB0"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Amazon Fulfilment Fees</w:t>
            </w:r>
          </w:p>
        </w:tc>
        <w:tc>
          <w:tcPr>
            <w:tcW w:w="1563" w:type="dxa"/>
            <w:tcBorders>
              <w:top w:val="nil"/>
              <w:left w:val="nil"/>
              <w:bottom w:val="nil"/>
              <w:right w:val="nil"/>
            </w:tcBorders>
            <w:shd w:val="clear" w:color="auto" w:fill="auto"/>
            <w:noWrap/>
            <w:vAlign w:val="bottom"/>
            <w:hideMark/>
          </w:tcPr>
          <w:p w14:paraId="1A91BA6E"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563" w:type="dxa"/>
            <w:tcBorders>
              <w:top w:val="nil"/>
              <w:left w:val="nil"/>
              <w:bottom w:val="nil"/>
              <w:right w:val="nil"/>
            </w:tcBorders>
            <w:shd w:val="clear" w:color="auto" w:fill="auto"/>
            <w:noWrap/>
            <w:vAlign w:val="bottom"/>
            <w:hideMark/>
          </w:tcPr>
          <w:p w14:paraId="63A9D42B"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50,000 </w:t>
            </w:r>
          </w:p>
        </w:tc>
        <w:tc>
          <w:tcPr>
            <w:tcW w:w="1370" w:type="dxa"/>
            <w:tcBorders>
              <w:top w:val="nil"/>
              <w:left w:val="nil"/>
              <w:bottom w:val="nil"/>
              <w:right w:val="single" w:sz="4" w:space="0" w:color="auto"/>
            </w:tcBorders>
            <w:shd w:val="clear" w:color="auto" w:fill="auto"/>
            <w:noWrap/>
            <w:vAlign w:val="bottom"/>
            <w:hideMark/>
          </w:tcPr>
          <w:p w14:paraId="053D5708" w14:textId="77777777" w:rsidR="00792E62" w:rsidRPr="00792E62" w:rsidRDefault="00792E62" w:rsidP="00792E62">
            <w:pPr>
              <w:spacing w:after="0" w:line="480" w:lineRule="auto"/>
              <w:jc w:val="both"/>
              <w:rPr>
                <w:rFonts w:ascii="Times New Roman" w:eastAsia="Times New Roman" w:hAnsi="Times New Roman" w:cs="Times New Roman"/>
                <w:color w:val="000000"/>
                <w:lang w:val="en-GB"/>
              </w:rPr>
            </w:pPr>
            <w:r w:rsidRPr="00792E62">
              <w:rPr>
                <w:rFonts w:ascii="Times New Roman" w:eastAsia="Times New Roman" w:hAnsi="Times New Roman" w:cs="Times New Roman"/>
                <w:color w:val="000000"/>
                <w:lang w:val="en-GB"/>
              </w:rPr>
              <w:t xml:space="preserve">             -   </w:t>
            </w:r>
          </w:p>
        </w:tc>
      </w:tr>
      <w:tr w:rsidR="00792E62" w:rsidRPr="00792E62" w14:paraId="5EDD7A5E" w14:textId="77777777" w:rsidTr="00BF477F">
        <w:trPr>
          <w:trHeight w:val="286"/>
        </w:trPr>
        <w:tc>
          <w:tcPr>
            <w:tcW w:w="33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73D57B"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Net Operating Income</w:t>
            </w:r>
          </w:p>
        </w:tc>
        <w:tc>
          <w:tcPr>
            <w:tcW w:w="1563" w:type="dxa"/>
            <w:tcBorders>
              <w:top w:val="single" w:sz="4" w:space="0" w:color="auto"/>
              <w:left w:val="nil"/>
              <w:bottom w:val="single" w:sz="4" w:space="0" w:color="auto"/>
              <w:right w:val="nil"/>
            </w:tcBorders>
            <w:shd w:val="clear" w:color="auto" w:fill="auto"/>
            <w:noWrap/>
            <w:vAlign w:val="bottom"/>
            <w:hideMark/>
          </w:tcPr>
          <w:p w14:paraId="29D19D63"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730,000 </w:t>
            </w:r>
          </w:p>
        </w:tc>
        <w:tc>
          <w:tcPr>
            <w:tcW w:w="1563" w:type="dxa"/>
            <w:tcBorders>
              <w:top w:val="single" w:sz="4" w:space="0" w:color="auto"/>
              <w:left w:val="nil"/>
              <w:bottom w:val="single" w:sz="4" w:space="0" w:color="auto"/>
              <w:right w:val="nil"/>
            </w:tcBorders>
            <w:shd w:val="clear" w:color="auto" w:fill="auto"/>
            <w:noWrap/>
            <w:vAlign w:val="bottom"/>
            <w:hideMark/>
          </w:tcPr>
          <w:p w14:paraId="698FA04D"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242,500 </w:t>
            </w:r>
          </w:p>
        </w:tc>
        <w:tc>
          <w:tcPr>
            <w:tcW w:w="1370" w:type="dxa"/>
            <w:tcBorders>
              <w:top w:val="single" w:sz="4" w:space="0" w:color="auto"/>
              <w:left w:val="nil"/>
              <w:bottom w:val="single" w:sz="4" w:space="0" w:color="auto"/>
              <w:right w:val="single" w:sz="4" w:space="0" w:color="auto"/>
            </w:tcBorders>
            <w:shd w:val="clear" w:color="auto" w:fill="auto"/>
            <w:noWrap/>
            <w:vAlign w:val="bottom"/>
            <w:hideMark/>
          </w:tcPr>
          <w:p w14:paraId="460592CC" w14:textId="77777777" w:rsidR="00792E62" w:rsidRPr="00792E62" w:rsidRDefault="00792E62" w:rsidP="00792E62">
            <w:pPr>
              <w:spacing w:after="0" w:line="480" w:lineRule="auto"/>
              <w:jc w:val="both"/>
              <w:rPr>
                <w:rFonts w:ascii="Times New Roman" w:eastAsia="Times New Roman" w:hAnsi="Times New Roman" w:cs="Times New Roman"/>
                <w:b/>
                <w:bCs/>
                <w:color w:val="000000"/>
                <w:lang w:val="en-GB"/>
              </w:rPr>
            </w:pPr>
            <w:r w:rsidRPr="00792E62">
              <w:rPr>
                <w:rFonts w:ascii="Times New Roman" w:eastAsia="Times New Roman" w:hAnsi="Times New Roman" w:cs="Times New Roman"/>
                <w:b/>
                <w:bCs/>
                <w:color w:val="000000"/>
                <w:lang w:val="en-GB"/>
              </w:rPr>
              <w:t xml:space="preserve">  487,500 </w:t>
            </w:r>
          </w:p>
        </w:tc>
      </w:tr>
    </w:tbl>
    <w:p w14:paraId="71AC5551" w14:textId="7B5E13CE" w:rsidR="00792E62" w:rsidRDefault="00792E62" w:rsidP="00792E62">
      <w:pPr>
        <w:spacing w:after="0" w:line="480" w:lineRule="auto"/>
        <w:jc w:val="both"/>
        <w:rPr>
          <w:rFonts w:ascii="Times New Roman" w:hAnsi="Times New Roman" w:cs="Times New Roman"/>
          <w:b/>
          <w:bCs/>
          <w:lang w:val="en-GB"/>
        </w:rPr>
      </w:pPr>
    </w:p>
    <w:p w14:paraId="632AC7FA" w14:textId="77777777" w:rsidR="00E1491C" w:rsidRDefault="00E1491C" w:rsidP="00792E62">
      <w:pPr>
        <w:spacing w:after="0" w:line="480" w:lineRule="auto"/>
        <w:jc w:val="both"/>
        <w:rPr>
          <w:rFonts w:ascii="Times New Roman" w:hAnsi="Times New Roman" w:cs="Times New Roman"/>
          <w:b/>
          <w:bCs/>
          <w:lang w:val="en-GB"/>
        </w:rPr>
      </w:pPr>
    </w:p>
    <w:p w14:paraId="122DE1AD" w14:textId="77777777" w:rsidR="00E1491C" w:rsidRPr="00792E62" w:rsidRDefault="00E1491C" w:rsidP="00792E62">
      <w:pPr>
        <w:spacing w:after="0" w:line="480" w:lineRule="auto"/>
        <w:jc w:val="both"/>
        <w:rPr>
          <w:rFonts w:ascii="Times New Roman" w:hAnsi="Times New Roman" w:cs="Times New Roman"/>
          <w:b/>
          <w:bCs/>
          <w:lang w:val="en-GB"/>
        </w:rPr>
      </w:pPr>
    </w:p>
    <w:p w14:paraId="7B51F736" w14:textId="7B46A000" w:rsidR="00792E62" w:rsidRDefault="00792E62" w:rsidP="00792E62">
      <w:pPr>
        <w:spacing w:after="0" w:line="480" w:lineRule="auto"/>
        <w:jc w:val="both"/>
        <w:rPr>
          <w:rFonts w:ascii="Times New Roman" w:hAnsi="Times New Roman" w:cs="Times New Roman"/>
          <w:bCs/>
          <w:sz w:val="24"/>
          <w:szCs w:val="24"/>
          <w:lang w:val="en-GB"/>
        </w:rPr>
      </w:pPr>
      <w:r w:rsidRPr="00E1491C">
        <w:rPr>
          <w:rFonts w:ascii="Times New Roman" w:hAnsi="Times New Roman" w:cs="Times New Roman"/>
          <w:bCs/>
          <w:sz w:val="24"/>
          <w:szCs w:val="24"/>
          <w:lang w:val="en-GB"/>
        </w:rPr>
        <w:lastRenderedPageBreak/>
        <w:t>Conclusion</w:t>
      </w:r>
    </w:p>
    <w:p w14:paraId="5F752C90" w14:textId="77777777" w:rsidR="00E1491C" w:rsidRPr="00E1491C" w:rsidRDefault="00E1491C" w:rsidP="00792E62">
      <w:pPr>
        <w:spacing w:after="0" w:line="480" w:lineRule="auto"/>
        <w:jc w:val="both"/>
        <w:rPr>
          <w:rFonts w:ascii="Times New Roman" w:hAnsi="Times New Roman" w:cs="Times New Roman"/>
          <w:bCs/>
          <w:sz w:val="24"/>
          <w:szCs w:val="24"/>
          <w:lang w:val="en-GB"/>
        </w:rPr>
      </w:pPr>
    </w:p>
    <w:p w14:paraId="1285DD50" w14:textId="77777777" w:rsidR="00792E62" w:rsidRPr="00792E62" w:rsidRDefault="00792E62" w:rsidP="00792E62">
      <w:pPr>
        <w:spacing w:after="0" w:line="480" w:lineRule="auto"/>
        <w:jc w:val="both"/>
        <w:rPr>
          <w:rFonts w:ascii="Times New Roman" w:hAnsi="Times New Roman" w:cs="Times New Roman"/>
          <w:lang w:val="en-GB"/>
        </w:rPr>
      </w:pPr>
      <w:r w:rsidRPr="00792E62">
        <w:rPr>
          <w:rFonts w:ascii="Times New Roman" w:hAnsi="Times New Roman" w:cs="Times New Roman"/>
          <w:b/>
          <w:bCs/>
          <w:lang w:val="en-GB"/>
        </w:rPr>
        <w:tab/>
      </w:r>
      <w:r w:rsidRPr="00792E62">
        <w:rPr>
          <w:rFonts w:ascii="Times New Roman" w:hAnsi="Times New Roman" w:cs="Times New Roman"/>
          <w:lang w:val="en-GB"/>
        </w:rPr>
        <w:t>Based on the analysis above, going online provides Amana with the best opportunity to increase both sales revenue as well as net operating income. Whereas setting up the company’s e-commerce involves more costs in the first year, it is more beneficial in the long-term since Amana will retain the power to influence the product prices. From the second year, going online will help Amana earn approximately £200,000 more than selling on Amazon based on incremental net operating income.</w:t>
      </w:r>
    </w:p>
    <w:p w14:paraId="348801EE" w14:textId="77777777" w:rsidR="00792E62" w:rsidRPr="00792E62" w:rsidRDefault="00792E62" w:rsidP="00792E62">
      <w:pPr>
        <w:spacing w:line="480" w:lineRule="auto"/>
        <w:jc w:val="both"/>
        <w:rPr>
          <w:rFonts w:ascii="Times New Roman" w:hAnsi="Times New Roman" w:cs="Times New Roman"/>
          <w:lang w:val="en-GB"/>
        </w:rPr>
      </w:pPr>
      <w:r w:rsidRPr="00792E62">
        <w:rPr>
          <w:rFonts w:ascii="Times New Roman" w:hAnsi="Times New Roman" w:cs="Times New Roman"/>
          <w:lang w:val="en-GB"/>
        </w:rPr>
        <w:br w:type="page"/>
      </w:r>
    </w:p>
    <w:p w14:paraId="60BEE652" w14:textId="4D97AAED" w:rsidR="00792E62" w:rsidRPr="006D0A0F" w:rsidRDefault="00792E62" w:rsidP="00792E62">
      <w:pPr>
        <w:spacing w:after="0" w:line="480" w:lineRule="auto"/>
        <w:jc w:val="both"/>
        <w:rPr>
          <w:rFonts w:ascii="Times New Roman" w:hAnsi="Times New Roman" w:cs="Times New Roman"/>
          <w:b/>
          <w:sz w:val="24"/>
          <w:szCs w:val="24"/>
          <w:lang w:val="en-GB"/>
        </w:rPr>
      </w:pPr>
      <w:r w:rsidRPr="006D0A0F">
        <w:rPr>
          <w:rFonts w:ascii="Times New Roman" w:hAnsi="Times New Roman" w:cs="Times New Roman"/>
          <w:b/>
          <w:sz w:val="24"/>
          <w:szCs w:val="24"/>
          <w:lang w:val="en-GB"/>
        </w:rPr>
        <w:lastRenderedPageBreak/>
        <w:t>References</w:t>
      </w:r>
      <w:r w:rsidR="00E1491C" w:rsidRPr="006D0A0F">
        <w:rPr>
          <w:rFonts w:ascii="Times New Roman" w:hAnsi="Times New Roman" w:cs="Times New Roman"/>
          <w:b/>
          <w:sz w:val="24"/>
          <w:szCs w:val="24"/>
          <w:lang w:val="en-GB"/>
        </w:rPr>
        <w:t>:</w:t>
      </w:r>
    </w:p>
    <w:p w14:paraId="4E8517D8" w14:textId="77777777" w:rsidR="00E1491C" w:rsidRPr="00E1491C" w:rsidRDefault="00E1491C" w:rsidP="00792E62">
      <w:pPr>
        <w:spacing w:after="0" w:line="480" w:lineRule="auto"/>
        <w:jc w:val="both"/>
        <w:rPr>
          <w:rFonts w:ascii="Times New Roman" w:hAnsi="Times New Roman" w:cs="Times New Roman"/>
          <w:bCs/>
          <w:sz w:val="24"/>
          <w:szCs w:val="24"/>
          <w:lang w:val="en-GB"/>
        </w:rPr>
      </w:pPr>
    </w:p>
    <w:p w14:paraId="1696AFFC" w14:textId="6A3639FC"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Arnold, M.</w:t>
      </w:r>
      <w:r w:rsidR="001B4539">
        <w:rPr>
          <w:rFonts w:ascii="Times New Roman" w:hAnsi="Times New Roman" w:cs="Times New Roman"/>
          <w:color w:val="222222"/>
          <w:shd w:val="clear" w:color="auto" w:fill="FFFFFF"/>
          <w:lang w:val="en-GB"/>
        </w:rPr>
        <w:t>,</w:t>
      </w:r>
      <w:r w:rsidRPr="00792E62">
        <w:rPr>
          <w:rFonts w:ascii="Times New Roman" w:hAnsi="Times New Roman" w:cs="Times New Roman"/>
          <w:color w:val="222222"/>
          <w:shd w:val="clear" w:color="auto" w:fill="FFFFFF"/>
          <w:lang w:val="en-GB"/>
        </w:rPr>
        <w:t xml:space="preserve"> </w:t>
      </w:r>
      <w:proofErr w:type="spellStart"/>
      <w:r w:rsidRPr="00792E62">
        <w:rPr>
          <w:rFonts w:ascii="Times New Roman" w:hAnsi="Times New Roman" w:cs="Times New Roman"/>
          <w:color w:val="222222"/>
          <w:shd w:val="clear" w:color="auto" w:fill="FFFFFF"/>
          <w:lang w:val="en-GB"/>
        </w:rPr>
        <w:t>Artz</w:t>
      </w:r>
      <w:proofErr w:type="spellEnd"/>
      <w:r w:rsidRPr="00792E62">
        <w:rPr>
          <w:rFonts w:ascii="Times New Roman" w:hAnsi="Times New Roman" w:cs="Times New Roman"/>
          <w:color w:val="222222"/>
          <w:shd w:val="clear" w:color="auto" w:fill="FFFFFF"/>
          <w:lang w:val="en-GB"/>
        </w:rPr>
        <w:t>, M.</w:t>
      </w:r>
      <w:r w:rsidR="001B4539">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2019. The use of a single budget or separate budgets for planning</w:t>
      </w:r>
    </w:p>
    <w:p w14:paraId="2DEA0202" w14:textId="77777777" w:rsidR="00792E62" w:rsidRPr="00792E62" w:rsidRDefault="00792E62" w:rsidP="00792E62">
      <w:pPr>
        <w:spacing w:after="0" w:line="480" w:lineRule="auto"/>
        <w:ind w:firstLine="720"/>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and performance evaluation. </w:t>
      </w:r>
      <w:r w:rsidRPr="00792E62">
        <w:rPr>
          <w:rFonts w:ascii="Times New Roman" w:hAnsi="Times New Roman" w:cs="Times New Roman"/>
          <w:i/>
          <w:iCs/>
          <w:color w:val="222222"/>
          <w:shd w:val="clear" w:color="auto" w:fill="FFFFFF"/>
          <w:lang w:val="en-GB"/>
        </w:rPr>
        <w:t>Accounting, organizations and society</w:t>
      </w:r>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Cs/>
          <w:color w:val="222222"/>
          <w:shd w:val="clear" w:color="auto" w:fill="FFFFFF"/>
          <w:lang w:val="en-GB"/>
        </w:rPr>
        <w:t>73</w:t>
      </w:r>
      <w:r w:rsidRPr="00792E62">
        <w:rPr>
          <w:rFonts w:ascii="Times New Roman" w:hAnsi="Times New Roman" w:cs="Times New Roman"/>
          <w:color w:val="222222"/>
          <w:shd w:val="clear" w:color="auto" w:fill="FFFFFF"/>
          <w:lang w:val="en-GB"/>
        </w:rPr>
        <w:t>, pp. 50-67.</w:t>
      </w:r>
    </w:p>
    <w:p w14:paraId="055BC7B1" w14:textId="075556D9"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Bhatti, A.</w:t>
      </w:r>
      <w:r w:rsidR="001B4539">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2018. Sales promotion and price discount effect on consumer purchase intention</w:t>
      </w:r>
    </w:p>
    <w:p w14:paraId="2D089749" w14:textId="77777777" w:rsidR="00792E62" w:rsidRPr="00792E62" w:rsidRDefault="00792E62" w:rsidP="00792E62">
      <w:pPr>
        <w:spacing w:after="0" w:line="480" w:lineRule="auto"/>
        <w:ind w:left="720"/>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with the moderating role of social media in Pakistan. </w:t>
      </w:r>
      <w:r w:rsidRPr="00792E62">
        <w:rPr>
          <w:rFonts w:ascii="Times New Roman" w:hAnsi="Times New Roman" w:cs="Times New Roman"/>
          <w:i/>
          <w:iCs/>
          <w:color w:val="222222"/>
          <w:shd w:val="clear" w:color="auto" w:fill="FFFFFF"/>
          <w:lang w:val="en-GB"/>
        </w:rPr>
        <w:t>International Journal of Business Management</w:t>
      </w:r>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Cs/>
          <w:color w:val="222222"/>
          <w:shd w:val="clear" w:color="auto" w:fill="FFFFFF"/>
          <w:lang w:val="en-GB"/>
        </w:rPr>
        <w:t>3</w:t>
      </w:r>
      <w:r w:rsidRPr="00792E62">
        <w:rPr>
          <w:rFonts w:ascii="Times New Roman" w:hAnsi="Times New Roman" w:cs="Times New Roman"/>
          <w:color w:val="222222"/>
          <w:shd w:val="clear" w:color="auto" w:fill="FFFFFF"/>
          <w:lang w:val="en-GB"/>
        </w:rPr>
        <w:t>(4), pp. 50-58.</w:t>
      </w:r>
    </w:p>
    <w:p w14:paraId="3DA09806" w14:textId="7DB58787"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Deepak, R.K.A.</w:t>
      </w:r>
      <w:r w:rsidR="001B4539">
        <w:rPr>
          <w:rFonts w:ascii="Times New Roman" w:hAnsi="Times New Roman" w:cs="Times New Roman"/>
          <w:color w:val="222222"/>
          <w:shd w:val="clear" w:color="auto" w:fill="FFFFFF"/>
          <w:lang w:val="en-GB"/>
        </w:rPr>
        <w:t>,</w:t>
      </w:r>
      <w:r w:rsidRPr="00792E62">
        <w:rPr>
          <w:rFonts w:ascii="Times New Roman" w:hAnsi="Times New Roman" w:cs="Times New Roman"/>
          <w:color w:val="222222"/>
          <w:shd w:val="clear" w:color="auto" w:fill="FFFFFF"/>
          <w:lang w:val="en-GB"/>
        </w:rPr>
        <w:t xml:space="preserve"> </w:t>
      </w:r>
      <w:proofErr w:type="spellStart"/>
      <w:r w:rsidRPr="00792E62">
        <w:rPr>
          <w:rFonts w:ascii="Times New Roman" w:hAnsi="Times New Roman" w:cs="Times New Roman"/>
          <w:color w:val="222222"/>
          <w:shd w:val="clear" w:color="auto" w:fill="FFFFFF"/>
          <w:lang w:val="en-GB"/>
        </w:rPr>
        <w:t>Jeyakumar</w:t>
      </w:r>
      <w:proofErr w:type="spellEnd"/>
      <w:r w:rsidRPr="00792E62">
        <w:rPr>
          <w:rFonts w:ascii="Times New Roman" w:hAnsi="Times New Roman" w:cs="Times New Roman"/>
          <w:color w:val="222222"/>
          <w:shd w:val="clear" w:color="auto" w:fill="FFFFFF"/>
          <w:lang w:val="en-GB"/>
        </w:rPr>
        <w:t>, S.</w:t>
      </w:r>
      <w:r w:rsidR="001B4539">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2019. </w:t>
      </w:r>
      <w:r w:rsidRPr="00792E62">
        <w:rPr>
          <w:rFonts w:ascii="Times New Roman" w:hAnsi="Times New Roman" w:cs="Times New Roman"/>
          <w:i/>
          <w:iCs/>
          <w:color w:val="222222"/>
          <w:shd w:val="clear" w:color="auto" w:fill="FFFFFF"/>
          <w:lang w:val="en-GB"/>
        </w:rPr>
        <w:t>Marketing management</w:t>
      </w:r>
      <w:r w:rsidRPr="00792E62">
        <w:rPr>
          <w:rFonts w:ascii="Times New Roman" w:hAnsi="Times New Roman" w:cs="Times New Roman"/>
          <w:color w:val="222222"/>
          <w:shd w:val="clear" w:color="auto" w:fill="FFFFFF"/>
          <w:lang w:val="en-GB"/>
        </w:rPr>
        <w:t xml:space="preserve">. </w:t>
      </w:r>
      <w:proofErr w:type="spellStart"/>
      <w:r w:rsidRPr="00792E62">
        <w:rPr>
          <w:rFonts w:ascii="Times New Roman" w:hAnsi="Times New Roman" w:cs="Times New Roman"/>
          <w:color w:val="222222"/>
          <w:shd w:val="clear" w:color="auto" w:fill="FFFFFF"/>
          <w:lang w:val="en-GB"/>
        </w:rPr>
        <w:t>Educreation</w:t>
      </w:r>
      <w:proofErr w:type="spellEnd"/>
      <w:r w:rsidRPr="00792E62">
        <w:rPr>
          <w:rFonts w:ascii="Times New Roman" w:hAnsi="Times New Roman" w:cs="Times New Roman"/>
          <w:color w:val="222222"/>
          <w:shd w:val="clear" w:color="auto" w:fill="FFFFFF"/>
          <w:lang w:val="en-GB"/>
        </w:rPr>
        <w:t xml:space="preserve"> Publishing.</w:t>
      </w:r>
    </w:p>
    <w:p w14:paraId="54F4E31D" w14:textId="22607D5D"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proofErr w:type="spellStart"/>
      <w:r w:rsidRPr="00792E62">
        <w:rPr>
          <w:rFonts w:ascii="Times New Roman" w:hAnsi="Times New Roman" w:cs="Times New Roman"/>
          <w:color w:val="222222"/>
          <w:shd w:val="clear" w:color="auto" w:fill="FFFFFF"/>
          <w:lang w:val="en-GB"/>
        </w:rPr>
        <w:t>Dosi</w:t>
      </w:r>
      <w:proofErr w:type="spellEnd"/>
      <w:r w:rsidRPr="00792E62">
        <w:rPr>
          <w:rFonts w:ascii="Times New Roman" w:hAnsi="Times New Roman" w:cs="Times New Roman"/>
          <w:color w:val="222222"/>
          <w:shd w:val="clear" w:color="auto" w:fill="FFFFFF"/>
          <w:lang w:val="en-GB"/>
        </w:rPr>
        <w:t>, G., Mathew, N.</w:t>
      </w:r>
      <w:r w:rsidR="001B4539">
        <w:rPr>
          <w:rFonts w:ascii="Times New Roman" w:hAnsi="Times New Roman" w:cs="Times New Roman"/>
          <w:color w:val="222222"/>
          <w:shd w:val="clear" w:color="auto" w:fill="FFFFFF"/>
          <w:lang w:val="en-GB"/>
        </w:rPr>
        <w:t>,</w:t>
      </w:r>
      <w:r w:rsidRPr="00792E62">
        <w:rPr>
          <w:rFonts w:ascii="Times New Roman" w:hAnsi="Times New Roman" w:cs="Times New Roman"/>
          <w:color w:val="222222"/>
          <w:shd w:val="clear" w:color="auto" w:fill="FFFFFF"/>
          <w:lang w:val="en-GB"/>
        </w:rPr>
        <w:t xml:space="preserve"> Pugliese, E.</w:t>
      </w:r>
      <w:r w:rsidR="001B4539">
        <w:rPr>
          <w:rFonts w:ascii="Times New Roman" w:hAnsi="Times New Roman" w:cs="Times New Roman"/>
          <w:color w:val="222222"/>
          <w:shd w:val="clear" w:color="auto" w:fill="FFFFFF"/>
          <w:lang w:val="en-GB"/>
        </w:rPr>
        <w:t>,</w:t>
      </w:r>
      <w:r w:rsidRPr="00792E62">
        <w:rPr>
          <w:rFonts w:ascii="Times New Roman" w:hAnsi="Times New Roman" w:cs="Times New Roman"/>
          <w:color w:val="222222"/>
          <w:shd w:val="clear" w:color="auto" w:fill="FFFFFF"/>
          <w:lang w:val="en-GB"/>
        </w:rPr>
        <w:t>2020. What a firm produces matters: Processes of</w:t>
      </w:r>
    </w:p>
    <w:p w14:paraId="51B9AD92" w14:textId="77777777" w:rsidR="00792E62" w:rsidRPr="00792E62" w:rsidRDefault="00792E62" w:rsidP="00792E62">
      <w:pPr>
        <w:spacing w:after="0" w:line="480" w:lineRule="auto"/>
        <w:ind w:left="720"/>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diversification, coherence and performances of Indian manufacturing firms. Research Policy, p. 104152.</w:t>
      </w:r>
    </w:p>
    <w:p w14:paraId="5B44924E" w14:textId="04A37E49"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Eastman, C., Critten, P.</w:t>
      </w:r>
      <w:r w:rsidR="001B4539">
        <w:rPr>
          <w:rFonts w:ascii="Times New Roman" w:hAnsi="Times New Roman" w:cs="Times New Roman"/>
          <w:color w:val="222222"/>
          <w:shd w:val="clear" w:color="auto" w:fill="FFFFFF"/>
          <w:lang w:val="en-GB"/>
        </w:rPr>
        <w:t>,</w:t>
      </w:r>
      <w:r w:rsidRPr="00792E62">
        <w:rPr>
          <w:rFonts w:ascii="Times New Roman" w:hAnsi="Times New Roman" w:cs="Times New Roman"/>
          <w:color w:val="222222"/>
          <w:shd w:val="clear" w:color="auto" w:fill="FFFFFF"/>
          <w:lang w:val="en-GB"/>
        </w:rPr>
        <w:t xml:space="preserve"> Day, C.</w:t>
      </w:r>
      <w:r w:rsidR="001B4539">
        <w:rPr>
          <w:rFonts w:ascii="Times New Roman" w:hAnsi="Times New Roman" w:cs="Times New Roman"/>
          <w:color w:val="222222"/>
          <w:shd w:val="clear" w:color="auto" w:fill="FFFFFF"/>
          <w:lang w:val="en-GB"/>
        </w:rPr>
        <w:t>,</w:t>
      </w:r>
      <w:r w:rsidRPr="00792E62">
        <w:rPr>
          <w:rFonts w:ascii="Times New Roman" w:hAnsi="Times New Roman" w:cs="Times New Roman"/>
          <w:color w:val="222222"/>
          <w:shd w:val="clear" w:color="auto" w:fill="FFFFFF"/>
          <w:lang w:val="en-GB"/>
        </w:rPr>
        <w:t>2020. Coaching in the sales profession: what part can</w:t>
      </w:r>
    </w:p>
    <w:p w14:paraId="70AD9320" w14:textId="5312EAD9" w:rsidR="00792E62" w:rsidRPr="00792E62" w:rsidRDefault="00792E62" w:rsidP="00792E62">
      <w:pPr>
        <w:spacing w:after="0" w:line="480" w:lineRule="auto"/>
        <w:ind w:left="720"/>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coaching with literature play in dealing with a contemporary" Bartleby"</w:t>
      </w:r>
      <w:proofErr w:type="gramStart"/>
      <w:r w:rsidRPr="00792E62">
        <w:rPr>
          <w:rFonts w:ascii="Times New Roman" w:hAnsi="Times New Roman" w:cs="Times New Roman"/>
          <w:color w:val="222222"/>
          <w:shd w:val="clear" w:color="auto" w:fill="FFFFFF"/>
          <w:lang w:val="en-GB"/>
        </w:rPr>
        <w:t>?</w:t>
      </w:r>
      <w:r w:rsidR="001B4539">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w:t>
      </w:r>
      <w:proofErr w:type="gramEnd"/>
      <w:r w:rsidR="001B4539">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
          <w:iCs/>
          <w:color w:val="222222"/>
          <w:shd w:val="clear" w:color="auto" w:fill="FFFFFF"/>
          <w:lang w:val="en-GB"/>
        </w:rPr>
        <w:t>International Journal of Evidence Based Coaching and Mentoring</w:t>
      </w:r>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Cs/>
          <w:color w:val="222222"/>
          <w:shd w:val="clear" w:color="auto" w:fill="FFFFFF"/>
          <w:lang w:val="en-GB"/>
        </w:rPr>
        <w:t>18</w:t>
      </w:r>
      <w:r w:rsidRPr="00792E62">
        <w:rPr>
          <w:rFonts w:ascii="Times New Roman" w:hAnsi="Times New Roman" w:cs="Times New Roman"/>
          <w:color w:val="222222"/>
          <w:shd w:val="clear" w:color="auto" w:fill="FFFFFF"/>
          <w:lang w:val="en-GB"/>
        </w:rPr>
        <w:t>(2), pp. 68-82.</w:t>
      </w:r>
    </w:p>
    <w:p w14:paraId="4DF215D4" w14:textId="6CF96A73" w:rsidR="00792E62" w:rsidRPr="00792E62" w:rsidRDefault="00792E62" w:rsidP="00792E62">
      <w:pPr>
        <w:spacing w:after="0" w:line="480" w:lineRule="auto"/>
        <w:jc w:val="both"/>
        <w:rPr>
          <w:rFonts w:ascii="Times New Roman" w:hAnsi="Times New Roman" w:cs="Times New Roman"/>
          <w:i/>
          <w:iCs/>
          <w:color w:val="222222"/>
          <w:shd w:val="clear" w:color="auto" w:fill="FFFFFF"/>
          <w:lang w:val="en-GB"/>
        </w:rPr>
      </w:pPr>
      <w:proofErr w:type="spellStart"/>
      <w:r w:rsidRPr="00792E62">
        <w:rPr>
          <w:rFonts w:ascii="Times New Roman" w:hAnsi="Times New Roman" w:cs="Times New Roman"/>
          <w:color w:val="222222"/>
          <w:shd w:val="clear" w:color="auto" w:fill="FFFFFF"/>
          <w:lang w:val="en-GB"/>
        </w:rPr>
        <w:t>Enyi</w:t>
      </w:r>
      <w:proofErr w:type="spellEnd"/>
      <w:r w:rsidRPr="00792E62">
        <w:rPr>
          <w:rFonts w:ascii="Times New Roman" w:hAnsi="Times New Roman" w:cs="Times New Roman"/>
          <w:color w:val="222222"/>
          <w:shd w:val="clear" w:color="auto" w:fill="FFFFFF"/>
          <w:lang w:val="en-GB"/>
        </w:rPr>
        <w:t>, E.P.</w:t>
      </w:r>
      <w:r w:rsidR="001B4539">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2019. Joint Products CVP Analysis–Time for Methodical Review. </w:t>
      </w:r>
      <w:r w:rsidRPr="00792E62">
        <w:rPr>
          <w:rFonts w:ascii="Times New Roman" w:hAnsi="Times New Roman" w:cs="Times New Roman"/>
          <w:i/>
          <w:iCs/>
          <w:color w:val="222222"/>
          <w:shd w:val="clear" w:color="auto" w:fill="FFFFFF"/>
          <w:lang w:val="en-GB"/>
        </w:rPr>
        <w:t>Journal of</w:t>
      </w:r>
    </w:p>
    <w:p w14:paraId="5B3C52BC" w14:textId="77777777" w:rsidR="00792E62" w:rsidRPr="00792E62" w:rsidRDefault="00792E62" w:rsidP="00792E62">
      <w:pPr>
        <w:spacing w:after="0" w:line="480" w:lineRule="auto"/>
        <w:ind w:firstLine="720"/>
        <w:jc w:val="both"/>
        <w:rPr>
          <w:rFonts w:ascii="Times New Roman" w:hAnsi="Times New Roman" w:cs="Times New Roman"/>
          <w:color w:val="222222"/>
          <w:shd w:val="clear" w:color="auto" w:fill="FFFFFF"/>
          <w:lang w:val="en-GB"/>
        </w:rPr>
      </w:pPr>
      <w:r w:rsidRPr="00792E62">
        <w:rPr>
          <w:rFonts w:ascii="Times New Roman" w:hAnsi="Times New Roman" w:cs="Times New Roman"/>
          <w:i/>
          <w:iCs/>
          <w:color w:val="222222"/>
          <w:shd w:val="clear" w:color="auto" w:fill="FFFFFF"/>
          <w:lang w:val="en-GB"/>
        </w:rPr>
        <w:t>Economics and Business</w:t>
      </w:r>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Cs/>
          <w:color w:val="222222"/>
          <w:shd w:val="clear" w:color="auto" w:fill="FFFFFF"/>
          <w:lang w:val="en-GB"/>
        </w:rPr>
        <w:t>2</w:t>
      </w:r>
      <w:r w:rsidRPr="00792E62">
        <w:rPr>
          <w:rFonts w:ascii="Times New Roman" w:hAnsi="Times New Roman" w:cs="Times New Roman"/>
          <w:color w:val="222222"/>
          <w:shd w:val="clear" w:color="auto" w:fill="FFFFFF"/>
          <w:lang w:val="en-GB"/>
        </w:rPr>
        <w:t>(4).</w:t>
      </w:r>
    </w:p>
    <w:p w14:paraId="343EE5A4" w14:textId="2A902E61"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Gutiérrez, G. and Philippon, T.</w:t>
      </w:r>
      <w:r w:rsidR="001B4539">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w:t>
      </w:r>
      <w:r w:rsidR="001B4539">
        <w:rPr>
          <w:rFonts w:ascii="Times New Roman" w:hAnsi="Times New Roman" w:cs="Times New Roman"/>
          <w:color w:val="222222"/>
          <w:shd w:val="clear" w:color="auto" w:fill="FFFFFF"/>
          <w:lang w:val="en-GB"/>
        </w:rPr>
        <w:t>8</w:t>
      </w:r>
      <w:r w:rsidRPr="00792E62">
        <w:rPr>
          <w:rFonts w:ascii="Times New Roman" w:hAnsi="Times New Roman" w:cs="Times New Roman"/>
          <w:color w:val="222222"/>
          <w:shd w:val="clear" w:color="auto" w:fill="FFFFFF"/>
          <w:lang w:val="en-GB"/>
        </w:rPr>
        <w:t>. How EU markets became more competitive than US</w:t>
      </w:r>
    </w:p>
    <w:p w14:paraId="6BFC9B45" w14:textId="77777777" w:rsidR="00792E62" w:rsidRPr="00792E62" w:rsidRDefault="00792E62" w:rsidP="00792E62">
      <w:pPr>
        <w:spacing w:after="0" w:line="480" w:lineRule="auto"/>
        <w:ind w:left="720"/>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markets: A study of institutional drift (No. w24700). New York, National Bureau of Economic Research.</w:t>
      </w:r>
    </w:p>
    <w:p w14:paraId="54DD85F9" w14:textId="3D00A705" w:rsidR="00792E62" w:rsidRPr="00792E62" w:rsidRDefault="00792E62" w:rsidP="00792E62">
      <w:pPr>
        <w:spacing w:after="0" w:line="480" w:lineRule="auto"/>
        <w:jc w:val="both"/>
        <w:rPr>
          <w:rFonts w:ascii="Times New Roman" w:hAnsi="Times New Roman" w:cs="Times New Roman"/>
          <w:i/>
          <w:iCs/>
          <w:color w:val="222222"/>
          <w:shd w:val="clear" w:color="auto" w:fill="FFFFFF"/>
          <w:lang w:val="en-GB"/>
        </w:rPr>
      </w:pPr>
      <w:r w:rsidRPr="00792E62">
        <w:rPr>
          <w:rFonts w:ascii="Times New Roman" w:hAnsi="Times New Roman" w:cs="Times New Roman"/>
          <w:color w:val="222222"/>
          <w:shd w:val="clear" w:color="auto" w:fill="FFFFFF"/>
          <w:lang w:val="en-GB"/>
        </w:rPr>
        <w:t>Messer, R.</w:t>
      </w:r>
      <w:r w:rsidR="0011459F">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2020. Budget Management Decisions. In </w:t>
      </w:r>
      <w:r w:rsidRPr="00792E62">
        <w:rPr>
          <w:rFonts w:ascii="Times New Roman" w:hAnsi="Times New Roman" w:cs="Times New Roman"/>
          <w:i/>
          <w:iCs/>
          <w:color w:val="222222"/>
          <w:shd w:val="clear" w:color="auto" w:fill="FFFFFF"/>
          <w:lang w:val="en-GB"/>
        </w:rPr>
        <w:t xml:space="preserve">Financial </w:t>
      </w:r>
      <w:r w:rsidR="0011459F" w:rsidRPr="00792E62">
        <w:rPr>
          <w:rFonts w:ascii="Times New Roman" w:hAnsi="Times New Roman" w:cs="Times New Roman"/>
          <w:i/>
          <w:iCs/>
          <w:color w:val="222222"/>
          <w:shd w:val="clear" w:color="auto" w:fill="FFFFFF"/>
          <w:lang w:val="en-GB"/>
        </w:rPr>
        <w:t>Modelling</w:t>
      </w:r>
      <w:r w:rsidRPr="00792E62">
        <w:rPr>
          <w:rFonts w:ascii="Times New Roman" w:hAnsi="Times New Roman" w:cs="Times New Roman"/>
          <w:i/>
          <w:iCs/>
          <w:color w:val="222222"/>
          <w:shd w:val="clear" w:color="auto" w:fill="FFFFFF"/>
          <w:lang w:val="en-GB"/>
        </w:rPr>
        <w:t xml:space="preserve"> for Decision</w:t>
      </w:r>
    </w:p>
    <w:p w14:paraId="51698E7A" w14:textId="77777777" w:rsidR="00792E62" w:rsidRPr="00792E62" w:rsidRDefault="00792E62" w:rsidP="00792E62">
      <w:pPr>
        <w:spacing w:after="0" w:line="480" w:lineRule="auto"/>
        <w:ind w:firstLine="720"/>
        <w:jc w:val="both"/>
        <w:rPr>
          <w:rFonts w:ascii="Times New Roman" w:hAnsi="Times New Roman" w:cs="Times New Roman"/>
          <w:color w:val="222222"/>
          <w:shd w:val="clear" w:color="auto" w:fill="FFFFFF"/>
          <w:lang w:val="en-GB"/>
        </w:rPr>
      </w:pPr>
      <w:r w:rsidRPr="00792E62">
        <w:rPr>
          <w:rFonts w:ascii="Times New Roman" w:hAnsi="Times New Roman" w:cs="Times New Roman"/>
          <w:i/>
          <w:iCs/>
          <w:color w:val="222222"/>
          <w:shd w:val="clear" w:color="auto" w:fill="FFFFFF"/>
          <w:lang w:val="en-GB"/>
        </w:rPr>
        <w:t>Making: Using MS-Excel in Accounting and Finance</w:t>
      </w:r>
      <w:r w:rsidRPr="00792E62">
        <w:rPr>
          <w:rFonts w:ascii="Times New Roman" w:hAnsi="Times New Roman" w:cs="Times New Roman"/>
          <w:color w:val="222222"/>
          <w:shd w:val="clear" w:color="auto" w:fill="FFFFFF"/>
          <w:lang w:val="en-GB"/>
        </w:rPr>
        <w:t>. Emerald Publishing Limited.</w:t>
      </w:r>
    </w:p>
    <w:p w14:paraId="598BC32C" w14:textId="6E120852" w:rsidR="00792E62" w:rsidRPr="00792E62" w:rsidRDefault="00792E62" w:rsidP="00792E62">
      <w:pPr>
        <w:spacing w:after="0" w:line="480" w:lineRule="auto"/>
        <w:jc w:val="both"/>
        <w:rPr>
          <w:rFonts w:ascii="Times New Roman" w:hAnsi="Times New Roman" w:cs="Times New Roman"/>
          <w:i/>
          <w:iCs/>
          <w:color w:val="222222"/>
          <w:shd w:val="clear" w:color="auto" w:fill="FFFFFF"/>
          <w:lang w:val="en-GB"/>
        </w:rPr>
      </w:pPr>
      <w:r w:rsidRPr="00792E62">
        <w:rPr>
          <w:rFonts w:ascii="Times New Roman" w:hAnsi="Times New Roman" w:cs="Times New Roman"/>
          <w:color w:val="222222"/>
          <w:shd w:val="clear" w:color="auto" w:fill="FFFFFF"/>
          <w:lang w:val="en-GB"/>
        </w:rPr>
        <w:t>Messer, R.</w:t>
      </w:r>
      <w:r w:rsidR="0011459F">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2017. Budgets and other lies: Evidence of bias in financial planning. </w:t>
      </w:r>
      <w:r w:rsidRPr="00792E62">
        <w:rPr>
          <w:rFonts w:ascii="Times New Roman" w:hAnsi="Times New Roman" w:cs="Times New Roman"/>
          <w:i/>
          <w:iCs/>
          <w:color w:val="222222"/>
          <w:shd w:val="clear" w:color="auto" w:fill="FFFFFF"/>
          <w:lang w:val="en-GB"/>
        </w:rPr>
        <w:t>Business</w:t>
      </w:r>
    </w:p>
    <w:p w14:paraId="61CB5B8E" w14:textId="77777777" w:rsidR="00792E62" w:rsidRPr="00792E62" w:rsidRDefault="00792E62" w:rsidP="00792E62">
      <w:pPr>
        <w:spacing w:after="0" w:line="480" w:lineRule="auto"/>
        <w:ind w:firstLine="720"/>
        <w:jc w:val="both"/>
        <w:rPr>
          <w:rFonts w:ascii="Times New Roman" w:hAnsi="Times New Roman" w:cs="Times New Roman"/>
          <w:lang w:val="en-GB"/>
        </w:rPr>
      </w:pPr>
      <w:r w:rsidRPr="00792E62">
        <w:rPr>
          <w:rFonts w:ascii="Times New Roman" w:hAnsi="Times New Roman" w:cs="Times New Roman"/>
          <w:i/>
          <w:iCs/>
          <w:color w:val="222222"/>
          <w:shd w:val="clear" w:color="auto" w:fill="FFFFFF"/>
          <w:lang w:val="en-GB"/>
        </w:rPr>
        <w:t>Horizons</w:t>
      </w:r>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Cs/>
          <w:color w:val="222222"/>
          <w:shd w:val="clear" w:color="auto" w:fill="FFFFFF"/>
          <w:lang w:val="en-GB"/>
        </w:rPr>
        <w:t>60</w:t>
      </w:r>
      <w:r w:rsidRPr="00792E62">
        <w:rPr>
          <w:rFonts w:ascii="Times New Roman" w:hAnsi="Times New Roman" w:cs="Times New Roman"/>
          <w:color w:val="222222"/>
          <w:shd w:val="clear" w:color="auto" w:fill="FFFFFF"/>
          <w:lang w:val="en-GB"/>
        </w:rPr>
        <w:t>(4), pp. 447-453.</w:t>
      </w:r>
    </w:p>
    <w:p w14:paraId="518437FE" w14:textId="61945790"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 xml:space="preserve">Radu, M. and </w:t>
      </w:r>
      <w:proofErr w:type="spellStart"/>
      <w:r w:rsidRPr="00792E62">
        <w:rPr>
          <w:rFonts w:ascii="Times New Roman" w:hAnsi="Times New Roman" w:cs="Times New Roman"/>
          <w:color w:val="222222"/>
          <w:shd w:val="clear" w:color="auto" w:fill="FFFFFF"/>
          <w:lang w:val="en-GB"/>
        </w:rPr>
        <w:t>Giju</w:t>
      </w:r>
      <w:proofErr w:type="spellEnd"/>
      <w:r w:rsidRPr="00792E62">
        <w:rPr>
          <w:rFonts w:ascii="Times New Roman" w:hAnsi="Times New Roman" w:cs="Times New Roman"/>
          <w:color w:val="222222"/>
          <w:shd w:val="clear" w:color="auto" w:fill="FFFFFF"/>
          <w:lang w:val="en-GB"/>
        </w:rPr>
        <w:t>, G.C.</w:t>
      </w:r>
      <w:r w:rsidR="0011459F">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2015. The flexible budget-basic tool of the management control in</w:t>
      </w:r>
    </w:p>
    <w:p w14:paraId="5864EA35" w14:textId="77777777" w:rsidR="00792E62" w:rsidRPr="00792E62" w:rsidRDefault="00792E62" w:rsidP="00792E62">
      <w:pPr>
        <w:spacing w:after="0" w:line="480" w:lineRule="auto"/>
        <w:ind w:left="720"/>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the economic entities. </w:t>
      </w:r>
      <w:r w:rsidRPr="00792E62">
        <w:rPr>
          <w:rFonts w:ascii="Times New Roman" w:hAnsi="Times New Roman" w:cs="Times New Roman"/>
          <w:i/>
          <w:iCs/>
          <w:color w:val="222222"/>
          <w:shd w:val="clear" w:color="auto" w:fill="FFFFFF"/>
          <w:lang w:val="en-GB"/>
        </w:rPr>
        <w:t>Scientific Bulletin-Economic Sciences/</w:t>
      </w:r>
      <w:proofErr w:type="spellStart"/>
      <w:r w:rsidRPr="00792E62">
        <w:rPr>
          <w:rFonts w:ascii="Times New Roman" w:hAnsi="Times New Roman" w:cs="Times New Roman"/>
          <w:i/>
          <w:iCs/>
          <w:color w:val="222222"/>
          <w:shd w:val="clear" w:color="auto" w:fill="FFFFFF"/>
          <w:lang w:val="en-GB"/>
        </w:rPr>
        <w:t>Buletin</w:t>
      </w:r>
      <w:proofErr w:type="spellEnd"/>
      <w:r w:rsidRPr="00792E62">
        <w:rPr>
          <w:rFonts w:ascii="Times New Roman" w:hAnsi="Times New Roman" w:cs="Times New Roman"/>
          <w:i/>
          <w:iCs/>
          <w:color w:val="222222"/>
          <w:shd w:val="clear" w:color="auto" w:fill="FFFFFF"/>
          <w:lang w:val="en-GB"/>
        </w:rPr>
        <w:t xml:space="preserve"> </w:t>
      </w:r>
      <w:proofErr w:type="spellStart"/>
      <w:r w:rsidRPr="00792E62">
        <w:rPr>
          <w:rFonts w:ascii="Times New Roman" w:hAnsi="Times New Roman" w:cs="Times New Roman"/>
          <w:i/>
          <w:iCs/>
          <w:color w:val="222222"/>
          <w:shd w:val="clear" w:color="auto" w:fill="FFFFFF"/>
          <w:lang w:val="en-GB"/>
        </w:rPr>
        <w:t>Stiintific-Seria</w:t>
      </w:r>
      <w:proofErr w:type="spellEnd"/>
      <w:r w:rsidRPr="00792E62">
        <w:rPr>
          <w:rFonts w:ascii="Times New Roman" w:hAnsi="Times New Roman" w:cs="Times New Roman"/>
          <w:i/>
          <w:iCs/>
          <w:color w:val="222222"/>
          <w:shd w:val="clear" w:color="auto" w:fill="FFFFFF"/>
          <w:lang w:val="en-GB"/>
        </w:rPr>
        <w:t xml:space="preserve"> </w:t>
      </w:r>
      <w:proofErr w:type="spellStart"/>
      <w:r w:rsidRPr="00792E62">
        <w:rPr>
          <w:rFonts w:ascii="Times New Roman" w:hAnsi="Times New Roman" w:cs="Times New Roman"/>
          <w:i/>
          <w:iCs/>
          <w:color w:val="222222"/>
          <w:shd w:val="clear" w:color="auto" w:fill="FFFFFF"/>
          <w:lang w:val="en-GB"/>
        </w:rPr>
        <w:t>Stiinte</w:t>
      </w:r>
      <w:proofErr w:type="spellEnd"/>
      <w:r w:rsidRPr="00792E62">
        <w:rPr>
          <w:rFonts w:ascii="Times New Roman" w:hAnsi="Times New Roman" w:cs="Times New Roman"/>
          <w:i/>
          <w:iCs/>
          <w:color w:val="222222"/>
          <w:shd w:val="clear" w:color="auto" w:fill="FFFFFF"/>
          <w:lang w:val="en-GB"/>
        </w:rPr>
        <w:t xml:space="preserve"> </w:t>
      </w:r>
      <w:proofErr w:type="spellStart"/>
      <w:r w:rsidRPr="00792E62">
        <w:rPr>
          <w:rFonts w:ascii="Times New Roman" w:hAnsi="Times New Roman" w:cs="Times New Roman"/>
          <w:i/>
          <w:iCs/>
          <w:color w:val="222222"/>
          <w:shd w:val="clear" w:color="auto" w:fill="FFFFFF"/>
          <w:lang w:val="en-GB"/>
        </w:rPr>
        <w:t>Economice</w:t>
      </w:r>
      <w:proofErr w:type="spellEnd"/>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Cs/>
          <w:color w:val="222222"/>
          <w:shd w:val="clear" w:color="auto" w:fill="FFFFFF"/>
          <w:lang w:val="en-GB"/>
        </w:rPr>
        <w:t>14</w:t>
      </w:r>
      <w:r w:rsidRPr="00792E62">
        <w:rPr>
          <w:rFonts w:ascii="Times New Roman" w:hAnsi="Times New Roman" w:cs="Times New Roman"/>
          <w:color w:val="222222"/>
          <w:shd w:val="clear" w:color="auto" w:fill="FFFFFF"/>
          <w:lang w:val="en-GB"/>
        </w:rPr>
        <w:t>(1), pp. 3-10.</w:t>
      </w:r>
    </w:p>
    <w:p w14:paraId="3279D26A" w14:textId="611A28C1" w:rsidR="00792E62" w:rsidRPr="00792E62" w:rsidRDefault="00792E62" w:rsidP="00792E62">
      <w:pPr>
        <w:spacing w:after="0" w:line="480" w:lineRule="auto"/>
        <w:jc w:val="both"/>
        <w:rPr>
          <w:rFonts w:ascii="Times New Roman" w:hAnsi="Times New Roman" w:cs="Times New Roman"/>
          <w:i/>
          <w:iCs/>
          <w:color w:val="222222"/>
          <w:shd w:val="clear" w:color="auto" w:fill="FFFFFF"/>
          <w:lang w:val="en-GB"/>
        </w:rPr>
      </w:pPr>
      <w:r w:rsidRPr="00792E62">
        <w:rPr>
          <w:rFonts w:ascii="Times New Roman" w:hAnsi="Times New Roman" w:cs="Times New Roman"/>
          <w:color w:val="222222"/>
          <w:shd w:val="clear" w:color="auto" w:fill="FFFFFF"/>
          <w:lang w:val="en-GB"/>
        </w:rPr>
        <w:t>Simon, H.</w:t>
      </w:r>
      <w:r w:rsidR="0011459F">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2010. Intelligent Cost Cutting. In </w:t>
      </w:r>
      <w:r w:rsidRPr="00792E62">
        <w:rPr>
          <w:rFonts w:ascii="Times New Roman" w:hAnsi="Times New Roman" w:cs="Times New Roman"/>
          <w:i/>
          <w:iCs/>
          <w:color w:val="222222"/>
          <w:shd w:val="clear" w:color="auto" w:fill="FFFFFF"/>
          <w:lang w:val="en-GB"/>
        </w:rPr>
        <w:t>Beat the Crisis: 33 Quick Solutions for Your</w:t>
      </w:r>
    </w:p>
    <w:p w14:paraId="0689FA36" w14:textId="77777777" w:rsidR="00792E62" w:rsidRPr="00792E62" w:rsidRDefault="00792E62" w:rsidP="00792E62">
      <w:pPr>
        <w:spacing w:after="0" w:line="480" w:lineRule="auto"/>
        <w:ind w:firstLine="720"/>
        <w:jc w:val="both"/>
        <w:rPr>
          <w:rFonts w:ascii="Times New Roman" w:hAnsi="Times New Roman" w:cs="Times New Roman"/>
          <w:color w:val="222222"/>
          <w:shd w:val="clear" w:color="auto" w:fill="FFFFFF"/>
          <w:lang w:val="en-GB"/>
        </w:rPr>
      </w:pPr>
      <w:r w:rsidRPr="00792E62">
        <w:rPr>
          <w:rFonts w:ascii="Times New Roman" w:hAnsi="Times New Roman" w:cs="Times New Roman"/>
          <w:i/>
          <w:iCs/>
          <w:color w:val="222222"/>
          <w:shd w:val="clear" w:color="auto" w:fill="FFFFFF"/>
          <w:lang w:val="en-GB"/>
        </w:rPr>
        <w:lastRenderedPageBreak/>
        <w:t>Company</w:t>
      </w:r>
      <w:r w:rsidRPr="00792E62">
        <w:rPr>
          <w:rFonts w:ascii="Times New Roman" w:hAnsi="Times New Roman" w:cs="Times New Roman"/>
          <w:color w:val="222222"/>
          <w:shd w:val="clear" w:color="auto" w:fill="FFFFFF"/>
          <w:lang w:val="en-GB"/>
        </w:rPr>
        <w:t> (pp. 41-54). Springer, New York, NY.</w:t>
      </w:r>
    </w:p>
    <w:p w14:paraId="7650AAF4" w14:textId="7623AC83"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Wood, L.C., Wang, J.X., Olesen, K.</w:t>
      </w:r>
      <w:r w:rsidR="0011459F">
        <w:rPr>
          <w:rFonts w:ascii="Times New Roman" w:hAnsi="Times New Roman" w:cs="Times New Roman"/>
          <w:color w:val="222222"/>
          <w:shd w:val="clear" w:color="auto" w:fill="FFFFFF"/>
          <w:lang w:val="en-GB"/>
        </w:rPr>
        <w:t>,</w:t>
      </w:r>
      <w:r w:rsidRPr="00792E62">
        <w:rPr>
          <w:rFonts w:ascii="Times New Roman" w:hAnsi="Times New Roman" w:cs="Times New Roman"/>
          <w:color w:val="222222"/>
          <w:shd w:val="clear" w:color="auto" w:fill="FFFFFF"/>
          <w:lang w:val="en-GB"/>
        </w:rPr>
        <w:t xml:space="preserve"> </w:t>
      </w:r>
      <w:proofErr w:type="spellStart"/>
      <w:r w:rsidRPr="00792E62">
        <w:rPr>
          <w:rFonts w:ascii="Times New Roman" w:hAnsi="Times New Roman" w:cs="Times New Roman"/>
          <w:color w:val="222222"/>
          <w:shd w:val="clear" w:color="auto" w:fill="FFFFFF"/>
          <w:lang w:val="en-GB"/>
        </w:rPr>
        <w:t>Reiners</w:t>
      </w:r>
      <w:proofErr w:type="spellEnd"/>
      <w:r w:rsidRPr="00792E62">
        <w:rPr>
          <w:rFonts w:ascii="Times New Roman" w:hAnsi="Times New Roman" w:cs="Times New Roman"/>
          <w:color w:val="222222"/>
          <w:shd w:val="clear" w:color="auto" w:fill="FFFFFF"/>
          <w:lang w:val="en-GB"/>
        </w:rPr>
        <w:t>, T.</w:t>
      </w:r>
      <w:r w:rsidR="0011459F">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2017. The effect of slack,</w:t>
      </w:r>
    </w:p>
    <w:p w14:paraId="0FBB3B78" w14:textId="77777777" w:rsidR="00792E62" w:rsidRPr="00792E62" w:rsidRDefault="00792E62" w:rsidP="00792E62">
      <w:pPr>
        <w:spacing w:after="0" w:line="480" w:lineRule="auto"/>
        <w:ind w:firstLine="720"/>
        <w:jc w:val="both"/>
        <w:rPr>
          <w:rFonts w:ascii="Times New Roman" w:hAnsi="Times New Roman" w:cs="Times New Roman"/>
          <w:i/>
          <w:iCs/>
          <w:color w:val="222222"/>
          <w:shd w:val="clear" w:color="auto" w:fill="FFFFFF"/>
          <w:lang w:val="en-GB"/>
        </w:rPr>
      </w:pPr>
      <w:r w:rsidRPr="00792E62">
        <w:rPr>
          <w:rFonts w:ascii="Times New Roman" w:hAnsi="Times New Roman" w:cs="Times New Roman"/>
          <w:color w:val="222222"/>
          <w:shd w:val="clear" w:color="auto" w:fill="FFFFFF"/>
          <w:lang w:val="en-GB"/>
        </w:rPr>
        <w:t>diversification, and time to recall on stock market reaction to toy recalls. </w:t>
      </w:r>
      <w:r w:rsidRPr="00792E62">
        <w:rPr>
          <w:rFonts w:ascii="Times New Roman" w:hAnsi="Times New Roman" w:cs="Times New Roman"/>
          <w:i/>
          <w:iCs/>
          <w:color w:val="222222"/>
          <w:shd w:val="clear" w:color="auto" w:fill="FFFFFF"/>
          <w:lang w:val="en-GB"/>
        </w:rPr>
        <w:t>International</w:t>
      </w:r>
    </w:p>
    <w:p w14:paraId="1CE52291" w14:textId="77777777" w:rsidR="00792E62" w:rsidRPr="00792E62" w:rsidRDefault="00792E62" w:rsidP="00792E62">
      <w:pPr>
        <w:spacing w:after="0" w:line="480" w:lineRule="auto"/>
        <w:ind w:firstLine="720"/>
        <w:jc w:val="both"/>
        <w:rPr>
          <w:rFonts w:ascii="Times New Roman" w:hAnsi="Times New Roman" w:cs="Times New Roman"/>
          <w:color w:val="222222"/>
          <w:shd w:val="clear" w:color="auto" w:fill="FFFFFF"/>
          <w:lang w:val="en-GB"/>
        </w:rPr>
      </w:pPr>
      <w:r w:rsidRPr="00792E62">
        <w:rPr>
          <w:rFonts w:ascii="Times New Roman" w:hAnsi="Times New Roman" w:cs="Times New Roman"/>
          <w:i/>
          <w:iCs/>
          <w:color w:val="222222"/>
          <w:shd w:val="clear" w:color="auto" w:fill="FFFFFF"/>
          <w:lang w:val="en-GB"/>
        </w:rPr>
        <w:t>journal of production economics</w:t>
      </w:r>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Cs/>
          <w:color w:val="222222"/>
          <w:shd w:val="clear" w:color="auto" w:fill="FFFFFF"/>
          <w:lang w:val="en-GB"/>
        </w:rPr>
        <w:t>193</w:t>
      </w:r>
      <w:r w:rsidRPr="00792E62">
        <w:rPr>
          <w:rFonts w:ascii="Times New Roman" w:hAnsi="Times New Roman" w:cs="Times New Roman"/>
          <w:color w:val="222222"/>
          <w:shd w:val="clear" w:color="auto" w:fill="FFFFFF"/>
          <w:lang w:val="en-GB"/>
        </w:rPr>
        <w:t>, pp. 244-258.</w:t>
      </w:r>
    </w:p>
    <w:p w14:paraId="1D6BE274" w14:textId="676C5811" w:rsidR="00792E62" w:rsidRPr="00792E62" w:rsidRDefault="00792E62" w:rsidP="00792E62">
      <w:pPr>
        <w:spacing w:after="0" w:line="480" w:lineRule="auto"/>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 xml:space="preserve">Van </w:t>
      </w:r>
      <w:proofErr w:type="spellStart"/>
      <w:r w:rsidRPr="00792E62">
        <w:rPr>
          <w:rFonts w:ascii="Times New Roman" w:hAnsi="Times New Roman" w:cs="Times New Roman"/>
          <w:color w:val="222222"/>
          <w:shd w:val="clear" w:color="auto" w:fill="FFFFFF"/>
          <w:lang w:val="en-GB"/>
        </w:rPr>
        <w:t>Assche</w:t>
      </w:r>
      <w:proofErr w:type="spellEnd"/>
      <w:r w:rsidRPr="00792E62">
        <w:rPr>
          <w:rFonts w:ascii="Times New Roman" w:hAnsi="Times New Roman" w:cs="Times New Roman"/>
          <w:color w:val="222222"/>
          <w:shd w:val="clear" w:color="auto" w:fill="FFFFFF"/>
          <w:lang w:val="en-GB"/>
        </w:rPr>
        <w:t>, A.</w:t>
      </w:r>
      <w:r w:rsidR="0011459F">
        <w:rPr>
          <w:rFonts w:ascii="Times New Roman" w:hAnsi="Times New Roman" w:cs="Times New Roman"/>
          <w:color w:val="222222"/>
          <w:shd w:val="clear" w:color="auto" w:fill="FFFFFF"/>
          <w:lang w:val="en-GB"/>
        </w:rPr>
        <w:t>,</w:t>
      </w:r>
      <w:r w:rsidRPr="00792E62">
        <w:rPr>
          <w:rFonts w:ascii="Times New Roman" w:hAnsi="Times New Roman" w:cs="Times New Roman"/>
          <w:color w:val="222222"/>
          <w:shd w:val="clear" w:color="auto" w:fill="FFFFFF"/>
          <w:lang w:val="en-GB"/>
        </w:rPr>
        <w:t xml:space="preserve"> </w:t>
      </w:r>
      <w:proofErr w:type="spellStart"/>
      <w:r w:rsidRPr="00792E62">
        <w:rPr>
          <w:rFonts w:ascii="Times New Roman" w:hAnsi="Times New Roman" w:cs="Times New Roman"/>
          <w:color w:val="222222"/>
          <w:shd w:val="clear" w:color="auto" w:fill="FFFFFF"/>
          <w:lang w:val="en-GB"/>
        </w:rPr>
        <w:t>Lundan</w:t>
      </w:r>
      <w:proofErr w:type="spellEnd"/>
      <w:r w:rsidRPr="00792E62">
        <w:rPr>
          <w:rFonts w:ascii="Times New Roman" w:hAnsi="Times New Roman" w:cs="Times New Roman"/>
          <w:color w:val="222222"/>
          <w:shd w:val="clear" w:color="auto" w:fill="FFFFFF"/>
          <w:lang w:val="en-GB"/>
        </w:rPr>
        <w:t>, S.</w:t>
      </w:r>
      <w:r w:rsidR="0011459F">
        <w:rPr>
          <w:rFonts w:ascii="Times New Roman" w:hAnsi="Times New Roman" w:cs="Times New Roman"/>
          <w:color w:val="222222"/>
          <w:shd w:val="clear" w:color="auto" w:fill="FFFFFF"/>
          <w:lang w:val="en-GB"/>
        </w:rPr>
        <w:t xml:space="preserve">, </w:t>
      </w:r>
      <w:r w:rsidRPr="00792E62">
        <w:rPr>
          <w:rFonts w:ascii="Times New Roman" w:hAnsi="Times New Roman" w:cs="Times New Roman"/>
          <w:color w:val="222222"/>
          <w:shd w:val="clear" w:color="auto" w:fill="FFFFFF"/>
          <w:lang w:val="en-GB"/>
        </w:rPr>
        <w:t>2020. From the editor: COVID-19 and international</w:t>
      </w:r>
    </w:p>
    <w:p w14:paraId="4EDB4472" w14:textId="77777777" w:rsidR="00792E62" w:rsidRPr="00792E62" w:rsidRDefault="00792E62" w:rsidP="00792E62">
      <w:pPr>
        <w:spacing w:after="0" w:line="480" w:lineRule="auto"/>
        <w:ind w:firstLine="720"/>
        <w:jc w:val="both"/>
        <w:rPr>
          <w:rFonts w:ascii="Times New Roman" w:hAnsi="Times New Roman" w:cs="Times New Roman"/>
          <w:color w:val="222222"/>
          <w:shd w:val="clear" w:color="auto" w:fill="FFFFFF"/>
          <w:lang w:val="en-GB"/>
        </w:rPr>
      </w:pPr>
      <w:r w:rsidRPr="00792E62">
        <w:rPr>
          <w:rFonts w:ascii="Times New Roman" w:hAnsi="Times New Roman" w:cs="Times New Roman"/>
          <w:color w:val="222222"/>
          <w:shd w:val="clear" w:color="auto" w:fill="FFFFFF"/>
          <w:lang w:val="en-GB"/>
        </w:rPr>
        <w:t>business policy. </w:t>
      </w:r>
      <w:r w:rsidRPr="00792E62">
        <w:rPr>
          <w:rFonts w:ascii="Times New Roman" w:hAnsi="Times New Roman" w:cs="Times New Roman"/>
          <w:i/>
          <w:iCs/>
          <w:color w:val="222222"/>
          <w:shd w:val="clear" w:color="auto" w:fill="FFFFFF"/>
          <w:lang w:val="en-GB"/>
        </w:rPr>
        <w:t>Journal of International Business Policy</w:t>
      </w:r>
      <w:r w:rsidRPr="00792E62">
        <w:rPr>
          <w:rFonts w:ascii="Times New Roman" w:hAnsi="Times New Roman" w:cs="Times New Roman"/>
          <w:color w:val="222222"/>
          <w:shd w:val="clear" w:color="auto" w:fill="FFFFFF"/>
          <w:lang w:val="en-GB"/>
        </w:rPr>
        <w:t>, </w:t>
      </w:r>
      <w:r w:rsidRPr="00792E62">
        <w:rPr>
          <w:rFonts w:ascii="Times New Roman" w:hAnsi="Times New Roman" w:cs="Times New Roman"/>
          <w:iCs/>
          <w:color w:val="222222"/>
          <w:shd w:val="clear" w:color="auto" w:fill="FFFFFF"/>
          <w:lang w:val="en-GB"/>
        </w:rPr>
        <w:t>3</w:t>
      </w:r>
      <w:r w:rsidRPr="00792E62">
        <w:rPr>
          <w:rFonts w:ascii="Times New Roman" w:hAnsi="Times New Roman" w:cs="Times New Roman"/>
          <w:color w:val="222222"/>
          <w:shd w:val="clear" w:color="auto" w:fill="FFFFFF"/>
          <w:lang w:val="en-GB"/>
        </w:rPr>
        <w:t>(3), pp. 273-279.</w:t>
      </w:r>
    </w:p>
    <w:p w14:paraId="67B13651" w14:textId="77777777" w:rsidR="002C5BBB" w:rsidRPr="00792E62" w:rsidRDefault="002C5BBB" w:rsidP="00792E62">
      <w:pPr>
        <w:spacing w:line="480" w:lineRule="auto"/>
        <w:jc w:val="both"/>
        <w:rPr>
          <w:rFonts w:ascii="Times New Roman" w:hAnsi="Times New Roman" w:cs="Times New Roman"/>
        </w:rPr>
      </w:pPr>
    </w:p>
    <w:sectPr w:rsidR="002C5BBB" w:rsidRPr="00792E62" w:rsidSect="00792E62">
      <w:footerReference w:type="default" r:id="rId6"/>
      <w:pgSz w:w="11906" w:h="16838"/>
      <w:pgMar w:top="1418" w:right="1814" w:bottom="1418" w:left="18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C774D" w14:textId="77777777" w:rsidR="009B530A" w:rsidRDefault="009B530A" w:rsidP="00792E62">
      <w:pPr>
        <w:spacing w:after="0" w:line="240" w:lineRule="auto"/>
      </w:pPr>
      <w:r>
        <w:separator/>
      </w:r>
    </w:p>
  </w:endnote>
  <w:endnote w:type="continuationSeparator" w:id="0">
    <w:p w14:paraId="5BC08042" w14:textId="77777777" w:rsidR="009B530A" w:rsidRDefault="009B530A" w:rsidP="00792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7840366"/>
      <w:docPartObj>
        <w:docPartGallery w:val="Page Numbers (Bottom of Page)"/>
        <w:docPartUnique/>
      </w:docPartObj>
    </w:sdtPr>
    <w:sdtEndPr>
      <w:rPr>
        <w:noProof/>
      </w:rPr>
    </w:sdtEndPr>
    <w:sdtContent>
      <w:p w14:paraId="3F52F4FB" w14:textId="790B2C9D" w:rsidR="00792E62" w:rsidRDefault="00792E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A0E4F6" w14:textId="77777777" w:rsidR="00792E62" w:rsidRDefault="00792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5E786" w14:textId="77777777" w:rsidR="009B530A" w:rsidRDefault="009B530A" w:rsidP="00792E62">
      <w:pPr>
        <w:spacing w:after="0" w:line="240" w:lineRule="auto"/>
      </w:pPr>
      <w:r>
        <w:separator/>
      </w:r>
    </w:p>
  </w:footnote>
  <w:footnote w:type="continuationSeparator" w:id="0">
    <w:p w14:paraId="78F4A5BA" w14:textId="77777777" w:rsidR="009B530A" w:rsidRDefault="009B530A" w:rsidP="00792E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40A"/>
    <w:rsid w:val="00032F7C"/>
    <w:rsid w:val="00096BB4"/>
    <w:rsid w:val="0011459F"/>
    <w:rsid w:val="001B4539"/>
    <w:rsid w:val="002C5BBB"/>
    <w:rsid w:val="006D0A0F"/>
    <w:rsid w:val="00792E62"/>
    <w:rsid w:val="007D340A"/>
    <w:rsid w:val="009B530A"/>
    <w:rsid w:val="00E1491C"/>
    <w:rsid w:val="00ED48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FB69E"/>
  <w15:chartTrackingRefBased/>
  <w15:docId w15:val="{307E9056-BB18-4BA8-BC65-97B9CBF83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E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2E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E62"/>
  </w:style>
  <w:style w:type="paragraph" w:styleId="Footer">
    <w:name w:val="footer"/>
    <w:basedOn w:val="Normal"/>
    <w:link w:val="FooterChar"/>
    <w:uiPriority w:val="99"/>
    <w:unhideWhenUsed/>
    <w:rsid w:val="00792E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E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15</Pages>
  <Words>3192</Words>
  <Characters>18201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Antonescu (1817787)</dc:creator>
  <cp:keywords/>
  <dc:description/>
  <cp:lastModifiedBy>Izabela Antonescu (1817787)</cp:lastModifiedBy>
  <cp:revision>3</cp:revision>
  <dcterms:created xsi:type="dcterms:W3CDTF">2022-03-17T08:27:00Z</dcterms:created>
  <dcterms:modified xsi:type="dcterms:W3CDTF">2022-04-15T07:23:00Z</dcterms:modified>
</cp:coreProperties>
</file>