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813A2" w14:textId="77777777" w:rsidR="00DE34A0" w:rsidRPr="00363677" w:rsidRDefault="00DE34A0" w:rsidP="00DE34A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jc w:val="center"/>
        <w:rPr>
          <w:rFonts w:ascii="Arial" w:hAnsi="Arial" w:cs="Arial"/>
        </w:rPr>
      </w:pPr>
    </w:p>
    <w:p w14:paraId="579751D8" w14:textId="77777777" w:rsidR="00DE34A0" w:rsidRPr="00363677" w:rsidRDefault="00DE34A0" w:rsidP="00DE34A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jc w:val="center"/>
        <w:rPr>
          <w:rFonts w:ascii="Arial" w:hAnsi="Arial" w:cs="Arial"/>
        </w:rPr>
      </w:pPr>
    </w:p>
    <w:p w14:paraId="1E68A2BE" w14:textId="77777777" w:rsidR="00DE34A0" w:rsidRPr="00363677" w:rsidRDefault="00DE34A0" w:rsidP="00DE34A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jc w:val="center"/>
        <w:rPr>
          <w:rFonts w:ascii="Arial" w:hAnsi="Arial" w:cs="Arial"/>
        </w:rPr>
      </w:pPr>
    </w:p>
    <w:p w14:paraId="15D29D12" w14:textId="632BB26B" w:rsidR="00DE34A0" w:rsidRPr="00363677" w:rsidRDefault="00DE34A0" w:rsidP="00DE34A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jc w:val="center"/>
        <w:rPr>
          <w:rFonts w:ascii="Arial" w:hAnsi="Arial" w:cs="Arial"/>
        </w:rPr>
      </w:pPr>
      <w:r w:rsidRPr="00363677">
        <w:rPr>
          <w:rFonts w:ascii="Arial" w:hAnsi="Arial" w:cs="Arial"/>
          <w:noProof/>
        </w:rPr>
        <w:drawing>
          <wp:inline distT="0" distB="0" distL="0" distR="0" wp14:anchorId="4F04AAC5" wp14:editId="01182934">
            <wp:extent cx="3513124" cy="1379340"/>
            <wp:effectExtent l="0" t="0" r="0" b="0"/>
            <wp:docPr id="84439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9254" name=""/>
                    <pic:cNvPicPr/>
                  </pic:nvPicPr>
                  <pic:blipFill>
                    <a:blip r:embed="rId7"/>
                    <a:stretch>
                      <a:fillRect/>
                    </a:stretch>
                  </pic:blipFill>
                  <pic:spPr>
                    <a:xfrm>
                      <a:off x="0" y="0"/>
                      <a:ext cx="3513124" cy="1379340"/>
                    </a:xfrm>
                    <a:prstGeom prst="rect">
                      <a:avLst/>
                    </a:prstGeom>
                  </pic:spPr>
                </pic:pic>
              </a:graphicData>
            </a:graphic>
          </wp:inline>
        </w:drawing>
      </w:r>
    </w:p>
    <w:p w14:paraId="58120447" w14:textId="44DB15E1"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Student Name:</w:t>
      </w:r>
      <w:r w:rsidR="002135C6">
        <w:rPr>
          <w:rFonts w:ascii="Arial" w:hAnsi="Arial" w:cs="Arial"/>
          <w:b/>
          <w:bCs/>
          <w:sz w:val="32"/>
          <w:szCs w:val="32"/>
          <w:lang w:val="en-US"/>
        </w:rPr>
        <w:t xml:space="preserve"> </w:t>
      </w:r>
      <w:r w:rsidR="002135C6" w:rsidRPr="002135C6">
        <w:rPr>
          <w:rFonts w:ascii="Arial" w:hAnsi="Arial" w:cs="Arial"/>
          <w:b/>
          <w:bCs/>
          <w:sz w:val="32"/>
          <w:szCs w:val="32"/>
          <w:lang w:val="en-US"/>
        </w:rPr>
        <w:t>Patel Urjefaben</w:t>
      </w:r>
    </w:p>
    <w:p w14:paraId="5E37E6D1" w14:textId="1E8DAD48"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Student ID:</w:t>
      </w:r>
      <w:r w:rsidR="002135C6">
        <w:rPr>
          <w:rFonts w:ascii="Arial" w:hAnsi="Arial" w:cs="Arial"/>
          <w:b/>
          <w:bCs/>
          <w:sz w:val="32"/>
          <w:szCs w:val="32"/>
          <w:lang w:val="en-US"/>
        </w:rPr>
        <w:t xml:space="preserve"> </w:t>
      </w:r>
      <w:r w:rsidR="002135C6" w:rsidRPr="002135C6">
        <w:rPr>
          <w:rFonts w:ascii="Arial" w:hAnsi="Arial" w:cs="Arial"/>
          <w:b/>
          <w:bCs/>
          <w:sz w:val="32"/>
          <w:szCs w:val="32"/>
          <w:lang w:val="en-US"/>
        </w:rPr>
        <w:t>2504917</w:t>
      </w:r>
    </w:p>
    <w:p w14:paraId="61A561BC" w14:textId="3D6CF767"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Module Name: Marketing Management</w:t>
      </w:r>
    </w:p>
    <w:p w14:paraId="357E02EB" w14:textId="01B7E37A"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 xml:space="preserve">Module Code: </w:t>
      </w:r>
      <w:r w:rsidR="002135C6" w:rsidRPr="002135C6">
        <w:rPr>
          <w:rFonts w:ascii="Arial" w:hAnsi="Arial" w:cs="Arial"/>
          <w:b/>
          <w:bCs/>
          <w:sz w:val="32"/>
          <w:szCs w:val="32"/>
          <w:lang w:val="en-US"/>
        </w:rPr>
        <w:t>LCMB7024</w:t>
      </w:r>
    </w:p>
    <w:p w14:paraId="21BA3C77" w14:textId="5F13C171"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Lecturer’s Name:</w:t>
      </w:r>
      <w:r w:rsidR="002135C6">
        <w:rPr>
          <w:rFonts w:ascii="Arial" w:hAnsi="Arial" w:cs="Arial"/>
          <w:b/>
          <w:bCs/>
          <w:sz w:val="32"/>
          <w:szCs w:val="32"/>
          <w:lang w:val="en-US"/>
        </w:rPr>
        <w:t xml:space="preserve"> </w:t>
      </w:r>
      <w:r w:rsidR="002135C6" w:rsidRPr="002135C6">
        <w:rPr>
          <w:rFonts w:ascii="Arial" w:hAnsi="Arial" w:cs="Arial"/>
          <w:b/>
          <w:bCs/>
          <w:sz w:val="32"/>
          <w:szCs w:val="32"/>
          <w:lang w:val="en-US"/>
        </w:rPr>
        <w:t>Tushara Balendran</w:t>
      </w:r>
    </w:p>
    <w:p w14:paraId="3F3E8406" w14:textId="7508AAE7"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Wor</w:t>
      </w:r>
      <w:r w:rsidR="002135C6">
        <w:rPr>
          <w:rFonts w:ascii="Arial" w:hAnsi="Arial" w:cs="Arial"/>
          <w:b/>
          <w:bCs/>
          <w:sz w:val="32"/>
          <w:szCs w:val="32"/>
          <w:lang w:val="en-US"/>
        </w:rPr>
        <w:t>d</w:t>
      </w:r>
      <w:r w:rsidRPr="00DE34A0">
        <w:rPr>
          <w:rFonts w:ascii="Arial" w:hAnsi="Arial" w:cs="Arial"/>
          <w:b/>
          <w:bCs/>
          <w:sz w:val="32"/>
          <w:szCs w:val="32"/>
          <w:lang w:val="en-US"/>
        </w:rPr>
        <w:t xml:space="preserve"> Count:</w:t>
      </w:r>
      <w:r w:rsidR="002135C6">
        <w:rPr>
          <w:rFonts w:ascii="Arial" w:hAnsi="Arial" w:cs="Arial"/>
          <w:b/>
          <w:bCs/>
          <w:sz w:val="32"/>
          <w:szCs w:val="32"/>
          <w:lang w:val="en-US"/>
        </w:rPr>
        <w:t xml:space="preserve"> 3075</w:t>
      </w:r>
    </w:p>
    <w:p w14:paraId="5C5BB238" w14:textId="77777777" w:rsidR="00DE34A0" w:rsidRPr="00DE34A0" w:rsidRDefault="00DE34A0" w:rsidP="00DE34A0">
      <w:pPr>
        <w:jc w:val="center"/>
        <w:rPr>
          <w:rFonts w:ascii="Arial" w:hAnsi="Arial" w:cs="Arial"/>
          <w:sz w:val="32"/>
          <w:szCs w:val="32"/>
          <w:lang w:val="en-US"/>
        </w:rPr>
      </w:pPr>
      <w:r w:rsidRPr="00DE34A0">
        <w:rPr>
          <w:rFonts w:ascii="Arial" w:hAnsi="Arial" w:cs="Arial"/>
          <w:b/>
          <w:bCs/>
          <w:sz w:val="32"/>
          <w:szCs w:val="32"/>
          <w:lang w:val="en-US"/>
        </w:rPr>
        <w:t>Term 1</w:t>
      </w:r>
    </w:p>
    <w:p w14:paraId="43A39429" w14:textId="44D1040E" w:rsidR="008262B7" w:rsidRPr="00363677" w:rsidRDefault="008262B7" w:rsidP="00DE34A0">
      <w:pPr>
        <w:rPr>
          <w:rFonts w:ascii="Arial" w:hAnsi="Arial" w:cs="Arial"/>
        </w:rPr>
      </w:pPr>
    </w:p>
    <w:p w14:paraId="3AB3A57F" w14:textId="77777777" w:rsidR="00DE34A0" w:rsidRPr="00363677" w:rsidRDefault="00DE34A0">
      <w:pPr>
        <w:rPr>
          <w:rFonts w:ascii="Arial" w:hAnsi="Arial" w:cs="Arial"/>
          <w:b/>
          <w:bCs/>
          <w:sz w:val="28"/>
          <w:szCs w:val="28"/>
        </w:rPr>
      </w:pPr>
      <w:bookmarkStart w:id="0" w:name="_mogijdrpku1a" w:colFirst="0" w:colLast="0"/>
      <w:bookmarkEnd w:id="0"/>
      <w:r w:rsidRPr="00363677">
        <w:rPr>
          <w:rFonts w:ascii="Arial" w:hAnsi="Arial" w:cs="Arial"/>
        </w:rPr>
        <w:br w:type="page"/>
      </w:r>
    </w:p>
    <w:sdt>
      <w:sdtPr>
        <w:rPr>
          <w:rFonts w:ascii="Arial" w:eastAsia="Times New Roman" w:hAnsi="Arial" w:cs="Arial"/>
          <w:color w:val="auto"/>
          <w:sz w:val="24"/>
          <w:szCs w:val="24"/>
          <w:lang w:val="en-GB"/>
        </w:rPr>
        <w:id w:val="-442313166"/>
        <w:docPartObj>
          <w:docPartGallery w:val="Table of Contents"/>
          <w:docPartUnique/>
        </w:docPartObj>
      </w:sdtPr>
      <w:sdtEndPr>
        <w:rPr>
          <w:b/>
          <w:bCs/>
          <w:noProof/>
        </w:rPr>
      </w:sdtEndPr>
      <w:sdtContent>
        <w:p w14:paraId="56F48202" w14:textId="39757650" w:rsidR="00DE34A0" w:rsidRPr="00363677" w:rsidRDefault="00DE34A0" w:rsidP="00DE34A0">
          <w:pPr>
            <w:pStyle w:val="TOCHeading"/>
            <w:jc w:val="center"/>
            <w:rPr>
              <w:rFonts w:ascii="Arial" w:hAnsi="Arial" w:cs="Arial"/>
              <w:b/>
              <w:bCs/>
              <w:color w:val="000000" w:themeColor="text1"/>
              <w:sz w:val="28"/>
              <w:szCs w:val="28"/>
            </w:rPr>
          </w:pPr>
          <w:r w:rsidRPr="00363677">
            <w:rPr>
              <w:rFonts w:ascii="Arial" w:hAnsi="Arial" w:cs="Arial"/>
              <w:b/>
              <w:bCs/>
              <w:color w:val="000000" w:themeColor="text1"/>
              <w:sz w:val="28"/>
              <w:szCs w:val="28"/>
            </w:rPr>
            <w:t>TABLE OF CONTENTS</w:t>
          </w:r>
        </w:p>
        <w:p w14:paraId="73F8508D" w14:textId="66270821" w:rsidR="00DE34A0" w:rsidRPr="00363677" w:rsidRDefault="00DE34A0">
          <w:pPr>
            <w:pStyle w:val="TOC1"/>
            <w:tabs>
              <w:tab w:val="right" w:leader="dot" w:pos="9019"/>
            </w:tabs>
            <w:rPr>
              <w:rFonts w:ascii="Arial" w:eastAsiaTheme="minorEastAsia" w:hAnsi="Arial" w:cs="Arial"/>
              <w:noProof/>
              <w:kern w:val="2"/>
              <w:lang w:val="en-US"/>
              <w14:ligatures w14:val="standardContextual"/>
            </w:rPr>
          </w:pPr>
          <w:r w:rsidRPr="00363677">
            <w:rPr>
              <w:rFonts w:ascii="Arial" w:hAnsi="Arial" w:cs="Arial"/>
            </w:rPr>
            <w:fldChar w:fldCharType="begin"/>
          </w:r>
          <w:r w:rsidRPr="00363677">
            <w:rPr>
              <w:rFonts w:ascii="Arial" w:hAnsi="Arial" w:cs="Arial"/>
            </w:rPr>
            <w:instrText xml:space="preserve"> TOC \o "1-3" \h \z \u </w:instrText>
          </w:r>
          <w:r w:rsidRPr="00363677">
            <w:rPr>
              <w:rFonts w:ascii="Arial" w:hAnsi="Arial" w:cs="Arial"/>
            </w:rPr>
            <w:fldChar w:fldCharType="separate"/>
          </w:r>
          <w:hyperlink w:anchor="_Toc214631165" w:history="1">
            <w:r w:rsidRPr="00363677">
              <w:rPr>
                <w:rStyle w:val="Hyperlink"/>
                <w:rFonts w:ascii="Arial" w:hAnsi="Arial" w:cs="Arial"/>
                <w:noProof/>
              </w:rPr>
              <w:t>1. Introduction</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_Toc214631165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3</w:t>
            </w:r>
            <w:r w:rsidRPr="00363677">
              <w:rPr>
                <w:rFonts w:ascii="Arial" w:hAnsi="Arial" w:cs="Arial"/>
                <w:noProof/>
                <w:webHidden/>
              </w:rPr>
              <w:fldChar w:fldCharType="end"/>
            </w:r>
          </w:hyperlink>
        </w:p>
        <w:p w14:paraId="1837157B" w14:textId="35930125" w:rsidR="00DE34A0" w:rsidRPr="00363677" w:rsidRDefault="00DE34A0">
          <w:pPr>
            <w:pStyle w:val="TOC1"/>
            <w:tabs>
              <w:tab w:val="right" w:leader="dot" w:pos="9019"/>
            </w:tabs>
            <w:rPr>
              <w:rFonts w:ascii="Arial" w:eastAsiaTheme="minorEastAsia" w:hAnsi="Arial" w:cs="Arial"/>
              <w:noProof/>
              <w:kern w:val="2"/>
              <w:lang w:val="en-US"/>
              <w14:ligatures w14:val="standardContextual"/>
            </w:rPr>
          </w:pPr>
          <w:hyperlink w:anchor="_Toc214631166" w:history="1">
            <w:r w:rsidRPr="00363677">
              <w:rPr>
                <w:rStyle w:val="Hyperlink"/>
                <w:rFonts w:ascii="Arial" w:hAnsi="Arial" w:cs="Arial"/>
                <w:noProof/>
              </w:rPr>
              <w:t>2. Task 1: Critical Analysis of the Macro Marketing Environment</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_Toc214631166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3</w:t>
            </w:r>
            <w:r w:rsidRPr="00363677">
              <w:rPr>
                <w:rFonts w:ascii="Arial" w:hAnsi="Arial" w:cs="Arial"/>
                <w:noProof/>
                <w:webHidden/>
              </w:rPr>
              <w:fldChar w:fldCharType="end"/>
            </w:r>
          </w:hyperlink>
        </w:p>
        <w:p w14:paraId="143FC4A9" w14:textId="34EC10D9" w:rsidR="00DE34A0" w:rsidRPr="00363677" w:rsidRDefault="00DE34A0">
          <w:pPr>
            <w:pStyle w:val="TOC2"/>
            <w:tabs>
              <w:tab w:val="right" w:leader="dot" w:pos="9019"/>
            </w:tabs>
            <w:rPr>
              <w:rFonts w:ascii="Arial" w:eastAsiaTheme="minorEastAsia" w:hAnsi="Arial" w:cs="Arial"/>
              <w:noProof/>
              <w:kern w:val="2"/>
              <w:lang w:val="en-US"/>
              <w14:ligatures w14:val="standardContextual"/>
            </w:rPr>
          </w:pPr>
          <w:hyperlink w:anchor="_Toc214631167" w:history="1">
            <w:r w:rsidRPr="00363677">
              <w:rPr>
                <w:rStyle w:val="Hyperlink"/>
                <w:rFonts w:ascii="Arial" w:hAnsi="Arial" w:cs="Arial"/>
                <w:noProof/>
              </w:rPr>
              <w:t>2.1 Overview of the Macro Marketing Environment (300 words)</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_Toc214631167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3</w:t>
            </w:r>
            <w:r w:rsidRPr="00363677">
              <w:rPr>
                <w:rFonts w:ascii="Arial" w:hAnsi="Arial" w:cs="Arial"/>
                <w:noProof/>
                <w:webHidden/>
              </w:rPr>
              <w:fldChar w:fldCharType="end"/>
            </w:r>
          </w:hyperlink>
        </w:p>
        <w:p w14:paraId="6D684AFA" w14:textId="37D7600C" w:rsidR="00DE34A0" w:rsidRPr="00363677" w:rsidRDefault="00DE34A0">
          <w:pPr>
            <w:pStyle w:val="TOC2"/>
            <w:tabs>
              <w:tab w:val="right" w:leader="dot" w:pos="9019"/>
            </w:tabs>
            <w:rPr>
              <w:rFonts w:ascii="Arial" w:eastAsiaTheme="minorEastAsia" w:hAnsi="Arial" w:cs="Arial"/>
              <w:noProof/>
              <w:kern w:val="2"/>
              <w:lang w:val="en-US"/>
              <w14:ligatures w14:val="standardContextual"/>
            </w:rPr>
          </w:pPr>
          <w:hyperlink w:anchor="_Toc214631168" w:history="1">
            <w:r w:rsidRPr="00363677">
              <w:rPr>
                <w:rStyle w:val="Hyperlink"/>
                <w:rFonts w:ascii="Arial" w:hAnsi="Arial" w:cs="Arial"/>
                <w:noProof/>
              </w:rPr>
              <w:t>2.2 Selection of Two External Macro Marketing Actors</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_Toc214631168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5</w:t>
            </w:r>
            <w:r w:rsidRPr="00363677">
              <w:rPr>
                <w:rFonts w:ascii="Arial" w:hAnsi="Arial" w:cs="Arial"/>
                <w:noProof/>
                <w:webHidden/>
              </w:rPr>
              <w:fldChar w:fldCharType="end"/>
            </w:r>
          </w:hyperlink>
        </w:p>
        <w:p w14:paraId="551152E1" w14:textId="36CB635C" w:rsidR="00DE34A0" w:rsidRPr="00363677" w:rsidRDefault="00DE34A0">
          <w:pPr>
            <w:pStyle w:val="TOC2"/>
            <w:tabs>
              <w:tab w:val="right" w:leader="dot" w:pos="9019"/>
            </w:tabs>
            <w:rPr>
              <w:rFonts w:ascii="Arial" w:eastAsiaTheme="minorEastAsia" w:hAnsi="Arial" w:cs="Arial"/>
              <w:noProof/>
              <w:kern w:val="2"/>
              <w:lang w:val="en-US"/>
              <w14:ligatures w14:val="standardContextual"/>
            </w:rPr>
          </w:pPr>
          <w:hyperlink w:anchor="_Toc214631169" w:history="1">
            <w:r w:rsidRPr="00363677">
              <w:rPr>
                <w:rStyle w:val="Hyperlink"/>
                <w:rFonts w:ascii="Arial" w:hAnsi="Arial" w:cs="Arial"/>
                <w:noProof/>
              </w:rPr>
              <w:t>2.3 Critical Analysis of Each Actor</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_Toc214631169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6</w:t>
            </w:r>
            <w:r w:rsidRPr="00363677">
              <w:rPr>
                <w:rFonts w:ascii="Arial" w:hAnsi="Arial" w:cs="Arial"/>
                <w:noProof/>
                <w:webHidden/>
              </w:rPr>
              <w:fldChar w:fldCharType="end"/>
            </w:r>
          </w:hyperlink>
        </w:p>
        <w:p w14:paraId="14A55789" w14:textId="5FA3549B" w:rsidR="00DE34A0" w:rsidRPr="00363677" w:rsidRDefault="00DE34A0">
          <w:pPr>
            <w:pStyle w:val="TOC1"/>
            <w:tabs>
              <w:tab w:val="right" w:leader="dot" w:pos="9019"/>
            </w:tabs>
            <w:rPr>
              <w:rFonts w:ascii="Arial" w:eastAsiaTheme="minorEastAsia" w:hAnsi="Arial" w:cs="Arial"/>
              <w:noProof/>
              <w:kern w:val="2"/>
              <w:lang w:val="en-US"/>
              <w14:ligatures w14:val="standardContextual"/>
            </w:rPr>
          </w:pPr>
          <w:hyperlink w:anchor="_Toc214631170" w:history="1">
            <w:r w:rsidRPr="00363677">
              <w:rPr>
                <w:rStyle w:val="Hyperlink"/>
                <w:rFonts w:ascii="Arial" w:hAnsi="Arial" w:cs="Arial"/>
                <w:noProof/>
              </w:rPr>
              <w:t>3. Task 2: Strategic Responses of Pioneering and Follower Organisations</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_Toc214631170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7</w:t>
            </w:r>
            <w:r w:rsidRPr="00363677">
              <w:rPr>
                <w:rFonts w:ascii="Arial" w:hAnsi="Arial" w:cs="Arial"/>
                <w:noProof/>
                <w:webHidden/>
              </w:rPr>
              <w:fldChar w:fldCharType="end"/>
            </w:r>
          </w:hyperlink>
        </w:p>
        <w:p w14:paraId="261BD56C" w14:textId="1AB3E227" w:rsidR="00DE34A0" w:rsidRPr="00363677" w:rsidRDefault="00DE34A0">
          <w:pPr>
            <w:pStyle w:val="TOC2"/>
            <w:tabs>
              <w:tab w:val="right" w:leader="dot" w:pos="9019"/>
            </w:tabs>
            <w:rPr>
              <w:rFonts w:ascii="Arial" w:eastAsiaTheme="minorEastAsia" w:hAnsi="Arial" w:cs="Arial"/>
              <w:noProof/>
              <w:kern w:val="2"/>
              <w:lang w:val="en-US"/>
              <w14:ligatures w14:val="standardContextual"/>
            </w:rPr>
          </w:pPr>
          <w:hyperlink w:anchor="_Toc214631171" w:history="1">
            <w:r w:rsidRPr="00363677">
              <w:rPr>
                <w:rStyle w:val="Hyperlink"/>
                <w:rFonts w:ascii="Arial" w:hAnsi="Arial" w:cs="Arial"/>
                <w:noProof/>
              </w:rPr>
              <w:t>3.1 Pioneering Organisations’ Strategic Responses</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_Toc214631171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7</w:t>
            </w:r>
            <w:r w:rsidRPr="00363677">
              <w:rPr>
                <w:rFonts w:ascii="Arial" w:hAnsi="Arial" w:cs="Arial"/>
                <w:noProof/>
                <w:webHidden/>
              </w:rPr>
              <w:fldChar w:fldCharType="end"/>
            </w:r>
          </w:hyperlink>
        </w:p>
        <w:p w14:paraId="14D761FC" w14:textId="7B8D6692" w:rsidR="00DE34A0" w:rsidRPr="00363677" w:rsidRDefault="00DE34A0">
          <w:pPr>
            <w:pStyle w:val="TOC3"/>
            <w:rPr>
              <w:rFonts w:ascii="Arial" w:eastAsiaTheme="minorEastAsia" w:hAnsi="Arial" w:cs="Arial"/>
              <w:b w:val="0"/>
              <w:bCs w:val="0"/>
              <w:kern w:val="2"/>
              <w:lang w:val="en-US"/>
              <w14:ligatures w14:val="standardContextual"/>
            </w:rPr>
          </w:pPr>
          <w:hyperlink w:anchor="_Toc214631172" w:history="1">
            <w:r w:rsidRPr="00363677">
              <w:rPr>
                <w:rStyle w:val="Hyperlink"/>
                <w:rFonts w:ascii="Arial" w:hAnsi="Arial" w:cs="Arial"/>
                <w:b w:val="0"/>
                <w:bCs w:val="0"/>
              </w:rPr>
              <w:t>Response to Political Challenges &amp; Opportunities (≈100 words)</w:t>
            </w:r>
            <w:r w:rsidRPr="00363677">
              <w:rPr>
                <w:rFonts w:ascii="Arial" w:hAnsi="Arial" w:cs="Arial"/>
                <w:b w:val="0"/>
                <w:bCs w:val="0"/>
                <w:webHidden/>
              </w:rPr>
              <w:tab/>
            </w:r>
            <w:r w:rsidRPr="00363677">
              <w:rPr>
                <w:rFonts w:ascii="Arial" w:hAnsi="Arial" w:cs="Arial"/>
                <w:b w:val="0"/>
                <w:bCs w:val="0"/>
                <w:webHidden/>
              </w:rPr>
              <w:fldChar w:fldCharType="begin"/>
            </w:r>
            <w:r w:rsidRPr="00363677">
              <w:rPr>
                <w:rFonts w:ascii="Arial" w:hAnsi="Arial" w:cs="Arial"/>
                <w:b w:val="0"/>
                <w:bCs w:val="0"/>
                <w:webHidden/>
              </w:rPr>
              <w:instrText xml:space="preserve"> PAGEREF _Toc214631172 \h </w:instrText>
            </w:r>
            <w:r w:rsidRPr="00363677">
              <w:rPr>
                <w:rFonts w:ascii="Arial" w:hAnsi="Arial" w:cs="Arial"/>
                <w:b w:val="0"/>
                <w:bCs w:val="0"/>
                <w:webHidden/>
              </w:rPr>
            </w:r>
            <w:r w:rsidRPr="00363677">
              <w:rPr>
                <w:rFonts w:ascii="Arial" w:hAnsi="Arial" w:cs="Arial"/>
                <w:b w:val="0"/>
                <w:bCs w:val="0"/>
                <w:webHidden/>
              </w:rPr>
              <w:fldChar w:fldCharType="separate"/>
            </w:r>
            <w:r w:rsidRPr="00363677">
              <w:rPr>
                <w:rFonts w:ascii="Arial" w:hAnsi="Arial" w:cs="Arial"/>
                <w:b w:val="0"/>
                <w:bCs w:val="0"/>
                <w:webHidden/>
              </w:rPr>
              <w:t>7</w:t>
            </w:r>
            <w:r w:rsidRPr="00363677">
              <w:rPr>
                <w:rFonts w:ascii="Arial" w:hAnsi="Arial" w:cs="Arial"/>
                <w:b w:val="0"/>
                <w:bCs w:val="0"/>
                <w:webHidden/>
              </w:rPr>
              <w:fldChar w:fldCharType="end"/>
            </w:r>
          </w:hyperlink>
        </w:p>
        <w:p w14:paraId="25D6BA8B" w14:textId="48C85CB3" w:rsidR="00DE34A0" w:rsidRPr="00363677" w:rsidRDefault="00DE34A0">
          <w:pPr>
            <w:pStyle w:val="TOC3"/>
            <w:rPr>
              <w:rFonts w:ascii="Arial" w:eastAsiaTheme="minorEastAsia" w:hAnsi="Arial" w:cs="Arial"/>
              <w:b w:val="0"/>
              <w:bCs w:val="0"/>
              <w:kern w:val="2"/>
              <w:lang w:val="en-US"/>
              <w14:ligatures w14:val="standardContextual"/>
            </w:rPr>
          </w:pPr>
          <w:hyperlink w:anchor="_Toc214631173" w:history="1">
            <w:r w:rsidRPr="00363677">
              <w:rPr>
                <w:rStyle w:val="Hyperlink"/>
                <w:rFonts w:ascii="Arial" w:hAnsi="Arial" w:cs="Arial"/>
                <w:b w:val="0"/>
                <w:bCs w:val="0"/>
              </w:rPr>
              <w:t>Response to Economic Conditions Using Ansoff’s Growth Matrix</w:t>
            </w:r>
            <w:r w:rsidRPr="00363677">
              <w:rPr>
                <w:rFonts w:ascii="Arial" w:hAnsi="Arial" w:cs="Arial"/>
                <w:b w:val="0"/>
                <w:bCs w:val="0"/>
                <w:webHidden/>
              </w:rPr>
              <w:tab/>
            </w:r>
            <w:r w:rsidRPr="00363677">
              <w:rPr>
                <w:rFonts w:ascii="Arial" w:hAnsi="Arial" w:cs="Arial"/>
                <w:b w:val="0"/>
                <w:bCs w:val="0"/>
                <w:webHidden/>
              </w:rPr>
              <w:fldChar w:fldCharType="begin"/>
            </w:r>
            <w:r w:rsidRPr="00363677">
              <w:rPr>
                <w:rFonts w:ascii="Arial" w:hAnsi="Arial" w:cs="Arial"/>
                <w:b w:val="0"/>
                <w:bCs w:val="0"/>
                <w:webHidden/>
              </w:rPr>
              <w:instrText xml:space="preserve"> PAGEREF _Toc214631173 \h </w:instrText>
            </w:r>
            <w:r w:rsidRPr="00363677">
              <w:rPr>
                <w:rFonts w:ascii="Arial" w:hAnsi="Arial" w:cs="Arial"/>
                <w:b w:val="0"/>
                <w:bCs w:val="0"/>
                <w:webHidden/>
              </w:rPr>
            </w:r>
            <w:r w:rsidRPr="00363677">
              <w:rPr>
                <w:rFonts w:ascii="Arial" w:hAnsi="Arial" w:cs="Arial"/>
                <w:b w:val="0"/>
                <w:bCs w:val="0"/>
                <w:webHidden/>
              </w:rPr>
              <w:fldChar w:fldCharType="separate"/>
            </w:r>
            <w:r w:rsidRPr="00363677">
              <w:rPr>
                <w:rFonts w:ascii="Arial" w:hAnsi="Arial" w:cs="Arial"/>
                <w:b w:val="0"/>
                <w:bCs w:val="0"/>
                <w:webHidden/>
              </w:rPr>
              <w:t>8</w:t>
            </w:r>
            <w:r w:rsidRPr="00363677">
              <w:rPr>
                <w:rFonts w:ascii="Arial" w:hAnsi="Arial" w:cs="Arial"/>
                <w:b w:val="0"/>
                <w:bCs w:val="0"/>
                <w:webHidden/>
              </w:rPr>
              <w:fldChar w:fldCharType="end"/>
            </w:r>
          </w:hyperlink>
        </w:p>
        <w:p w14:paraId="39BF309A" w14:textId="5276DE5C" w:rsidR="00DE34A0" w:rsidRPr="00363677" w:rsidRDefault="00DE34A0">
          <w:pPr>
            <w:pStyle w:val="TOC3"/>
            <w:rPr>
              <w:rFonts w:ascii="Arial" w:eastAsiaTheme="minorEastAsia" w:hAnsi="Arial" w:cs="Arial"/>
              <w:b w:val="0"/>
              <w:bCs w:val="0"/>
              <w:kern w:val="2"/>
              <w:lang w:val="en-US"/>
              <w14:ligatures w14:val="standardContextual"/>
            </w:rPr>
          </w:pPr>
          <w:hyperlink w:anchor="_Toc214631174" w:history="1">
            <w:r w:rsidRPr="00363677">
              <w:rPr>
                <w:rStyle w:val="Hyperlink"/>
                <w:rFonts w:ascii="Arial" w:hAnsi="Arial" w:cs="Arial"/>
                <w:b w:val="0"/>
                <w:bCs w:val="0"/>
              </w:rPr>
              <w:t>Response to Competitive Pressure Using Porter’s Generic Strategies</w:t>
            </w:r>
            <w:r w:rsidRPr="00363677">
              <w:rPr>
                <w:rFonts w:ascii="Arial" w:hAnsi="Arial" w:cs="Arial"/>
                <w:b w:val="0"/>
                <w:bCs w:val="0"/>
                <w:webHidden/>
              </w:rPr>
              <w:tab/>
            </w:r>
            <w:r w:rsidRPr="00363677">
              <w:rPr>
                <w:rFonts w:ascii="Arial" w:hAnsi="Arial" w:cs="Arial"/>
                <w:b w:val="0"/>
                <w:bCs w:val="0"/>
                <w:webHidden/>
              </w:rPr>
              <w:fldChar w:fldCharType="begin"/>
            </w:r>
            <w:r w:rsidRPr="00363677">
              <w:rPr>
                <w:rFonts w:ascii="Arial" w:hAnsi="Arial" w:cs="Arial"/>
                <w:b w:val="0"/>
                <w:bCs w:val="0"/>
                <w:webHidden/>
              </w:rPr>
              <w:instrText xml:space="preserve"> PAGEREF _Toc214631174 \h </w:instrText>
            </w:r>
            <w:r w:rsidRPr="00363677">
              <w:rPr>
                <w:rFonts w:ascii="Arial" w:hAnsi="Arial" w:cs="Arial"/>
                <w:b w:val="0"/>
                <w:bCs w:val="0"/>
                <w:webHidden/>
              </w:rPr>
            </w:r>
            <w:r w:rsidRPr="00363677">
              <w:rPr>
                <w:rFonts w:ascii="Arial" w:hAnsi="Arial" w:cs="Arial"/>
                <w:b w:val="0"/>
                <w:bCs w:val="0"/>
                <w:webHidden/>
              </w:rPr>
              <w:fldChar w:fldCharType="separate"/>
            </w:r>
            <w:r w:rsidRPr="00363677">
              <w:rPr>
                <w:rFonts w:ascii="Arial" w:hAnsi="Arial" w:cs="Arial"/>
                <w:b w:val="0"/>
                <w:bCs w:val="0"/>
                <w:webHidden/>
              </w:rPr>
              <w:t>9</w:t>
            </w:r>
            <w:r w:rsidRPr="00363677">
              <w:rPr>
                <w:rFonts w:ascii="Arial" w:hAnsi="Arial" w:cs="Arial"/>
                <w:b w:val="0"/>
                <w:bCs w:val="0"/>
                <w:webHidden/>
              </w:rPr>
              <w:fldChar w:fldCharType="end"/>
            </w:r>
          </w:hyperlink>
        </w:p>
        <w:p w14:paraId="76B85012" w14:textId="65EC564A" w:rsidR="00DE34A0" w:rsidRPr="00363677" w:rsidRDefault="00DE34A0">
          <w:pPr>
            <w:pStyle w:val="TOC2"/>
            <w:tabs>
              <w:tab w:val="right" w:leader="dot" w:pos="9019"/>
            </w:tabs>
            <w:rPr>
              <w:rFonts w:ascii="Arial" w:eastAsiaTheme="minorEastAsia" w:hAnsi="Arial" w:cs="Arial"/>
              <w:noProof/>
              <w:kern w:val="2"/>
              <w:lang w:val="en-US"/>
              <w14:ligatures w14:val="standardContextual"/>
            </w:rPr>
          </w:pPr>
          <w:hyperlink w:anchor="_Toc214631175" w:history="1">
            <w:r w:rsidRPr="00363677">
              <w:rPr>
                <w:rStyle w:val="Hyperlink"/>
                <w:rFonts w:ascii="Arial" w:hAnsi="Arial" w:cs="Arial"/>
                <w:noProof/>
              </w:rPr>
              <w:t>3.2 Follower Organisations’ Strategic Responses</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_Toc214631175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9</w:t>
            </w:r>
            <w:r w:rsidRPr="00363677">
              <w:rPr>
                <w:rFonts w:ascii="Arial" w:hAnsi="Arial" w:cs="Arial"/>
                <w:noProof/>
                <w:webHidden/>
              </w:rPr>
              <w:fldChar w:fldCharType="end"/>
            </w:r>
          </w:hyperlink>
        </w:p>
        <w:p w14:paraId="17E4B15C" w14:textId="05DC7C27" w:rsidR="00DE34A0" w:rsidRPr="00363677" w:rsidRDefault="00DE34A0">
          <w:pPr>
            <w:pStyle w:val="TOC3"/>
            <w:rPr>
              <w:rFonts w:ascii="Arial" w:eastAsiaTheme="minorEastAsia" w:hAnsi="Arial" w:cs="Arial"/>
              <w:b w:val="0"/>
              <w:bCs w:val="0"/>
              <w:kern w:val="2"/>
              <w:lang w:val="en-US"/>
              <w14:ligatures w14:val="standardContextual"/>
            </w:rPr>
          </w:pPr>
          <w:hyperlink w:anchor="_Toc214631176" w:history="1">
            <w:r w:rsidRPr="00363677">
              <w:rPr>
                <w:rStyle w:val="Hyperlink"/>
                <w:rFonts w:ascii="Arial" w:hAnsi="Arial" w:cs="Arial"/>
                <w:b w:val="0"/>
                <w:bCs w:val="0"/>
              </w:rPr>
              <w:t>Response to Political Pressures &amp; Opportunities</w:t>
            </w:r>
            <w:r w:rsidRPr="00363677">
              <w:rPr>
                <w:rFonts w:ascii="Arial" w:hAnsi="Arial" w:cs="Arial"/>
                <w:b w:val="0"/>
                <w:bCs w:val="0"/>
                <w:webHidden/>
              </w:rPr>
              <w:tab/>
            </w:r>
            <w:r w:rsidRPr="00363677">
              <w:rPr>
                <w:rFonts w:ascii="Arial" w:hAnsi="Arial" w:cs="Arial"/>
                <w:b w:val="0"/>
                <w:bCs w:val="0"/>
                <w:webHidden/>
              </w:rPr>
              <w:fldChar w:fldCharType="begin"/>
            </w:r>
            <w:r w:rsidRPr="00363677">
              <w:rPr>
                <w:rFonts w:ascii="Arial" w:hAnsi="Arial" w:cs="Arial"/>
                <w:b w:val="0"/>
                <w:bCs w:val="0"/>
                <w:webHidden/>
              </w:rPr>
              <w:instrText xml:space="preserve"> PAGEREF _Toc214631176 \h </w:instrText>
            </w:r>
            <w:r w:rsidRPr="00363677">
              <w:rPr>
                <w:rFonts w:ascii="Arial" w:hAnsi="Arial" w:cs="Arial"/>
                <w:b w:val="0"/>
                <w:bCs w:val="0"/>
                <w:webHidden/>
              </w:rPr>
            </w:r>
            <w:r w:rsidRPr="00363677">
              <w:rPr>
                <w:rFonts w:ascii="Arial" w:hAnsi="Arial" w:cs="Arial"/>
                <w:b w:val="0"/>
                <w:bCs w:val="0"/>
                <w:webHidden/>
              </w:rPr>
              <w:fldChar w:fldCharType="separate"/>
            </w:r>
            <w:r w:rsidRPr="00363677">
              <w:rPr>
                <w:rFonts w:ascii="Arial" w:hAnsi="Arial" w:cs="Arial"/>
                <w:b w:val="0"/>
                <w:bCs w:val="0"/>
                <w:webHidden/>
              </w:rPr>
              <w:t>9</w:t>
            </w:r>
            <w:r w:rsidRPr="00363677">
              <w:rPr>
                <w:rFonts w:ascii="Arial" w:hAnsi="Arial" w:cs="Arial"/>
                <w:b w:val="0"/>
                <w:bCs w:val="0"/>
                <w:webHidden/>
              </w:rPr>
              <w:fldChar w:fldCharType="end"/>
            </w:r>
          </w:hyperlink>
        </w:p>
        <w:p w14:paraId="3B74E2C6" w14:textId="04B9E076" w:rsidR="00DE34A0" w:rsidRPr="00363677" w:rsidRDefault="00DE34A0">
          <w:pPr>
            <w:pStyle w:val="TOC3"/>
            <w:rPr>
              <w:rFonts w:ascii="Arial" w:eastAsiaTheme="minorEastAsia" w:hAnsi="Arial" w:cs="Arial"/>
              <w:b w:val="0"/>
              <w:bCs w:val="0"/>
              <w:kern w:val="2"/>
              <w:lang w:val="en-US"/>
              <w14:ligatures w14:val="standardContextual"/>
            </w:rPr>
          </w:pPr>
          <w:hyperlink w:anchor="_Toc214631177" w:history="1">
            <w:r w:rsidRPr="00363677">
              <w:rPr>
                <w:rStyle w:val="Hyperlink"/>
                <w:rFonts w:ascii="Arial" w:hAnsi="Arial" w:cs="Arial"/>
                <w:b w:val="0"/>
                <w:bCs w:val="0"/>
              </w:rPr>
              <w:t>Strategic Response Using Ansoff’s Growth Matrix (≈100 words)</w:t>
            </w:r>
            <w:r w:rsidRPr="00363677">
              <w:rPr>
                <w:rFonts w:ascii="Arial" w:hAnsi="Arial" w:cs="Arial"/>
                <w:b w:val="0"/>
                <w:bCs w:val="0"/>
                <w:webHidden/>
              </w:rPr>
              <w:tab/>
            </w:r>
            <w:r w:rsidRPr="00363677">
              <w:rPr>
                <w:rFonts w:ascii="Arial" w:hAnsi="Arial" w:cs="Arial"/>
                <w:b w:val="0"/>
                <w:bCs w:val="0"/>
                <w:webHidden/>
              </w:rPr>
              <w:fldChar w:fldCharType="begin"/>
            </w:r>
            <w:r w:rsidRPr="00363677">
              <w:rPr>
                <w:rFonts w:ascii="Arial" w:hAnsi="Arial" w:cs="Arial"/>
                <w:b w:val="0"/>
                <w:bCs w:val="0"/>
                <w:webHidden/>
              </w:rPr>
              <w:instrText xml:space="preserve"> PAGEREF _Toc214631177 \h </w:instrText>
            </w:r>
            <w:r w:rsidRPr="00363677">
              <w:rPr>
                <w:rFonts w:ascii="Arial" w:hAnsi="Arial" w:cs="Arial"/>
                <w:b w:val="0"/>
                <w:bCs w:val="0"/>
                <w:webHidden/>
              </w:rPr>
            </w:r>
            <w:r w:rsidRPr="00363677">
              <w:rPr>
                <w:rFonts w:ascii="Arial" w:hAnsi="Arial" w:cs="Arial"/>
                <w:b w:val="0"/>
                <w:bCs w:val="0"/>
                <w:webHidden/>
              </w:rPr>
              <w:fldChar w:fldCharType="separate"/>
            </w:r>
            <w:r w:rsidRPr="00363677">
              <w:rPr>
                <w:rFonts w:ascii="Arial" w:hAnsi="Arial" w:cs="Arial"/>
                <w:b w:val="0"/>
                <w:bCs w:val="0"/>
                <w:webHidden/>
              </w:rPr>
              <w:t>10</w:t>
            </w:r>
            <w:r w:rsidRPr="00363677">
              <w:rPr>
                <w:rFonts w:ascii="Arial" w:hAnsi="Arial" w:cs="Arial"/>
                <w:b w:val="0"/>
                <w:bCs w:val="0"/>
                <w:webHidden/>
              </w:rPr>
              <w:fldChar w:fldCharType="end"/>
            </w:r>
          </w:hyperlink>
        </w:p>
        <w:p w14:paraId="0E2CA34B" w14:textId="15B33914" w:rsidR="00DE34A0" w:rsidRPr="00363677" w:rsidRDefault="00DE34A0">
          <w:pPr>
            <w:pStyle w:val="TOC3"/>
            <w:rPr>
              <w:rFonts w:ascii="Arial" w:eastAsiaTheme="minorEastAsia" w:hAnsi="Arial" w:cs="Arial"/>
              <w:b w:val="0"/>
              <w:bCs w:val="0"/>
              <w:kern w:val="2"/>
              <w:lang w:val="en-US"/>
              <w14:ligatures w14:val="standardContextual"/>
            </w:rPr>
          </w:pPr>
          <w:hyperlink w:anchor="_Toc214631178" w:history="1">
            <w:r w:rsidRPr="00363677">
              <w:rPr>
                <w:rStyle w:val="Hyperlink"/>
                <w:rFonts w:ascii="Arial" w:hAnsi="Arial" w:cs="Arial"/>
                <w:b w:val="0"/>
                <w:bCs w:val="0"/>
              </w:rPr>
              <w:t>Response to Competition Using Porter’s Generic Strategies</w:t>
            </w:r>
            <w:r w:rsidRPr="00363677">
              <w:rPr>
                <w:rFonts w:ascii="Arial" w:hAnsi="Arial" w:cs="Arial"/>
                <w:b w:val="0"/>
                <w:bCs w:val="0"/>
                <w:webHidden/>
              </w:rPr>
              <w:tab/>
            </w:r>
            <w:r w:rsidRPr="00363677">
              <w:rPr>
                <w:rFonts w:ascii="Arial" w:hAnsi="Arial" w:cs="Arial"/>
                <w:b w:val="0"/>
                <w:bCs w:val="0"/>
                <w:webHidden/>
              </w:rPr>
              <w:fldChar w:fldCharType="begin"/>
            </w:r>
            <w:r w:rsidRPr="00363677">
              <w:rPr>
                <w:rFonts w:ascii="Arial" w:hAnsi="Arial" w:cs="Arial"/>
                <w:b w:val="0"/>
                <w:bCs w:val="0"/>
                <w:webHidden/>
              </w:rPr>
              <w:instrText xml:space="preserve"> PAGEREF _Toc214631178 \h </w:instrText>
            </w:r>
            <w:r w:rsidRPr="00363677">
              <w:rPr>
                <w:rFonts w:ascii="Arial" w:hAnsi="Arial" w:cs="Arial"/>
                <w:b w:val="0"/>
                <w:bCs w:val="0"/>
                <w:webHidden/>
              </w:rPr>
            </w:r>
            <w:r w:rsidRPr="00363677">
              <w:rPr>
                <w:rFonts w:ascii="Arial" w:hAnsi="Arial" w:cs="Arial"/>
                <w:b w:val="0"/>
                <w:bCs w:val="0"/>
                <w:webHidden/>
              </w:rPr>
              <w:fldChar w:fldCharType="separate"/>
            </w:r>
            <w:r w:rsidRPr="00363677">
              <w:rPr>
                <w:rFonts w:ascii="Arial" w:hAnsi="Arial" w:cs="Arial"/>
                <w:b w:val="0"/>
                <w:bCs w:val="0"/>
                <w:webHidden/>
              </w:rPr>
              <w:t>11</w:t>
            </w:r>
            <w:r w:rsidRPr="00363677">
              <w:rPr>
                <w:rFonts w:ascii="Arial" w:hAnsi="Arial" w:cs="Arial"/>
                <w:b w:val="0"/>
                <w:bCs w:val="0"/>
                <w:webHidden/>
              </w:rPr>
              <w:fldChar w:fldCharType="end"/>
            </w:r>
          </w:hyperlink>
        </w:p>
        <w:p w14:paraId="61813429" w14:textId="72B5838D" w:rsidR="00DE34A0" w:rsidRPr="00363677" w:rsidRDefault="00DE34A0">
          <w:pPr>
            <w:pStyle w:val="TOC1"/>
            <w:tabs>
              <w:tab w:val="right" w:leader="dot" w:pos="9019"/>
            </w:tabs>
            <w:rPr>
              <w:rFonts w:ascii="Arial" w:eastAsiaTheme="minorEastAsia" w:hAnsi="Arial" w:cs="Arial"/>
              <w:noProof/>
              <w:kern w:val="2"/>
              <w:lang w:val="en-US"/>
              <w14:ligatures w14:val="standardContextual"/>
            </w:rPr>
          </w:pPr>
          <w:hyperlink w:anchor="_Toc214631179" w:history="1">
            <w:r w:rsidRPr="00363677">
              <w:rPr>
                <w:rStyle w:val="Hyperlink"/>
                <w:rFonts w:ascii="Arial" w:hAnsi="Arial" w:cs="Arial"/>
                <w:noProof/>
              </w:rPr>
              <w:t>4. Conclusion</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_Toc214631179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11</w:t>
            </w:r>
            <w:r w:rsidRPr="00363677">
              <w:rPr>
                <w:rFonts w:ascii="Arial" w:hAnsi="Arial" w:cs="Arial"/>
                <w:noProof/>
                <w:webHidden/>
              </w:rPr>
              <w:fldChar w:fldCharType="end"/>
            </w:r>
          </w:hyperlink>
        </w:p>
        <w:p w14:paraId="34BAE069" w14:textId="13E4E4EA" w:rsidR="00DE34A0" w:rsidRPr="00363677" w:rsidRDefault="00DE34A0">
          <w:pPr>
            <w:pStyle w:val="TOC1"/>
            <w:tabs>
              <w:tab w:val="right" w:leader="dot" w:pos="9019"/>
            </w:tabs>
            <w:rPr>
              <w:rFonts w:ascii="Arial" w:eastAsiaTheme="minorEastAsia" w:hAnsi="Arial" w:cs="Arial"/>
              <w:noProof/>
              <w:kern w:val="2"/>
              <w:lang w:val="en-US"/>
              <w14:ligatures w14:val="standardContextual"/>
            </w:rPr>
          </w:pPr>
          <w:hyperlink w:anchor="_Toc214631180" w:history="1">
            <w:r w:rsidRPr="00363677">
              <w:rPr>
                <w:rStyle w:val="Hyperlink"/>
                <w:rFonts w:ascii="Arial" w:hAnsi="Arial" w:cs="Arial"/>
                <w:noProof/>
              </w:rPr>
              <w:t>Reference list</w:t>
            </w:r>
            <w:r w:rsidRPr="00363677">
              <w:rPr>
                <w:rFonts w:ascii="Arial" w:hAnsi="Arial" w:cs="Arial"/>
                <w:noProof/>
                <w:webHidden/>
              </w:rPr>
              <w:tab/>
            </w:r>
            <w:r w:rsidRPr="00363677">
              <w:rPr>
                <w:rFonts w:ascii="Arial" w:hAnsi="Arial" w:cs="Arial"/>
                <w:noProof/>
                <w:webHidden/>
              </w:rPr>
              <w:fldChar w:fldCharType="begin"/>
            </w:r>
            <w:r w:rsidRPr="00363677">
              <w:rPr>
                <w:rFonts w:ascii="Arial" w:hAnsi="Arial" w:cs="Arial"/>
                <w:noProof/>
                <w:webHidden/>
              </w:rPr>
              <w:instrText xml:space="preserve"> PAGEREF _Toc214631180 \h </w:instrText>
            </w:r>
            <w:r w:rsidRPr="00363677">
              <w:rPr>
                <w:rFonts w:ascii="Arial" w:hAnsi="Arial" w:cs="Arial"/>
                <w:noProof/>
                <w:webHidden/>
              </w:rPr>
            </w:r>
            <w:r w:rsidRPr="00363677">
              <w:rPr>
                <w:rFonts w:ascii="Arial" w:hAnsi="Arial" w:cs="Arial"/>
                <w:noProof/>
                <w:webHidden/>
              </w:rPr>
              <w:fldChar w:fldCharType="separate"/>
            </w:r>
            <w:r w:rsidRPr="00363677">
              <w:rPr>
                <w:rFonts w:ascii="Arial" w:hAnsi="Arial" w:cs="Arial"/>
                <w:noProof/>
                <w:webHidden/>
              </w:rPr>
              <w:t>13</w:t>
            </w:r>
            <w:r w:rsidRPr="00363677">
              <w:rPr>
                <w:rFonts w:ascii="Arial" w:hAnsi="Arial" w:cs="Arial"/>
                <w:noProof/>
                <w:webHidden/>
              </w:rPr>
              <w:fldChar w:fldCharType="end"/>
            </w:r>
          </w:hyperlink>
        </w:p>
        <w:p w14:paraId="7D2C7DC9" w14:textId="003FFBFB" w:rsidR="00DE34A0" w:rsidRPr="00363677" w:rsidRDefault="00DE34A0">
          <w:pPr>
            <w:rPr>
              <w:rFonts w:ascii="Arial" w:hAnsi="Arial" w:cs="Arial"/>
            </w:rPr>
          </w:pPr>
          <w:r w:rsidRPr="00363677">
            <w:rPr>
              <w:rFonts w:ascii="Arial" w:hAnsi="Arial" w:cs="Arial"/>
              <w:noProof/>
            </w:rPr>
            <w:fldChar w:fldCharType="end"/>
          </w:r>
        </w:p>
      </w:sdtContent>
    </w:sdt>
    <w:p w14:paraId="147501A1" w14:textId="77777777" w:rsidR="00DE34A0" w:rsidRPr="00363677" w:rsidRDefault="00DE34A0">
      <w:pPr>
        <w:rPr>
          <w:rFonts w:ascii="Arial" w:hAnsi="Arial" w:cs="Arial"/>
          <w:b/>
          <w:bCs/>
          <w:sz w:val="28"/>
          <w:szCs w:val="28"/>
        </w:rPr>
      </w:pPr>
      <w:r w:rsidRPr="00363677">
        <w:rPr>
          <w:rFonts w:ascii="Arial" w:hAnsi="Arial" w:cs="Arial"/>
        </w:rPr>
        <w:br w:type="page"/>
      </w:r>
    </w:p>
    <w:p w14:paraId="4BE07755" w14:textId="2F380DC5" w:rsidR="008262B7" w:rsidRPr="00363677" w:rsidRDefault="00000000">
      <w:pPr>
        <w:pStyle w:val="Heading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bookmarkStart w:id="1" w:name="_Toc214631165"/>
      <w:r w:rsidRPr="00363677">
        <w:rPr>
          <w:rFonts w:ascii="Arial" w:hAnsi="Arial" w:cs="Arial"/>
        </w:rPr>
        <w:lastRenderedPageBreak/>
        <w:t>1. Introduction</w:t>
      </w:r>
      <w:bookmarkEnd w:id="1"/>
    </w:p>
    <w:p w14:paraId="7D4ECFC4"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Strategic marketing management helps direct long-term marketing decisions by the firms in order to generate customer value and sustainable competitive advantage by the means of aligned strategic action (Muthukumar et al, 2024). The present report will analyze the political and economic factors influencing the global auto industry using Tesla and Hyundai as the examples that have been chosen intentionally. The macro marketing environment analysis illustrates policy alteration, incentives, tariffs, interest rates, and macrocycles change the demand and the strategy which create firm-level responses. Scholarly research evidence indicates that companies tracking macro factors make more nuanced strategic decisions and enhance their competitiveness in unpredictable markets at all times (Appiah et al, 2021). As an example, the International Energy Agency documents the electric vehicles swell as fast as it has been since 2020 due to policy and market indicators worldwide. Consultancy project portfolio resettlement and product pricing in key markets based on changing consumer preferences that alter the product portfolio and product pricing strategies (iea, 2023). This essay uses the PESTEL to concentrate on the political and economic actors and their respective effects on pioneers and followers respectively. It applies Ansoff and Porter models to analyze strategic responses, and propose evidence based marketing recommendations to short term adaptation. Peer-reviewed journals and authoritative industry reports that were printed within the past 2125 are used as the sources to keep the information up to date and relevant. This should aim at providing practical guidance that connects external analysis to market positioning, product decisions and promotion strategy as a means of action by the manager.</w:t>
      </w:r>
    </w:p>
    <w:p w14:paraId="538594E1" w14:textId="77777777" w:rsidR="008262B7" w:rsidRPr="00363677" w:rsidRDefault="00000000">
      <w:pPr>
        <w:pStyle w:val="Heading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bookmarkStart w:id="2" w:name="_1uaulq61rds6" w:colFirst="0" w:colLast="0"/>
      <w:bookmarkStart w:id="3" w:name="_Toc214631166"/>
      <w:bookmarkEnd w:id="2"/>
      <w:r w:rsidRPr="00363677">
        <w:rPr>
          <w:rFonts w:ascii="Arial" w:hAnsi="Arial" w:cs="Arial"/>
        </w:rPr>
        <w:t>2. Task 1: Critical Analysis of the Macro Marketing Environment</w:t>
      </w:r>
      <w:bookmarkEnd w:id="3"/>
    </w:p>
    <w:p w14:paraId="46AD4D2F" w14:textId="77777777" w:rsidR="008262B7" w:rsidRPr="00363677" w:rsidRDefault="00000000">
      <w:pPr>
        <w:pStyle w:val="Heading2"/>
        <w:rPr>
          <w:rFonts w:ascii="Arial" w:hAnsi="Arial" w:cs="Arial"/>
        </w:rPr>
      </w:pPr>
      <w:bookmarkStart w:id="4" w:name="_bzlq5kvzankq" w:colFirst="0" w:colLast="0"/>
      <w:bookmarkStart w:id="5" w:name="_Toc214631167"/>
      <w:bookmarkEnd w:id="4"/>
      <w:r w:rsidRPr="00363677">
        <w:rPr>
          <w:rFonts w:ascii="Arial" w:hAnsi="Arial" w:cs="Arial"/>
        </w:rPr>
        <w:t>2.1 Overview of the Macro Marketing Environment (300 words)</w:t>
      </w:r>
      <w:bookmarkEnd w:id="5"/>
    </w:p>
    <w:p w14:paraId="0176EEED"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rPr>
      </w:pPr>
      <w:r w:rsidRPr="00363677">
        <w:rPr>
          <w:rFonts w:ascii="Arial" w:hAnsi="Arial" w:cs="Arial"/>
        </w:rPr>
        <w:t xml:space="preserve">The macro marketing environment is the general external forces that determine the long performance of an organisation, factors that affect the customer demand, and the strategy of the organisation in competition. These are things that a firm cannot directly influence but that determine opportunities and threats in their important aspects (Baariu, 2021). Situational analysis can assist businesses in knowing the effect of these forces on attractiveness of the market, price, innovation, and customer </w:t>
      </w:r>
      <w:r w:rsidRPr="00363677">
        <w:rPr>
          <w:rFonts w:ascii="Arial" w:hAnsi="Arial" w:cs="Arial"/>
        </w:rPr>
        <w:lastRenderedPageBreak/>
        <w:t>behaviour during stable and uncertain situations. In the case of the automobile industry, the macro environment is of special concern since regulatory policies, the economic cycles, technological advancements, and social preferences have direct impacts on the design of vehicles, the manufacture of vehicles, and the acceptance of the vehicles.</w:t>
      </w:r>
    </w:p>
    <w:p w14:paraId="4AB8AE53"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rPr>
      </w:pPr>
      <w:r w:rsidRPr="00363677">
        <w:rPr>
          <w:rFonts w:ascii="Arial" w:hAnsi="Arial" w:cs="Arial"/>
        </w:rPr>
        <w:t>A macro environment is often analysed through PESTEL framework that includes Political, Economic, Social, Technological, Environmental, and Legal factors. Government incentives, trade policies, and emission regulations are part of the political forces (Makvandi, 2024). The affordability of vehicles is determined by economic factors including inflation, interest rates and income levels. The social trends indicate the attitude of consumers to sustainability, mobility, and urbanisation. Technological aspects encompass battery development, self-driving and digital connectivity. Climate policies and carbon reduction targets are associated with environmental forces. The legal factors are safety requirements, competition regulations, and compliance of products.</w:t>
      </w:r>
    </w:p>
    <w:p w14:paraId="2A0470C9"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rPr>
      </w:pPr>
      <w:r w:rsidRPr="00363677">
        <w:rPr>
          <w:rFonts w:ascii="Arial" w:hAnsi="Arial" w:cs="Arial"/>
        </w:rPr>
        <w:t>The recent statistics indicate the magnitude of these extraneous factors. One example is that in 2023, sales of electric cars amounted to 14 million in the world, which was 18 percent of the total car sales, owing to the policy support and technological advancements (IEA, 2024). The industry strategies are also changing with economic factors: the World Bank reported that inflation is 6.8% globally in 2023 and that this raises the costs of production and supply chain of automotive companies. Equally, the overall vehicle demand has slowed due to an increase in the interest rates in key markets, which have decreased consumer financing ability. The environmental regulations are also becoming stricter and more than 30 countries have established formal phase-out dates of the sale of petrol and diesel cars by 2035 or sooner. On the whole, PESTEL allows the organised perception of the impact of external pressure on the marketing strategy and allows companies such as Tesla and Hyundai to foresee threats and opportunities, as well as to synchronize their choices with the rate of macro-environment changes.</w:t>
      </w:r>
    </w:p>
    <w:p w14:paraId="07678AAB"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jc w:val="center"/>
        <w:rPr>
          <w:rFonts w:ascii="Arial" w:hAnsi="Arial" w:cs="Arial"/>
        </w:rPr>
      </w:pPr>
      <w:r w:rsidRPr="00363677">
        <w:rPr>
          <w:rFonts w:ascii="Arial" w:hAnsi="Arial" w:cs="Arial"/>
          <w:noProof/>
        </w:rPr>
        <w:lastRenderedPageBreak/>
        <w:drawing>
          <wp:inline distT="114300" distB="114300" distL="114300" distR="114300" wp14:anchorId="2442DA38" wp14:editId="086FF391">
            <wp:extent cx="4648835" cy="1747380"/>
            <wp:effectExtent l="76200" t="76200" r="132715" b="13906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57159" cy="1750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3F65B7"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jc w:val="center"/>
        <w:rPr>
          <w:rFonts w:ascii="Arial" w:hAnsi="Arial" w:cs="Arial"/>
          <w:b/>
          <w:bCs/>
        </w:rPr>
      </w:pPr>
      <w:r w:rsidRPr="00363677">
        <w:rPr>
          <w:rFonts w:ascii="Arial" w:hAnsi="Arial" w:cs="Arial"/>
          <w:b/>
          <w:bCs/>
        </w:rPr>
        <w:t>Figure 1: Global electric car stock</w:t>
      </w:r>
    </w:p>
    <w:p w14:paraId="5D2DDBAB"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jc w:val="center"/>
        <w:rPr>
          <w:rFonts w:ascii="Arial" w:hAnsi="Arial" w:cs="Arial"/>
        </w:rPr>
      </w:pPr>
      <w:r w:rsidRPr="00363677">
        <w:rPr>
          <w:rFonts w:ascii="Arial" w:hAnsi="Arial" w:cs="Arial"/>
        </w:rPr>
        <w:t>(Source: IEA, 2024)</w:t>
      </w:r>
    </w:p>
    <w:p w14:paraId="4351262F" w14:textId="77777777" w:rsidR="008262B7" w:rsidRPr="00363677" w:rsidRDefault="00000000">
      <w:pPr>
        <w:pStyle w:val="Heading2"/>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bookmarkStart w:id="6" w:name="_cy5f4m9eoa98" w:colFirst="0" w:colLast="0"/>
      <w:bookmarkStart w:id="7" w:name="_Toc214631168"/>
      <w:bookmarkEnd w:id="6"/>
      <w:r w:rsidRPr="00363677">
        <w:rPr>
          <w:rFonts w:ascii="Arial" w:hAnsi="Arial" w:cs="Arial"/>
        </w:rPr>
        <w:t>2.2 Selection of Two External Macro Marketing Actors</w:t>
      </w:r>
      <w:bookmarkEnd w:id="7"/>
    </w:p>
    <w:p w14:paraId="1B32A49B" w14:textId="77777777" w:rsidR="008262B7" w:rsidRPr="00363677" w:rsidRDefault="00000000">
      <w:pPr>
        <w:spacing w:before="240" w:after="240"/>
        <w:rPr>
          <w:rFonts w:ascii="Arial" w:hAnsi="Arial" w:cs="Arial"/>
        </w:rPr>
      </w:pPr>
      <w:r w:rsidRPr="00363677">
        <w:rPr>
          <w:rFonts w:ascii="Arial" w:hAnsi="Arial" w:cs="Arial"/>
        </w:rPr>
        <w:t>Political and Economic players are particularly powerful in the automobile industry of the world. The political actor captures the government regulation, trade policy, subsidies, and global supply chain decisions. To illustrate, significant shifts in industry strategy are driven by key political choices in EV incentives and trade barriers; recent research outlines how automotive policy (Shao and Campbell, 2024). These political forces have a direct impact on such firms as Tesla and Hyundai as they alter cost structures, market accessibility, and regulatory compliance costs.</w:t>
      </w:r>
    </w:p>
    <w:p w14:paraId="00E18563" w14:textId="77777777" w:rsidR="008262B7" w:rsidRPr="00363677" w:rsidRDefault="00000000">
      <w:pPr>
        <w:spacing w:before="240" w:after="240"/>
        <w:jc w:val="center"/>
        <w:rPr>
          <w:rFonts w:ascii="Arial" w:hAnsi="Arial" w:cs="Arial"/>
        </w:rPr>
      </w:pPr>
      <w:r w:rsidRPr="00363677">
        <w:rPr>
          <w:rFonts w:ascii="Arial" w:hAnsi="Arial" w:cs="Arial"/>
          <w:noProof/>
        </w:rPr>
        <w:drawing>
          <wp:inline distT="114300" distB="114300" distL="114300" distR="114300" wp14:anchorId="0FF06976" wp14:editId="27DED7B4">
            <wp:extent cx="4289588" cy="2144794"/>
            <wp:effectExtent l="76200" t="76200" r="130175" b="14160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89588" cy="21447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C6C77B" w14:textId="77777777" w:rsidR="008262B7" w:rsidRPr="00363677" w:rsidRDefault="00000000">
      <w:pPr>
        <w:spacing w:before="240" w:after="240"/>
        <w:jc w:val="center"/>
        <w:rPr>
          <w:rFonts w:ascii="Arial" w:hAnsi="Arial" w:cs="Arial"/>
          <w:b/>
          <w:bCs/>
        </w:rPr>
      </w:pPr>
      <w:r w:rsidRPr="00363677">
        <w:rPr>
          <w:rFonts w:ascii="Arial" w:hAnsi="Arial" w:cs="Arial"/>
          <w:b/>
          <w:bCs/>
        </w:rPr>
        <w:t>Figure 2: Automotive Industry Size</w:t>
      </w:r>
    </w:p>
    <w:p w14:paraId="72DFB371" w14:textId="77777777" w:rsidR="008262B7" w:rsidRPr="00363677" w:rsidRDefault="00000000">
      <w:pPr>
        <w:spacing w:before="240" w:after="240"/>
        <w:jc w:val="center"/>
        <w:rPr>
          <w:rFonts w:ascii="Arial" w:hAnsi="Arial" w:cs="Arial"/>
        </w:rPr>
      </w:pPr>
      <w:r w:rsidRPr="00363677">
        <w:rPr>
          <w:rFonts w:ascii="Arial" w:hAnsi="Arial" w:cs="Arial"/>
        </w:rPr>
        <w:t>(Source: Globe Newswire, 2024)</w:t>
      </w:r>
    </w:p>
    <w:p w14:paraId="0AF3E1BA" w14:textId="77777777" w:rsidR="008262B7" w:rsidRPr="00363677" w:rsidRDefault="00000000">
      <w:pPr>
        <w:spacing w:before="240" w:after="240"/>
        <w:rPr>
          <w:rFonts w:ascii="Arial" w:hAnsi="Arial" w:cs="Arial"/>
        </w:rPr>
      </w:pPr>
      <w:r w:rsidRPr="00363677">
        <w:rPr>
          <w:rFonts w:ascii="Arial" w:hAnsi="Arial" w:cs="Arial"/>
        </w:rPr>
        <w:lastRenderedPageBreak/>
        <w:t>Such variables as GDP growth, interest rates, inflation, exchange rates, consumer incomes and manufacturing costs belong to the economic actor. The automotive sector is currently worth US dollar 4.98 billion in the world, and is expected to grow, indicating the magnitude and delicateness of the business (Globe Newswire, 2024). There was also an increase in the global car sales to 74.6 million units in 2024 itself, which is 2.5 percent higher than in 2023, which shows that demands are strong, but the situation can change in case of economic changes. Such a state of the economy affects the affordability of vehicles, the ability to finance, and the cost of production, which are important to both first and second-mover companies(acea, 2025).</w:t>
      </w:r>
    </w:p>
    <w:p w14:paraId="492750CC" w14:textId="77777777" w:rsidR="008262B7" w:rsidRPr="00363677" w:rsidRDefault="00000000">
      <w:pPr>
        <w:spacing w:before="240" w:after="240"/>
        <w:rPr>
          <w:rFonts w:ascii="Arial" w:hAnsi="Arial" w:cs="Arial"/>
        </w:rPr>
      </w:pPr>
      <w:r w:rsidRPr="00363677">
        <w:rPr>
          <w:rFonts w:ascii="Arial" w:hAnsi="Arial" w:cs="Arial"/>
        </w:rPr>
        <w:t>The justification of the selection of Political and Economic actors is that both have a role in the high-level strategic decisions in the automobile industry: the political forces influence the regulatory and trade environment, and the economic forces influence demand, cost and investment environment. The two of them make up the external landscape in which companies design marketing strategy, product development, pricing and global expansion strategies. Controlling and reacting to such players puts companies in a competitive edge at an industry of change.</w:t>
      </w:r>
    </w:p>
    <w:p w14:paraId="04536CBE" w14:textId="77777777" w:rsidR="008262B7" w:rsidRPr="00363677" w:rsidRDefault="00000000">
      <w:pPr>
        <w:pStyle w:val="Heading2"/>
        <w:rPr>
          <w:rFonts w:ascii="Arial" w:hAnsi="Arial" w:cs="Arial"/>
        </w:rPr>
      </w:pPr>
      <w:bookmarkStart w:id="8" w:name="_g7aeovas2aiq" w:colFirst="0" w:colLast="0"/>
      <w:bookmarkStart w:id="9" w:name="_Toc214631169"/>
      <w:bookmarkEnd w:id="8"/>
      <w:r w:rsidRPr="00363677">
        <w:rPr>
          <w:rFonts w:ascii="Arial" w:hAnsi="Arial" w:cs="Arial"/>
        </w:rPr>
        <w:t>2.3 Critical Analysis of Each Actor</w:t>
      </w:r>
      <w:bookmarkEnd w:id="9"/>
    </w:p>
    <w:p w14:paraId="0F7F6535"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b/>
          <w:bCs/>
        </w:rPr>
      </w:pPr>
      <w:r w:rsidRPr="00363677">
        <w:rPr>
          <w:rFonts w:ascii="Arial" w:hAnsi="Arial" w:cs="Arial"/>
          <w:b/>
          <w:bCs/>
        </w:rPr>
        <w:t>Political actor — impact, opportunities &amp; threats</w:t>
      </w:r>
    </w:p>
    <w:p w14:paraId="255A4DDD"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rPr>
      </w:pPr>
      <w:r w:rsidRPr="00363677">
        <w:rPr>
          <w:rFonts w:ascii="Arial" w:hAnsi="Arial" w:cs="Arial"/>
        </w:rPr>
        <w:t>The market access and cost structures are altered by political choices like EV incentives, trade rules and safety regulations. In the case of early adopters such as Tesla, supportive policies (tax credits, local approval) increase demand and launch favorable investment in the area, but protectionism and more restrictive AV regulation increase compliance risk, Tesla global price cut and regulatory scrutiny in 2024 are examples of how the interaction between policy changes and market reaction can play out (Guardian staff reporter, 2024). To its adherents such as Hyundai, political change is pressure and opportunity: the US Inflation Reduction Act compelled Hyundai to expedite production in the US (Georgia EV plant) to receive the $7,500 credit to enhance competitiveness but demanded heavy CAPEX(electrive, 2024). To gain access to incentives, Tesla needs to lobby and selective localisation, whereas Hyundai needs to invest in regional plants and partnerships.</w:t>
      </w:r>
    </w:p>
    <w:p w14:paraId="1469E630"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b/>
          <w:bCs/>
        </w:rPr>
      </w:pPr>
      <w:r w:rsidRPr="00363677">
        <w:rPr>
          <w:rFonts w:ascii="Arial" w:hAnsi="Arial" w:cs="Arial"/>
          <w:b/>
          <w:bCs/>
        </w:rPr>
        <w:t>Economic actor — impact, opportunities &amp; threats</w:t>
      </w:r>
    </w:p>
    <w:p w14:paraId="3DB07D2E"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rPr>
      </w:pPr>
      <w:r w:rsidRPr="00363677">
        <w:rPr>
          <w:rFonts w:ascii="Arial" w:hAnsi="Arial" w:cs="Arial"/>
        </w:rPr>
        <w:lastRenderedPageBreak/>
        <w:t>The macro costs and demand cycles are relevant: EV sales are approaching 14 million globally in 2023 (as a share of 18) and 74.6 million in 2024 (as a non-EV), and Tesla faces greater demand cycles and price competition, whereas Hyundai is less sensitive due to its diversified portfolio with lower prices (IEA, 2024a).</w:t>
      </w:r>
    </w:p>
    <w:p w14:paraId="36BF1AF7"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rFonts w:ascii="Arial" w:hAnsi="Arial" w:cs="Arial"/>
        </w:rPr>
      </w:pPr>
      <w:r w:rsidRPr="00363677">
        <w:rPr>
          <w:rFonts w:ascii="Arial" w:hAnsi="Arial" w:cs="Arial"/>
          <w:b/>
          <w:bCs/>
        </w:rPr>
        <w:t>Strategic implications (economic):</w:t>
      </w:r>
      <w:r w:rsidRPr="00363677">
        <w:rPr>
          <w:rFonts w:ascii="Arial" w:hAnsi="Arial" w:cs="Arial"/>
        </w:rPr>
        <w:t xml:space="preserve"> Tesla needs to focus on scale, verticalisation and dynamic pricing; Hyundai needs to focus on affordability, diversified powertrains and regional cost optimisation.</w:t>
      </w:r>
    </w:p>
    <w:tbl>
      <w:tblPr>
        <w:tblStyle w:val="a"/>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3735"/>
        <w:gridCol w:w="3420"/>
      </w:tblGrid>
      <w:tr w:rsidR="008262B7" w:rsidRPr="00363677" w14:paraId="51DFFDD2" w14:textId="77777777">
        <w:trPr>
          <w:trHeight w:val="435"/>
        </w:trPr>
        <w:tc>
          <w:tcPr>
            <w:tcW w:w="172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C7A339F"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Factor</w:t>
            </w:r>
          </w:p>
        </w:tc>
        <w:tc>
          <w:tcPr>
            <w:tcW w:w="37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71B35F3"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Tesla (Pioneer)</w:t>
            </w:r>
          </w:p>
        </w:tc>
        <w:tc>
          <w:tcPr>
            <w:tcW w:w="342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9F1874A"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Hyundai (Follower)</w:t>
            </w:r>
          </w:p>
        </w:tc>
      </w:tr>
      <w:tr w:rsidR="008262B7" w:rsidRPr="00363677" w14:paraId="7BAFCE10" w14:textId="77777777">
        <w:trPr>
          <w:trHeight w:val="945"/>
        </w:trPr>
        <w:tc>
          <w:tcPr>
            <w:tcW w:w="17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9193643"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Political Impact</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77435B10"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Benefits from EV incentives; faces stricter localisation and AV scrutiny</w:t>
            </w:r>
          </w:p>
        </w:tc>
        <w:tc>
          <w:tcPr>
            <w:tcW w:w="3420" w:type="dxa"/>
            <w:tcBorders>
              <w:top w:val="nil"/>
              <w:left w:val="nil"/>
              <w:bottom w:val="single" w:sz="5" w:space="0" w:color="000000"/>
              <w:right w:val="single" w:sz="5" w:space="0" w:color="000000"/>
            </w:tcBorders>
            <w:tcMar>
              <w:top w:w="0" w:type="dxa"/>
              <w:left w:w="100" w:type="dxa"/>
              <w:bottom w:w="0" w:type="dxa"/>
              <w:right w:w="100" w:type="dxa"/>
            </w:tcMar>
          </w:tcPr>
          <w:p w14:paraId="6E0973E3"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Must localise to qualify for incentives; higher compliance pressure</w:t>
            </w:r>
          </w:p>
        </w:tc>
      </w:tr>
      <w:tr w:rsidR="008262B7" w:rsidRPr="00363677" w14:paraId="6E590834" w14:textId="77777777">
        <w:trPr>
          <w:trHeight w:val="945"/>
        </w:trPr>
        <w:tc>
          <w:tcPr>
            <w:tcW w:w="17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812CBB"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Economic Impact</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509DD195"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Premium pricing makes demand more sensitive; relies on cost reduction</w:t>
            </w:r>
          </w:p>
        </w:tc>
        <w:tc>
          <w:tcPr>
            <w:tcW w:w="3420" w:type="dxa"/>
            <w:tcBorders>
              <w:top w:val="nil"/>
              <w:left w:val="nil"/>
              <w:bottom w:val="single" w:sz="5" w:space="0" w:color="000000"/>
              <w:right w:val="single" w:sz="5" w:space="0" w:color="000000"/>
            </w:tcBorders>
            <w:tcMar>
              <w:top w:w="0" w:type="dxa"/>
              <w:left w:w="100" w:type="dxa"/>
              <w:bottom w:w="0" w:type="dxa"/>
              <w:right w:w="100" w:type="dxa"/>
            </w:tcMar>
          </w:tcPr>
          <w:p w14:paraId="517E1E30"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Broad price range reduces risk; benefits from mass-market demand</w:t>
            </w:r>
          </w:p>
        </w:tc>
      </w:tr>
      <w:tr w:rsidR="008262B7" w:rsidRPr="00363677" w14:paraId="60A64993" w14:textId="77777777">
        <w:trPr>
          <w:trHeight w:val="690"/>
        </w:trPr>
        <w:tc>
          <w:tcPr>
            <w:tcW w:w="17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89C9AE4"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Opportunity</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5AEEFB29"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Scale, vertical integration</w:t>
            </w:r>
          </w:p>
        </w:tc>
        <w:tc>
          <w:tcPr>
            <w:tcW w:w="3420" w:type="dxa"/>
            <w:tcBorders>
              <w:top w:val="nil"/>
              <w:left w:val="nil"/>
              <w:bottom w:val="single" w:sz="5" w:space="0" w:color="000000"/>
              <w:right w:val="single" w:sz="5" w:space="0" w:color="000000"/>
            </w:tcBorders>
            <w:tcMar>
              <w:top w:w="0" w:type="dxa"/>
              <w:left w:w="100" w:type="dxa"/>
              <w:bottom w:w="0" w:type="dxa"/>
              <w:right w:w="100" w:type="dxa"/>
            </w:tcMar>
          </w:tcPr>
          <w:p w14:paraId="1D264809"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Affordable EV growth, regional expansion</w:t>
            </w:r>
          </w:p>
        </w:tc>
      </w:tr>
      <w:tr w:rsidR="008262B7" w:rsidRPr="00363677" w14:paraId="79481836" w14:textId="77777777">
        <w:trPr>
          <w:trHeight w:val="690"/>
        </w:trPr>
        <w:tc>
          <w:tcPr>
            <w:tcW w:w="17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661711B"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b/>
                <w:bCs/>
              </w:rPr>
            </w:pPr>
            <w:r w:rsidRPr="00363677">
              <w:rPr>
                <w:rFonts w:ascii="Arial" w:hAnsi="Arial" w:cs="Arial"/>
                <w:b/>
                <w:bCs/>
              </w:rPr>
              <w:t>Threat</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433CF771"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Protectionism, interest-rate downturns</w:t>
            </w:r>
          </w:p>
        </w:tc>
        <w:tc>
          <w:tcPr>
            <w:tcW w:w="3420" w:type="dxa"/>
            <w:tcBorders>
              <w:top w:val="nil"/>
              <w:left w:val="nil"/>
              <w:bottom w:val="single" w:sz="5" w:space="0" w:color="000000"/>
              <w:right w:val="single" w:sz="5" w:space="0" w:color="000000"/>
            </w:tcBorders>
            <w:tcMar>
              <w:top w:w="0" w:type="dxa"/>
              <w:left w:w="100" w:type="dxa"/>
              <w:bottom w:w="0" w:type="dxa"/>
              <w:right w:w="100" w:type="dxa"/>
            </w:tcMar>
          </w:tcPr>
          <w:p w14:paraId="14ED93B4"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160" w:line="256" w:lineRule="auto"/>
              <w:rPr>
                <w:rFonts w:ascii="Arial" w:hAnsi="Arial" w:cs="Arial"/>
              </w:rPr>
            </w:pPr>
            <w:r w:rsidRPr="00363677">
              <w:rPr>
                <w:rFonts w:ascii="Arial" w:hAnsi="Arial" w:cs="Arial"/>
              </w:rPr>
              <w:t>High CAPEX for localisation, competition from low-cost EVs</w:t>
            </w:r>
          </w:p>
        </w:tc>
      </w:tr>
    </w:tbl>
    <w:p w14:paraId="5DD5B5D1"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jc w:val="center"/>
        <w:rPr>
          <w:rFonts w:ascii="Arial" w:hAnsi="Arial" w:cs="Arial"/>
          <w:b/>
          <w:bCs/>
        </w:rPr>
      </w:pPr>
      <w:r w:rsidRPr="00363677">
        <w:rPr>
          <w:rFonts w:ascii="Arial" w:hAnsi="Arial" w:cs="Arial"/>
          <w:b/>
          <w:bCs/>
        </w:rPr>
        <w:t>Table 1: Comparative Impact of Political and Economic Factors on Tesla and Hyundai</w:t>
      </w:r>
    </w:p>
    <w:p w14:paraId="6AAD09D6"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jc w:val="center"/>
        <w:rPr>
          <w:rFonts w:ascii="Arial" w:hAnsi="Arial" w:cs="Arial"/>
        </w:rPr>
      </w:pPr>
      <w:r w:rsidRPr="00363677">
        <w:rPr>
          <w:rFonts w:ascii="Arial" w:hAnsi="Arial" w:cs="Arial"/>
        </w:rPr>
        <w:t>(Source: Self-Created)</w:t>
      </w:r>
    </w:p>
    <w:p w14:paraId="0B5F3AB3" w14:textId="77777777" w:rsidR="008262B7" w:rsidRPr="00363677" w:rsidRDefault="00000000">
      <w:pPr>
        <w:pStyle w:val="Heading1"/>
        <w:rPr>
          <w:rFonts w:ascii="Arial" w:hAnsi="Arial" w:cs="Arial"/>
        </w:rPr>
      </w:pPr>
      <w:bookmarkStart w:id="10" w:name="_4vtu33kcogqz" w:colFirst="0" w:colLast="0"/>
      <w:bookmarkStart w:id="11" w:name="_Toc214631170"/>
      <w:bookmarkEnd w:id="10"/>
      <w:r w:rsidRPr="00363677">
        <w:rPr>
          <w:rFonts w:ascii="Arial" w:hAnsi="Arial" w:cs="Arial"/>
        </w:rPr>
        <w:t>3. Task 2: Strategic Responses of Pioneering and Follower Organisations</w:t>
      </w:r>
      <w:bookmarkEnd w:id="11"/>
    </w:p>
    <w:p w14:paraId="5F5BA457" w14:textId="77777777" w:rsidR="008262B7" w:rsidRPr="00363677" w:rsidRDefault="00000000">
      <w:pPr>
        <w:pStyle w:val="Heading2"/>
        <w:rPr>
          <w:rFonts w:ascii="Arial" w:hAnsi="Arial" w:cs="Arial"/>
        </w:rPr>
      </w:pPr>
      <w:bookmarkStart w:id="12" w:name="_k26a0amzb1na" w:colFirst="0" w:colLast="0"/>
      <w:bookmarkStart w:id="13" w:name="_Toc214631171"/>
      <w:bookmarkEnd w:id="12"/>
      <w:r w:rsidRPr="00363677">
        <w:rPr>
          <w:rFonts w:ascii="Arial" w:hAnsi="Arial" w:cs="Arial"/>
        </w:rPr>
        <w:t>3.1 Pioneering Organisations’ Strategic Responses</w:t>
      </w:r>
      <w:bookmarkEnd w:id="13"/>
    </w:p>
    <w:p w14:paraId="59BC8A1A" w14:textId="77777777" w:rsidR="008262B7" w:rsidRPr="00363677" w:rsidRDefault="00000000">
      <w:pPr>
        <w:pStyle w:val="Heading3"/>
        <w:rPr>
          <w:rFonts w:ascii="Arial" w:hAnsi="Arial" w:cs="Arial"/>
        </w:rPr>
      </w:pPr>
      <w:bookmarkStart w:id="14" w:name="_e81f2tj1i5rm" w:colFirst="0" w:colLast="0"/>
      <w:bookmarkStart w:id="15" w:name="_Toc214631172"/>
      <w:bookmarkEnd w:id="14"/>
      <w:r w:rsidRPr="00363677">
        <w:rPr>
          <w:rFonts w:ascii="Arial" w:eastAsia="Gungsuh" w:hAnsi="Arial" w:cs="Arial"/>
        </w:rPr>
        <w:t>Response to Political Challenges &amp; Opportunities (≈100 words)</w:t>
      </w:r>
      <w:bookmarkEnd w:id="15"/>
    </w:p>
    <w:p w14:paraId="310AE1E3" w14:textId="77777777" w:rsidR="008262B7" w:rsidRPr="00363677" w:rsidRDefault="00000000">
      <w:pPr>
        <w:spacing w:before="240" w:after="240"/>
        <w:rPr>
          <w:rFonts w:ascii="Arial" w:hAnsi="Arial" w:cs="Arial"/>
        </w:rPr>
      </w:pPr>
      <w:r w:rsidRPr="00363677">
        <w:rPr>
          <w:rFonts w:ascii="Arial" w:hAnsi="Arial" w:cs="Arial"/>
        </w:rPr>
        <w:t xml:space="preserve">The political forces have a significant impact on Tesla, as the global expansion of the enterprise relies on the governmental incentives, the localisation regulations, and the legal authorisation of autonomous driving. Since Tesla is an innovator, this is </w:t>
      </w:r>
      <w:r w:rsidRPr="00363677">
        <w:rPr>
          <w:rFonts w:ascii="Arial" w:hAnsi="Arial" w:cs="Arial"/>
        </w:rPr>
        <w:lastRenderedPageBreak/>
        <w:t>countered by finding Gigafactories in politically strategic locations, including the U.S., Germany and China, to access the tax benefits, tariff cuts, and access to subsidies (Tesla, 2025). This plan will reduce the cost of production and enhance market legitimacy. Tesla also lobbies to secure its leadership on technology, particularly autonomous-vehicle safety (IEA, 2024b). Nevertheless, political risks like abrupt reduction of subsidies or protectionism may decrease the sales and decelerate the growth, and Tesla is forced to adapt the prices and speed of localisation.</w:t>
      </w:r>
    </w:p>
    <w:p w14:paraId="09887E29" w14:textId="77777777" w:rsidR="008262B7" w:rsidRPr="00363677" w:rsidRDefault="00000000">
      <w:pPr>
        <w:pStyle w:val="Heading3"/>
        <w:rPr>
          <w:rFonts w:ascii="Arial" w:hAnsi="Arial" w:cs="Arial"/>
        </w:rPr>
      </w:pPr>
      <w:bookmarkStart w:id="16" w:name="_y7ztmb9zzdge" w:colFirst="0" w:colLast="0"/>
      <w:bookmarkStart w:id="17" w:name="_Toc214631173"/>
      <w:bookmarkEnd w:id="16"/>
      <w:r w:rsidRPr="00363677">
        <w:rPr>
          <w:rFonts w:ascii="Arial" w:hAnsi="Arial" w:cs="Arial"/>
        </w:rPr>
        <w:t>Response to Economic Conditions Using Ansoff’s Growth Matrix</w:t>
      </w:r>
      <w:bookmarkEnd w:id="17"/>
      <w:r w:rsidRPr="00363677">
        <w:rPr>
          <w:rFonts w:ascii="Arial" w:hAnsi="Arial" w:cs="Arial"/>
        </w:rPr>
        <w:t xml:space="preserve"> </w:t>
      </w:r>
    </w:p>
    <w:p w14:paraId="545CA351" w14:textId="77777777" w:rsidR="008262B7" w:rsidRPr="00363677" w:rsidRDefault="00000000">
      <w:pPr>
        <w:jc w:val="center"/>
        <w:rPr>
          <w:rFonts w:ascii="Arial" w:hAnsi="Arial" w:cs="Arial"/>
        </w:rPr>
      </w:pPr>
      <w:r w:rsidRPr="00363677">
        <w:rPr>
          <w:rFonts w:ascii="Arial" w:hAnsi="Arial" w:cs="Arial"/>
          <w:noProof/>
        </w:rPr>
        <w:drawing>
          <wp:inline distT="114300" distB="114300" distL="114300" distR="114300" wp14:anchorId="4F059781" wp14:editId="18559B60">
            <wp:extent cx="5731200" cy="2997200"/>
            <wp:effectExtent l="76200" t="76200" r="136525" b="1270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2997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F22BA7" w14:textId="77777777" w:rsidR="008262B7" w:rsidRPr="00363677" w:rsidRDefault="00000000">
      <w:pPr>
        <w:jc w:val="center"/>
        <w:rPr>
          <w:rFonts w:ascii="Arial" w:hAnsi="Arial" w:cs="Arial"/>
          <w:b/>
          <w:bCs/>
        </w:rPr>
      </w:pPr>
      <w:r w:rsidRPr="00363677">
        <w:rPr>
          <w:rFonts w:ascii="Arial" w:hAnsi="Arial" w:cs="Arial"/>
          <w:b/>
          <w:bCs/>
        </w:rPr>
        <w:t>Figure 3: Ansoff Matrix</w:t>
      </w:r>
    </w:p>
    <w:p w14:paraId="2DB038D7" w14:textId="27366727" w:rsidR="008262B7" w:rsidRPr="00363677" w:rsidRDefault="00000000" w:rsidP="00363677">
      <w:pPr>
        <w:jc w:val="center"/>
        <w:rPr>
          <w:rFonts w:ascii="Arial" w:hAnsi="Arial" w:cs="Arial"/>
        </w:rPr>
      </w:pPr>
      <w:r w:rsidRPr="00363677">
        <w:rPr>
          <w:rFonts w:ascii="Arial" w:hAnsi="Arial" w:cs="Arial"/>
        </w:rPr>
        <w:t>(Source: The Strategy Institute, 2024)</w:t>
      </w:r>
    </w:p>
    <w:p w14:paraId="5C816513" w14:textId="77777777" w:rsidR="008262B7" w:rsidRPr="00363677" w:rsidRDefault="00000000" w:rsidP="00363677">
      <w:pPr>
        <w:spacing w:before="240" w:after="240"/>
        <w:rPr>
          <w:rFonts w:ascii="Arial" w:hAnsi="Arial" w:cs="Arial"/>
        </w:rPr>
      </w:pPr>
      <w:r w:rsidRPr="00363677">
        <w:rPr>
          <w:rFonts w:ascii="Arial" w:hAnsi="Arial" w:cs="Arial"/>
        </w:rPr>
        <w:t>Tesla is employing Market Penetration with the help of the Growth Matrix by Ansoff by lowering the price of EVs in the times of high interest rates as a defense against demand. Under Product Development, Tesla puts its money in the new vehicles like Cybertruck and Full Self-Driving software so as to remain technologically ahead (acea, 2025a). In the category of Market Development, Tesla will enter Indian, Turkish and Southeast Asian markets in reaction to the increasing middle-income demand and positive EV policies. In the case of Diversification, Tesla establishes its energy-storage and solar enterprise that helps it to be less reliant on car sales in periods of economic slowdowns (Shamsuddoha and Nasir, 2025). These strategies aid Tesla to stabilise revenue but also expose Tesla to high cost of R&amp;D and production.</w:t>
      </w:r>
    </w:p>
    <w:p w14:paraId="6B0F62FD" w14:textId="77777777" w:rsidR="008262B7" w:rsidRPr="00363677" w:rsidRDefault="00000000">
      <w:pPr>
        <w:pStyle w:val="Heading3"/>
        <w:rPr>
          <w:rFonts w:ascii="Arial" w:hAnsi="Arial" w:cs="Arial"/>
        </w:rPr>
      </w:pPr>
      <w:bookmarkStart w:id="18" w:name="_w66q1uftl18c" w:colFirst="0" w:colLast="0"/>
      <w:bookmarkEnd w:id="18"/>
      <w:r w:rsidRPr="00363677">
        <w:rPr>
          <w:rFonts w:ascii="Arial" w:hAnsi="Arial" w:cs="Arial"/>
        </w:rPr>
        <w:lastRenderedPageBreak/>
        <w:t xml:space="preserve"> </w:t>
      </w:r>
      <w:bookmarkStart w:id="19" w:name="_Toc214631174"/>
      <w:r w:rsidRPr="00363677">
        <w:rPr>
          <w:rFonts w:ascii="Arial" w:hAnsi="Arial" w:cs="Arial"/>
        </w:rPr>
        <w:t>Response to Competitive Pressure Using Porter’s Generic Strategies</w:t>
      </w:r>
      <w:bookmarkEnd w:id="19"/>
      <w:r w:rsidRPr="00363677">
        <w:rPr>
          <w:rFonts w:ascii="Arial" w:hAnsi="Arial" w:cs="Arial"/>
        </w:rPr>
        <w:t xml:space="preserve"> </w:t>
      </w:r>
    </w:p>
    <w:p w14:paraId="485582FD" w14:textId="77777777" w:rsidR="008262B7" w:rsidRPr="00363677" w:rsidRDefault="00000000">
      <w:pPr>
        <w:jc w:val="center"/>
        <w:rPr>
          <w:rFonts w:ascii="Arial" w:hAnsi="Arial" w:cs="Arial"/>
        </w:rPr>
      </w:pPr>
      <w:r w:rsidRPr="00363677">
        <w:rPr>
          <w:rFonts w:ascii="Arial" w:hAnsi="Arial" w:cs="Arial"/>
          <w:noProof/>
        </w:rPr>
        <w:drawing>
          <wp:inline distT="114300" distB="114300" distL="114300" distR="114300" wp14:anchorId="119C4F4A" wp14:editId="00E37072">
            <wp:extent cx="4359275" cy="2295977"/>
            <wp:effectExtent l="76200" t="76200" r="136525" b="142875"/>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366611" cy="22998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8F0026" w14:textId="77777777" w:rsidR="008262B7" w:rsidRPr="00363677" w:rsidRDefault="00000000">
      <w:pPr>
        <w:jc w:val="center"/>
        <w:rPr>
          <w:rFonts w:ascii="Arial" w:hAnsi="Arial" w:cs="Arial"/>
          <w:b/>
          <w:bCs/>
        </w:rPr>
      </w:pPr>
      <w:r w:rsidRPr="00363677">
        <w:rPr>
          <w:rFonts w:ascii="Arial" w:hAnsi="Arial" w:cs="Arial"/>
          <w:b/>
          <w:bCs/>
        </w:rPr>
        <w:t>Figure 4: Porter’s Differentiation Strategy</w:t>
      </w:r>
    </w:p>
    <w:p w14:paraId="70057C48" w14:textId="77777777" w:rsidR="008262B7" w:rsidRPr="00363677" w:rsidRDefault="00000000">
      <w:pPr>
        <w:jc w:val="center"/>
        <w:rPr>
          <w:rFonts w:ascii="Arial" w:hAnsi="Arial" w:cs="Arial"/>
        </w:rPr>
      </w:pPr>
      <w:r w:rsidRPr="00363677">
        <w:rPr>
          <w:rFonts w:ascii="Arial" w:hAnsi="Arial" w:cs="Arial"/>
        </w:rPr>
        <w:t>(Source: de Bruin, 2021)</w:t>
      </w:r>
    </w:p>
    <w:p w14:paraId="1D7DC521" w14:textId="77777777" w:rsidR="008262B7" w:rsidRPr="00363677" w:rsidRDefault="00000000">
      <w:pPr>
        <w:spacing w:before="240" w:after="240"/>
        <w:rPr>
          <w:rFonts w:ascii="Arial" w:hAnsi="Arial" w:cs="Arial"/>
        </w:rPr>
      </w:pPr>
      <w:r w:rsidRPr="00363677">
        <w:rPr>
          <w:rFonts w:ascii="Arial" w:hAnsi="Arial" w:cs="Arial"/>
        </w:rPr>
        <w:t>Tesla applies the Differentiation Strategy in which Porter explains that the company provides more superior technologies in battery, over-the-air updates, and autonomous-driving that the other competitors can barely replicate. This separation makes Tesla have a high brand loyalty (reuters, 2024). Tesla, at the same time, uses more and more Cost Leadership components, which are vertical integration, in-house battery manufacturing, and Gigafactory economies of scale. Such a twin approach will enable Tesla to protect its leadership position against newcomers such as Hyundai and BYD (IEA, 2024c). But, differentiation generates high R&amp;D expenses whereas cost leadership leaves Tesla vulnerable to fluctuations in the price of raw materials and means the company has to continually work on efficiency to stay competitive.</w:t>
      </w:r>
    </w:p>
    <w:p w14:paraId="7D0036E9" w14:textId="77777777" w:rsidR="008262B7" w:rsidRPr="00363677" w:rsidRDefault="00000000">
      <w:pPr>
        <w:pStyle w:val="Heading2"/>
        <w:rPr>
          <w:rFonts w:ascii="Arial" w:hAnsi="Arial" w:cs="Arial"/>
        </w:rPr>
      </w:pPr>
      <w:bookmarkStart w:id="20" w:name="_jmivv2xygkn1" w:colFirst="0" w:colLast="0"/>
      <w:bookmarkStart w:id="21" w:name="_Toc214631175"/>
      <w:bookmarkEnd w:id="20"/>
      <w:r w:rsidRPr="00363677">
        <w:rPr>
          <w:rFonts w:ascii="Arial" w:hAnsi="Arial" w:cs="Arial"/>
        </w:rPr>
        <w:t>3.2 Follower Organisations’ Strategic Responses</w:t>
      </w:r>
      <w:bookmarkEnd w:id="21"/>
    </w:p>
    <w:p w14:paraId="0C478421" w14:textId="77777777" w:rsidR="008262B7" w:rsidRPr="00363677" w:rsidRDefault="00000000">
      <w:pPr>
        <w:pStyle w:val="Heading3"/>
        <w:rPr>
          <w:rFonts w:ascii="Arial" w:hAnsi="Arial" w:cs="Arial"/>
        </w:rPr>
      </w:pPr>
      <w:bookmarkStart w:id="22" w:name="_dvpj3xq5cnp1" w:colFirst="0" w:colLast="0"/>
      <w:bookmarkStart w:id="23" w:name="_Toc214631176"/>
      <w:bookmarkEnd w:id="22"/>
      <w:r w:rsidRPr="00363677">
        <w:rPr>
          <w:rFonts w:ascii="Arial" w:hAnsi="Arial" w:cs="Arial"/>
        </w:rPr>
        <w:t>Response to Political Pressures &amp; Opportunities</w:t>
      </w:r>
      <w:bookmarkEnd w:id="23"/>
      <w:r w:rsidRPr="00363677">
        <w:rPr>
          <w:rFonts w:ascii="Arial" w:hAnsi="Arial" w:cs="Arial"/>
        </w:rPr>
        <w:t xml:space="preserve"> </w:t>
      </w:r>
    </w:p>
    <w:p w14:paraId="2EA4A6A7" w14:textId="77777777" w:rsidR="008262B7" w:rsidRPr="00363677" w:rsidRDefault="00000000">
      <w:pPr>
        <w:spacing w:before="240" w:after="240"/>
        <w:rPr>
          <w:rFonts w:ascii="Arial" w:hAnsi="Arial" w:cs="Arial"/>
        </w:rPr>
      </w:pPr>
      <w:r w:rsidRPr="00363677">
        <w:rPr>
          <w:rFonts w:ascii="Arial" w:hAnsi="Arial" w:cs="Arial"/>
        </w:rPr>
        <w:t xml:space="preserve">Being a follower firm, Hyundai adapts to political pressures through enhancing localisation and establishment of government-oriented alliances. Foreign-made EVs were not all subject to tax incentives under the U.S. Inflation Reduction Act, accelerating Hyundai to build its 7.6-billion-dollar facility in Georgia to assemble EVs and batteries and qualify for tax breaks, and decrease the need to import vehicles (Roberts, 2023). This political adaptation enhances competition to the pioneers and minimize the tariff exposure. Hyundai is also partnering with governments in hydrogen </w:t>
      </w:r>
      <w:r w:rsidRPr="00363677">
        <w:rPr>
          <w:rFonts w:ascii="Arial" w:hAnsi="Arial" w:cs="Arial"/>
        </w:rPr>
        <w:lastRenderedPageBreak/>
        <w:t>mobility programmes in Europe and South Korea, which are in line with national green targets. Yet, these political reactions are costly and expensive to capitalize thus increasing operational risks to Hyundai as compared to Tesla.</w:t>
      </w:r>
    </w:p>
    <w:p w14:paraId="7D9A2523" w14:textId="77777777" w:rsidR="008262B7" w:rsidRPr="00363677" w:rsidRDefault="00000000">
      <w:pPr>
        <w:pStyle w:val="Heading3"/>
        <w:rPr>
          <w:rFonts w:ascii="Arial" w:hAnsi="Arial" w:cs="Arial"/>
        </w:rPr>
      </w:pPr>
      <w:bookmarkStart w:id="24" w:name="_2322kf3mqest" w:colFirst="0" w:colLast="0"/>
      <w:bookmarkStart w:id="25" w:name="_Toc214631177"/>
      <w:bookmarkEnd w:id="24"/>
      <w:r w:rsidRPr="00363677">
        <w:rPr>
          <w:rFonts w:ascii="Arial" w:eastAsia="Gungsuh" w:hAnsi="Arial" w:cs="Arial"/>
        </w:rPr>
        <w:t>Strategic Response Using Ansoff’s Growth Matrix (≈100 words)</w:t>
      </w:r>
      <w:bookmarkEnd w:id="25"/>
    </w:p>
    <w:p w14:paraId="1D8FB311" w14:textId="77777777" w:rsidR="008262B7" w:rsidRPr="00363677" w:rsidRDefault="00000000">
      <w:pPr>
        <w:rPr>
          <w:rFonts w:ascii="Arial" w:hAnsi="Arial" w:cs="Arial"/>
        </w:rPr>
      </w:pPr>
      <w:r w:rsidRPr="00363677">
        <w:rPr>
          <w:rFonts w:ascii="Arial" w:hAnsi="Arial" w:cs="Arial"/>
          <w:noProof/>
        </w:rPr>
        <w:drawing>
          <wp:inline distT="114300" distB="114300" distL="114300" distR="114300" wp14:anchorId="27C1ED56" wp14:editId="0D21653A">
            <wp:extent cx="5731200" cy="3606800"/>
            <wp:effectExtent l="76200" t="76200" r="136525" b="1270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606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D556B0" w14:textId="77777777" w:rsidR="008262B7" w:rsidRPr="00363677" w:rsidRDefault="00000000">
      <w:pPr>
        <w:jc w:val="center"/>
        <w:rPr>
          <w:rFonts w:ascii="Arial" w:hAnsi="Arial" w:cs="Arial"/>
          <w:b/>
          <w:bCs/>
        </w:rPr>
      </w:pPr>
      <w:r w:rsidRPr="00363677">
        <w:rPr>
          <w:rFonts w:ascii="Arial" w:hAnsi="Arial" w:cs="Arial"/>
          <w:b/>
          <w:bCs/>
        </w:rPr>
        <w:t>Figure 5: Ansoff Matrix</w:t>
      </w:r>
    </w:p>
    <w:p w14:paraId="0F6B6AAB" w14:textId="77777777" w:rsidR="008262B7" w:rsidRPr="00363677" w:rsidRDefault="00000000">
      <w:pPr>
        <w:jc w:val="center"/>
        <w:rPr>
          <w:rFonts w:ascii="Arial" w:hAnsi="Arial" w:cs="Arial"/>
        </w:rPr>
      </w:pPr>
      <w:r w:rsidRPr="00363677">
        <w:rPr>
          <w:rFonts w:ascii="Arial" w:hAnsi="Arial" w:cs="Arial"/>
        </w:rPr>
        <w:t>(Source: The Strategy Institute, 2024)</w:t>
      </w:r>
    </w:p>
    <w:p w14:paraId="26E7D599" w14:textId="77777777" w:rsidR="008262B7" w:rsidRPr="00363677" w:rsidRDefault="00000000">
      <w:pPr>
        <w:spacing w:before="240" w:after="240"/>
        <w:rPr>
          <w:rFonts w:ascii="Arial" w:hAnsi="Arial" w:cs="Arial"/>
        </w:rPr>
      </w:pPr>
      <w:r w:rsidRPr="00363677">
        <w:rPr>
          <w:rFonts w:ascii="Arial" w:hAnsi="Arial" w:cs="Arial"/>
        </w:rPr>
        <w:t>The pricing models that Hyundai implements to compete in the costs-conscious markets include Kona EV and Ioniq models. Hyundai works on hydrogen cars (NEXO) in Product Development and its E-GMP EV platform to stand out of the traditional EV competitors. In the case of Market Development, Hyundai has been aggressively expanding in India, Southeast Asia, and Europe, where demand is rising due to growing middle-income populations and EV subsidies (Boston Dynamics, 2024). Another Diversification approach that Hyundai undertakes is robotics, having bought Boston Dynamics and ventured into the autonomous mobility solutions. These plans mitigate the disadvantage of followers but make Hyundai more dependent on the high level of R&amp;D expenditures and globalization.</w:t>
      </w:r>
    </w:p>
    <w:p w14:paraId="26FA2041" w14:textId="77777777" w:rsidR="008262B7" w:rsidRPr="00363677" w:rsidRDefault="00000000">
      <w:pPr>
        <w:pStyle w:val="Heading3"/>
        <w:rPr>
          <w:rFonts w:ascii="Arial" w:hAnsi="Arial" w:cs="Arial"/>
        </w:rPr>
      </w:pPr>
      <w:bookmarkStart w:id="26" w:name="_i7jr2apz3d9n" w:colFirst="0" w:colLast="0"/>
      <w:bookmarkStart w:id="27" w:name="_Toc214631178"/>
      <w:bookmarkEnd w:id="26"/>
      <w:r w:rsidRPr="00363677">
        <w:rPr>
          <w:rFonts w:ascii="Arial" w:hAnsi="Arial" w:cs="Arial"/>
        </w:rPr>
        <w:lastRenderedPageBreak/>
        <w:t>Response to Competition Using Porter’s Generic Strategies</w:t>
      </w:r>
      <w:bookmarkEnd w:id="27"/>
      <w:r w:rsidRPr="00363677">
        <w:rPr>
          <w:rFonts w:ascii="Arial" w:hAnsi="Arial" w:cs="Arial"/>
        </w:rPr>
        <w:t xml:space="preserve"> </w:t>
      </w:r>
    </w:p>
    <w:p w14:paraId="64B43700" w14:textId="77777777" w:rsidR="008262B7" w:rsidRPr="00363677" w:rsidRDefault="00000000">
      <w:pPr>
        <w:jc w:val="center"/>
        <w:rPr>
          <w:rFonts w:ascii="Arial" w:hAnsi="Arial" w:cs="Arial"/>
        </w:rPr>
      </w:pPr>
      <w:r w:rsidRPr="00363677">
        <w:rPr>
          <w:rFonts w:ascii="Arial" w:hAnsi="Arial" w:cs="Arial"/>
          <w:noProof/>
        </w:rPr>
        <w:drawing>
          <wp:inline distT="114300" distB="114300" distL="114300" distR="114300" wp14:anchorId="766CB215" wp14:editId="6FB0D73A">
            <wp:extent cx="4117335" cy="3002508"/>
            <wp:effectExtent l="76200" t="76200" r="131445" b="14097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117335" cy="3002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AEEF96" w14:textId="77777777" w:rsidR="008262B7" w:rsidRPr="00363677" w:rsidRDefault="00000000">
      <w:pPr>
        <w:jc w:val="center"/>
        <w:rPr>
          <w:rFonts w:ascii="Arial" w:hAnsi="Arial" w:cs="Arial"/>
          <w:b/>
          <w:bCs/>
        </w:rPr>
      </w:pPr>
      <w:r w:rsidRPr="00363677">
        <w:rPr>
          <w:rFonts w:ascii="Arial" w:hAnsi="Arial" w:cs="Arial"/>
          <w:b/>
          <w:bCs/>
        </w:rPr>
        <w:t>Figure 6: Porter’s Differentiation Strategy</w:t>
      </w:r>
    </w:p>
    <w:p w14:paraId="022A3F9D" w14:textId="77777777" w:rsidR="008262B7" w:rsidRPr="00363677" w:rsidRDefault="00000000">
      <w:pPr>
        <w:jc w:val="center"/>
        <w:rPr>
          <w:rFonts w:ascii="Arial" w:hAnsi="Arial" w:cs="Arial"/>
        </w:rPr>
      </w:pPr>
      <w:r w:rsidRPr="00363677">
        <w:rPr>
          <w:rFonts w:ascii="Arial" w:hAnsi="Arial" w:cs="Arial"/>
        </w:rPr>
        <w:t>(Source: de Bruin, 2021)</w:t>
      </w:r>
    </w:p>
    <w:p w14:paraId="29D70FBA" w14:textId="77777777" w:rsidR="008262B7" w:rsidRPr="00363677" w:rsidRDefault="00000000">
      <w:pPr>
        <w:spacing w:before="240" w:after="240"/>
        <w:rPr>
          <w:rFonts w:ascii="Arial" w:hAnsi="Arial" w:cs="Arial"/>
        </w:rPr>
      </w:pPr>
      <w:r w:rsidRPr="00363677">
        <w:rPr>
          <w:rFonts w:ascii="Arial" w:hAnsi="Arial" w:cs="Arial"/>
        </w:rPr>
        <w:t>Hyundai employs a Cost Leadership approach, where its EVs and hybrids have lower prices compared to innovators such as Tesla and have a good reputation regarding reliability and extended warranty. This assists Hyundai to gain value conscious customers and more so in the emerging markets. Another focus in differentiation taken by Hyundai is the advanced design (Ioniq series), safety, and rapid-charging performance able to compete with premium brands. To illustrate, the Ioniq 5 was voted World Car of the Year (2022) and this cements the fact that Hyundai is a competitive brand in terms of quality. Yet, the rivalry on the cost and differentiation fronts puts Hyundai at a disadvantage of cost and differentiation that forces the company to sustain efficiency and at the same time keep innovating and generating long term cost and technology challenges.</w:t>
      </w:r>
    </w:p>
    <w:p w14:paraId="3A831410" w14:textId="77777777" w:rsidR="008262B7" w:rsidRPr="00363677" w:rsidRDefault="00000000">
      <w:pPr>
        <w:pStyle w:val="Heading1"/>
        <w:rPr>
          <w:rFonts w:ascii="Arial" w:hAnsi="Arial" w:cs="Arial"/>
        </w:rPr>
      </w:pPr>
      <w:bookmarkStart w:id="28" w:name="_n0lvesv2urd7" w:colFirst="0" w:colLast="0"/>
      <w:bookmarkStart w:id="29" w:name="_Toc214631179"/>
      <w:bookmarkEnd w:id="28"/>
      <w:r w:rsidRPr="00363677">
        <w:rPr>
          <w:rFonts w:ascii="Arial" w:hAnsi="Arial" w:cs="Arial"/>
        </w:rPr>
        <w:t>4. Conclusion</w:t>
      </w:r>
      <w:bookmarkEnd w:id="29"/>
      <w:r w:rsidRPr="00363677">
        <w:rPr>
          <w:rFonts w:ascii="Arial" w:hAnsi="Arial" w:cs="Arial"/>
        </w:rPr>
        <w:t xml:space="preserve"> </w:t>
      </w:r>
    </w:p>
    <w:p w14:paraId="0A894C30" w14:textId="1315D149" w:rsidR="008262B7" w:rsidRPr="00363677" w:rsidRDefault="00000000">
      <w:pPr>
        <w:spacing w:before="240" w:after="240"/>
        <w:rPr>
          <w:rFonts w:ascii="Arial" w:hAnsi="Arial" w:cs="Arial"/>
        </w:rPr>
      </w:pPr>
      <w:r w:rsidRPr="00363677">
        <w:rPr>
          <w:rFonts w:ascii="Arial" w:hAnsi="Arial" w:cs="Arial"/>
        </w:rPr>
        <w:t xml:space="preserve">This report studied the strategic marketing decisions made within the automobile industry due to external macro-environment factors with Tesla as an innovative organisation and Hyundai as a copycat. The discussion of the political and economic players revealed that both companies are in a very regulated and economically </w:t>
      </w:r>
      <w:r w:rsidRPr="00363677">
        <w:rPr>
          <w:rFonts w:ascii="Arial" w:hAnsi="Arial" w:cs="Arial"/>
        </w:rPr>
        <w:lastRenderedPageBreak/>
        <w:t>sensitive sector yet the reaction is dissimilar due to their stances in the competitive environment. The political influences, including EV incentives, localisation regulations and regulatory reviews, pose some opportunities and limitations. Tesla enjoys the first-mover advantages but experiences greater pressure to meet the criteria of autonomous-driving and environmental regulation. As a follower, Hyundai has been able to conform through the expansion of local production and the establishment of partnerships that would be conducive to the government to continue enjoying incentives and minimize exposure to tariffs.</w:t>
      </w:r>
      <w:r w:rsidR="00363677" w:rsidRPr="00363677">
        <w:rPr>
          <w:rFonts w:ascii="Arial" w:hAnsi="Arial" w:cs="Arial"/>
        </w:rPr>
        <w:t xml:space="preserve"> </w:t>
      </w:r>
      <w:r w:rsidRPr="00363677">
        <w:rPr>
          <w:rFonts w:ascii="Arial" w:hAnsi="Arial" w:cs="Arial"/>
        </w:rPr>
        <w:t>Both companies are influenced by economic conditions including inflation, interest rates and evolving world demand, which would influence their affordability and production costs. Tesla reacts with the help of scale, reduction of costs and extensive innovativeness, whereas Hyundai uses diversified product portfolios and competitive prices to cover the larger segments. The Growth Matrix and the Generic Strategies developed by Ansoff and Porter illustrated how both companies are leveraging their systematic strategic frameworks to take advantage of the existing opportunities, risks and positioning within their competitive frameworks.</w:t>
      </w:r>
      <w:r w:rsidR="00363677" w:rsidRPr="00363677">
        <w:rPr>
          <w:rFonts w:ascii="Arial" w:hAnsi="Arial" w:cs="Arial"/>
        </w:rPr>
        <w:t xml:space="preserve"> </w:t>
      </w:r>
      <w:r w:rsidRPr="00363677">
        <w:rPr>
          <w:rFonts w:ascii="Arial" w:hAnsi="Arial" w:cs="Arial"/>
        </w:rPr>
        <w:t>In general, the results indicate that continuous environmental scanning is critical to organisations in dynamic industries. Tracking political and economic changes allows the companies to predict regulatory changes, price changes, optimisation of localisation, and product redesign. Both pioneers and followers can remain competitive in the fast changing global markets by adjusting to the new changes through the provision of adaptive marketing responses such as market expansion, product innovation and cost oriented strategies.</w:t>
      </w:r>
    </w:p>
    <w:p w14:paraId="503C92BF" w14:textId="77777777" w:rsidR="008262B7" w:rsidRPr="00363677" w:rsidRDefault="008262B7">
      <w:pPr>
        <w:spacing w:before="240" w:after="240"/>
        <w:rPr>
          <w:rFonts w:ascii="Arial" w:hAnsi="Arial" w:cs="Arial"/>
        </w:rPr>
      </w:pPr>
    </w:p>
    <w:p w14:paraId="3ED683E7" w14:textId="77777777" w:rsidR="008262B7" w:rsidRPr="00363677" w:rsidRDefault="00000000">
      <w:pPr>
        <w:spacing w:before="240" w:after="240"/>
        <w:rPr>
          <w:rFonts w:ascii="Arial" w:hAnsi="Arial" w:cs="Arial"/>
        </w:rPr>
      </w:pPr>
      <w:r w:rsidRPr="00363677">
        <w:rPr>
          <w:rFonts w:ascii="Arial" w:hAnsi="Arial" w:cs="Arial"/>
        </w:rPr>
        <w:br w:type="page"/>
      </w:r>
    </w:p>
    <w:p w14:paraId="468EF894" w14:textId="77777777" w:rsidR="008262B7" w:rsidRPr="00363677" w:rsidRDefault="00000000">
      <w:pPr>
        <w:pStyle w:val="Heading1"/>
        <w:pBdr>
          <w:top w:val="none" w:sz="0" w:space="0" w:color="E5E7EB"/>
          <w:left w:val="none" w:sz="0" w:space="0" w:color="E5E7EB"/>
          <w:bottom w:val="none" w:sz="0" w:space="0" w:color="E5E7EB"/>
          <w:right w:val="none" w:sz="0" w:space="0" w:color="E5E7EB"/>
          <w:between w:val="none" w:sz="0" w:space="0" w:color="E5E7EB"/>
        </w:pBdr>
        <w:shd w:val="clear" w:color="auto" w:fill="FFFFFF"/>
        <w:spacing w:after="360"/>
        <w:rPr>
          <w:rFonts w:ascii="Arial" w:hAnsi="Arial" w:cs="Arial"/>
        </w:rPr>
      </w:pPr>
      <w:bookmarkStart w:id="30" w:name="_f7wteg3hch89" w:colFirst="0" w:colLast="0"/>
      <w:bookmarkStart w:id="31" w:name="_Toc214631180"/>
      <w:bookmarkEnd w:id="30"/>
      <w:r w:rsidRPr="00363677">
        <w:rPr>
          <w:rFonts w:ascii="Arial" w:hAnsi="Arial" w:cs="Arial"/>
        </w:rPr>
        <w:lastRenderedPageBreak/>
        <w:t>Reference list</w:t>
      </w:r>
      <w:bookmarkEnd w:id="31"/>
    </w:p>
    <w:p w14:paraId="75E3206D"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acea (2025a). </w:t>
      </w:r>
      <w:r w:rsidRPr="00363677">
        <w:rPr>
          <w:rFonts w:ascii="Arial" w:hAnsi="Arial" w:cs="Arial"/>
          <w:i/>
          <w:iCs/>
        </w:rPr>
        <w:t>Economic and Market Report: Global and EU auto industry – First half of 2025</w:t>
      </w:r>
      <w:r w:rsidRPr="00363677">
        <w:rPr>
          <w:rFonts w:ascii="Arial" w:hAnsi="Arial" w:cs="Arial"/>
        </w:rPr>
        <w:t xml:space="preserve">. [online] ACEA - European Automobile Manufacturers’ Association. Available at: </w:t>
      </w:r>
      <w:hyperlink r:id="rId14">
        <w:r w:rsidR="008262B7" w:rsidRPr="00363677">
          <w:rPr>
            <w:rFonts w:ascii="Arial" w:hAnsi="Arial" w:cs="Arial"/>
            <w:color w:val="1155CC"/>
            <w:u w:val="single"/>
          </w:rPr>
          <w:t>https://www.acea.auto/publication/economic-and-market-report-global-and-eu-auto-industry-first-half-of-2025/</w:t>
        </w:r>
      </w:hyperlink>
      <w:r w:rsidRPr="00363677">
        <w:rPr>
          <w:rFonts w:ascii="Arial" w:hAnsi="Arial" w:cs="Arial"/>
        </w:rPr>
        <w:t xml:space="preserve">  [Accessed 21 Nov. 2025].</w:t>
      </w:r>
    </w:p>
    <w:p w14:paraId="255FED8F"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acea (2025b). </w:t>
      </w:r>
      <w:r w:rsidRPr="00363677">
        <w:rPr>
          <w:rFonts w:ascii="Arial" w:hAnsi="Arial" w:cs="Arial"/>
          <w:i/>
          <w:iCs/>
        </w:rPr>
        <w:t>Economic and Market Report: Global and EU auto industry – Full year 2024</w:t>
      </w:r>
      <w:r w:rsidRPr="00363677">
        <w:rPr>
          <w:rFonts w:ascii="Arial" w:hAnsi="Arial" w:cs="Arial"/>
        </w:rPr>
        <w:t xml:space="preserve">. [online] ACEA - European Automobile Manufacturers’ Association. Available at: </w:t>
      </w:r>
      <w:hyperlink r:id="rId15">
        <w:r w:rsidR="008262B7" w:rsidRPr="00363677">
          <w:rPr>
            <w:rFonts w:ascii="Arial" w:hAnsi="Arial" w:cs="Arial"/>
            <w:color w:val="1155CC"/>
            <w:u w:val="single"/>
          </w:rPr>
          <w:t>https://www.acea.auto/publication/economic-and-market-report-global-and-eu-auto-industry-full-year-2024/</w:t>
        </w:r>
      </w:hyperlink>
      <w:r w:rsidRPr="00363677">
        <w:rPr>
          <w:rFonts w:ascii="Arial" w:hAnsi="Arial" w:cs="Arial"/>
        </w:rPr>
        <w:t xml:space="preserve">  [Accessed 21 Nov. 2025].</w:t>
      </w:r>
    </w:p>
    <w:p w14:paraId="6C295971"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Appiah, M.K., Sedegah, D.D. and Akolaa, R.A. (2021). The Implications of Macroenvironmental Forces and SMEs Investment Behaviour in the Energy Sector: The Role of Supply Chain Resilience. </w:t>
      </w:r>
      <w:r w:rsidRPr="00363677">
        <w:rPr>
          <w:rFonts w:ascii="Arial" w:hAnsi="Arial" w:cs="Arial"/>
          <w:i/>
          <w:iCs/>
        </w:rPr>
        <w:t>Heliyon</w:t>
      </w:r>
      <w:r w:rsidRPr="00363677">
        <w:rPr>
          <w:rFonts w:ascii="Arial" w:hAnsi="Arial" w:cs="Arial"/>
        </w:rPr>
        <w:t>, 7(11). doi:</w:t>
      </w:r>
      <w:hyperlink r:id="rId16">
        <w:r w:rsidR="008262B7" w:rsidRPr="00363677">
          <w:rPr>
            <w:rFonts w:ascii="Arial" w:hAnsi="Arial" w:cs="Arial"/>
            <w:color w:val="1155CC"/>
            <w:u w:val="single"/>
          </w:rPr>
          <w:t>https://doi.org/10.1016/j.heliyon.2021.e08426</w:t>
        </w:r>
      </w:hyperlink>
      <w:r w:rsidRPr="00363677">
        <w:rPr>
          <w:rFonts w:ascii="Arial" w:hAnsi="Arial" w:cs="Arial"/>
        </w:rPr>
        <w:t xml:space="preserve"> .</w:t>
      </w:r>
    </w:p>
    <w:p w14:paraId="095943BB"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Baariu, V.L. (2021). </w:t>
      </w:r>
      <w:r w:rsidRPr="00363677">
        <w:rPr>
          <w:rFonts w:ascii="Arial" w:hAnsi="Arial" w:cs="Arial"/>
          <w:i/>
          <w:iCs/>
        </w:rPr>
        <w:t>Competitive Strategy Drivers, Entrepreneurial Orientation, Macro Environment and Performance of Manufacturing Small and Medium Enterprises in Nairobi City County, Kenya</w:t>
      </w:r>
      <w:r w:rsidRPr="00363677">
        <w:rPr>
          <w:rFonts w:ascii="Arial" w:hAnsi="Arial" w:cs="Arial"/>
        </w:rPr>
        <w:t xml:space="preserve">. [online] erepository.uonbi.ac.ke. Available at: </w:t>
      </w:r>
      <w:hyperlink r:id="rId17">
        <w:r w:rsidR="008262B7" w:rsidRPr="00363677">
          <w:rPr>
            <w:rFonts w:ascii="Arial" w:hAnsi="Arial" w:cs="Arial"/>
            <w:color w:val="1155CC"/>
            <w:u w:val="single"/>
          </w:rPr>
          <w:t>http://erepository.uonbi.ac.ke/handle/11295/155804</w:t>
        </w:r>
      </w:hyperlink>
      <w:r w:rsidRPr="00363677">
        <w:rPr>
          <w:rFonts w:ascii="Arial" w:hAnsi="Arial" w:cs="Arial"/>
        </w:rPr>
        <w:t xml:space="preserve">  [Accessed 4 Feb. 2024].</w:t>
      </w:r>
    </w:p>
    <w:p w14:paraId="40882431"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Boston Dynamics (2024). </w:t>
      </w:r>
      <w:r w:rsidRPr="00363677">
        <w:rPr>
          <w:rFonts w:ascii="Arial" w:hAnsi="Arial" w:cs="Arial"/>
          <w:i/>
          <w:iCs/>
        </w:rPr>
        <w:t>Home</w:t>
      </w:r>
      <w:r w:rsidRPr="00363677">
        <w:rPr>
          <w:rFonts w:ascii="Arial" w:hAnsi="Arial" w:cs="Arial"/>
        </w:rPr>
        <w:t xml:space="preserve">. [online] Bostondynamics. Available at: </w:t>
      </w:r>
      <w:hyperlink r:id="rId18">
        <w:r w:rsidR="008262B7" w:rsidRPr="00363677">
          <w:rPr>
            <w:rFonts w:ascii="Arial" w:hAnsi="Arial" w:cs="Arial"/>
            <w:color w:val="1155CC"/>
            <w:u w:val="single"/>
          </w:rPr>
          <w:t>https://bostondynamics.com/</w:t>
        </w:r>
      </w:hyperlink>
      <w:r w:rsidRPr="00363677">
        <w:rPr>
          <w:rFonts w:ascii="Arial" w:hAnsi="Arial" w:cs="Arial"/>
        </w:rPr>
        <w:t xml:space="preserve">  [Accessed 21 Nov. 2025].</w:t>
      </w:r>
    </w:p>
    <w:p w14:paraId="41E13BAD"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de Bruin, L. (2021). </w:t>
      </w:r>
      <w:r w:rsidRPr="00363677">
        <w:rPr>
          <w:rFonts w:ascii="Arial" w:hAnsi="Arial" w:cs="Arial"/>
          <w:i/>
          <w:iCs/>
        </w:rPr>
        <w:t>Porter’s Generic Strategies: Differentiation, Cost Leadership and Focus</w:t>
      </w:r>
      <w:r w:rsidRPr="00363677">
        <w:rPr>
          <w:rFonts w:ascii="Arial" w:hAnsi="Arial" w:cs="Arial"/>
        </w:rPr>
        <w:t xml:space="preserve">. [online] B2U - Business-to-you.com. Available at: </w:t>
      </w:r>
      <w:hyperlink r:id="rId19">
        <w:r w:rsidR="008262B7" w:rsidRPr="00363677">
          <w:rPr>
            <w:rFonts w:ascii="Arial" w:hAnsi="Arial" w:cs="Arial"/>
            <w:color w:val="1155CC"/>
            <w:u w:val="single"/>
          </w:rPr>
          <w:t>https://www.business-to-you.com/porter-generic-strategies-differentiation-cost-leadership-focus/</w:t>
        </w:r>
      </w:hyperlink>
      <w:r w:rsidRPr="00363677">
        <w:rPr>
          <w:rFonts w:ascii="Arial" w:hAnsi="Arial" w:cs="Arial"/>
        </w:rPr>
        <w:t xml:space="preserve"> [Accessed 21 Nov. 2025].</w:t>
      </w:r>
    </w:p>
    <w:p w14:paraId="78BB2772"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electrive (2024). </w:t>
      </w:r>
      <w:r w:rsidRPr="00363677">
        <w:rPr>
          <w:rFonts w:ascii="Arial" w:hAnsi="Arial" w:cs="Arial"/>
          <w:i/>
          <w:iCs/>
        </w:rPr>
        <w:t>Hyundai starts up US plant for electric cars - electrive.com</w:t>
      </w:r>
      <w:r w:rsidRPr="00363677">
        <w:rPr>
          <w:rFonts w:ascii="Arial" w:hAnsi="Arial" w:cs="Arial"/>
        </w:rPr>
        <w:t xml:space="preserve">. [online] electrive.com. Available at: </w:t>
      </w:r>
      <w:hyperlink r:id="rId20">
        <w:r w:rsidR="008262B7" w:rsidRPr="00363677">
          <w:rPr>
            <w:rFonts w:ascii="Arial" w:hAnsi="Arial" w:cs="Arial"/>
            <w:color w:val="1155CC"/>
            <w:u w:val="single"/>
          </w:rPr>
          <w:t>https://www.electrive.com/2024/10/07/hyundai-starts-up-us-plant-for-electric-cars/</w:t>
        </w:r>
      </w:hyperlink>
      <w:r w:rsidRPr="00363677">
        <w:rPr>
          <w:rFonts w:ascii="Arial" w:hAnsi="Arial" w:cs="Arial"/>
        </w:rPr>
        <w:t xml:space="preserve">  [Accessed 21 Nov. 2025].</w:t>
      </w:r>
    </w:p>
    <w:p w14:paraId="3EE54B2F"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Globe Newswire (2024). </w:t>
      </w:r>
      <w:r w:rsidRPr="00363677">
        <w:rPr>
          <w:rFonts w:ascii="Arial" w:hAnsi="Arial" w:cs="Arial"/>
          <w:i/>
          <w:iCs/>
        </w:rPr>
        <w:t>Automotive Industry Size Expected to Reach USD 6,678.28 Bn by 2032</w:t>
      </w:r>
      <w:r w:rsidRPr="00363677">
        <w:rPr>
          <w:rFonts w:ascii="Arial" w:hAnsi="Arial" w:cs="Arial"/>
        </w:rPr>
        <w:t xml:space="preserve">. [online] FinTech Futures. Available at: </w:t>
      </w:r>
      <w:hyperlink r:id="rId21">
        <w:r w:rsidR="008262B7" w:rsidRPr="00363677">
          <w:rPr>
            <w:rFonts w:ascii="Arial" w:hAnsi="Arial" w:cs="Arial"/>
            <w:color w:val="1155CC"/>
            <w:u w:val="single"/>
          </w:rPr>
          <w:t>https://www.fintechfutures.com/press-releases/automotive-industry-size-expected-to-reach-usd-6-678-28-bn-by-2032</w:t>
        </w:r>
      </w:hyperlink>
      <w:r w:rsidRPr="00363677">
        <w:rPr>
          <w:rFonts w:ascii="Arial" w:hAnsi="Arial" w:cs="Arial"/>
        </w:rPr>
        <w:t xml:space="preserve">  [Accessed 21 Nov. 2025].</w:t>
      </w:r>
    </w:p>
    <w:p w14:paraId="7D820CD5"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Guardian staff reporter (2024). </w:t>
      </w:r>
      <w:r w:rsidRPr="00363677">
        <w:rPr>
          <w:rFonts w:ascii="Arial" w:hAnsi="Arial" w:cs="Arial"/>
          <w:i/>
          <w:iCs/>
        </w:rPr>
        <w:t>Tesla cuts prices around the world as sales decline in a chaotic week</w:t>
      </w:r>
      <w:r w:rsidRPr="00363677">
        <w:rPr>
          <w:rFonts w:ascii="Arial" w:hAnsi="Arial" w:cs="Arial"/>
        </w:rPr>
        <w:t xml:space="preserve">. [online] the Guardian. Available at: </w:t>
      </w:r>
      <w:hyperlink r:id="rId22">
        <w:r w:rsidR="008262B7" w:rsidRPr="00363677">
          <w:rPr>
            <w:rFonts w:ascii="Arial" w:hAnsi="Arial" w:cs="Arial"/>
            <w:color w:val="1155CC"/>
            <w:u w:val="single"/>
          </w:rPr>
          <w:t>https://www.theguardian.com/technology/2024/apr/21/tesla-sales-price-cuts-elon-musk</w:t>
        </w:r>
      </w:hyperlink>
      <w:r w:rsidRPr="00363677">
        <w:rPr>
          <w:rFonts w:ascii="Arial" w:hAnsi="Arial" w:cs="Arial"/>
        </w:rPr>
        <w:t xml:space="preserve">  [Accessed 21 Nov. 2025].</w:t>
      </w:r>
    </w:p>
    <w:p w14:paraId="01334184"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IEA (2024a). </w:t>
      </w:r>
      <w:r w:rsidRPr="00363677">
        <w:rPr>
          <w:rFonts w:ascii="Arial" w:hAnsi="Arial" w:cs="Arial"/>
          <w:i/>
          <w:iCs/>
        </w:rPr>
        <w:t>Global EV Outlook 2024 – Analysis - IEA</w:t>
      </w:r>
      <w:r w:rsidRPr="00363677">
        <w:rPr>
          <w:rFonts w:ascii="Arial" w:hAnsi="Arial" w:cs="Arial"/>
        </w:rPr>
        <w:t xml:space="preserve">. [online] IEA. Available at: </w:t>
      </w:r>
      <w:hyperlink r:id="rId23">
        <w:r w:rsidR="008262B7" w:rsidRPr="00363677">
          <w:rPr>
            <w:rFonts w:ascii="Arial" w:hAnsi="Arial" w:cs="Arial"/>
            <w:color w:val="1155CC"/>
            <w:u w:val="single"/>
          </w:rPr>
          <w:t>https://www.iea.org/reports/global-ev-outlook-2024</w:t>
        </w:r>
      </w:hyperlink>
      <w:r w:rsidRPr="00363677">
        <w:rPr>
          <w:rFonts w:ascii="Arial" w:hAnsi="Arial" w:cs="Arial"/>
        </w:rPr>
        <w:t xml:space="preserve">  [Accessed 21 Nov. 2025].</w:t>
      </w:r>
    </w:p>
    <w:p w14:paraId="26651B6E"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IEA (2024b). </w:t>
      </w:r>
      <w:r w:rsidRPr="00363677">
        <w:rPr>
          <w:rFonts w:ascii="Arial" w:hAnsi="Arial" w:cs="Arial"/>
          <w:i/>
          <w:iCs/>
        </w:rPr>
        <w:t>Global EV Outlook 2024 – Analysis - IEA</w:t>
      </w:r>
      <w:r w:rsidRPr="00363677">
        <w:rPr>
          <w:rFonts w:ascii="Arial" w:hAnsi="Arial" w:cs="Arial"/>
        </w:rPr>
        <w:t xml:space="preserve">. [online] IEA. Available at: </w:t>
      </w:r>
      <w:hyperlink r:id="rId24">
        <w:r w:rsidR="008262B7" w:rsidRPr="00363677">
          <w:rPr>
            <w:rFonts w:ascii="Arial" w:hAnsi="Arial" w:cs="Arial"/>
            <w:color w:val="1155CC"/>
            <w:u w:val="single"/>
          </w:rPr>
          <w:t>https://www.iea.org/reports/global-ev-outlook-2024</w:t>
        </w:r>
      </w:hyperlink>
      <w:r w:rsidRPr="00363677">
        <w:rPr>
          <w:rFonts w:ascii="Arial" w:hAnsi="Arial" w:cs="Arial"/>
        </w:rPr>
        <w:t xml:space="preserve">  [Accessed 21 Nov. 2025].</w:t>
      </w:r>
    </w:p>
    <w:p w14:paraId="0FDA0077"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IEA (2024c). </w:t>
      </w:r>
      <w:r w:rsidRPr="00363677">
        <w:rPr>
          <w:rFonts w:ascii="Arial" w:hAnsi="Arial" w:cs="Arial"/>
          <w:i/>
          <w:iCs/>
        </w:rPr>
        <w:t>Global EV Outlook 2024 – Analysis - IEA</w:t>
      </w:r>
      <w:r w:rsidRPr="00363677">
        <w:rPr>
          <w:rFonts w:ascii="Arial" w:hAnsi="Arial" w:cs="Arial"/>
        </w:rPr>
        <w:t xml:space="preserve">. [online] IEA. Available at: </w:t>
      </w:r>
      <w:hyperlink r:id="rId25">
        <w:r w:rsidR="008262B7" w:rsidRPr="00363677">
          <w:rPr>
            <w:rFonts w:ascii="Arial" w:hAnsi="Arial" w:cs="Arial"/>
            <w:color w:val="1155CC"/>
            <w:u w:val="single"/>
          </w:rPr>
          <w:t>https://www.iea.org/reports/global-ev-outlook-2024</w:t>
        </w:r>
      </w:hyperlink>
      <w:r w:rsidRPr="00363677">
        <w:rPr>
          <w:rFonts w:ascii="Arial" w:hAnsi="Arial" w:cs="Arial"/>
        </w:rPr>
        <w:t xml:space="preserve">  [Accessed 21 Nov. 2025].</w:t>
      </w:r>
    </w:p>
    <w:p w14:paraId="3950885F"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IEA (2024d). </w:t>
      </w:r>
      <w:r w:rsidRPr="00363677">
        <w:rPr>
          <w:rFonts w:ascii="Arial" w:hAnsi="Arial" w:cs="Arial"/>
          <w:i/>
          <w:iCs/>
        </w:rPr>
        <w:t>Trends in Electric Cars</w:t>
      </w:r>
      <w:r w:rsidRPr="00363677">
        <w:rPr>
          <w:rFonts w:ascii="Arial" w:hAnsi="Arial" w:cs="Arial"/>
        </w:rPr>
        <w:t xml:space="preserve">. [online] IEA. Available at: </w:t>
      </w:r>
      <w:hyperlink r:id="rId26">
        <w:r w:rsidR="008262B7" w:rsidRPr="00363677">
          <w:rPr>
            <w:rFonts w:ascii="Arial" w:hAnsi="Arial" w:cs="Arial"/>
            <w:color w:val="1155CC"/>
            <w:u w:val="single"/>
          </w:rPr>
          <w:t>https://www.iea.org/reports/global-ev-outlook-2024/trends-in-electric-cars</w:t>
        </w:r>
      </w:hyperlink>
      <w:r w:rsidRPr="00363677">
        <w:rPr>
          <w:rFonts w:ascii="Arial" w:hAnsi="Arial" w:cs="Arial"/>
        </w:rPr>
        <w:t xml:space="preserve">  [Accessed 21 Nov. 2025].</w:t>
      </w:r>
    </w:p>
    <w:p w14:paraId="618C6A02"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iea (2023). </w:t>
      </w:r>
      <w:r w:rsidRPr="00363677">
        <w:rPr>
          <w:rFonts w:ascii="Arial" w:hAnsi="Arial" w:cs="Arial"/>
          <w:i/>
          <w:iCs/>
        </w:rPr>
        <w:t>Global EV Outlook 2023</w:t>
      </w:r>
      <w:r w:rsidRPr="00363677">
        <w:rPr>
          <w:rFonts w:ascii="Arial" w:hAnsi="Arial" w:cs="Arial"/>
        </w:rPr>
        <w:t xml:space="preserve">. [online] Available at: </w:t>
      </w:r>
      <w:hyperlink r:id="rId27">
        <w:r w:rsidR="008262B7" w:rsidRPr="00363677">
          <w:rPr>
            <w:rFonts w:ascii="Arial" w:hAnsi="Arial" w:cs="Arial"/>
            <w:color w:val="1155CC"/>
            <w:u w:val="single"/>
          </w:rPr>
          <w:t>https://iea.blob.core.windows.net/assets/525aa16b-7a9d-40f9-a89f-5e613f019220/GEVO2023_WEB.pdf</w:t>
        </w:r>
      </w:hyperlink>
      <w:r w:rsidRPr="00363677">
        <w:rPr>
          <w:rFonts w:ascii="Arial" w:hAnsi="Arial" w:cs="Arial"/>
        </w:rPr>
        <w:t xml:space="preserve">  [Accessed 21 Nov. 2025].</w:t>
      </w:r>
    </w:p>
    <w:p w14:paraId="62CBA771"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Makvandi, R. (2024). Analysis of the Impact of Macroeconomic Factors on the Development of Financial Products: Application of the PESTEL Model in Identifying Opportunities and Threats. </w:t>
      </w:r>
      <w:r w:rsidRPr="00363677">
        <w:rPr>
          <w:rFonts w:ascii="Arial" w:hAnsi="Arial" w:cs="Arial"/>
          <w:i/>
          <w:iCs/>
        </w:rPr>
        <w:t>Transactions on Quantitative Finance and Beyond</w:t>
      </w:r>
      <w:r w:rsidRPr="00363677">
        <w:rPr>
          <w:rFonts w:ascii="Arial" w:hAnsi="Arial" w:cs="Arial"/>
        </w:rPr>
        <w:t>, [online] 1(2), pp.233–246. doi:</w:t>
      </w:r>
      <w:hyperlink r:id="rId28">
        <w:r w:rsidR="008262B7" w:rsidRPr="00363677">
          <w:rPr>
            <w:rFonts w:ascii="Arial" w:hAnsi="Arial" w:cs="Arial"/>
            <w:color w:val="1155CC"/>
            <w:u w:val="single"/>
          </w:rPr>
          <w:t>https://doi.org/10.22105/tqfb.v1i2.40</w:t>
        </w:r>
      </w:hyperlink>
      <w:r w:rsidRPr="00363677">
        <w:rPr>
          <w:rFonts w:ascii="Arial" w:hAnsi="Arial" w:cs="Arial"/>
        </w:rPr>
        <w:t xml:space="preserve"> .</w:t>
      </w:r>
    </w:p>
    <w:p w14:paraId="39E3764A"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Muthukumar, Prof.R., Garikaparthi, Prof.M. and Bose, Dr.S. (2024). </w:t>
      </w:r>
      <w:r w:rsidRPr="00363677">
        <w:rPr>
          <w:rFonts w:ascii="Arial" w:hAnsi="Arial" w:cs="Arial"/>
          <w:i/>
          <w:iCs/>
        </w:rPr>
        <w:t>Strategic Marketing Management Block</w:t>
      </w:r>
      <w:r w:rsidRPr="00363677">
        <w:rPr>
          <w:rFonts w:ascii="Arial" w:hAnsi="Arial" w:cs="Arial"/>
        </w:rPr>
        <w:t xml:space="preserve">. [online] Available at: </w:t>
      </w:r>
      <w:hyperlink r:id="rId29">
        <w:r w:rsidR="008262B7" w:rsidRPr="00363677">
          <w:rPr>
            <w:rFonts w:ascii="Arial" w:hAnsi="Arial" w:cs="Arial"/>
            <w:color w:val="1155CC"/>
            <w:u w:val="single"/>
          </w:rPr>
          <w:t>https://www.ifheindia.org/dlp/selflearningmaterial2021/Book/8.1%20Strategic%20Marketing%20Management%20Block%201.pdf</w:t>
        </w:r>
      </w:hyperlink>
      <w:r w:rsidRPr="00363677">
        <w:rPr>
          <w:rFonts w:ascii="Arial" w:hAnsi="Arial" w:cs="Arial"/>
        </w:rPr>
        <w:t xml:space="preserve">  [Accessed 21 Nov. 2025].</w:t>
      </w:r>
    </w:p>
    <w:p w14:paraId="663DBF5C"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lastRenderedPageBreak/>
        <w:t xml:space="preserve">reuters (2024). </w:t>
      </w:r>
      <w:r w:rsidRPr="00363677">
        <w:rPr>
          <w:rFonts w:ascii="Arial" w:hAnsi="Arial" w:cs="Arial"/>
          <w:i/>
          <w:iCs/>
        </w:rPr>
        <w:t>Automotive News | Latest Car &amp; Auto Stories</w:t>
      </w:r>
      <w:r w:rsidRPr="00363677">
        <w:rPr>
          <w:rFonts w:ascii="Arial" w:hAnsi="Arial" w:cs="Arial"/>
        </w:rPr>
        <w:t xml:space="preserve">. [online] Reuters. Available at: </w:t>
      </w:r>
      <w:hyperlink r:id="rId30">
        <w:r w:rsidR="008262B7" w:rsidRPr="00363677">
          <w:rPr>
            <w:rFonts w:ascii="Arial" w:hAnsi="Arial" w:cs="Arial"/>
            <w:color w:val="1155CC"/>
            <w:u w:val="single"/>
          </w:rPr>
          <w:t>https://www.reuters.com/business/autos-transportation/</w:t>
        </w:r>
      </w:hyperlink>
      <w:r w:rsidRPr="00363677">
        <w:rPr>
          <w:rFonts w:ascii="Arial" w:hAnsi="Arial" w:cs="Arial"/>
        </w:rPr>
        <w:t xml:space="preserve">  [Accessed 21 Nov. 2025].</w:t>
      </w:r>
    </w:p>
    <w:p w14:paraId="69E31B63"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Roberts, G. (2023). </w:t>
      </w:r>
      <w:r w:rsidRPr="00363677">
        <w:rPr>
          <w:rFonts w:ascii="Arial" w:hAnsi="Arial" w:cs="Arial"/>
          <w:i/>
          <w:iCs/>
        </w:rPr>
        <w:t>Hyundai speeds up US EV plant</w:t>
      </w:r>
      <w:r w:rsidRPr="00363677">
        <w:rPr>
          <w:rFonts w:ascii="Arial" w:hAnsi="Arial" w:cs="Arial"/>
        </w:rPr>
        <w:t xml:space="preserve">. [online] Just Auto. Available at: </w:t>
      </w:r>
      <w:hyperlink r:id="rId31">
        <w:r w:rsidR="008262B7" w:rsidRPr="00363677">
          <w:rPr>
            <w:rFonts w:ascii="Arial" w:hAnsi="Arial" w:cs="Arial"/>
            <w:color w:val="1155CC"/>
            <w:u w:val="single"/>
          </w:rPr>
          <w:t>https://www.just-auto.com/news/hyundai-speeds-up-us-ev-plant/?cf-view</w:t>
        </w:r>
      </w:hyperlink>
      <w:r w:rsidRPr="00363677">
        <w:rPr>
          <w:rFonts w:ascii="Arial" w:hAnsi="Arial" w:cs="Arial"/>
        </w:rPr>
        <w:t xml:space="preserve">  [Accessed 21 Nov. 2025].</w:t>
      </w:r>
    </w:p>
    <w:p w14:paraId="489EA58B"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Shamsuddoha, M. and Nasir, T. (2025). The Road Ahead for Hybrid or Electric Vehicles in Developing Countries: Market Growth, Infrastructure, and Policy Needs. </w:t>
      </w:r>
      <w:r w:rsidRPr="00363677">
        <w:rPr>
          <w:rFonts w:ascii="Arial" w:hAnsi="Arial" w:cs="Arial"/>
          <w:i/>
          <w:iCs/>
        </w:rPr>
        <w:t>World Electric Vehicle Journal</w:t>
      </w:r>
      <w:r w:rsidRPr="00363677">
        <w:rPr>
          <w:rFonts w:ascii="Arial" w:hAnsi="Arial" w:cs="Arial"/>
        </w:rPr>
        <w:t>, 16(3), p.180. doi:</w:t>
      </w:r>
      <w:hyperlink r:id="rId32">
        <w:r w:rsidR="008262B7" w:rsidRPr="00363677">
          <w:rPr>
            <w:rFonts w:ascii="Arial" w:hAnsi="Arial" w:cs="Arial"/>
            <w:color w:val="1155CC"/>
            <w:u w:val="single"/>
          </w:rPr>
          <w:t>https://doi.org/10.3390/wevj16030180</w:t>
        </w:r>
      </w:hyperlink>
      <w:r w:rsidRPr="00363677">
        <w:rPr>
          <w:rFonts w:ascii="Arial" w:hAnsi="Arial" w:cs="Arial"/>
        </w:rPr>
        <w:t xml:space="preserve"> .</w:t>
      </w:r>
    </w:p>
    <w:p w14:paraId="094193A6"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Shao, O. and Campbell, L. (2024). </w:t>
      </w:r>
      <w:r w:rsidRPr="00363677">
        <w:rPr>
          <w:rFonts w:ascii="Arial" w:hAnsi="Arial" w:cs="Arial"/>
          <w:i/>
          <w:iCs/>
        </w:rPr>
        <w:t>Automotive Geopolitics</w:t>
      </w:r>
      <w:r w:rsidRPr="00363677">
        <w:rPr>
          <w:rFonts w:ascii="Arial" w:hAnsi="Arial" w:cs="Arial"/>
        </w:rPr>
        <w:t xml:space="preserve">. [online] DGAP. Available at: </w:t>
      </w:r>
      <w:hyperlink r:id="rId33">
        <w:r w:rsidR="008262B7" w:rsidRPr="00363677">
          <w:rPr>
            <w:rFonts w:ascii="Arial" w:hAnsi="Arial" w:cs="Arial"/>
            <w:color w:val="1155CC"/>
            <w:u w:val="single"/>
          </w:rPr>
          <w:t>https://dgap.org/en/research/publications/automotive-geopolitics</w:t>
        </w:r>
      </w:hyperlink>
      <w:r w:rsidRPr="00363677">
        <w:rPr>
          <w:rFonts w:ascii="Arial" w:hAnsi="Arial" w:cs="Arial"/>
        </w:rPr>
        <w:t xml:space="preserve">  [Accessed 21 Nov. 2025].</w:t>
      </w:r>
    </w:p>
    <w:p w14:paraId="33CA0C17"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Tesla (2025). </w:t>
      </w:r>
      <w:r w:rsidRPr="00363677">
        <w:rPr>
          <w:rFonts w:ascii="Arial" w:hAnsi="Arial" w:cs="Arial"/>
          <w:i/>
          <w:iCs/>
        </w:rPr>
        <w:t>Gigafactory Nevada</w:t>
      </w:r>
      <w:r w:rsidRPr="00363677">
        <w:rPr>
          <w:rFonts w:ascii="Arial" w:hAnsi="Arial" w:cs="Arial"/>
        </w:rPr>
        <w:t xml:space="preserve">. [online] Tesla. Available at: </w:t>
      </w:r>
      <w:hyperlink r:id="rId34">
        <w:r w:rsidR="008262B7" w:rsidRPr="00363677">
          <w:rPr>
            <w:rFonts w:ascii="Arial" w:hAnsi="Arial" w:cs="Arial"/>
            <w:color w:val="1155CC"/>
            <w:u w:val="single"/>
          </w:rPr>
          <w:t>https://www.tesla.com/giga-nevada</w:t>
        </w:r>
      </w:hyperlink>
      <w:r w:rsidRPr="00363677">
        <w:rPr>
          <w:rFonts w:ascii="Arial" w:hAnsi="Arial" w:cs="Arial"/>
        </w:rPr>
        <w:t xml:space="preserve">  [Accessed 21 Nov. 2025].</w:t>
      </w:r>
    </w:p>
    <w:p w14:paraId="693E9E74" w14:textId="77777777" w:rsidR="008262B7" w:rsidRPr="00363677"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rFonts w:ascii="Arial" w:hAnsi="Arial" w:cs="Arial"/>
        </w:rPr>
      </w:pPr>
      <w:r w:rsidRPr="00363677">
        <w:rPr>
          <w:rFonts w:ascii="Arial" w:hAnsi="Arial" w:cs="Arial"/>
        </w:rPr>
        <w:t xml:space="preserve">The Strategy Institute (2024). </w:t>
      </w:r>
      <w:r w:rsidRPr="00363677">
        <w:rPr>
          <w:rFonts w:ascii="Arial" w:hAnsi="Arial" w:cs="Arial"/>
          <w:i/>
          <w:iCs/>
        </w:rPr>
        <w:t>The Ansoff Matrix: a Powerful Tool for Business Strategy and Growth</w:t>
      </w:r>
      <w:r w:rsidRPr="00363677">
        <w:rPr>
          <w:rFonts w:ascii="Arial" w:hAnsi="Arial" w:cs="Arial"/>
        </w:rPr>
        <w:t xml:space="preserve">. [online] The Strategy Institute. Available at: </w:t>
      </w:r>
      <w:hyperlink r:id="rId35">
        <w:r w:rsidR="008262B7" w:rsidRPr="00363677">
          <w:rPr>
            <w:rFonts w:ascii="Arial" w:hAnsi="Arial" w:cs="Arial"/>
            <w:color w:val="1155CC"/>
            <w:u w:val="single"/>
          </w:rPr>
          <w:t>https://www.thestrategyinstitute.org/insights/the-ansoff-matrix-a-powerful-tool-for-business-strategy-and-growth</w:t>
        </w:r>
      </w:hyperlink>
      <w:r w:rsidRPr="00363677">
        <w:rPr>
          <w:rFonts w:ascii="Arial" w:hAnsi="Arial" w:cs="Arial"/>
        </w:rPr>
        <w:t xml:space="preserve">  [Accessed 21 Nov. 2025].</w:t>
      </w:r>
    </w:p>
    <w:p w14:paraId="2251A8A7" w14:textId="77777777" w:rsidR="008262B7" w:rsidRPr="00363677" w:rsidRDefault="008262B7">
      <w:pPr>
        <w:spacing w:before="240" w:after="240"/>
        <w:rPr>
          <w:rFonts w:ascii="Arial" w:hAnsi="Arial" w:cs="Arial"/>
        </w:rPr>
      </w:pPr>
    </w:p>
    <w:p w14:paraId="31BFC059" w14:textId="77777777" w:rsidR="008262B7" w:rsidRPr="00363677" w:rsidRDefault="008262B7">
      <w:pPr>
        <w:rPr>
          <w:rFonts w:ascii="Arial" w:hAnsi="Arial" w:cs="Arial"/>
        </w:rPr>
      </w:pPr>
    </w:p>
    <w:sectPr w:rsidR="008262B7" w:rsidRPr="00363677" w:rsidSect="00363677">
      <w:footerReference w:type="default" r:id="rId3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D7A81" w14:textId="77777777" w:rsidR="005C4C43" w:rsidRDefault="005C4C43">
      <w:pPr>
        <w:spacing w:line="240" w:lineRule="auto"/>
      </w:pPr>
      <w:r>
        <w:separator/>
      </w:r>
    </w:p>
  </w:endnote>
  <w:endnote w:type="continuationSeparator" w:id="0">
    <w:p w14:paraId="70E13786" w14:textId="77777777" w:rsidR="005C4C43" w:rsidRDefault="005C4C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AC612FA-40D5-440A-AC7D-A05F39A734A7}"/>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2" w:fontKey="{5CF3A032-35AA-43E5-B0D3-4E3D452C76C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8909455"/>
      <w:docPartObj>
        <w:docPartGallery w:val="Page Numbers (Bottom of Page)"/>
        <w:docPartUnique/>
      </w:docPartObj>
    </w:sdtPr>
    <w:sdtEndPr>
      <w:rPr>
        <w:noProof/>
      </w:rPr>
    </w:sdtEndPr>
    <w:sdtContent>
      <w:p w14:paraId="5C5D5B1A" w14:textId="4441A9D6" w:rsidR="00363677" w:rsidRDefault="003636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782C32" w14:textId="77777777" w:rsidR="008262B7" w:rsidRDefault="008262B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63658" w14:textId="77777777" w:rsidR="005C4C43" w:rsidRDefault="005C4C43">
      <w:pPr>
        <w:spacing w:line="240" w:lineRule="auto"/>
      </w:pPr>
      <w:r>
        <w:separator/>
      </w:r>
    </w:p>
  </w:footnote>
  <w:footnote w:type="continuationSeparator" w:id="0">
    <w:p w14:paraId="00C84B1E" w14:textId="77777777" w:rsidR="005C4C43" w:rsidRDefault="005C4C4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62B7"/>
    <w:rsid w:val="002135C6"/>
    <w:rsid w:val="00363677"/>
    <w:rsid w:val="003E64C2"/>
    <w:rsid w:val="00540587"/>
    <w:rsid w:val="005C4C43"/>
    <w:rsid w:val="0062228C"/>
    <w:rsid w:val="008262B7"/>
    <w:rsid w:val="00DE34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4A9B"/>
  <w15:docId w15:val="{6757C249-912E-4149-8563-0C9F384F2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DE34A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E34A0"/>
    <w:pPr>
      <w:spacing w:after="100"/>
    </w:pPr>
  </w:style>
  <w:style w:type="paragraph" w:styleId="TOC2">
    <w:name w:val="toc 2"/>
    <w:basedOn w:val="Normal"/>
    <w:next w:val="Normal"/>
    <w:autoRedefine/>
    <w:uiPriority w:val="39"/>
    <w:unhideWhenUsed/>
    <w:rsid w:val="00DE34A0"/>
    <w:pPr>
      <w:spacing w:after="100"/>
      <w:ind w:left="240"/>
    </w:pPr>
  </w:style>
  <w:style w:type="paragraph" w:styleId="TOC3">
    <w:name w:val="toc 3"/>
    <w:basedOn w:val="Normal"/>
    <w:next w:val="Normal"/>
    <w:autoRedefine/>
    <w:uiPriority w:val="39"/>
    <w:unhideWhenUsed/>
    <w:rsid w:val="00DE34A0"/>
    <w:pPr>
      <w:tabs>
        <w:tab w:val="right" w:leader="dot" w:pos="9019"/>
      </w:tabs>
      <w:spacing w:after="100"/>
      <w:ind w:left="480"/>
    </w:pPr>
    <w:rPr>
      <w:rFonts w:ascii="Gungsuh" w:eastAsia="Gungsuh" w:hAnsi="Gungsuh" w:cs="Gungsuh"/>
      <w:b/>
      <w:bCs/>
      <w:noProof/>
    </w:rPr>
  </w:style>
  <w:style w:type="character" w:styleId="Hyperlink">
    <w:name w:val="Hyperlink"/>
    <w:basedOn w:val="DefaultParagraphFont"/>
    <w:uiPriority w:val="99"/>
    <w:unhideWhenUsed/>
    <w:rsid w:val="00DE34A0"/>
    <w:rPr>
      <w:color w:val="0000FF" w:themeColor="hyperlink"/>
      <w:u w:val="single"/>
    </w:rPr>
  </w:style>
  <w:style w:type="paragraph" w:styleId="Header">
    <w:name w:val="header"/>
    <w:basedOn w:val="Normal"/>
    <w:link w:val="HeaderChar"/>
    <w:uiPriority w:val="99"/>
    <w:unhideWhenUsed/>
    <w:rsid w:val="00363677"/>
    <w:pPr>
      <w:tabs>
        <w:tab w:val="center" w:pos="4680"/>
        <w:tab w:val="right" w:pos="9360"/>
      </w:tabs>
      <w:spacing w:line="240" w:lineRule="auto"/>
    </w:pPr>
  </w:style>
  <w:style w:type="character" w:customStyle="1" w:styleId="HeaderChar">
    <w:name w:val="Header Char"/>
    <w:basedOn w:val="DefaultParagraphFont"/>
    <w:link w:val="Header"/>
    <w:uiPriority w:val="99"/>
    <w:rsid w:val="00363677"/>
  </w:style>
  <w:style w:type="paragraph" w:styleId="Footer">
    <w:name w:val="footer"/>
    <w:basedOn w:val="Normal"/>
    <w:link w:val="FooterChar"/>
    <w:uiPriority w:val="99"/>
    <w:unhideWhenUsed/>
    <w:rsid w:val="00363677"/>
    <w:pPr>
      <w:tabs>
        <w:tab w:val="center" w:pos="4680"/>
        <w:tab w:val="right" w:pos="9360"/>
      </w:tabs>
      <w:spacing w:line="240" w:lineRule="auto"/>
    </w:pPr>
  </w:style>
  <w:style w:type="character" w:customStyle="1" w:styleId="FooterChar">
    <w:name w:val="Footer Char"/>
    <w:basedOn w:val="DefaultParagraphFont"/>
    <w:link w:val="Footer"/>
    <w:uiPriority w:val="99"/>
    <w:rsid w:val="00363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0330004">
      <w:bodyDiv w:val="1"/>
      <w:marLeft w:val="0"/>
      <w:marRight w:val="0"/>
      <w:marTop w:val="0"/>
      <w:marBottom w:val="0"/>
      <w:divBdr>
        <w:top w:val="none" w:sz="0" w:space="0" w:color="auto"/>
        <w:left w:val="none" w:sz="0" w:space="0" w:color="auto"/>
        <w:bottom w:val="none" w:sz="0" w:space="0" w:color="auto"/>
        <w:right w:val="none" w:sz="0" w:space="0" w:color="auto"/>
      </w:divBdr>
    </w:div>
    <w:div w:id="1728184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bostondynamics.com/" TargetMode="External"/><Relationship Id="rId26" Type="http://schemas.openxmlformats.org/officeDocument/2006/relationships/hyperlink" Target="https://www.iea.org/reports/global-ev-outlook-2024/trends-in-electric-cars" TargetMode="External"/><Relationship Id="rId21" Type="http://schemas.openxmlformats.org/officeDocument/2006/relationships/hyperlink" Target="https://www.fintechfutures.com/press-releases/automotive-industry-size-expected-to-reach-usd-6-678-28-bn-by-2032" TargetMode="External"/><Relationship Id="rId34" Type="http://schemas.openxmlformats.org/officeDocument/2006/relationships/hyperlink" Target="https://www.tesla.com/giga-nevada"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erepository.uonbi.ac.ke/handle/11295/155804" TargetMode="External"/><Relationship Id="rId25" Type="http://schemas.openxmlformats.org/officeDocument/2006/relationships/hyperlink" Target="https://www.iea.org/reports/global-ev-outlook-2024" TargetMode="External"/><Relationship Id="rId33" Type="http://schemas.openxmlformats.org/officeDocument/2006/relationships/hyperlink" Target="https://dgap.org/en/research/publications/automotive-geopolitic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heliyon.2021.e08426" TargetMode="External"/><Relationship Id="rId20" Type="http://schemas.openxmlformats.org/officeDocument/2006/relationships/hyperlink" Target="https://www.electrive.com/2024/10/07/hyundai-starts-up-us-plant-for-electric-cars/" TargetMode="External"/><Relationship Id="rId29" Type="http://schemas.openxmlformats.org/officeDocument/2006/relationships/hyperlink" Target="https://www.ifheindia.org/dlp/selflearningmaterial2021/Book/8.1%20Strategic%20Marketing%20Management%20Block%20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ea.org/reports/global-ev-outlook-2024" TargetMode="External"/><Relationship Id="rId32" Type="http://schemas.openxmlformats.org/officeDocument/2006/relationships/hyperlink" Target="https://doi.org/10.3390/wevj1603018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ea.auto/publication/economic-and-market-report-global-and-eu-auto-industry-full-year-2024/" TargetMode="External"/><Relationship Id="rId23" Type="http://schemas.openxmlformats.org/officeDocument/2006/relationships/hyperlink" Target="https://www.iea.org/reports/global-ev-outlook-2024" TargetMode="External"/><Relationship Id="rId28" Type="http://schemas.openxmlformats.org/officeDocument/2006/relationships/hyperlink" Target="https://doi.org/10.22105/tqfb.v1i2.40"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business-to-you.com/porter-generic-strategies-differentiation-cost-leadership-focus/" TargetMode="External"/><Relationship Id="rId31" Type="http://schemas.openxmlformats.org/officeDocument/2006/relationships/hyperlink" Target="https://www.just-auto.com/news/hyundai-speeds-up-us-ev-plant/?cf-vie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ea.auto/publication/economic-and-market-report-global-and-eu-auto-industry-first-half-of-2025/" TargetMode="External"/><Relationship Id="rId22" Type="http://schemas.openxmlformats.org/officeDocument/2006/relationships/hyperlink" Target="https://www.theguardian.com/technology/2024/apr/21/tesla-sales-price-cuts-elon-musk" TargetMode="External"/><Relationship Id="rId27" Type="http://schemas.openxmlformats.org/officeDocument/2006/relationships/hyperlink" Target="https://iea.blob.core.windows.net/assets/525aa16b-7a9d-40f9-a89f-5e613f019220/GEVO2023_WEB.pdf" TargetMode="External"/><Relationship Id="rId30" Type="http://schemas.openxmlformats.org/officeDocument/2006/relationships/hyperlink" Target="https://www.reuters.com/business/autos-transportation/" TargetMode="External"/><Relationship Id="rId35" Type="http://schemas.openxmlformats.org/officeDocument/2006/relationships/hyperlink" Target="https://www.thestrategyinstitute.org/insights/the-ansoff-matrix-a-powerful-tool-for-business-strategy-and-growth"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CCFFE-B221-45AF-9DC1-8083DAA28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3496</Words>
  <Characters>22306</Characters>
  <Application>Microsoft Office Word</Application>
  <DocSecurity>0</DocSecurity>
  <Lines>413</Lines>
  <Paragraphs>144</Paragraphs>
  <ScaleCrop>false</ScaleCrop>
  <Company/>
  <LinksUpToDate>false</LinksUpToDate>
  <CharactersWithSpaces>25658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Mohmadayaz MOMIN</cp:lastModifiedBy>
  <cp:revision>5</cp:revision>
  <dcterms:created xsi:type="dcterms:W3CDTF">2025-11-21T09:53:00Z</dcterms:created>
  <dcterms:modified xsi:type="dcterms:W3CDTF">2025-11-21T12:42:00Z</dcterms:modified>
</cp:coreProperties>
</file>