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6702EB" w14:textId="77777777" w:rsidR="00A343E7" w:rsidRPr="008171A7" w:rsidRDefault="00A343E7" w:rsidP="008171A7">
      <w:pPr>
        <w:jc w:val="center"/>
        <w:rPr>
          <w:b/>
          <w:bCs/>
          <w:sz w:val="48"/>
          <w:szCs w:val="44"/>
        </w:rPr>
      </w:pPr>
    </w:p>
    <w:p w14:paraId="54E7D493" w14:textId="77777777" w:rsidR="00A343E7" w:rsidRPr="008171A7" w:rsidRDefault="00A343E7" w:rsidP="008171A7">
      <w:pPr>
        <w:jc w:val="center"/>
        <w:rPr>
          <w:b/>
          <w:bCs/>
          <w:sz w:val="48"/>
          <w:szCs w:val="44"/>
        </w:rPr>
      </w:pPr>
    </w:p>
    <w:p w14:paraId="5EE69FA8" w14:textId="77777777" w:rsidR="00C66BFE" w:rsidRPr="002F0CD2" w:rsidRDefault="00C66BFE" w:rsidP="00C66BFE">
      <w:pPr>
        <w:spacing w:after="200" w:line="276" w:lineRule="auto"/>
        <w:jc w:val="center"/>
        <w:rPr>
          <w:b/>
          <w:sz w:val="36"/>
          <w:szCs w:val="36"/>
        </w:rPr>
      </w:pPr>
      <w:r w:rsidRPr="002F0CD2">
        <w:rPr>
          <w:b/>
          <w:bCs/>
          <w:sz w:val="36"/>
          <w:szCs w:val="36"/>
        </w:rPr>
        <w:t>BUSINESS MANAGEMENT</w:t>
      </w:r>
    </w:p>
    <w:p w14:paraId="5087D2F0" w14:textId="77777777" w:rsidR="00C66BFE" w:rsidRDefault="00C66BFE" w:rsidP="00C66BFE">
      <w:pPr>
        <w:pStyle w:val="NormalWeb"/>
        <w:spacing w:before="240" w:beforeAutospacing="0" w:after="240" w:afterAutospacing="0"/>
        <w:jc w:val="center"/>
        <w:rPr>
          <w:b/>
          <w:sz w:val="36"/>
          <w:szCs w:val="36"/>
          <w:lang w:val="en-GB"/>
        </w:rPr>
      </w:pPr>
      <w:r w:rsidRPr="00A04E7E">
        <w:rPr>
          <w:b/>
          <w:sz w:val="36"/>
          <w:szCs w:val="36"/>
          <w:lang w:val="en-GB"/>
        </w:rPr>
        <w:t>LCBB5000: Data Handling and Business Intelligence</w:t>
      </w:r>
    </w:p>
    <w:p w14:paraId="05B4120A" w14:textId="77777777" w:rsidR="00C66BFE" w:rsidRPr="00152EE1" w:rsidRDefault="00C66BFE" w:rsidP="00C66BFE">
      <w:pPr>
        <w:pStyle w:val="NormalWeb"/>
        <w:spacing w:before="240" w:beforeAutospacing="0" w:after="240" w:afterAutospacing="0"/>
        <w:jc w:val="center"/>
        <w:rPr>
          <w:sz w:val="36"/>
          <w:szCs w:val="36"/>
          <w:lang w:val="en-GB"/>
        </w:rPr>
      </w:pPr>
      <w:r w:rsidRPr="00152EE1">
        <w:rPr>
          <w:b/>
          <w:bCs/>
          <w:iCs/>
          <w:color w:val="0E101A"/>
          <w:sz w:val="36"/>
          <w:szCs w:val="36"/>
          <w:lang w:val="en-GB"/>
        </w:rPr>
        <w:t>MIRCEA OCTAVIAN OLTEANU</w:t>
      </w:r>
    </w:p>
    <w:p w14:paraId="6824BCBB" w14:textId="77777777" w:rsidR="00C66BFE" w:rsidRPr="00152EE1" w:rsidRDefault="00C66BFE" w:rsidP="00C66BFE">
      <w:pPr>
        <w:pStyle w:val="NormalWeb"/>
        <w:spacing w:before="240" w:beforeAutospacing="0" w:after="240" w:afterAutospacing="0"/>
        <w:jc w:val="center"/>
        <w:rPr>
          <w:sz w:val="36"/>
          <w:szCs w:val="36"/>
          <w:lang w:val="en-GB"/>
        </w:rPr>
      </w:pPr>
      <w:r w:rsidRPr="00152EE1">
        <w:rPr>
          <w:b/>
          <w:bCs/>
          <w:iCs/>
          <w:color w:val="0E101A"/>
          <w:sz w:val="36"/>
          <w:szCs w:val="36"/>
          <w:lang w:val="en-GB"/>
        </w:rPr>
        <w:t>2017632@student.uwtsd.ac.uk</w:t>
      </w:r>
    </w:p>
    <w:p w14:paraId="7FC193D3" w14:textId="77777777" w:rsidR="00A343E7" w:rsidRPr="008171A7" w:rsidRDefault="00292C06" w:rsidP="008171A7">
      <w:pPr>
        <w:spacing w:line="259" w:lineRule="auto"/>
        <w:jc w:val="center"/>
        <w:rPr>
          <w:b/>
          <w:bCs/>
          <w:sz w:val="48"/>
          <w:szCs w:val="44"/>
        </w:rPr>
      </w:pPr>
      <w:bookmarkStart w:id="0" w:name="_GoBack"/>
      <w:bookmarkEnd w:id="0"/>
      <w:r w:rsidRPr="008171A7">
        <w:rPr>
          <w:b/>
          <w:bCs/>
          <w:sz w:val="48"/>
          <w:szCs w:val="44"/>
        </w:rPr>
        <w:br w:type="page"/>
      </w:r>
    </w:p>
    <w:sdt>
      <w:sdtPr>
        <w:rPr>
          <w:rFonts w:ascii="Times New Roman" w:eastAsiaTheme="minorHAnsi" w:hAnsi="Times New Roman" w:cstheme="minorBidi"/>
          <w:color w:val="auto"/>
          <w:sz w:val="24"/>
          <w:szCs w:val="22"/>
          <w:lang w:val="en-GB"/>
        </w:rPr>
        <w:id w:val="588978933"/>
        <w:docPartObj>
          <w:docPartGallery w:val="Table of Contents"/>
          <w:docPartUnique/>
        </w:docPartObj>
      </w:sdtPr>
      <w:sdtEndPr>
        <w:rPr>
          <w:b/>
          <w:bCs/>
          <w:noProof/>
        </w:rPr>
      </w:sdtEndPr>
      <w:sdtContent>
        <w:p w14:paraId="0DBF0B14" w14:textId="1B436079" w:rsidR="009A586C" w:rsidRDefault="009A586C">
          <w:pPr>
            <w:pStyle w:val="TOCHeading"/>
          </w:pPr>
          <w:r>
            <w:t>Table of Contents</w:t>
          </w:r>
        </w:p>
        <w:p w14:paraId="3DFA4347" w14:textId="471AC81C" w:rsidR="009A586C" w:rsidRDefault="009A586C">
          <w:pPr>
            <w:pStyle w:val="TOC1"/>
            <w:tabs>
              <w:tab w:val="right" w:leader="dot" w:pos="9350"/>
            </w:tabs>
            <w:rPr>
              <w:noProof/>
            </w:rPr>
          </w:pPr>
          <w:r>
            <w:fldChar w:fldCharType="begin"/>
          </w:r>
          <w:r>
            <w:instrText xml:space="preserve"> TOC \o "1-3" \h \z \u </w:instrText>
          </w:r>
          <w:r>
            <w:fldChar w:fldCharType="separate"/>
          </w:r>
          <w:hyperlink w:anchor="_Toc99484142" w:history="1">
            <w:r w:rsidRPr="009B7AE0">
              <w:rPr>
                <w:rStyle w:val="Hyperlink"/>
                <w:noProof/>
              </w:rPr>
              <w:t>Introduction</w:t>
            </w:r>
            <w:r>
              <w:rPr>
                <w:noProof/>
                <w:webHidden/>
              </w:rPr>
              <w:tab/>
            </w:r>
            <w:r>
              <w:rPr>
                <w:noProof/>
                <w:webHidden/>
              </w:rPr>
              <w:fldChar w:fldCharType="begin"/>
            </w:r>
            <w:r>
              <w:rPr>
                <w:noProof/>
                <w:webHidden/>
              </w:rPr>
              <w:instrText xml:space="preserve"> PAGEREF _Toc99484142 \h </w:instrText>
            </w:r>
            <w:r>
              <w:rPr>
                <w:noProof/>
                <w:webHidden/>
              </w:rPr>
            </w:r>
            <w:r>
              <w:rPr>
                <w:noProof/>
                <w:webHidden/>
              </w:rPr>
              <w:fldChar w:fldCharType="separate"/>
            </w:r>
            <w:r>
              <w:rPr>
                <w:noProof/>
                <w:webHidden/>
              </w:rPr>
              <w:t>3</w:t>
            </w:r>
            <w:r>
              <w:rPr>
                <w:noProof/>
                <w:webHidden/>
              </w:rPr>
              <w:fldChar w:fldCharType="end"/>
            </w:r>
          </w:hyperlink>
        </w:p>
        <w:p w14:paraId="44F3D05D" w14:textId="0597CFE5" w:rsidR="009A586C" w:rsidRDefault="00475933">
          <w:pPr>
            <w:pStyle w:val="TOC1"/>
            <w:tabs>
              <w:tab w:val="right" w:leader="dot" w:pos="9350"/>
            </w:tabs>
            <w:rPr>
              <w:noProof/>
            </w:rPr>
          </w:pPr>
          <w:hyperlink w:anchor="_Toc99484143" w:history="1">
            <w:r w:rsidR="009A586C" w:rsidRPr="009B7AE0">
              <w:rPr>
                <w:rStyle w:val="Hyperlink"/>
                <w:noProof/>
              </w:rPr>
              <w:t>Visual Representation and Analysis of Crime Rates</w:t>
            </w:r>
            <w:r w:rsidR="009A586C">
              <w:rPr>
                <w:noProof/>
                <w:webHidden/>
              </w:rPr>
              <w:tab/>
            </w:r>
            <w:r w:rsidR="009A586C">
              <w:rPr>
                <w:noProof/>
                <w:webHidden/>
              </w:rPr>
              <w:fldChar w:fldCharType="begin"/>
            </w:r>
            <w:r w:rsidR="009A586C">
              <w:rPr>
                <w:noProof/>
                <w:webHidden/>
              </w:rPr>
              <w:instrText xml:space="preserve"> PAGEREF _Toc99484143 \h </w:instrText>
            </w:r>
            <w:r w:rsidR="009A586C">
              <w:rPr>
                <w:noProof/>
                <w:webHidden/>
              </w:rPr>
            </w:r>
            <w:r w:rsidR="009A586C">
              <w:rPr>
                <w:noProof/>
                <w:webHidden/>
              </w:rPr>
              <w:fldChar w:fldCharType="separate"/>
            </w:r>
            <w:r w:rsidR="009A586C">
              <w:rPr>
                <w:noProof/>
                <w:webHidden/>
              </w:rPr>
              <w:t>4</w:t>
            </w:r>
            <w:r w:rsidR="009A586C">
              <w:rPr>
                <w:noProof/>
                <w:webHidden/>
              </w:rPr>
              <w:fldChar w:fldCharType="end"/>
            </w:r>
          </w:hyperlink>
        </w:p>
        <w:p w14:paraId="588D4F5C" w14:textId="40EEE00F" w:rsidR="009A586C" w:rsidRDefault="00475933">
          <w:pPr>
            <w:pStyle w:val="TOC2"/>
            <w:tabs>
              <w:tab w:val="right" w:leader="dot" w:pos="9350"/>
            </w:tabs>
            <w:rPr>
              <w:noProof/>
            </w:rPr>
          </w:pPr>
          <w:hyperlink w:anchor="_Toc99484144" w:history="1">
            <w:r w:rsidR="009A586C" w:rsidRPr="009B7AE0">
              <w:rPr>
                <w:rStyle w:val="Hyperlink"/>
                <w:noProof/>
              </w:rPr>
              <w:t>Overall Crime Rate</w:t>
            </w:r>
            <w:r w:rsidR="009A586C">
              <w:rPr>
                <w:noProof/>
                <w:webHidden/>
              </w:rPr>
              <w:tab/>
            </w:r>
            <w:r w:rsidR="009A586C">
              <w:rPr>
                <w:noProof/>
                <w:webHidden/>
              </w:rPr>
              <w:fldChar w:fldCharType="begin"/>
            </w:r>
            <w:r w:rsidR="009A586C">
              <w:rPr>
                <w:noProof/>
                <w:webHidden/>
              </w:rPr>
              <w:instrText xml:space="preserve"> PAGEREF _Toc99484144 \h </w:instrText>
            </w:r>
            <w:r w:rsidR="009A586C">
              <w:rPr>
                <w:noProof/>
                <w:webHidden/>
              </w:rPr>
            </w:r>
            <w:r w:rsidR="009A586C">
              <w:rPr>
                <w:noProof/>
                <w:webHidden/>
              </w:rPr>
              <w:fldChar w:fldCharType="separate"/>
            </w:r>
            <w:r w:rsidR="009A586C">
              <w:rPr>
                <w:noProof/>
                <w:webHidden/>
              </w:rPr>
              <w:t>4</w:t>
            </w:r>
            <w:r w:rsidR="009A586C">
              <w:rPr>
                <w:noProof/>
                <w:webHidden/>
              </w:rPr>
              <w:fldChar w:fldCharType="end"/>
            </w:r>
          </w:hyperlink>
        </w:p>
        <w:p w14:paraId="402A5284" w14:textId="50AA161F" w:rsidR="009A586C" w:rsidRDefault="00475933">
          <w:pPr>
            <w:pStyle w:val="TOC2"/>
            <w:tabs>
              <w:tab w:val="right" w:leader="dot" w:pos="9350"/>
            </w:tabs>
            <w:rPr>
              <w:noProof/>
            </w:rPr>
          </w:pPr>
          <w:hyperlink w:anchor="_Toc99484145" w:history="1">
            <w:r w:rsidR="009A586C" w:rsidRPr="009B7AE0">
              <w:rPr>
                <w:rStyle w:val="Hyperlink"/>
                <w:noProof/>
              </w:rPr>
              <w:t>Crime rate reported against Youth</w:t>
            </w:r>
            <w:r w:rsidR="009A586C">
              <w:rPr>
                <w:noProof/>
                <w:webHidden/>
              </w:rPr>
              <w:tab/>
            </w:r>
            <w:r w:rsidR="009A586C">
              <w:rPr>
                <w:noProof/>
                <w:webHidden/>
              </w:rPr>
              <w:fldChar w:fldCharType="begin"/>
            </w:r>
            <w:r w:rsidR="009A586C">
              <w:rPr>
                <w:noProof/>
                <w:webHidden/>
              </w:rPr>
              <w:instrText xml:space="preserve"> PAGEREF _Toc99484145 \h </w:instrText>
            </w:r>
            <w:r w:rsidR="009A586C">
              <w:rPr>
                <w:noProof/>
                <w:webHidden/>
              </w:rPr>
            </w:r>
            <w:r w:rsidR="009A586C">
              <w:rPr>
                <w:noProof/>
                <w:webHidden/>
              </w:rPr>
              <w:fldChar w:fldCharType="separate"/>
            </w:r>
            <w:r w:rsidR="009A586C">
              <w:rPr>
                <w:noProof/>
                <w:webHidden/>
              </w:rPr>
              <w:t>5</w:t>
            </w:r>
            <w:r w:rsidR="009A586C">
              <w:rPr>
                <w:noProof/>
                <w:webHidden/>
              </w:rPr>
              <w:fldChar w:fldCharType="end"/>
            </w:r>
          </w:hyperlink>
        </w:p>
        <w:p w14:paraId="32AC607B" w14:textId="6D19AAD7" w:rsidR="009A586C" w:rsidRDefault="00475933">
          <w:pPr>
            <w:pStyle w:val="TOC2"/>
            <w:tabs>
              <w:tab w:val="right" w:leader="dot" w:pos="9350"/>
            </w:tabs>
            <w:rPr>
              <w:noProof/>
            </w:rPr>
          </w:pPr>
          <w:hyperlink w:anchor="_Toc99484146" w:history="1">
            <w:r w:rsidR="009A586C" w:rsidRPr="009B7AE0">
              <w:rPr>
                <w:rStyle w:val="Hyperlink"/>
                <w:noProof/>
              </w:rPr>
              <w:t>Crime Rate in Education-based demography</w:t>
            </w:r>
            <w:r w:rsidR="009A586C">
              <w:rPr>
                <w:noProof/>
                <w:webHidden/>
              </w:rPr>
              <w:tab/>
            </w:r>
            <w:r w:rsidR="009A586C">
              <w:rPr>
                <w:noProof/>
                <w:webHidden/>
              </w:rPr>
              <w:fldChar w:fldCharType="begin"/>
            </w:r>
            <w:r w:rsidR="009A586C">
              <w:rPr>
                <w:noProof/>
                <w:webHidden/>
              </w:rPr>
              <w:instrText xml:space="preserve"> PAGEREF _Toc99484146 \h </w:instrText>
            </w:r>
            <w:r w:rsidR="009A586C">
              <w:rPr>
                <w:noProof/>
                <w:webHidden/>
              </w:rPr>
            </w:r>
            <w:r w:rsidR="009A586C">
              <w:rPr>
                <w:noProof/>
                <w:webHidden/>
              </w:rPr>
              <w:fldChar w:fldCharType="separate"/>
            </w:r>
            <w:r w:rsidR="009A586C">
              <w:rPr>
                <w:noProof/>
                <w:webHidden/>
              </w:rPr>
              <w:t>6</w:t>
            </w:r>
            <w:r w:rsidR="009A586C">
              <w:rPr>
                <w:noProof/>
                <w:webHidden/>
              </w:rPr>
              <w:fldChar w:fldCharType="end"/>
            </w:r>
          </w:hyperlink>
        </w:p>
        <w:p w14:paraId="19FE0FF3" w14:textId="0DFF2BEA" w:rsidR="009A586C" w:rsidRDefault="00475933">
          <w:pPr>
            <w:pStyle w:val="TOC2"/>
            <w:tabs>
              <w:tab w:val="right" w:leader="dot" w:pos="9350"/>
            </w:tabs>
            <w:rPr>
              <w:noProof/>
            </w:rPr>
          </w:pPr>
          <w:hyperlink w:anchor="_Toc99484147" w:history="1">
            <w:r w:rsidR="009A586C" w:rsidRPr="009B7AE0">
              <w:rPr>
                <w:rStyle w:val="Hyperlink"/>
                <w:noProof/>
              </w:rPr>
              <w:t>Crime Rate for Expenditure Year</w:t>
            </w:r>
            <w:r w:rsidR="009A586C">
              <w:rPr>
                <w:noProof/>
                <w:webHidden/>
              </w:rPr>
              <w:tab/>
            </w:r>
            <w:r w:rsidR="009A586C">
              <w:rPr>
                <w:noProof/>
                <w:webHidden/>
              </w:rPr>
              <w:fldChar w:fldCharType="begin"/>
            </w:r>
            <w:r w:rsidR="009A586C">
              <w:rPr>
                <w:noProof/>
                <w:webHidden/>
              </w:rPr>
              <w:instrText xml:space="preserve"> PAGEREF _Toc99484147 \h </w:instrText>
            </w:r>
            <w:r w:rsidR="009A586C">
              <w:rPr>
                <w:noProof/>
                <w:webHidden/>
              </w:rPr>
            </w:r>
            <w:r w:rsidR="009A586C">
              <w:rPr>
                <w:noProof/>
                <w:webHidden/>
              </w:rPr>
              <w:fldChar w:fldCharType="separate"/>
            </w:r>
            <w:r w:rsidR="009A586C">
              <w:rPr>
                <w:noProof/>
                <w:webHidden/>
              </w:rPr>
              <w:t>7</w:t>
            </w:r>
            <w:r w:rsidR="009A586C">
              <w:rPr>
                <w:noProof/>
                <w:webHidden/>
              </w:rPr>
              <w:fldChar w:fldCharType="end"/>
            </w:r>
          </w:hyperlink>
        </w:p>
        <w:p w14:paraId="42B698C5" w14:textId="15953F4D" w:rsidR="009A586C" w:rsidRDefault="00475933">
          <w:pPr>
            <w:pStyle w:val="TOC2"/>
            <w:tabs>
              <w:tab w:val="right" w:leader="dot" w:pos="9350"/>
            </w:tabs>
            <w:rPr>
              <w:noProof/>
            </w:rPr>
          </w:pPr>
          <w:hyperlink w:anchor="_Toc99484148" w:history="1">
            <w:r w:rsidR="009A586C" w:rsidRPr="009B7AE0">
              <w:rPr>
                <w:rStyle w:val="Hyperlink"/>
                <w:noProof/>
              </w:rPr>
              <w:t>Crime Rate among Labour Force</w:t>
            </w:r>
            <w:r w:rsidR="009A586C">
              <w:rPr>
                <w:noProof/>
                <w:webHidden/>
              </w:rPr>
              <w:tab/>
            </w:r>
            <w:r w:rsidR="009A586C">
              <w:rPr>
                <w:noProof/>
                <w:webHidden/>
              </w:rPr>
              <w:fldChar w:fldCharType="begin"/>
            </w:r>
            <w:r w:rsidR="009A586C">
              <w:rPr>
                <w:noProof/>
                <w:webHidden/>
              </w:rPr>
              <w:instrText xml:space="preserve"> PAGEREF _Toc99484148 \h </w:instrText>
            </w:r>
            <w:r w:rsidR="009A586C">
              <w:rPr>
                <w:noProof/>
                <w:webHidden/>
              </w:rPr>
            </w:r>
            <w:r w:rsidR="009A586C">
              <w:rPr>
                <w:noProof/>
                <w:webHidden/>
              </w:rPr>
              <w:fldChar w:fldCharType="separate"/>
            </w:r>
            <w:r w:rsidR="009A586C">
              <w:rPr>
                <w:noProof/>
                <w:webHidden/>
              </w:rPr>
              <w:t>7</w:t>
            </w:r>
            <w:r w:rsidR="009A586C">
              <w:rPr>
                <w:noProof/>
                <w:webHidden/>
              </w:rPr>
              <w:fldChar w:fldCharType="end"/>
            </w:r>
          </w:hyperlink>
        </w:p>
        <w:p w14:paraId="720F9FF2" w14:textId="5071C989" w:rsidR="009A586C" w:rsidRDefault="00475933">
          <w:pPr>
            <w:pStyle w:val="TOC2"/>
            <w:tabs>
              <w:tab w:val="right" w:leader="dot" w:pos="9350"/>
            </w:tabs>
            <w:rPr>
              <w:noProof/>
            </w:rPr>
          </w:pPr>
          <w:hyperlink w:anchor="_Toc99484149" w:history="1">
            <w:r w:rsidR="009A586C" w:rsidRPr="009B7AE0">
              <w:rPr>
                <w:rStyle w:val="Hyperlink"/>
                <w:noProof/>
              </w:rPr>
              <w:t>Crime Rate committed by the Male population</w:t>
            </w:r>
            <w:r w:rsidR="009A586C">
              <w:rPr>
                <w:noProof/>
                <w:webHidden/>
              </w:rPr>
              <w:tab/>
            </w:r>
            <w:r w:rsidR="009A586C">
              <w:rPr>
                <w:noProof/>
                <w:webHidden/>
              </w:rPr>
              <w:fldChar w:fldCharType="begin"/>
            </w:r>
            <w:r w:rsidR="009A586C">
              <w:rPr>
                <w:noProof/>
                <w:webHidden/>
              </w:rPr>
              <w:instrText xml:space="preserve"> PAGEREF _Toc99484149 \h </w:instrText>
            </w:r>
            <w:r w:rsidR="009A586C">
              <w:rPr>
                <w:noProof/>
                <w:webHidden/>
              </w:rPr>
            </w:r>
            <w:r w:rsidR="009A586C">
              <w:rPr>
                <w:noProof/>
                <w:webHidden/>
              </w:rPr>
              <w:fldChar w:fldCharType="separate"/>
            </w:r>
            <w:r w:rsidR="009A586C">
              <w:rPr>
                <w:noProof/>
                <w:webHidden/>
              </w:rPr>
              <w:t>7</w:t>
            </w:r>
            <w:r w:rsidR="009A586C">
              <w:rPr>
                <w:noProof/>
                <w:webHidden/>
              </w:rPr>
              <w:fldChar w:fldCharType="end"/>
            </w:r>
          </w:hyperlink>
        </w:p>
        <w:p w14:paraId="5C77F3B5" w14:textId="3172FC35" w:rsidR="009A586C" w:rsidRDefault="00475933">
          <w:pPr>
            <w:pStyle w:val="TOC2"/>
            <w:tabs>
              <w:tab w:val="right" w:leader="dot" w:pos="9350"/>
            </w:tabs>
            <w:rPr>
              <w:noProof/>
            </w:rPr>
          </w:pPr>
          <w:hyperlink w:anchor="_Toc99484150" w:history="1">
            <w:r w:rsidR="009A586C" w:rsidRPr="009B7AE0">
              <w:rPr>
                <w:rStyle w:val="Hyperlink"/>
                <w:noProof/>
              </w:rPr>
              <w:t>Crime Rate among the Unemployed population</w:t>
            </w:r>
            <w:r w:rsidR="009A586C">
              <w:rPr>
                <w:noProof/>
                <w:webHidden/>
              </w:rPr>
              <w:tab/>
            </w:r>
            <w:r w:rsidR="009A586C">
              <w:rPr>
                <w:noProof/>
                <w:webHidden/>
              </w:rPr>
              <w:fldChar w:fldCharType="begin"/>
            </w:r>
            <w:r w:rsidR="009A586C">
              <w:rPr>
                <w:noProof/>
                <w:webHidden/>
              </w:rPr>
              <w:instrText xml:space="preserve"> PAGEREF _Toc99484150 \h </w:instrText>
            </w:r>
            <w:r w:rsidR="009A586C">
              <w:rPr>
                <w:noProof/>
                <w:webHidden/>
              </w:rPr>
            </w:r>
            <w:r w:rsidR="009A586C">
              <w:rPr>
                <w:noProof/>
                <w:webHidden/>
              </w:rPr>
              <w:fldChar w:fldCharType="separate"/>
            </w:r>
            <w:r w:rsidR="009A586C">
              <w:rPr>
                <w:noProof/>
                <w:webHidden/>
              </w:rPr>
              <w:t>7</w:t>
            </w:r>
            <w:r w:rsidR="009A586C">
              <w:rPr>
                <w:noProof/>
                <w:webHidden/>
              </w:rPr>
              <w:fldChar w:fldCharType="end"/>
            </w:r>
          </w:hyperlink>
        </w:p>
        <w:p w14:paraId="00CD5D12" w14:textId="19CFCB95" w:rsidR="009A586C" w:rsidRDefault="00475933">
          <w:pPr>
            <w:pStyle w:val="TOC2"/>
            <w:tabs>
              <w:tab w:val="right" w:leader="dot" w:pos="9350"/>
            </w:tabs>
            <w:rPr>
              <w:noProof/>
            </w:rPr>
          </w:pPr>
          <w:hyperlink w:anchor="_Toc99484151" w:history="1">
            <w:r w:rsidR="009A586C" w:rsidRPr="009B7AE0">
              <w:rPr>
                <w:rStyle w:val="Hyperlink"/>
                <w:noProof/>
              </w:rPr>
              <w:t>Crime Rate as per Wages</w:t>
            </w:r>
            <w:r w:rsidR="009A586C">
              <w:rPr>
                <w:noProof/>
                <w:webHidden/>
              </w:rPr>
              <w:tab/>
            </w:r>
            <w:r w:rsidR="009A586C">
              <w:rPr>
                <w:noProof/>
                <w:webHidden/>
              </w:rPr>
              <w:fldChar w:fldCharType="begin"/>
            </w:r>
            <w:r w:rsidR="009A586C">
              <w:rPr>
                <w:noProof/>
                <w:webHidden/>
              </w:rPr>
              <w:instrText xml:space="preserve"> PAGEREF _Toc99484151 \h </w:instrText>
            </w:r>
            <w:r w:rsidR="009A586C">
              <w:rPr>
                <w:noProof/>
                <w:webHidden/>
              </w:rPr>
            </w:r>
            <w:r w:rsidR="009A586C">
              <w:rPr>
                <w:noProof/>
                <w:webHidden/>
              </w:rPr>
              <w:fldChar w:fldCharType="separate"/>
            </w:r>
            <w:r w:rsidR="009A586C">
              <w:rPr>
                <w:noProof/>
                <w:webHidden/>
              </w:rPr>
              <w:t>7</w:t>
            </w:r>
            <w:r w:rsidR="009A586C">
              <w:rPr>
                <w:noProof/>
                <w:webHidden/>
              </w:rPr>
              <w:fldChar w:fldCharType="end"/>
            </w:r>
          </w:hyperlink>
        </w:p>
        <w:p w14:paraId="617827BF" w14:textId="25E0A39F" w:rsidR="009A586C" w:rsidRDefault="00475933">
          <w:pPr>
            <w:pStyle w:val="TOC1"/>
            <w:tabs>
              <w:tab w:val="right" w:leader="dot" w:pos="9350"/>
            </w:tabs>
            <w:rPr>
              <w:noProof/>
            </w:rPr>
          </w:pPr>
          <w:hyperlink w:anchor="_Toc99484152" w:history="1">
            <w:r w:rsidR="009A586C" w:rsidRPr="009B7AE0">
              <w:rPr>
                <w:rStyle w:val="Hyperlink"/>
                <w:noProof/>
              </w:rPr>
              <w:t>Conclusion</w:t>
            </w:r>
            <w:r w:rsidR="009A586C">
              <w:rPr>
                <w:noProof/>
                <w:webHidden/>
              </w:rPr>
              <w:tab/>
            </w:r>
            <w:r w:rsidR="009A586C">
              <w:rPr>
                <w:noProof/>
                <w:webHidden/>
              </w:rPr>
              <w:fldChar w:fldCharType="begin"/>
            </w:r>
            <w:r w:rsidR="009A586C">
              <w:rPr>
                <w:noProof/>
                <w:webHidden/>
              </w:rPr>
              <w:instrText xml:space="preserve"> PAGEREF _Toc99484152 \h </w:instrText>
            </w:r>
            <w:r w:rsidR="009A586C">
              <w:rPr>
                <w:noProof/>
                <w:webHidden/>
              </w:rPr>
            </w:r>
            <w:r w:rsidR="009A586C">
              <w:rPr>
                <w:noProof/>
                <w:webHidden/>
              </w:rPr>
              <w:fldChar w:fldCharType="separate"/>
            </w:r>
            <w:r w:rsidR="009A586C">
              <w:rPr>
                <w:noProof/>
                <w:webHidden/>
              </w:rPr>
              <w:t>7</w:t>
            </w:r>
            <w:r w:rsidR="009A586C">
              <w:rPr>
                <w:noProof/>
                <w:webHidden/>
              </w:rPr>
              <w:fldChar w:fldCharType="end"/>
            </w:r>
          </w:hyperlink>
        </w:p>
        <w:p w14:paraId="616C2440" w14:textId="77777777" w:rsidR="009A586C" w:rsidRDefault="009A586C" w:rsidP="009A586C">
          <w:pPr>
            <w:rPr>
              <w:b/>
              <w:bCs/>
              <w:noProof/>
            </w:rPr>
          </w:pPr>
          <w:r>
            <w:rPr>
              <w:b/>
              <w:bCs/>
              <w:noProof/>
            </w:rPr>
            <w:fldChar w:fldCharType="end"/>
          </w:r>
        </w:p>
      </w:sdtContent>
    </w:sdt>
    <w:p w14:paraId="000CAE70" w14:textId="2C44AB4B" w:rsidR="009A586C" w:rsidRPr="009A586C" w:rsidRDefault="009A586C" w:rsidP="009A586C">
      <w:r>
        <w:br w:type="page"/>
      </w:r>
    </w:p>
    <w:p w14:paraId="4051093A" w14:textId="239AADDD" w:rsidR="00254BA7" w:rsidRDefault="00292C06" w:rsidP="00254BA7">
      <w:pPr>
        <w:pStyle w:val="Heading1"/>
      </w:pPr>
      <w:bookmarkStart w:id="1" w:name="_Toc99484142"/>
      <w:r>
        <w:lastRenderedPageBreak/>
        <w:t>Introduction</w:t>
      </w:r>
      <w:bookmarkEnd w:id="1"/>
    </w:p>
    <w:p w14:paraId="7FDBCE68" w14:textId="77777777" w:rsidR="00254BA7" w:rsidRDefault="00292C06" w:rsidP="003C6DBE">
      <w:pPr>
        <w:rPr>
          <w:b/>
        </w:rPr>
      </w:pPr>
      <w:r>
        <w:t>Data handling and business intelligence require taking an analytical approach to interpreting the data and information related to businesses in a</w:t>
      </w:r>
      <w:r w:rsidR="000C4440">
        <w:t>n easier method.</w:t>
      </w:r>
      <w:r w:rsidR="00521EDF">
        <w:t xml:space="preserve"> Data interpretation and understanding becomes easier for the management of the business as well as unskilled people. In this particular assignment, the utility of MS-Excel charts </w:t>
      </w:r>
      <w:r w:rsidR="00C919A1">
        <w:t>has been utilised in analysing and interpreting the crime rate data provided</w:t>
      </w:r>
      <w:r w:rsidR="00EB61D9">
        <w:t xml:space="preserve"> within the brief. Analysis and interpretation of each of the demographics in relation to the level of crime rate within the UK have been individually provided within the assignment.</w:t>
      </w:r>
      <w:r>
        <w:br w:type="page"/>
      </w:r>
    </w:p>
    <w:p w14:paraId="2E8A71E7" w14:textId="77777777" w:rsidR="008171A7" w:rsidRDefault="00292C06" w:rsidP="001854F7">
      <w:pPr>
        <w:pStyle w:val="Heading1"/>
      </w:pPr>
      <w:bookmarkStart w:id="2" w:name="_Toc99484143"/>
      <w:r>
        <w:lastRenderedPageBreak/>
        <w:t>Visual Representation and Analysis of Crime Rates</w:t>
      </w:r>
      <w:bookmarkEnd w:id="2"/>
    </w:p>
    <w:p w14:paraId="10408A28" w14:textId="77777777" w:rsidR="001854F7" w:rsidRDefault="00292C06" w:rsidP="001854F7">
      <w:r>
        <w:t>As per the data set provided based on the Crime Rate of the UK, the Excel file had supplied certain demographics and the crime rates occurring within the respective demographics.</w:t>
      </w:r>
      <w:r w:rsidR="000B088E">
        <w:t xml:space="preserve"> Through extensive analysis of the provided demographic data, the fluctuations in the overall crime rates occurring over the ten years can easily be gauged. In this scenario, a few of the demographics that were supplied in the Excel fi</w:t>
      </w:r>
      <w:r w:rsidR="00F644C4">
        <w:t>l</w:t>
      </w:r>
      <w:r w:rsidR="000B088E">
        <w:t xml:space="preserve">e included </w:t>
      </w:r>
      <w:r w:rsidR="00F644C4">
        <w:t xml:space="preserve">youth, education, gender, labour force, unemployment, </w:t>
      </w:r>
      <w:r w:rsidR="001B28A1">
        <w:t>wages and so on.</w:t>
      </w:r>
      <w:r w:rsidR="007A7B32">
        <w:t xml:space="preserve"> Based on this scenario, certain visual representations will be provided with the aid of chart formations </w:t>
      </w:r>
      <w:r w:rsidR="006A3B2D">
        <w:t xml:space="preserve">using the MS-excel functionality. </w:t>
      </w:r>
      <w:r w:rsidR="00CF6956">
        <w:t xml:space="preserve">The fluctuations will be portrayed for </w:t>
      </w:r>
      <w:r w:rsidR="00B6162E">
        <w:t xml:space="preserve">the </w:t>
      </w:r>
      <w:r w:rsidR="00CF6956">
        <w:t xml:space="preserve">different </w:t>
      </w:r>
      <w:r w:rsidR="00B6162E">
        <w:t>demographics to derive an individual and more interpretable analysis of the situation of crime rates within the UK.</w:t>
      </w:r>
    </w:p>
    <w:p w14:paraId="1700CED7" w14:textId="77777777" w:rsidR="00B30173" w:rsidRDefault="00292C06" w:rsidP="00B30173">
      <w:pPr>
        <w:pStyle w:val="Heading2"/>
      </w:pPr>
      <w:bookmarkStart w:id="3" w:name="_Toc99484144"/>
      <w:r>
        <w:t>Overall Crime Rate</w:t>
      </w:r>
      <w:bookmarkEnd w:id="3"/>
    </w:p>
    <w:p w14:paraId="150BCB53" w14:textId="77777777" w:rsidR="00B30173" w:rsidRDefault="00292C06" w:rsidP="00F61665">
      <w:pPr>
        <w:jc w:val="center"/>
      </w:pPr>
      <w:r>
        <w:rPr>
          <w:noProof/>
        </w:rPr>
        <w:drawing>
          <wp:inline distT="0" distB="0" distL="0" distR="0" wp14:anchorId="161DA897" wp14:editId="0AD96327">
            <wp:extent cx="5629276" cy="3262313"/>
            <wp:effectExtent l="0" t="0" r="9525" b="14605"/>
            <wp:docPr id="1" name="Chart 1">
              <a:extLst xmlns:a="http://schemas.openxmlformats.org/drawingml/2006/main">
                <a:ext uri="{FF2B5EF4-FFF2-40B4-BE49-F238E27FC236}">
                  <a16:creationId xmlns:a16="http://schemas.microsoft.com/office/drawing/2014/main" id="{54605CD9-457C-4EA1-9B7D-8A10D00FAA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0083F1FE" w14:textId="77777777" w:rsidR="00B30173" w:rsidRDefault="00292C06" w:rsidP="00B30173">
      <w:pPr>
        <w:jc w:val="center"/>
        <w:rPr>
          <w:b/>
          <w:bCs/>
        </w:rPr>
      </w:pPr>
      <w:r w:rsidRPr="00B30173">
        <w:rPr>
          <w:b/>
          <w:bCs/>
        </w:rPr>
        <w:t>(Author)</w:t>
      </w:r>
    </w:p>
    <w:p w14:paraId="60E751A6" w14:textId="77777777" w:rsidR="00B30173" w:rsidRDefault="00292C06" w:rsidP="00B30173">
      <w:r>
        <w:lastRenderedPageBreak/>
        <w:t xml:space="preserve">The above graph represents the overall rate of crimes within the UK nation. </w:t>
      </w:r>
      <w:r w:rsidR="00C179A3">
        <w:t xml:space="preserve">Within the Excel-based 2-D line chart, </w:t>
      </w:r>
      <w:r>
        <w:t xml:space="preserve">“Crime Rate 10” represents the level of crime within the UK ten years after the </w:t>
      </w:r>
      <w:r w:rsidR="00B22D11">
        <w:t>base</w:t>
      </w:r>
      <w:r>
        <w:t xml:space="preserve"> year</w:t>
      </w:r>
      <w:r w:rsidR="00B22D11">
        <w:t xml:space="preserve">. The crime rate for the base year clearly reflects that the level of crime in the initial years was relatively higher when compared to the level recorded after ten years. </w:t>
      </w:r>
      <w:r w:rsidR="00BF2272">
        <w:t>It must be noted that both the fluctuation levels are depicting a constantly rising trend. Despite this</w:t>
      </w:r>
      <w:r w:rsidR="0020650F">
        <w:t>, the Crime Rate recorded after ten years depicted a steeper rising trend when compared with the trend recorded before ten years. This clearly signifies that the current situation of crimes in the UK has deteriorated further from the situation reported ten years back.</w:t>
      </w:r>
      <w:r w:rsidR="00CD07DC">
        <w:t xml:space="preserve"> This negative situation might be caused due to the economic complexities and individual struggles of people f</w:t>
      </w:r>
      <w:r w:rsidR="005302F7">
        <w:t>al</w:t>
      </w:r>
      <w:r w:rsidR="00CD07DC">
        <w:t xml:space="preserve">ling under </w:t>
      </w:r>
      <w:r w:rsidR="00745C6F">
        <w:t>the various demographics</w:t>
      </w:r>
      <w:r w:rsidR="00CD07DC">
        <w:t>.</w:t>
      </w:r>
    </w:p>
    <w:p w14:paraId="253425E0" w14:textId="77777777" w:rsidR="00745C6F" w:rsidRDefault="00292C06" w:rsidP="009073B1">
      <w:pPr>
        <w:pStyle w:val="Heading2"/>
      </w:pPr>
      <w:bookmarkStart w:id="4" w:name="_Toc99484145"/>
      <w:r>
        <w:t xml:space="preserve">Crime rate reported against </w:t>
      </w:r>
      <w:r w:rsidR="00FF18E8">
        <w:t>Y</w:t>
      </w:r>
      <w:r>
        <w:t>outh</w:t>
      </w:r>
      <w:bookmarkEnd w:id="4"/>
    </w:p>
    <w:p w14:paraId="5C9DB5C6" w14:textId="77777777" w:rsidR="00745C6F" w:rsidRDefault="00292C06" w:rsidP="009073B1">
      <w:pPr>
        <w:jc w:val="center"/>
      </w:pPr>
      <w:r>
        <w:rPr>
          <w:noProof/>
        </w:rPr>
        <w:drawing>
          <wp:inline distT="0" distB="0" distL="0" distR="0" wp14:anchorId="50BD8EC8" wp14:editId="131B70AA">
            <wp:extent cx="4552950" cy="3176270"/>
            <wp:effectExtent l="0" t="0" r="0" b="5080"/>
            <wp:docPr id="2" name="Chart 2">
              <a:extLst xmlns:a="http://schemas.openxmlformats.org/drawingml/2006/main">
                <a:ext uri="{FF2B5EF4-FFF2-40B4-BE49-F238E27FC236}">
                  <a16:creationId xmlns:a16="http://schemas.microsoft.com/office/drawing/2014/main" id="{0F204B66-8DD2-41D3-90A8-8570133E55D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29535E00" w14:textId="77777777" w:rsidR="009073B1" w:rsidRDefault="00292C06" w:rsidP="009073B1">
      <w:pPr>
        <w:jc w:val="center"/>
        <w:rPr>
          <w:b/>
          <w:bCs/>
        </w:rPr>
      </w:pPr>
      <w:r w:rsidRPr="009073B1">
        <w:rPr>
          <w:b/>
          <w:bCs/>
        </w:rPr>
        <w:t>(Author)</w:t>
      </w:r>
    </w:p>
    <w:p w14:paraId="7E49DD25" w14:textId="77777777" w:rsidR="009073B1" w:rsidRDefault="00292C06" w:rsidP="009073B1">
      <w:r>
        <w:lastRenderedPageBreak/>
        <w:t xml:space="preserve">In </w:t>
      </w:r>
      <w:r w:rsidR="009F4998">
        <w:t>the graph presented above, the crime rates reported</w:t>
      </w:r>
      <w:r>
        <w:t xml:space="preserve"> </w:t>
      </w:r>
      <w:r w:rsidR="009F4998">
        <w:t>against the</w:t>
      </w:r>
      <w:r>
        <w:t xml:space="preserve"> </w:t>
      </w:r>
      <w:r w:rsidR="009F4998">
        <w:t>youth population of the UK has been clearly illustrated.</w:t>
      </w:r>
      <w:r w:rsidR="000414B6" w:rsidRPr="000414B6">
        <w:t xml:space="preserve"> </w:t>
      </w:r>
      <w:r w:rsidR="000414B6">
        <w:t>Within the Excel-based 2-D line chart,</w:t>
      </w:r>
      <w:r w:rsidR="000D3AEB">
        <w:t xml:space="preserve"> </w:t>
      </w:r>
      <w:r w:rsidR="00636B23">
        <w:t>“Youth 10”</w:t>
      </w:r>
      <w:r w:rsidR="007E3C7B">
        <w:t xml:space="preserve"> </w:t>
      </w:r>
      <w:r w:rsidR="006C5A83">
        <w:t>depicted</w:t>
      </w:r>
      <w:r w:rsidR="007E3C7B">
        <w:t xml:space="preserve"> </w:t>
      </w:r>
      <w:r w:rsidR="006C5A83">
        <w:t xml:space="preserve">the level of crimes committed by the youth population of the </w:t>
      </w:r>
      <w:r w:rsidR="00856AC2">
        <w:t>UK</w:t>
      </w:r>
      <w:r w:rsidR="006C5A83">
        <w:t xml:space="preserve"> nation ten years after the base year.</w:t>
      </w:r>
      <w:r w:rsidR="00AF086E">
        <w:t xml:space="preserve"> </w:t>
      </w:r>
      <w:r w:rsidR="006C5A83">
        <w:t>Usually, crimes when committed by the youth population signals that they were either influenced by their external situation or through</w:t>
      </w:r>
      <w:r w:rsidR="00AF086E">
        <w:t xml:space="preserve"> </w:t>
      </w:r>
      <w:r w:rsidR="006C5A83">
        <w:t>some psychological influence. It might be due to the influence of drugs or due to</w:t>
      </w:r>
      <w:r w:rsidR="00E858A5">
        <w:t xml:space="preserve"> </w:t>
      </w:r>
      <w:r w:rsidR="006C5A83">
        <w:t>negative upbringing within their families. As per the graph, the</w:t>
      </w:r>
      <w:r w:rsidR="002B2C94">
        <w:t xml:space="preserve"> </w:t>
      </w:r>
      <w:r w:rsidR="006C5A83">
        <w:t>fluctuations between the</w:t>
      </w:r>
      <w:r w:rsidR="002B2C94">
        <w:t xml:space="preserve"> </w:t>
      </w:r>
      <w:r w:rsidR="006C5A83">
        <w:t xml:space="preserve">two reported levels of crimes </w:t>
      </w:r>
      <w:r w:rsidR="00856AC2">
        <w:t>were</w:t>
      </w:r>
      <w:r w:rsidR="006C5A83">
        <w:t xml:space="preserve"> extremely minimal. This indicates that the level of crime has not reduced even over the</w:t>
      </w:r>
      <w:r w:rsidR="002B2C94">
        <w:t xml:space="preserve"> </w:t>
      </w:r>
      <w:r w:rsidR="006C5A83">
        <w:t>span of ten years. However, on average, it might be stated</w:t>
      </w:r>
      <w:r w:rsidR="00133D31">
        <w:t xml:space="preserve"> </w:t>
      </w:r>
      <w:r w:rsidR="006C5A83">
        <w:t>that the peak crime rate levels were recorded particularly for the crime rates of the youth population as recorded before ten years. The UK government must work on reducing the level of crimes committed by the youth by taking positive measures for providing them with safe havens, education, jobs and therapy.</w:t>
      </w:r>
    </w:p>
    <w:p w14:paraId="72B5C8A7" w14:textId="77777777" w:rsidR="00723972" w:rsidRDefault="00292C06" w:rsidP="00163F79">
      <w:pPr>
        <w:pStyle w:val="Heading2"/>
      </w:pPr>
      <w:bookmarkStart w:id="5" w:name="_Toc99484146"/>
      <w:r>
        <w:t>Crime Rate in Education-based demography</w:t>
      </w:r>
      <w:bookmarkEnd w:id="5"/>
    </w:p>
    <w:p w14:paraId="42DFA461" w14:textId="77777777" w:rsidR="00163F79" w:rsidRDefault="00292C06" w:rsidP="00B45B58">
      <w:pPr>
        <w:jc w:val="center"/>
      </w:pPr>
      <w:r>
        <w:rPr>
          <w:noProof/>
        </w:rPr>
        <w:drawing>
          <wp:inline distT="0" distB="0" distL="0" distR="0" wp14:anchorId="1EBDF3B7" wp14:editId="783B71AB">
            <wp:extent cx="5029200" cy="2743200"/>
            <wp:effectExtent l="0" t="0" r="0" b="0"/>
            <wp:docPr id="3" name="Chart 3">
              <a:extLst xmlns:a="http://schemas.openxmlformats.org/drawingml/2006/main">
                <a:ext uri="{FF2B5EF4-FFF2-40B4-BE49-F238E27FC236}">
                  <a16:creationId xmlns:a16="http://schemas.microsoft.com/office/drawing/2014/main" id="{92B9AF13-EF08-450F-94DE-196DF1F151A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8B204DE" w14:textId="77777777" w:rsidR="00B45B58" w:rsidRPr="0072692C" w:rsidRDefault="00292C06" w:rsidP="00B45B58">
      <w:pPr>
        <w:jc w:val="center"/>
        <w:rPr>
          <w:b/>
          <w:bCs/>
        </w:rPr>
      </w:pPr>
      <w:r w:rsidRPr="0072692C">
        <w:rPr>
          <w:b/>
          <w:bCs/>
        </w:rPr>
        <w:t>(Author)</w:t>
      </w:r>
    </w:p>
    <w:p w14:paraId="00717425" w14:textId="77777777" w:rsidR="0072692C" w:rsidRDefault="00292C06" w:rsidP="0072692C">
      <w:r>
        <w:lastRenderedPageBreak/>
        <w:t xml:space="preserve">In the graph presented above, the crime rates reported for </w:t>
      </w:r>
      <w:r w:rsidR="00780A5D">
        <w:t xml:space="preserve">crimes committed near educational institutions and within the schools of the UK </w:t>
      </w:r>
      <w:r>
        <w:t>has been clearly illustrated. “Education</w:t>
      </w:r>
      <w:r w:rsidR="00EB581D">
        <w:t xml:space="preserve"> </w:t>
      </w:r>
      <w:r>
        <w:t xml:space="preserve">10” depicted the level of crimes committed </w:t>
      </w:r>
      <w:r w:rsidR="002D6F66">
        <w:t>near educational institutions</w:t>
      </w:r>
      <w:r>
        <w:t xml:space="preserve"> </w:t>
      </w:r>
      <w:r w:rsidR="002D6F66">
        <w:t>and within the schools</w:t>
      </w:r>
      <w:r>
        <w:t xml:space="preserve"> of the UK nation ten years after the base year. </w:t>
      </w:r>
      <w:r w:rsidR="00DF5205">
        <w:t xml:space="preserve">Regarding the fluctuation level of the crimes, it can be noted through the </w:t>
      </w:r>
      <w:r w:rsidR="00FF195B">
        <w:t xml:space="preserve">2-D </w:t>
      </w:r>
      <w:r w:rsidR="00DF5205">
        <w:t xml:space="preserve">clustered column chart that the crime rates before and after ten years had not fluctuated or changed much. The level of change was minimal, thereby, signifying that the situation of crimes occurring </w:t>
      </w:r>
      <w:r w:rsidR="001A55F2">
        <w:t>inside,</w:t>
      </w:r>
      <w:r w:rsidR="00DF5205">
        <w:t xml:space="preserve"> and outside schools and educational institutions have not changed even after ten years of economic growth and development.</w:t>
      </w:r>
      <w:r w:rsidR="001A55F2">
        <w:t xml:space="preserve"> The most common crimes occurring within this demographic population of the UK is Hate Crimes b</w:t>
      </w:r>
      <w:r w:rsidR="00EC5E8B">
        <w:t>ase</w:t>
      </w:r>
      <w:r w:rsidR="001A55F2">
        <w:t xml:space="preserve">d on religion, </w:t>
      </w:r>
      <w:r w:rsidR="00EC5E8B">
        <w:t xml:space="preserve">disabilities and gender. Furthermore, it can be noted that the trend of the crime rates </w:t>
      </w:r>
      <w:r w:rsidR="009A46DD">
        <w:t>has</w:t>
      </w:r>
      <w:r w:rsidR="00EC5E8B">
        <w:t xml:space="preserve"> remained even and horizontal in nature.</w:t>
      </w:r>
      <w:r w:rsidR="009A46DD">
        <w:t xml:space="preserve"> It can, anyhow, be mentioned that towards the end of the year, these crimes have increased, thereby, signalling </w:t>
      </w:r>
      <w:r w:rsidR="001A43AF">
        <w:t>ineffective government initiatives</w:t>
      </w:r>
      <w:r w:rsidR="009A46DD">
        <w:t xml:space="preserve"> for mitigation.</w:t>
      </w:r>
    </w:p>
    <w:p w14:paraId="1B816B76" w14:textId="77777777" w:rsidR="001A43AF" w:rsidRDefault="00292C06" w:rsidP="008A2E7F">
      <w:pPr>
        <w:pStyle w:val="Heading2"/>
      </w:pPr>
      <w:bookmarkStart w:id="6" w:name="_Toc99484147"/>
      <w:r>
        <w:t>Crime Rate for Expenditure Year</w:t>
      </w:r>
      <w:bookmarkEnd w:id="6"/>
    </w:p>
    <w:p w14:paraId="4F04544D" w14:textId="77777777" w:rsidR="008A2E7F" w:rsidRDefault="00292C06" w:rsidP="008A2E7F">
      <w:pPr>
        <w:jc w:val="center"/>
      </w:pPr>
      <w:r>
        <w:rPr>
          <w:noProof/>
        </w:rPr>
        <w:drawing>
          <wp:inline distT="0" distB="0" distL="0" distR="0" wp14:anchorId="1B84A42F" wp14:editId="4A9B6AAD">
            <wp:extent cx="4876800" cy="3195638"/>
            <wp:effectExtent l="0" t="0" r="0" b="5080"/>
            <wp:docPr id="5" name="Chart 5">
              <a:extLst xmlns:a="http://schemas.openxmlformats.org/drawingml/2006/main">
                <a:ext uri="{FF2B5EF4-FFF2-40B4-BE49-F238E27FC236}">
                  <a16:creationId xmlns:a16="http://schemas.microsoft.com/office/drawing/2014/main" id="{55B9E22A-3132-479B-92DD-4F43B006955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7422E96B" w14:textId="77777777" w:rsidR="008A2E7F" w:rsidRPr="008A2E7F" w:rsidRDefault="00292C06" w:rsidP="008A2E7F">
      <w:pPr>
        <w:jc w:val="center"/>
        <w:rPr>
          <w:b/>
          <w:bCs/>
        </w:rPr>
      </w:pPr>
      <w:r w:rsidRPr="008A2E7F">
        <w:rPr>
          <w:b/>
          <w:bCs/>
        </w:rPr>
        <w:lastRenderedPageBreak/>
        <w:t>(Author)</w:t>
      </w:r>
    </w:p>
    <w:p w14:paraId="7A61B57D" w14:textId="77777777" w:rsidR="008A2E7F" w:rsidRDefault="00292C06" w:rsidP="008A2E7F">
      <w:r>
        <w:t xml:space="preserve">In the graph presented above, the crime rates reported crimes committed during the expenditure or financial year of the UK has been clearly illustrated. “Expenditure year 10” depicted the level of crimes committed during the expenditure or financial year of the UK nation ten years after the base year. Conversely, “Expenditure Year 0” reflects the base year for the same situation, that is before ten years. Regarding the fluctuation level of the crimes, it can be noted through the </w:t>
      </w:r>
      <w:r w:rsidR="00B34D67">
        <w:t xml:space="preserve">2-D line </w:t>
      </w:r>
      <w:r>
        <w:t xml:space="preserve">chart that the crime rates before and after ten years had fluctuated or changed </w:t>
      </w:r>
      <w:r w:rsidR="00B34D67">
        <w:t>by large degrees</w:t>
      </w:r>
      <w:r>
        <w:t>.</w:t>
      </w:r>
      <w:r w:rsidR="00897B61">
        <w:t xml:space="preserve"> The expenditure or financial period is the time when businesses over the UK tend to prepare their financial reports for the year </w:t>
      </w:r>
      <w:r w:rsidR="00BC3730">
        <w:t>after conducting business activities.</w:t>
      </w:r>
      <w:r w:rsidR="00C66DD5">
        <w:t xml:space="preserve"> During this time, every management of businesses is concerned about portraying their businesses in good light. For this purpose, sometimes accountants tend to modify the annual reports in a manner that would heighten the profitability of their businesses in front of the investors and shareholders.</w:t>
      </w:r>
      <w:r w:rsidR="00D602DA">
        <w:t xml:space="preserve"> This modification, if not legally approved of, is usually termed under the crime category of fraud.</w:t>
      </w:r>
      <w:r w:rsidR="001E614B">
        <w:t xml:space="preserve"> Although the fluctuations were </w:t>
      </w:r>
      <w:r w:rsidR="003158AF">
        <w:t>irregular over both situations, the trend of the fluctuations was projected in a rising pattern.</w:t>
      </w:r>
    </w:p>
    <w:p w14:paraId="117C73ED" w14:textId="77777777" w:rsidR="00E15A7E" w:rsidRDefault="00292C06" w:rsidP="001B2AEA">
      <w:pPr>
        <w:pStyle w:val="Heading2"/>
      </w:pPr>
      <w:bookmarkStart w:id="7" w:name="_Toc99484148"/>
      <w:r>
        <w:lastRenderedPageBreak/>
        <w:t>Crime Rate among Labour Force</w:t>
      </w:r>
      <w:bookmarkEnd w:id="7"/>
    </w:p>
    <w:p w14:paraId="6E77F3C8" w14:textId="77777777" w:rsidR="001B2AEA" w:rsidRDefault="00292C06" w:rsidP="001B2AEA">
      <w:pPr>
        <w:jc w:val="center"/>
      </w:pPr>
      <w:r>
        <w:rPr>
          <w:noProof/>
        </w:rPr>
        <w:drawing>
          <wp:inline distT="0" distB="0" distL="0" distR="0" wp14:anchorId="47585340" wp14:editId="227EA760">
            <wp:extent cx="4514850" cy="3162299"/>
            <wp:effectExtent l="0" t="0" r="0" b="635"/>
            <wp:docPr id="6" name="Chart 6">
              <a:extLst xmlns:a="http://schemas.openxmlformats.org/drawingml/2006/main">
                <a:ext uri="{FF2B5EF4-FFF2-40B4-BE49-F238E27FC236}">
                  <a16:creationId xmlns:a16="http://schemas.microsoft.com/office/drawing/2014/main" id="{89ED59F7-AEC0-4015-8062-0A37B5AF928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AD031B3" w14:textId="77777777" w:rsidR="001B2AEA" w:rsidRPr="008A2E7F" w:rsidRDefault="00292C06" w:rsidP="001B2AEA">
      <w:pPr>
        <w:jc w:val="center"/>
        <w:rPr>
          <w:b/>
          <w:bCs/>
        </w:rPr>
      </w:pPr>
      <w:r w:rsidRPr="008A2E7F">
        <w:rPr>
          <w:b/>
          <w:bCs/>
        </w:rPr>
        <w:t>(Author)</w:t>
      </w:r>
    </w:p>
    <w:p w14:paraId="700F652F" w14:textId="77777777" w:rsidR="001B2AEA" w:rsidRDefault="00292C06" w:rsidP="008A2E7F">
      <w:r>
        <w:t>In the graph presented above, the crime rates reported crimes committed among the labour force of the UK has been clearly illustrated. “</w:t>
      </w:r>
      <w:r w:rsidR="00292F72">
        <w:t>Labour Force</w:t>
      </w:r>
      <w:r>
        <w:t xml:space="preserve"> 10” depicted the level of crimes </w:t>
      </w:r>
      <w:r w:rsidR="00292F72">
        <w:t xml:space="preserve">committed among the labour force of the UK </w:t>
      </w:r>
      <w:r>
        <w:t>nation ten years after the base year.</w:t>
      </w:r>
      <w:r w:rsidR="006B4F96" w:rsidRPr="006B4F96">
        <w:t xml:space="preserve"> </w:t>
      </w:r>
      <w:r w:rsidR="006B4F96">
        <w:t>Regarding the fluctuation level of the crimes, it can be noted through the 2-D stacked area chart that the crime rates before and after ten years had fluctuated or changed by medium degrees.</w:t>
      </w:r>
      <w:r w:rsidR="00C428F8">
        <w:t xml:space="preserve"> The changes in the crime level afte</w:t>
      </w:r>
      <w:r w:rsidR="003B66B1">
        <w:t xml:space="preserve">r </w:t>
      </w:r>
      <w:r w:rsidR="00C428F8">
        <w:t xml:space="preserve">ten years, however, remained </w:t>
      </w:r>
      <w:r w:rsidR="003B66B1">
        <w:t>consistent with the level recorded before ten years.</w:t>
      </w:r>
      <w:r w:rsidR="00A1225D">
        <w:t xml:space="preserve"> After close scrutiny, it might be stated that the crime rates after ten years depicted steeper peaks in comparison to the rates recorded before ten years. The most common crime occurring among the labour force of the UK is violence within the workplace.</w:t>
      </w:r>
      <w:r w:rsidR="00210A39">
        <w:t xml:space="preserve"> The graph signals that the organisations operating within the UK have failed to mitigate the level of violence occurring within the workplace.</w:t>
      </w:r>
    </w:p>
    <w:p w14:paraId="19A9AF04" w14:textId="77777777" w:rsidR="00C71F86" w:rsidRDefault="00292C06" w:rsidP="00C71F86">
      <w:pPr>
        <w:pStyle w:val="Heading2"/>
      </w:pPr>
      <w:bookmarkStart w:id="8" w:name="_Toc99484149"/>
      <w:r>
        <w:lastRenderedPageBreak/>
        <w:t>Crime Rate committed by the Male population</w:t>
      </w:r>
      <w:bookmarkEnd w:id="8"/>
    </w:p>
    <w:p w14:paraId="1DABF882" w14:textId="77777777" w:rsidR="001B2AEA" w:rsidRDefault="00292C06" w:rsidP="001B2AEA">
      <w:pPr>
        <w:jc w:val="center"/>
      </w:pPr>
      <w:r>
        <w:rPr>
          <w:noProof/>
        </w:rPr>
        <w:drawing>
          <wp:inline distT="0" distB="0" distL="0" distR="0" wp14:anchorId="6FE7E1A4" wp14:editId="2DC853A1">
            <wp:extent cx="4572000" cy="3252788"/>
            <wp:effectExtent l="0" t="0" r="0" b="5080"/>
            <wp:docPr id="7" name="Chart 7">
              <a:extLst xmlns:a="http://schemas.openxmlformats.org/drawingml/2006/main">
                <a:ext uri="{FF2B5EF4-FFF2-40B4-BE49-F238E27FC236}">
                  <a16:creationId xmlns:a16="http://schemas.microsoft.com/office/drawing/2014/main" id="{76C24C57-344B-45B6-B8E2-0CB1D890589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96954B6" w14:textId="77777777" w:rsidR="001B2AEA" w:rsidRPr="008A2E7F" w:rsidRDefault="00292C06" w:rsidP="001B2AEA">
      <w:pPr>
        <w:jc w:val="center"/>
        <w:rPr>
          <w:b/>
          <w:bCs/>
        </w:rPr>
      </w:pPr>
      <w:r w:rsidRPr="008A2E7F">
        <w:rPr>
          <w:b/>
          <w:bCs/>
        </w:rPr>
        <w:t>(Author)</w:t>
      </w:r>
    </w:p>
    <w:p w14:paraId="08E3C0E2" w14:textId="77777777" w:rsidR="001B2AEA" w:rsidRDefault="00292C06" w:rsidP="008A2E7F">
      <w:r>
        <w:t>In the graph presented above, the crime rates reported for crimes committed by the Male population of the UK has been clearly illustrated. “Males 10” depicted the level of crimes committed by the Male population of the UK nation ten years after the base year.</w:t>
      </w:r>
      <w:r w:rsidRPr="006B4F96">
        <w:t xml:space="preserve"> </w:t>
      </w:r>
      <w:r>
        <w:t>Regarding the fluctuation level of the crimes, it can be noted through the 3-D line chart that the crime rates before and after ten years had fluctuated or changed by medium degrees. The changes in the crime level after ten years, however, remained consistent with the level recorded before ten years. After close scrutiny, it might be stated that the crime rates after ten years depicted steeper peaks in comparison to the rates recorded before ten years.</w:t>
      </w:r>
      <w:r w:rsidRPr="00A8622E">
        <w:t xml:space="preserve"> </w:t>
      </w:r>
      <w:r>
        <w:t xml:space="preserve">The most common crime committed by the male population of the UK is physical assaults and shooting. The graph signals that the </w:t>
      </w:r>
      <w:r w:rsidR="00B9560E">
        <w:t>UK government</w:t>
      </w:r>
      <w:r>
        <w:t xml:space="preserve"> have failed to mitigate the level of violence occurring within the </w:t>
      </w:r>
      <w:r w:rsidR="00B9560E">
        <w:t>nation</w:t>
      </w:r>
      <w:r>
        <w:t>.</w:t>
      </w:r>
    </w:p>
    <w:p w14:paraId="246B4DC2" w14:textId="77777777" w:rsidR="00846201" w:rsidRDefault="00292C06" w:rsidP="00846201">
      <w:pPr>
        <w:pStyle w:val="Heading2"/>
      </w:pPr>
      <w:bookmarkStart w:id="9" w:name="_Toc99484150"/>
      <w:r>
        <w:lastRenderedPageBreak/>
        <w:t>Crime Rate among the Unemployed population</w:t>
      </w:r>
      <w:bookmarkEnd w:id="9"/>
    </w:p>
    <w:p w14:paraId="4392D308" w14:textId="77777777" w:rsidR="001B2AEA" w:rsidRDefault="00292C06" w:rsidP="001B2AEA">
      <w:pPr>
        <w:jc w:val="center"/>
      </w:pPr>
      <w:r>
        <w:rPr>
          <w:noProof/>
        </w:rPr>
        <w:drawing>
          <wp:inline distT="0" distB="0" distL="0" distR="0" wp14:anchorId="793D157C" wp14:editId="376E399F">
            <wp:extent cx="4933950" cy="3014663"/>
            <wp:effectExtent l="0" t="0" r="0" b="0"/>
            <wp:docPr id="8" name="Chart 8">
              <a:extLst xmlns:a="http://schemas.openxmlformats.org/drawingml/2006/main">
                <a:ext uri="{FF2B5EF4-FFF2-40B4-BE49-F238E27FC236}">
                  <a16:creationId xmlns:a16="http://schemas.microsoft.com/office/drawing/2014/main" id="{EEE83900-7F04-4D80-8BA0-07146BC8905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2B6C5A6" w14:textId="77777777" w:rsidR="001B2AEA" w:rsidRPr="008A2E7F" w:rsidRDefault="00292C06" w:rsidP="001B2AEA">
      <w:pPr>
        <w:jc w:val="center"/>
        <w:rPr>
          <w:b/>
          <w:bCs/>
        </w:rPr>
      </w:pPr>
      <w:r w:rsidRPr="008A2E7F">
        <w:rPr>
          <w:b/>
          <w:bCs/>
        </w:rPr>
        <w:t>(Author)</w:t>
      </w:r>
    </w:p>
    <w:p w14:paraId="68C97926" w14:textId="77777777" w:rsidR="001B2AEA" w:rsidRDefault="00292C06" w:rsidP="008A2E7F">
      <w:r>
        <w:t>In the graph presented above, the crime rates reported crimes committed among the unemployed population of the UK has been clearly illustrated. “Youth Unemployment 10”, “Mature Unemployment 10” and “High Youth Unemployment 10” depicted the level of crimes committed by the unemployed population of the UK nation ten years after the base year.</w:t>
      </w:r>
      <w:r w:rsidRPr="006B4F96">
        <w:t xml:space="preserve"> </w:t>
      </w:r>
      <w:r>
        <w:t>Regarding the fluctuation level of the crimes, it can be noted through the 2-D stacked column chart that the crime rates before and after ten years had fluctuated or changed by medium degrees. The changes in the crime level after ten years, however, remained consistent with the level recorded before ten years. After close scrutiny, it might be stated that the crime rates after ten years depicted steeper peaks in comparison to the rates recorded before ten years.</w:t>
      </w:r>
      <w:r w:rsidR="002B7474">
        <w:t xml:space="preserve"> It can also be noted that the majority of crimes </w:t>
      </w:r>
      <w:r w:rsidR="00E373AD">
        <w:t xml:space="preserve">were </w:t>
      </w:r>
      <w:r w:rsidR="002B7474">
        <w:t xml:space="preserve">committed by the </w:t>
      </w:r>
      <w:r w:rsidR="00E373AD">
        <w:t>unemployed youth population. This might be since unemployment at such an early age could impact their egos and psychological state due to frustration and unstable emotional state.</w:t>
      </w:r>
    </w:p>
    <w:p w14:paraId="14398CC9" w14:textId="77777777" w:rsidR="00846201" w:rsidRDefault="00292C06" w:rsidP="00846201">
      <w:pPr>
        <w:pStyle w:val="Heading2"/>
      </w:pPr>
      <w:bookmarkStart w:id="10" w:name="_Toc99484151"/>
      <w:r>
        <w:lastRenderedPageBreak/>
        <w:t>Crime Rate as per Wages</w:t>
      </w:r>
      <w:bookmarkEnd w:id="10"/>
    </w:p>
    <w:p w14:paraId="7EDAB6A9" w14:textId="77777777" w:rsidR="001B2AEA" w:rsidRDefault="00292C06" w:rsidP="001B2AEA">
      <w:pPr>
        <w:jc w:val="center"/>
      </w:pPr>
      <w:r>
        <w:rPr>
          <w:noProof/>
        </w:rPr>
        <w:drawing>
          <wp:inline distT="0" distB="0" distL="0" distR="0" wp14:anchorId="1AA5611B" wp14:editId="558B0234">
            <wp:extent cx="4572000" cy="2743200"/>
            <wp:effectExtent l="0" t="0" r="0" b="0"/>
            <wp:docPr id="9" name="Chart 9">
              <a:extLst xmlns:a="http://schemas.openxmlformats.org/drawingml/2006/main">
                <a:ext uri="{FF2B5EF4-FFF2-40B4-BE49-F238E27FC236}">
                  <a16:creationId xmlns:a16="http://schemas.microsoft.com/office/drawing/2014/main" id="{AEE04560-E2A4-49D9-B580-AEE5073F414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79E61B7" w14:textId="77777777" w:rsidR="001B2AEA" w:rsidRPr="008A2E7F" w:rsidRDefault="00292C06" w:rsidP="001B2AEA">
      <w:pPr>
        <w:jc w:val="center"/>
        <w:rPr>
          <w:b/>
          <w:bCs/>
        </w:rPr>
      </w:pPr>
      <w:r w:rsidRPr="008A2E7F">
        <w:rPr>
          <w:b/>
          <w:bCs/>
        </w:rPr>
        <w:t>(Author)</w:t>
      </w:r>
    </w:p>
    <w:p w14:paraId="021767C0" w14:textId="77777777" w:rsidR="00FF195B" w:rsidRDefault="00292C06" w:rsidP="00D35F34">
      <w:r>
        <w:t>In the graph presented above, the crime rates reported crimes committed among the working population of the UK has been clearly illustrated. “Wage 10” and “Below Wage 10” depicted the level of crimes committed by the unemployed population of the UK nation ten years after the base year.</w:t>
      </w:r>
      <w:r w:rsidRPr="006B4F96">
        <w:t xml:space="preserve"> </w:t>
      </w:r>
      <w:r>
        <w:t xml:space="preserve">Regarding the fluctuation level of the crimes, it can be noted through the 2-D </w:t>
      </w:r>
      <w:r w:rsidR="00AB4023">
        <w:t>line</w:t>
      </w:r>
      <w:r>
        <w:t xml:space="preserve"> chart that the crime rates before and after ten years had fluctuated or changed by medium degrees. The changes in the crime level after ten years, however, remained consistent with the level recorded before ten years. After close scrutiny, it might be stated that the crime rates after ten years </w:t>
      </w:r>
      <w:r w:rsidR="00AB4023">
        <w:t>projected</w:t>
      </w:r>
      <w:r>
        <w:t xml:space="preserve"> steeper peaks in comparison to the rates recorded before ten years.</w:t>
      </w:r>
      <w:r w:rsidR="00AB4023">
        <w:t xml:space="preserve"> In addition to this, </w:t>
      </w:r>
      <w:r w:rsidR="00343ECE">
        <w:t>the variables "Below Wage" and "Below Wage 10" reflected the crimes caused due to wages received below the standard level. The fluctuations were minimal here and the trend remained even</w:t>
      </w:r>
      <w:r w:rsidR="00042F98">
        <w:t xml:space="preserve"> for both the reported levels</w:t>
      </w:r>
      <w:r w:rsidR="00343ECE">
        <w:t>.</w:t>
      </w:r>
      <w:r w:rsidR="00723DD7">
        <w:t xml:space="preserve"> It can be inferred that the wages given to the working class of the UK are minimal or lower than the standard wage rate.</w:t>
      </w:r>
      <w:r>
        <w:br w:type="page"/>
      </w:r>
    </w:p>
    <w:p w14:paraId="56F3E20D" w14:textId="77777777" w:rsidR="001B2AEA" w:rsidRDefault="00292C06" w:rsidP="00724DC1">
      <w:pPr>
        <w:pStyle w:val="Heading1"/>
      </w:pPr>
      <w:bookmarkStart w:id="11" w:name="_Toc99484152"/>
      <w:r>
        <w:lastRenderedPageBreak/>
        <w:t>Conclusion</w:t>
      </w:r>
      <w:bookmarkEnd w:id="11"/>
    </w:p>
    <w:p w14:paraId="6533FA7E" w14:textId="77777777" w:rsidR="00724DC1" w:rsidRPr="00724DC1" w:rsidRDefault="00292C06" w:rsidP="00724DC1">
      <w:r>
        <w:t>It can, hence, be concluded through the series of graph charts that were created through MS-Excel the crime rate reported within the UK nation has increased on average. This is because the inference drawn for each of the analysed demographic populations proved that the crime rate after ten years has relatively increased against the crime rates reported before ten years.</w:t>
      </w:r>
      <w:r w:rsidR="00D35F34">
        <w:t xml:space="preserve"> Furthermore, efficient utilisation of the pre-processing and analysis of the crime rate data has been projected through functionalities of the MS-Excel software.</w:t>
      </w:r>
    </w:p>
    <w:sectPr w:rsidR="00724DC1" w:rsidRPr="00724DC1" w:rsidSect="00A343E7">
      <w:headerReference w:type="default" r:id="rId15"/>
      <w:footerReference w:type="default" r:id="rId1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25A5D0" w14:textId="77777777" w:rsidR="00475933" w:rsidRDefault="00475933">
      <w:pPr>
        <w:spacing w:after="0" w:line="240" w:lineRule="auto"/>
      </w:pPr>
      <w:r>
        <w:separator/>
      </w:r>
    </w:p>
  </w:endnote>
  <w:endnote w:type="continuationSeparator" w:id="0">
    <w:p w14:paraId="5454B4D1" w14:textId="77777777" w:rsidR="00475933" w:rsidRDefault="004759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27254738"/>
      <w:docPartObj>
        <w:docPartGallery w:val="Page Numbers (Bottom of Page)"/>
        <w:docPartUnique/>
      </w:docPartObj>
    </w:sdtPr>
    <w:sdtEndPr/>
    <w:sdtContent>
      <w:sdt>
        <w:sdtPr>
          <w:id w:val="-1769616900"/>
          <w:docPartObj>
            <w:docPartGallery w:val="Page Numbers (Top of Page)"/>
            <w:docPartUnique/>
          </w:docPartObj>
        </w:sdtPr>
        <w:sdtEndPr/>
        <w:sdtContent>
          <w:p w14:paraId="6BD8978C" w14:textId="77777777" w:rsidR="00A343E7" w:rsidRDefault="00292C06">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6F3ACE7E" w14:textId="77777777" w:rsidR="00A343E7" w:rsidRDefault="00A343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00F416" w14:textId="77777777" w:rsidR="00475933" w:rsidRDefault="00475933">
      <w:pPr>
        <w:spacing w:after="0" w:line="240" w:lineRule="auto"/>
      </w:pPr>
      <w:r>
        <w:separator/>
      </w:r>
    </w:p>
  </w:footnote>
  <w:footnote w:type="continuationSeparator" w:id="0">
    <w:p w14:paraId="56404CF8" w14:textId="77777777" w:rsidR="00475933" w:rsidRDefault="0047593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7525EB5" w14:textId="77777777" w:rsidR="00A343E7" w:rsidRDefault="00292C06" w:rsidP="00A343E7">
    <w:pPr>
      <w:jc w:val="right"/>
    </w:pPr>
    <w:r>
      <w:t>Data Handling and Business Intelligence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3E7"/>
    <w:rsid w:val="00002ACC"/>
    <w:rsid w:val="000125E4"/>
    <w:rsid w:val="00041470"/>
    <w:rsid w:val="000414B6"/>
    <w:rsid w:val="00042F98"/>
    <w:rsid w:val="000B088E"/>
    <w:rsid w:val="000C4440"/>
    <w:rsid w:val="000D3AEB"/>
    <w:rsid w:val="000F038B"/>
    <w:rsid w:val="00133D31"/>
    <w:rsid w:val="00153163"/>
    <w:rsid w:val="00163F79"/>
    <w:rsid w:val="001854F7"/>
    <w:rsid w:val="001A43AF"/>
    <w:rsid w:val="001A55F2"/>
    <w:rsid w:val="001B28A1"/>
    <w:rsid w:val="001B2AEA"/>
    <w:rsid w:val="001E614B"/>
    <w:rsid w:val="0020650F"/>
    <w:rsid w:val="00210A39"/>
    <w:rsid w:val="00227223"/>
    <w:rsid w:val="002369C2"/>
    <w:rsid w:val="00254BA7"/>
    <w:rsid w:val="00284FE1"/>
    <w:rsid w:val="00292C06"/>
    <w:rsid w:val="00292F72"/>
    <w:rsid w:val="002B191E"/>
    <w:rsid w:val="002B2C94"/>
    <w:rsid w:val="002B7474"/>
    <w:rsid w:val="002D6F66"/>
    <w:rsid w:val="003158AF"/>
    <w:rsid w:val="00330435"/>
    <w:rsid w:val="00343ECE"/>
    <w:rsid w:val="003B66B1"/>
    <w:rsid w:val="003C6DBE"/>
    <w:rsid w:val="00423198"/>
    <w:rsid w:val="00475933"/>
    <w:rsid w:val="004B1381"/>
    <w:rsid w:val="00521EDF"/>
    <w:rsid w:val="005302F7"/>
    <w:rsid w:val="00635620"/>
    <w:rsid w:val="00636B23"/>
    <w:rsid w:val="006A3B2D"/>
    <w:rsid w:val="006B4F96"/>
    <w:rsid w:val="006C5A83"/>
    <w:rsid w:val="00723972"/>
    <w:rsid w:val="00723DD7"/>
    <w:rsid w:val="00724DC1"/>
    <w:rsid w:val="0072692C"/>
    <w:rsid w:val="00730F37"/>
    <w:rsid w:val="00745C6F"/>
    <w:rsid w:val="00760D56"/>
    <w:rsid w:val="00780A5D"/>
    <w:rsid w:val="007A7B32"/>
    <w:rsid w:val="007C58F1"/>
    <w:rsid w:val="007E3C7B"/>
    <w:rsid w:val="007E53A8"/>
    <w:rsid w:val="008171A7"/>
    <w:rsid w:val="00846201"/>
    <w:rsid w:val="00856AC2"/>
    <w:rsid w:val="00897B61"/>
    <w:rsid w:val="008A2E7F"/>
    <w:rsid w:val="008D100A"/>
    <w:rsid w:val="008D75F4"/>
    <w:rsid w:val="009073B1"/>
    <w:rsid w:val="0095590B"/>
    <w:rsid w:val="009A46DD"/>
    <w:rsid w:val="009A586C"/>
    <w:rsid w:val="009E7E16"/>
    <w:rsid w:val="009F4998"/>
    <w:rsid w:val="00A00733"/>
    <w:rsid w:val="00A06957"/>
    <w:rsid w:val="00A1225D"/>
    <w:rsid w:val="00A343E7"/>
    <w:rsid w:val="00A8622E"/>
    <w:rsid w:val="00AB4023"/>
    <w:rsid w:val="00AC6FB9"/>
    <w:rsid w:val="00AF086E"/>
    <w:rsid w:val="00B22D11"/>
    <w:rsid w:val="00B30173"/>
    <w:rsid w:val="00B34D67"/>
    <w:rsid w:val="00B45B58"/>
    <w:rsid w:val="00B6162E"/>
    <w:rsid w:val="00B91B54"/>
    <w:rsid w:val="00B9560E"/>
    <w:rsid w:val="00BC3730"/>
    <w:rsid w:val="00BF2272"/>
    <w:rsid w:val="00C179A3"/>
    <w:rsid w:val="00C428F8"/>
    <w:rsid w:val="00C57BB8"/>
    <w:rsid w:val="00C64F59"/>
    <w:rsid w:val="00C66BFE"/>
    <w:rsid w:val="00C66DD5"/>
    <w:rsid w:val="00C71F86"/>
    <w:rsid w:val="00C73F94"/>
    <w:rsid w:val="00C919A1"/>
    <w:rsid w:val="00CC0C1E"/>
    <w:rsid w:val="00CD07DC"/>
    <w:rsid w:val="00CF6956"/>
    <w:rsid w:val="00D359F7"/>
    <w:rsid w:val="00D35F34"/>
    <w:rsid w:val="00D602DA"/>
    <w:rsid w:val="00D912D0"/>
    <w:rsid w:val="00DF3389"/>
    <w:rsid w:val="00DF5205"/>
    <w:rsid w:val="00E15A7E"/>
    <w:rsid w:val="00E373AD"/>
    <w:rsid w:val="00E858A5"/>
    <w:rsid w:val="00EB581D"/>
    <w:rsid w:val="00EB61D9"/>
    <w:rsid w:val="00EC5E8B"/>
    <w:rsid w:val="00EE314C"/>
    <w:rsid w:val="00F00EAC"/>
    <w:rsid w:val="00F03122"/>
    <w:rsid w:val="00F61665"/>
    <w:rsid w:val="00F644C4"/>
    <w:rsid w:val="00F6477E"/>
    <w:rsid w:val="00FB4E6D"/>
    <w:rsid w:val="00FE5A32"/>
    <w:rsid w:val="00FF18E8"/>
    <w:rsid w:val="00FF19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1EAFD"/>
  <w15:chartTrackingRefBased/>
  <w15:docId w15:val="{73472E88-EF08-44EA-88B4-06368F9596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8" w:qFormat="1"/>
    <w:lsdException w:name="heading 2" w:semiHidden="1" w:uiPriority="9" w:unhideWhenUsed="1" w:qFormat="1"/>
    <w:lsdException w:name="heading 3" w:semiHidden="1" w:uiPriority="8"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B191E"/>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8"/>
    <w:qFormat/>
    <w:rsid w:val="00153163"/>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EE314C"/>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8"/>
    <w:qFormat/>
    <w:rsid w:val="000125E4"/>
    <w:pPr>
      <w:keepNext/>
      <w:keepLines/>
      <w:spacing w:before="40" w:after="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8"/>
    <w:rsid w:val="00153163"/>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EE314C"/>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8"/>
    <w:rsid w:val="000125E4"/>
    <w:rPr>
      <w:rFonts w:ascii="Times New Roman" w:eastAsiaTheme="majorEastAsia" w:hAnsi="Times New Roman" w:cstheme="majorBidi"/>
      <w:i/>
      <w:sz w:val="24"/>
      <w:szCs w:val="24"/>
      <w:u w:val="single"/>
    </w:rPr>
  </w:style>
  <w:style w:type="paragraph" w:styleId="Header">
    <w:name w:val="header"/>
    <w:basedOn w:val="Normal"/>
    <w:link w:val="HeaderChar"/>
    <w:uiPriority w:val="99"/>
    <w:unhideWhenUsed/>
    <w:rsid w:val="00A343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43E7"/>
    <w:rPr>
      <w:rFonts w:ascii="Times New Roman" w:hAnsi="Times New Roman"/>
      <w:sz w:val="24"/>
      <w:lang w:val="en-GB"/>
    </w:rPr>
  </w:style>
  <w:style w:type="paragraph" w:styleId="Footer">
    <w:name w:val="footer"/>
    <w:basedOn w:val="Normal"/>
    <w:link w:val="FooterChar"/>
    <w:uiPriority w:val="99"/>
    <w:unhideWhenUsed/>
    <w:rsid w:val="00A343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43E7"/>
    <w:rPr>
      <w:rFonts w:ascii="Times New Roman" w:hAnsi="Times New Roman"/>
      <w:sz w:val="24"/>
      <w:lang w:val="en-GB"/>
    </w:rPr>
  </w:style>
  <w:style w:type="paragraph" w:styleId="TOCHeading">
    <w:name w:val="TOC Heading"/>
    <w:basedOn w:val="Heading1"/>
    <w:next w:val="Normal"/>
    <w:uiPriority w:val="39"/>
    <w:unhideWhenUsed/>
    <w:qFormat/>
    <w:rsid w:val="009A586C"/>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9A586C"/>
    <w:pPr>
      <w:spacing w:after="100"/>
    </w:pPr>
  </w:style>
  <w:style w:type="paragraph" w:styleId="TOC2">
    <w:name w:val="toc 2"/>
    <w:basedOn w:val="Normal"/>
    <w:next w:val="Normal"/>
    <w:autoRedefine/>
    <w:uiPriority w:val="39"/>
    <w:unhideWhenUsed/>
    <w:rsid w:val="009A586C"/>
    <w:pPr>
      <w:spacing w:after="100"/>
      <w:ind w:left="240"/>
    </w:pPr>
  </w:style>
  <w:style w:type="character" w:styleId="Hyperlink">
    <w:name w:val="Hyperlink"/>
    <w:basedOn w:val="DefaultParagraphFont"/>
    <w:uiPriority w:val="99"/>
    <w:unhideWhenUsed/>
    <w:rsid w:val="009A586C"/>
    <w:rPr>
      <w:color w:val="0563C1" w:themeColor="hyperlink"/>
      <w:u w:val="single"/>
    </w:rPr>
  </w:style>
  <w:style w:type="paragraph" w:styleId="NormalWeb">
    <w:name w:val="Normal (Web)"/>
    <w:basedOn w:val="Normal"/>
    <w:uiPriority w:val="99"/>
    <w:unhideWhenUsed/>
    <w:rsid w:val="00C66BFE"/>
    <w:pPr>
      <w:spacing w:before="100" w:beforeAutospacing="1" w:after="100" w:afterAutospacing="1" w:line="240" w:lineRule="auto"/>
      <w:jc w:val="left"/>
    </w:pPr>
    <w:rPr>
      <w:rFonts w:eastAsia="Times New Roman" w:cs="Times New Roman"/>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chart" Target="charts/chart6.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chart" Target="charts/chart8.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hp\Downloads\Crime_data.csv"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hp\Downloads\Crime_data.csv"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hp\Downloads\Crime_data.csv"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hp\Downloads\Crime_data.csv"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hp\Downloads\Crime_data.csv"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hp\Downloads\Crime_data.csv"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hp\Downloads\Crime_data.csv"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hp\Downloads\Crime_data.csv"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spc="20" baseline="0">
                <a:solidFill>
                  <a:schemeClr val="dk1">
                    <a:lumMod val="50000"/>
                    <a:lumOff val="50000"/>
                  </a:schemeClr>
                </a:solidFill>
                <a:latin typeface="+mn-lt"/>
                <a:ea typeface="+mn-ea"/>
                <a:cs typeface="+mn-cs"/>
              </a:defRPr>
            </a:pPr>
            <a:r>
              <a:rPr lang="en-GB" b="1"/>
              <a:t>Crime</a:t>
            </a:r>
            <a:r>
              <a:rPr lang="en-GB" b="1" baseline="0"/>
              <a:t> Rate vs. Crime Rate10</a:t>
            </a:r>
            <a:endParaRPr lang="en-GB" b="1"/>
          </a:p>
        </c:rich>
      </c:tx>
      <c:overlay val="0"/>
      <c:spPr>
        <a:noFill/>
        <a:ln>
          <a:noFill/>
        </a:ln>
        <a:effectLst/>
      </c:spPr>
      <c:txPr>
        <a:bodyPr rot="0" spcFirstLastPara="1" vertOverflow="ellipsis" vert="horz" wrap="square" anchor="ctr" anchorCtr="1"/>
        <a:lstStyle/>
        <a:p>
          <a:pPr>
            <a:defRPr sz="1400" b="1"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Sheet1!$A$1</c:f>
              <c:strCache>
                <c:ptCount val="1"/>
                <c:pt idx="0">
                  <c:v>CrimeRate</c:v>
                </c:pt>
              </c:strCache>
            </c:strRef>
          </c:tx>
          <c:spPr>
            <a:ln w="22225" cap="rnd">
              <a:solidFill>
                <a:schemeClr val="accent1"/>
              </a:solidFill>
              <a:round/>
            </a:ln>
            <a:effectLst/>
          </c:spPr>
          <c:marker>
            <c:symbol val="none"/>
          </c:marker>
          <c:val>
            <c:numRef>
              <c:f>Sheet1!$A$2:$A$48</c:f>
              <c:numCache>
                <c:formatCode>General</c:formatCode>
                <c:ptCount val="47"/>
                <c:pt idx="0">
                  <c:v>45.5</c:v>
                </c:pt>
                <c:pt idx="1">
                  <c:v>52.3</c:v>
                </c:pt>
                <c:pt idx="2">
                  <c:v>56.6</c:v>
                </c:pt>
                <c:pt idx="3">
                  <c:v>60.3</c:v>
                </c:pt>
                <c:pt idx="4">
                  <c:v>64.2</c:v>
                </c:pt>
                <c:pt idx="5">
                  <c:v>67.599999999999994</c:v>
                </c:pt>
                <c:pt idx="6">
                  <c:v>70.5</c:v>
                </c:pt>
                <c:pt idx="7">
                  <c:v>73.2</c:v>
                </c:pt>
                <c:pt idx="8">
                  <c:v>75</c:v>
                </c:pt>
                <c:pt idx="9">
                  <c:v>78.099999999999994</c:v>
                </c:pt>
                <c:pt idx="10">
                  <c:v>79.8</c:v>
                </c:pt>
                <c:pt idx="11">
                  <c:v>82.3</c:v>
                </c:pt>
                <c:pt idx="12">
                  <c:v>83.1</c:v>
                </c:pt>
                <c:pt idx="13">
                  <c:v>84.9</c:v>
                </c:pt>
                <c:pt idx="14">
                  <c:v>85.6</c:v>
                </c:pt>
                <c:pt idx="15">
                  <c:v>88</c:v>
                </c:pt>
                <c:pt idx="16">
                  <c:v>92.3</c:v>
                </c:pt>
                <c:pt idx="17">
                  <c:v>94.3</c:v>
                </c:pt>
                <c:pt idx="18">
                  <c:v>95.3</c:v>
                </c:pt>
                <c:pt idx="19">
                  <c:v>96.8</c:v>
                </c:pt>
                <c:pt idx="20">
                  <c:v>97.4</c:v>
                </c:pt>
                <c:pt idx="21">
                  <c:v>98.7</c:v>
                </c:pt>
                <c:pt idx="22">
                  <c:v>99.9</c:v>
                </c:pt>
                <c:pt idx="23">
                  <c:v>103</c:v>
                </c:pt>
                <c:pt idx="24">
                  <c:v>104.3</c:v>
                </c:pt>
                <c:pt idx="25">
                  <c:v>105.9</c:v>
                </c:pt>
                <c:pt idx="26">
                  <c:v>106.6</c:v>
                </c:pt>
                <c:pt idx="27">
                  <c:v>107.2</c:v>
                </c:pt>
                <c:pt idx="28">
                  <c:v>108.3</c:v>
                </c:pt>
                <c:pt idx="29">
                  <c:v>109.4</c:v>
                </c:pt>
                <c:pt idx="30">
                  <c:v>112.1</c:v>
                </c:pt>
                <c:pt idx="31">
                  <c:v>114.3</c:v>
                </c:pt>
                <c:pt idx="32">
                  <c:v>115.1</c:v>
                </c:pt>
                <c:pt idx="33">
                  <c:v>117.2</c:v>
                </c:pt>
                <c:pt idx="34">
                  <c:v>119.7</c:v>
                </c:pt>
                <c:pt idx="35">
                  <c:v>121.6</c:v>
                </c:pt>
                <c:pt idx="36">
                  <c:v>123.4</c:v>
                </c:pt>
                <c:pt idx="37">
                  <c:v>127.2</c:v>
                </c:pt>
                <c:pt idx="38">
                  <c:v>132.4</c:v>
                </c:pt>
                <c:pt idx="39">
                  <c:v>135.5</c:v>
                </c:pt>
                <c:pt idx="40">
                  <c:v>137.80000000000001</c:v>
                </c:pt>
                <c:pt idx="41">
                  <c:v>140.80000000000001</c:v>
                </c:pt>
                <c:pt idx="42">
                  <c:v>145.4</c:v>
                </c:pt>
                <c:pt idx="43">
                  <c:v>149.30000000000001</c:v>
                </c:pt>
                <c:pt idx="44">
                  <c:v>154.30000000000001</c:v>
                </c:pt>
                <c:pt idx="45">
                  <c:v>157.69999999999999</c:v>
                </c:pt>
                <c:pt idx="46">
                  <c:v>161.80000000000001</c:v>
                </c:pt>
              </c:numCache>
            </c:numRef>
          </c:val>
          <c:smooth val="0"/>
          <c:extLst>
            <c:ext xmlns:c16="http://schemas.microsoft.com/office/drawing/2014/chart" uri="{C3380CC4-5D6E-409C-BE32-E72D297353CC}">
              <c16:uniqueId val="{00000000-398E-4D13-B8E6-256660CBFA62}"/>
            </c:ext>
          </c:extLst>
        </c:ser>
        <c:ser>
          <c:idx val="1"/>
          <c:order val="1"/>
          <c:tx>
            <c:strRef>
              <c:f>Sheet1!$B$1</c:f>
              <c:strCache>
                <c:ptCount val="1"/>
                <c:pt idx="0">
                  <c:v>CrimeRate10</c:v>
                </c:pt>
              </c:strCache>
            </c:strRef>
          </c:tx>
          <c:spPr>
            <a:ln w="22225" cap="rnd">
              <a:solidFill>
                <a:schemeClr val="accent2"/>
              </a:solidFill>
              <a:round/>
            </a:ln>
            <a:effectLst/>
          </c:spPr>
          <c:marker>
            <c:symbol val="none"/>
          </c:marker>
          <c:val>
            <c:numRef>
              <c:f>Sheet1!$B$2:$B$48</c:f>
              <c:numCache>
                <c:formatCode>General</c:formatCode>
                <c:ptCount val="47"/>
                <c:pt idx="0">
                  <c:v>26.5</c:v>
                </c:pt>
                <c:pt idx="1">
                  <c:v>35.9</c:v>
                </c:pt>
                <c:pt idx="2">
                  <c:v>37.1</c:v>
                </c:pt>
                <c:pt idx="3">
                  <c:v>42.7</c:v>
                </c:pt>
                <c:pt idx="4">
                  <c:v>46.7</c:v>
                </c:pt>
                <c:pt idx="5">
                  <c:v>47.9</c:v>
                </c:pt>
                <c:pt idx="6">
                  <c:v>50.6</c:v>
                </c:pt>
                <c:pt idx="7">
                  <c:v>55.9</c:v>
                </c:pt>
                <c:pt idx="8">
                  <c:v>61.8</c:v>
                </c:pt>
                <c:pt idx="9">
                  <c:v>65.400000000000006</c:v>
                </c:pt>
                <c:pt idx="10">
                  <c:v>71.400000000000006</c:v>
                </c:pt>
                <c:pt idx="11">
                  <c:v>75.400000000000006</c:v>
                </c:pt>
                <c:pt idx="12">
                  <c:v>77.3</c:v>
                </c:pt>
                <c:pt idx="13">
                  <c:v>78.599999999999994</c:v>
                </c:pt>
                <c:pt idx="14">
                  <c:v>80.599999999999994</c:v>
                </c:pt>
                <c:pt idx="15">
                  <c:v>82.2</c:v>
                </c:pt>
                <c:pt idx="16">
                  <c:v>87.5</c:v>
                </c:pt>
                <c:pt idx="17">
                  <c:v>92.9</c:v>
                </c:pt>
                <c:pt idx="18">
                  <c:v>94.1</c:v>
                </c:pt>
                <c:pt idx="19">
                  <c:v>96.2</c:v>
                </c:pt>
                <c:pt idx="20">
                  <c:v>97.8</c:v>
                </c:pt>
                <c:pt idx="21">
                  <c:v>99.9</c:v>
                </c:pt>
                <c:pt idx="22">
                  <c:v>101.4</c:v>
                </c:pt>
                <c:pt idx="23">
                  <c:v>103.5</c:v>
                </c:pt>
                <c:pt idx="24">
                  <c:v>104.5</c:v>
                </c:pt>
                <c:pt idx="25">
                  <c:v>106.4</c:v>
                </c:pt>
                <c:pt idx="26">
                  <c:v>107.8</c:v>
                </c:pt>
                <c:pt idx="27">
                  <c:v>110.1</c:v>
                </c:pt>
                <c:pt idx="28">
                  <c:v>110.5</c:v>
                </c:pt>
                <c:pt idx="29">
                  <c:v>113.5</c:v>
                </c:pt>
                <c:pt idx="30">
                  <c:v>116.3</c:v>
                </c:pt>
                <c:pt idx="31">
                  <c:v>119.7</c:v>
                </c:pt>
                <c:pt idx="32">
                  <c:v>124.5</c:v>
                </c:pt>
                <c:pt idx="33">
                  <c:v>127.8</c:v>
                </c:pt>
                <c:pt idx="34">
                  <c:v>129.80000000000001</c:v>
                </c:pt>
                <c:pt idx="35">
                  <c:v>130.69999999999999</c:v>
                </c:pt>
                <c:pt idx="36">
                  <c:v>132.5</c:v>
                </c:pt>
                <c:pt idx="37">
                  <c:v>134.6</c:v>
                </c:pt>
                <c:pt idx="38">
                  <c:v>137.5</c:v>
                </c:pt>
                <c:pt idx="39">
                  <c:v>140.5</c:v>
                </c:pt>
                <c:pt idx="40">
                  <c:v>145.69999999999999</c:v>
                </c:pt>
                <c:pt idx="41">
                  <c:v>150.6</c:v>
                </c:pt>
                <c:pt idx="42">
                  <c:v>157.30000000000001</c:v>
                </c:pt>
                <c:pt idx="43">
                  <c:v>162.69999999999999</c:v>
                </c:pt>
                <c:pt idx="44">
                  <c:v>169.6</c:v>
                </c:pt>
                <c:pt idx="45">
                  <c:v>177.2</c:v>
                </c:pt>
                <c:pt idx="46">
                  <c:v>178.2</c:v>
                </c:pt>
              </c:numCache>
            </c:numRef>
          </c:val>
          <c:smooth val="0"/>
          <c:extLst>
            <c:ext xmlns:c16="http://schemas.microsoft.com/office/drawing/2014/chart" uri="{C3380CC4-5D6E-409C-BE32-E72D297353CC}">
              <c16:uniqueId val="{00000001-398E-4D13-B8E6-256660CBFA62}"/>
            </c:ext>
          </c:extLst>
        </c:ser>
        <c:dLbls>
          <c:showLegendKey val="0"/>
          <c:showVal val="0"/>
          <c:showCatName val="0"/>
          <c:showSerName val="0"/>
          <c:showPercent val="0"/>
          <c:showBubbleSize val="0"/>
        </c:dLbls>
        <c:dropLines>
          <c:spPr>
            <a:ln w="9525">
              <a:solidFill>
                <a:schemeClr val="dk1">
                  <a:lumMod val="35000"/>
                  <a:lumOff val="65000"/>
                  <a:alpha val="33000"/>
                </a:schemeClr>
              </a:solidFill>
              <a:round/>
            </a:ln>
            <a:effectLst/>
          </c:spPr>
        </c:dropLines>
        <c:smooth val="0"/>
        <c:axId val="458147392"/>
        <c:axId val="458150672"/>
      </c:lineChart>
      <c:catAx>
        <c:axId val="458147392"/>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dk1">
                        <a:lumMod val="65000"/>
                        <a:lumOff val="35000"/>
                      </a:schemeClr>
                    </a:solidFill>
                    <a:latin typeface="+mn-lt"/>
                    <a:ea typeface="+mn-ea"/>
                    <a:cs typeface="+mn-cs"/>
                  </a:defRPr>
                </a:pPr>
                <a:r>
                  <a:rPr lang="en-GB" b="1"/>
                  <a:t>Recorded</a:t>
                </a:r>
                <a:r>
                  <a:rPr lang="en-GB" b="1" baseline="0"/>
                  <a:t> series</a:t>
                </a:r>
                <a:endParaRPr lang="en-GB" b="1"/>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458150672"/>
        <c:crosses val="autoZero"/>
        <c:auto val="1"/>
        <c:lblAlgn val="ctr"/>
        <c:lblOffset val="100"/>
        <c:noMultiLvlLbl val="0"/>
      </c:catAx>
      <c:valAx>
        <c:axId val="458150672"/>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Crime rate (in m)</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458147392"/>
        <c:crosses val="autoZero"/>
        <c:crossBetween val="between"/>
      </c:valAx>
      <c:spPr>
        <a:gradFill rotWithShape="1">
          <a:gsLst>
            <a:gs pos="0">
              <a:schemeClr val="lt1"/>
            </a:gs>
            <a:gs pos="100000">
              <a:schemeClr val="lt1">
                <a:lumMod val="95000"/>
              </a:schemeClr>
            </a:gs>
          </a:gsLst>
          <a:lin ang="5400000" scaled="0"/>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showDLblsOverMax val="0"/>
  </c:chart>
  <c:spPr>
    <a:solidFill>
      <a:schemeClr val="lt1"/>
    </a:solidFill>
    <a:ln w="9525">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spc="20" baseline="0">
                <a:solidFill>
                  <a:schemeClr val="dk1">
                    <a:lumMod val="50000"/>
                    <a:lumOff val="50000"/>
                  </a:schemeClr>
                </a:solidFill>
                <a:latin typeface="+mn-lt"/>
                <a:ea typeface="+mn-ea"/>
                <a:cs typeface="+mn-cs"/>
              </a:defRPr>
            </a:pPr>
            <a:r>
              <a:rPr lang="en-GB" b="1"/>
              <a:t>Crime</a:t>
            </a:r>
            <a:r>
              <a:rPr lang="en-GB" b="1" baseline="0"/>
              <a:t> Rate among Youth</a:t>
            </a:r>
            <a:endParaRPr lang="en-GB" b="1"/>
          </a:p>
        </c:rich>
      </c:tx>
      <c:overlay val="0"/>
      <c:spPr>
        <a:noFill/>
        <a:ln>
          <a:noFill/>
        </a:ln>
        <a:effectLst/>
      </c:spPr>
      <c:txPr>
        <a:bodyPr rot="0" spcFirstLastPara="1" vertOverflow="ellipsis" vert="horz" wrap="square" anchor="ctr" anchorCtr="1"/>
        <a:lstStyle/>
        <a:p>
          <a:pPr>
            <a:defRPr sz="1400" b="1" i="0" u="none" strike="noStrike" kern="1200" cap="none" spc="20" baseline="0">
              <a:solidFill>
                <a:schemeClr val="dk1">
                  <a:lumMod val="50000"/>
                  <a:lumOff val="50000"/>
                </a:schemeClr>
              </a:solidFill>
              <a:latin typeface="+mn-lt"/>
              <a:ea typeface="+mn-ea"/>
              <a:cs typeface="+mn-cs"/>
            </a:defRPr>
          </a:pPr>
          <a:endParaRPr lang="en-US"/>
        </a:p>
      </c:txPr>
    </c:title>
    <c:autoTitleDeleted val="0"/>
    <c:plotArea>
      <c:layout/>
      <c:lineChart>
        <c:grouping val="standard"/>
        <c:varyColors val="0"/>
        <c:ser>
          <c:idx val="0"/>
          <c:order val="0"/>
          <c:tx>
            <c:strRef>
              <c:f>Sheet1!$D$1</c:f>
              <c:strCache>
                <c:ptCount val="1"/>
                <c:pt idx="0">
                  <c:v>Youth</c:v>
                </c:pt>
              </c:strCache>
            </c:strRef>
          </c:tx>
          <c:spPr>
            <a:ln w="22225" cap="rnd">
              <a:solidFill>
                <a:schemeClr val="accent1"/>
              </a:solidFill>
              <a:round/>
            </a:ln>
            <a:effectLst/>
          </c:spPr>
          <c:marker>
            <c:symbol val="none"/>
          </c:marker>
          <c:val>
            <c:numRef>
              <c:f>Sheet1!$D$2:$D$48</c:f>
              <c:numCache>
                <c:formatCode>General</c:formatCode>
                <c:ptCount val="47"/>
                <c:pt idx="0">
                  <c:v>135</c:v>
                </c:pt>
                <c:pt idx="1">
                  <c:v>140</c:v>
                </c:pt>
                <c:pt idx="2">
                  <c:v>157</c:v>
                </c:pt>
                <c:pt idx="3">
                  <c:v>139</c:v>
                </c:pt>
                <c:pt idx="4">
                  <c:v>126</c:v>
                </c:pt>
                <c:pt idx="5">
                  <c:v>128</c:v>
                </c:pt>
                <c:pt idx="6">
                  <c:v>130</c:v>
                </c:pt>
                <c:pt idx="7">
                  <c:v>143</c:v>
                </c:pt>
                <c:pt idx="8">
                  <c:v>141</c:v>
                </c:pt>
                <c:pt idx="9">
                  <c:v>133</c:v>
                </c:pt>
                <c:pt idx="10">
                  <c:v>142</c:v>
                </c:pt>
                <c:pt idx="11">
                  <c:v>123</c:v>
                </c:pt>
                <c:pt idx="12">
                  <c:v>135</c:v>
                </c:pt>
                <c:pt idx="13">
                  <c:v>121</c:v>
                </c:pt>
                <c:pt idx="14">
                  <c:v>166</c:v>
                </c:pt>
                <c:pt idx="15">
                  <c:v>140</c:v>
                </c:pt>
                <c:pt idx="16">
                  <c:v>126</c:v>
                </c:pt>
                <c:pt idx="17">
                  <c:v>130</c:v>
                </c:pt>
                <c:pt idx="18">
                  <c:v>125</c:v>
                </c:pt>
                <c:pt idx="19">
                  <c:v>151</c:v>
                </c:pt>
                <c:pt idx="20">
                  <c:v>152</c:v>
                </c:pt>
                <c:pt idx="21">
                  <c:v>162</c:v>
                </c:pt>
                <c:pt idx="22">
                  <c:v>149</c:v>
                </c:pt>
                <c:pt idx="23">
                  <c:v>177</c:v>
                </c:pt>
                <c:pt idx="24">
                  <c:v>134</c:v>
                </c:pt>
                <c:pt idx="25">
                  <c:v>130</c:v>
                </c:pt>
                <c:pt idx="26">
                  <c:v>157</c:v>
                </c:pt>
                <c:pt idx="27">
                  <c:v>148</c:v>
                </c:pt>
                <c:pt idx="28">
                  <c:v>126</c:v>
                </c:pt>
                <c:pt idx="29">
                  <c:v>135</c:v>
                </c:pt>
                <c:pt idx="30">
                  <c:v>142</c:v>
                </c:pt>
                <c:pt idx="31">
                  <c:v>127</c:v>
                </c:pt>
                <c:pt idx="32">
                  <c:v>131</c:v>
                </c:pt>
                <c:pt idx="33">
                  <c:v>136</c:v>
                </c:pt>
                <c:pt idx="34">
                  <c:v>119</c:v>
                </c:pt>
                <c:pt idx="35">
                  <c:v>147</c:v>
                </c:pt>
                <c:pt idx="36">
                  <c:v>145</c:v>
                </c:pt>
                <c:pt idx="37">
                  <c:v>132</c:v>
                </c:pt>
                <c:pt idx="38">
                  <c:v>152</c:v>
                </c:pt>
                <c:pt idx="39">
                  <c:v>125</c:v>
                </c:pt>
                <c:pt idx="40">
                  <c:v>141</c:v>
                </c:pt>
                <c:pt idx="41">
                  <c:v>150</c:v>
                </c:pt>
                <c:pt idx="42">
                  <c:v>131</c:v>
                </c:pt>
                <c:pt idx="43">
                  <c:v>143</c:v>
                </c:pt>
                <c:pt idx="44">
                  <c:v>124</c:v>
                </c:pt>
                <c:pt idx="45">
                  <c:v>136</c:v>
                </c:pt>
                <c:pt idx="46">
                  <c:v>131</c:v>
                </c:pt>
              </c:numCache>
            </c:numRef>
          </c:val>
          <c:smooth val="0"/>
          <c:extLst>
            <c:ext xmlns:c16="http://schemas.microsoft.com/office/drawing/2014/chart" uri="{C3380CC4-5D6E-409C-BE32-E72D297353CC}">
              <c16:uniqueId val="{00000000-BFD8-41FD-B296-7F930F9655F7}"/>
            </c:ext>
          </c:extLst>
        </c:ser>
        <c:ser>
          <c:idx val="1"/>
          <c:order val="1"/>
          <c:tx>
            <c:strRef>
              <c:f>Sheet1!$E$1</c:f>
              <c:strCache>
                <c:ptCount val="1"/>
                <c:pt idx="0">
                  <c:v>Youth10</c:v>
                </c:pt>
              </c:strCache>
            </c:strRef>
          </c:tx>
          <c:spPr>
            <a:ln w="22225" cap="rnd">
              <a:solidFill>
                <a:schemeClr val="accent2"/>
              </a:solidFill>
              <a:round/>
            </a:ln>
            <a:effectLst/>
          </c:spPr>
          <c:marker>
            <c:symbol val="none"/>
          </c:marker>
          <c:val>
            <c:numRef>
              <c:f>Sheet1!$E$2:$E$48</c:f>
              <c:numCache>
                <c:formatCode>General</c:formatCode>
                <c:ptCount val="47"/>
                <c:pt idx="0">
                  <c:v>135</c:v>
                </c:pt>
                <c:pt idx="1">
                  <c:v>135</c:v>
                </c:pt>
                <c:pt idx="2">
                  <c:v>153</c:v>
                </c:pt>
                <c:pt idx="3">
                  <c:v>139</c:v>
                </c:pt>
                <c:pt idx="4">
                  <c:v>125</c:v>
                </c:pt>
                <c:pt idx="5">
                  <c:v>128</c:v>
                </c:pt>
                <c:pt idx="6">
                  <c:v>153</c:v>
                </c:pt>
                <c:pt idx="7">
                  <c:v>143</c:v>
                </c:pt>
                <c:pt idx="8">
                  <c:v>153</c:v>
                </c:pt>
                <c:pt idx="9">
                  <c:v>134</c:v>
                </c:pt>
                <c:pt idx="10">
                  <c:v>142</c:v>
                </c:pt>
                <c:pt idx="11">
                  <c:v>134</c:v>
                </c:pt>
                <c:pt idx="12">
                  <c:v>137</c:v>
                </c:pt>
                <c:pt idx="13">
                  <c:v>132</c:v>
                </c:pt>
                <c:pt idx="14">
                  <c:v>153</c:v>
                </c:pt>
                <c:pt idx="15">
                  <c:v>130</c:v>
                </c:pt>
                <c:pt idx="16">
                  <c:v>134</c:v>
                </c:pt>
                <c:pt idx="17">
                  <c:v>127</c:v>
                </c:pt>
                <c:pt idx="18">
                  <c:v>134</c:v>
                </c:pt>
                <c:pt idx="19">
                  <c:v>161</c:v>
                </c:pt>
                <c:pt idx="20">
                  <c:v>152</c:v>
                </c:pt>
                <c:pt idx="21">
                  <c:v>162</c:v>
                </c:pt>
                <c:pt idx="22">
                  <c:v>150</c:v>
                </c:pt>
                <c:pt idx="23">
                  <c:v>164</c:v>
                </c:pt>
                <c:pt idx="24">
                  <c:v>133</c:v>
                </c:pt>
                <c:pt idx="25">
                  <c:v>153</c:v>
                </c:pt>
                <c:pt idx="26">
                  <c:v>156</c:v>
                </c:pt>
                <c:pt idx="27">
                  <c:v>134</c:v>
                </c:pt>
                <c:pt idx="28">
                  <c:v>126</c:v>
                </c:pt>
                <c:pt idx="29">
                  <c:v>134</c:v>
                </c:pt>
                <c:pt idx="30">
                  <c:v>147</c:v>
                </c:pt>
                <c:pt idx="31">
                  <c:v>125</c:v>
                </c:pt>
                <c:pt idx="32">
                  <c:v>134</c:v>
                </c:pt>
                <c:pt idx="33">
                  <c:v>140</c:v>
                </c:pt>
                <c:pt idx="34">
                  <c:v>120</c:v>
                </c:pt>
                <c:pt idx="35">
                  <c:v>139</c:v>
                </c:pt>
                <c:pt idx="36">
                  <c:v>154</c:v>
                </c:pt>
                <c:pt idx="37">
                  <c:v>135</c:v>
                </c:pt>
                <c:pt idx="38">
                  <c:v>151</c:v>
                </c:pt>
                <c:pt idx="39">
                  <c:v>140</c:v>
                </c:pt>
                <c:pt idx="40">
                  <c:v>142</c:v>
                </c:pt>
                <c:pt idx="41">
                  <c:v>153</c:v>
                </c:pt>
                <c:pt idx="42">
                  <c:v>131</c:v>
                </c:pt>
                <c:pt idx="43">
                  <c:v>142</c:v>
                </c:pt>
                <c:pt idx="44">
                  <c:v>134</c:v>
                </c:pt>
                <c:pt idx="45">
                  <c:v>140</c:v>
                </c:pt>
                <c:pt idx="46">
                  <c:v>132</c:v>
                </c:pt>
              </c:numCache>
            </c:numRef>
          </c:val>
          <c:smooth val="0"/>
          <c:extLst>
            <c:ext xmlns:c16="http://schemas.microsoft.com/office/drawing/2014/chart" uri="{C3380CC4-5D6E-409C-BE32-E72D297353CC}">
              <c16:uniqueId val="{00000001-BFD8-41FD-B296-7F930F9655F7}"/>
            </c:ext>
          </c:extLst>
        </c:ser>
        <c:dLbls>
          <c:showLegendKey val="0"/>
          <c:showVal val="0"/>
          <c:showCatName val="0"/>
          <c:showSerName val="0"/>
          <c:showPercent val="0"/>
          <c:showBubbleSize val="0"/>
        </c:dLbls>
        <c:dropLines>
          <c:spPr>
            <a:ln w="9525">
              <a:solidFill>
                <a:schemeClr val="dk1">
                  <a:lumMod val="35000"/>
                  <a:lumOff val="65000"/>
                  <a:alpha val="33000"/>
                </a:schemeClr>
              </a:solidFill>
              <a:round/>
            </a:ln>
            <a:effectLst/>
          </c:spPr>
        </c:dropLines>
        <c:smooth val="0"/>
        <c:axId val="454386392"/>
        <c:axId val="454385736"/>
      </c:lineChart>
      <c:catAx>
        <c:axId val="454386392"/>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REcoRDED SERIES</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majorTickMark val="none"/>
        <c:minorTickMark val="none"/>
        <c:tickLblPos val="nextTo"/>
        <c:spPr>
          <a:noFill/>
          <a:ln w="9525">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454385736"/>
        <c:crosses val="autoZero"/>
        <c:auto val="1"/>
        <c:lblAlgn val="ctr"/>
        <c:lblOffset val="100"/>
        <c:noMultiLvlLbl val="0"/>
      </c:catAx>
      <c:valAx>
        <c:axId val="454385736"/>
        <c:scaling>
          <c:orientation val="minMax"/>
        </c:scaling>
        <c:delete val="0"/>
        <c:axPos val="l"/>
        <c:title>
          <c:tx>
            <c:rich>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r>
                  <a:rPr lang="en-GB"/>
                  <a:t>crime raTE</a:t>
                </a:r>
              </a:p>
            </c:rich>
          </c:tx>
          <c:overlay val="0"/>
          <c:spPr>
            <a:noFill/>
            <a:ln>
              <a:noFill/>
            </a:ln>
            <a:effectLst/>
          </c:spPr>
          <c:txPr>
            <a:bodyPr rot="-5400000" spcFirstLastPara="1" vertOverflow="ellipsis" vert="horz" wrap="square" anchor="ctr" anchorCtr="1"/>
            <a:lstStyle/>
            <a:p>
              <a:pPr>
                <a:defRPr sz="900" b="0" i="0" u="none" strike="noStrike" kern="1200" cap="all"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spc="20" baseline="0">
                <a:solidFill>
                  <a:schemeClr val="dk1">
                    <a:lumMod val="65000"/>
                    <a:lumOff val="35000"/>
                  </a:schemeClr>
                </a:solidFill>
                <a:latin typeface="+mn-lt"/>
                <a:ea typeface="+mn-ea"/>
                <a:cs typeface="+mn-cs"/>
              </a:defRPr>
            </a:pPr>
            <a:endParaRPr lang="en-US"/>
          </a:p>
        </c:txPr>
        <c:crossAx val="454386392"/>
        <c:crosses val="autoZero"/>
        <c:crossBetween val="between"/>
      </c:valAx>
      <c:spPr>
        <a:gradFill rotWithShape="1">
          <a:gsLst>
            <a:gs pos="0">
              <a:schemeClr val="lt1"/>
            </a:gs>
            <a:gs pos="100000">
              <a:schemeClr val="lt1">
                <a:lumMod val="95000"/>
              </a:schemeClr>
            </a:gs>
          </a:gsLst>
          <a:lin ang="5400000" scaled="0"/>
        </a:grad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GB" b="1"/>
              <a:t>Crime Rate</a:t>
            </a:r>
            <a:r>
              <a:rPr lang="en-GB" b="1" baseline="0"/>
              <a:t> in </a:t>
            </a:r>
            <a:r>
              <a:rPr lang="en-GB" b="1"/>
              <a:t>Education-based</a:t>
            </a:r>
            <a:r>
              <a:rPr lang="en-GB" b="1" baseline="0"/>
              <a:t> demography</a:t>
            </a:r>
            <a:endParaRPr lang="en-GB" b="1"/>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Sheet1!$G$1</c:f>
              <c:strCache>
                <c:ptCount val="1"/>
                <c:pt idx="0">
                  <c:v>Education</c:v>
                </c:pt>
              </c:strCache>
            </c:strRef>
          </c:tx>
          <c:spPr>
            <a:solidFill>
              <a:schemeClr val="accent1"/>
            </a:solidFill>
            <a:ln>
              <a:noFill/>
            </a:ln>
            <a:effectLst/>
          </c:spPr>
          <c:invertIfNegative val="0"/>
          <c:val>
            <c:numRef>
              <c:f>Sheet1!$G$2:$G$48</c:f>
              <c:numCache>
                <c:formatCode>General</c:formatCode>
                <c:ptCount val="47"/>
                <c:pt idx="0">
                  <c:v>12.4</c:v>
                </c:pt>
                <c:pt idx="1">
                  <c:v>10.9</c:v>
                </c:pt>
                <c:pt idx="2">
                  <c:v>11.2</c:v>
                </c:pt>
                <c:pt idx="3">
                  <c:v>11.9</c:v>
                </c:pt>
                <c:pt idx="4">
                  <c:v>12.2</c:v>
                </c:pt>
                <c:pt idx="5">
                  <c:v>13.5</c:v>
                </c:pt>
                <c:pt idx="6">
                  <c:v>14.1</c:v>
                </c:pt>
                <c:pt idx="7">
                  <c:v>12.9</c:v>
                </c:pt>
                <c:pt idx="8">
                  <c:v>12.9</c:v>
                </c:pt>
                <c:pt idx="9">
                  <c:v>11.4</c:v>
                </c:pt>
                <c:pt idx="10">
                  <c:v>12.9</c:v>
                </c:pt>
                <c:pt idx="11">
                  <c:v>12.5</c:v>
                </c:pt>
                <c:pt idx="12">
                  <c:v>13.6</c:v>
                </c:pt>
                <c:pt idx="13">
                  <c:v>13.2</c:v>
                </c:pt>
                <c:pt idx="14">
                  <c:v>11.4</c:v>
                </c:pt>
                <c:pt idx="15">
                  <c:v>12.9</c:v>
                </c:pt>
                <c:pt idx="16">
                  <c:v>12.7</c:v>
                </c:pt>
                <c:pt idx="17">
                  <c:v>13.3</c:v>
                </c:pt>
                <c:pt idx="18">
                  <c:v>12</c:v>
                </c:pt>
                <c:pt idx="19">
                  <c:v>10</c:v>
                </c:pt>
                <c:pt idx="20">
                  <c:v>10.8</c:v>
                </c:pt>
                <c:pt idx="21">
                  <c:v>12.1</c:v>
                </c:pt>
                <c:pt idx="22">
                  <c:v>10.7</c:v>
                </c:pt>
                <c:pt idx="23">
                  <c:v>11</c:v>
                </c:pt>
                <c:pt idx="24">
                  <c:v>12.5</c:v>
                </c:pt>
                <c:pt idx="25">
                  <c:v>13.4</c:v>
                </c:pt>
                <c:pt idx="26">
                  <c:v>11.1</c:v>
                </c:pt>
                <c:pt idx="27">
                  <c:v>13.7</c:v>
                </c:pt>
                <c:pt idx="28">
                  <c:v>13.8</c:v>
                </c:pt>
                <c:pt idx="29">
                  <c:v>11.4</c:v>
                </c:pt>
                <c:pt idx="30">
                  <c:v>10.9</c:v>
                </c:pt>
                <c:pt idx="31">
                  <c:v>12.8</c:v>
                </c:pt>
                <c:pt idx="32">
                  <c:v>13.7</c:v>
                </c:pt>
                <c:pt idx="33">
                  <c:v>12.9</c:v>
                </c:pt>
                <c:pt idx="34">
                  <c:v>11.9</c:v>
                </c:pt>
                <c:pt idx="35">
                  <c:v>13.9</c:v>
                </c:pt>
                <c:pt idx="36">
                  <c:v>11.7</c:v>
                </c:pt>
                <c:pt idx="37">
                  <c:v>10.4</c:v>
                </c:pt>
                <c:pt idx="38">
                  <c:v>12</c:v>
                </c:pt>
                <c:pt idx="39">
                  <c:v>12.5</c:v>
                </c:pt>
                <c:pt idx="40">
                  <c:v>14.2</c:v>
                </c:pt>
                <c:pt idx="41">
                  <c:v>12</c:v>
                </c:pt>
                <c:pt idx="42">
                  <c:v>12.2</c:v>
                </c:pt>
                <c:pt idx="43">
                  <c:v>12.3</c:v>
                </c:pt>
                <c:pt idx="44">
                  <c:v>12.3</c:v>
                </c:pt>
                <c:pt idx="45">
                  <c:v>15.1</c:v>
                </c:pt>
                <c:pt idx="46">
                  <c:v>13.2</c:v>
                </c:pt>
              </c:numCache>
            </c:numRef>
          </c:val>
          <c:extLst>
            <c:ext xmlns:c16="http://schemas.microsoft.com/office/drawing/2014/chart" uri="{C3380CC4-5D6E-409C-BE32-E72D297353CC}">
              <c16:uniqueId val="{00000000-13F8-491A-B031-BD3F0FF5D676}"/>
            </c:ext>
          </c:extLst>
        </c:ser>
        <c:ser>
          <c:idx val="1"/>
          <c:order val="1"/>
          <c:tx>
            <c:strRef>
              <c:f>Sheet1!$H$1</c:f>
              <c:strCache>
                <c:ptCount val="1"/>
                <c:pt idx="0">
                  <c:v>Education10</c:v>
                </c:pt>
              </c:strCache>
            </c:strRef>
          </c:tx>
          <c:spPr>
            <a:solidFill>
              <a:schemeClr val="accent2"/>
            </a:solidFill>
            <a:ln>
              <a:noFill/>
            </a:ln>
            <a:effectLst/>
          </c:spPr>
          <c:invertIfNegative val="0"/>
          <c:val>
            <c:numRef>
              <c:f>Sheet1!$H$2:$H$48</c:f>
              <c:numCache>
                <c:formatCode>General</c:formatCode>
                <c:ptCount val="47"/>
                <c:pt idx="0">
                  <c:v>12.5</c:v>
                </c:pt>
                <c:pt idx="1">
                  <c:v>10.9</c:v>
                </c:pt>
                <c:pt idx="2">
                  <c:v>11</c:v>
                </c:pt>
                <c:pt idx="3">
                  <c:v>11.8</c:v>
                </c:pt>
                <c:pt idx="4">
                  <c:v>12.2</c:v>
                </c:pt>
                <c:pt idx="5">
                  <c:v>13.8</c:v>
                </c:pt>
                <c:pt idx="6">
                  <c:v>14.1</c:v>
                </c:pt>
                <c:pt idx="7">
                  <c:v>13</c:v>
                </c:pt>
                <c:pt idx="8">
                  <c:v>12.9</c:v>
                </c:pt>
                <c:pt idx="9">
                  <c:v>11.2</c:v>
                </c:pt>
                <c:pt idx="10">
                  <c:v>13.1</c:v>
                </c:pt>
                <c:pt idx="11">
                  <c:v>12.4</c:v>
                </c:pt>
                <c:pt idx="12">
                  <c:v>13.7</c:v>
                </c:pt>
                <c:pt idx="13">
                  <c:v>13.3</c:v>
                </c:pt>
                <c:pt idx="14">
                  <c:v>11.2</c:v>
                </c:pt>
                <c:pt idx="15">
                  <c:v>12.9</c:v>
                </c:pt>
                <c:pt idx="16">
                  <c:v>12.9</c:v>
                </c:pt>
                <c:pt idx="17">
                  <c:v>13.3</c:v>
                </c:pt>
                <c:pt idx="18">
                  <c:v>11.9</c:v>
                </c:pt>
                <c:pt idx="19">
                  <c:v>10.1</c:v>
                </c:pt>
                <c:pt idx="20">
                  <c:v>11</c:v>
                </c:pt>
                <c:pt idx="21">
                  <c:v>12</c:v>
                </c:pt>
                <c:pt idx="22">
                  <c:v>10.7</c:v>
                </c:pt>
                <c:pt idx="23">
                  <c:v>10.9</c:v>
                </c:pt>
                <c:pt idx="24">
                  <c:v>12.7</c:v>
                </c:pt>
                <c:pt idx="25">
                  <c:v>13.4</c:v>
                </c:pt>
                <c:pt idx="26">
                  <c:v>11.2</c:v>
                </c:pt>
                <c:pt idx="27">
                  <c:v>13.9</c:v>
                </c:pt>
                <c:pt idx="28">
                  <c:v>13.8</c:v>
                </c:pt>
                <c:pt idx="29">
                  <c:v>11.3</c:v>
                </c:pt>
                <c:pt idx="30">
                  <c:v>10.7</c:v>
                </c:pt>
                <c:pt idx="31">
                  <c:v>12.9</c:v>
                </c:pt>
                <c:pt idx="32">
                  <c:v>13.6</c:v>
                </c:pt>
                <c:pt idx="33">
                  <c:v>13</c:v>
                </c:pt>
                <c:pt idx="34">
                  <c:v>11.9</c:v>
                </c:pt>
                <c:pt idx="35">
                  <c:v>14</c:v>
                </c:pt>
                <c:pt idx="36">
                  <c:v>11.8</c:v>
                </c:pt>
                <c:pt idx="37">
                  <c:v>10.199999999999999</c:v>
                </c:pt>
                <c:pt idx="38">
                  <c:v>12.1</c:v>
                </c:pt>
                <c:pt idx="39">
                  <c:v>12.5</c:v>
                </c:pt>
                <c:pt idx="40">
                  <c:v>14.2</c:v>
                </c:pt>
                <c:pt idx="41">
                  <c:v>12</c:v>
                </c:pt>
                <c:pt idx="42">
                  <c:v>12.1</c:v>
                </c:pt>
                <c:pt idx="43">
                  <c:v>12.2</c:v>
                </c:pt>
                <c:pt idx="44">
                  <c:v>12.2</c:v>
                </c:pt>
                <c:pt idx="45">
                  <c:v>15.2</c:v>
                </c:pt>
                <c:pt idx="46">
                  <c:v>13.2</c:v>
                </c:pt>
              </c:numCache>
            </c:numRef>
          </c:val>
          <c:extLst>
            <c:ext xmlns:c16="http://schemas.microsoft.com/office/drawing/2014/chart" uri="{C3380CC4-5D6E-409C-BE32-E72D297353CC}">
              <c16:uniqueId val="{00000001-13F8-491A-B031-BD3F0FF5D676}"/>
            </c:ext>
          </c:extLst>
        </c:ser>
        <c:dLbls>
          <c:showLegendKey val="0"/>
          <c:showVal val="0"/>
          <c:showCatName val="0"/>
          <c:showSerName val="0"/>
          <c:showPercent val="0"/>
          <c:showBubbleSize val="0"/>
        </c:dLbls>
        <c:gapWidth val="219"/>
        <c:overlap val="-27"/>
        <c:axId val="528763480"/>
        <c:axId val="528758232"/>
      </c:barChart>
      <c:catAx>
        <c:axId val="528763480"/>
        <c:scaling>
          <c:orientation val="minMax"/>
        </c:scaling>
        <c:delete val="0"/>
        <c:axPos val="b"/>
        <c:title>
          <c:tx>
            <c:rich>
              <a:bodyPr rot="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r>
                  <a:rPr lang="en-GB" b="1"/>
                  <a:t>Recorded Series</a:t>
                </a:r>
              </a:p>
            </c:rich>
          </c:tx>
          <c:overlay val="0"/>
          <c:spPr>
            <a:noFill/>
            <a:ln>
              <a:noFill/>
            </a:ln>
            <a:effectLst/>
          </c:spPr>
          <c:txPr>
            <a:bodyPr rot="0" spcFirstLastPara="1" vertOverflow="ellipsis" vert="horz" wrap="square" anchor="ctr" anchorCtr="1"/>
            <a:lstStyle/>
            <a:p>
              <a:pPr>
                <a:defRPr sz="1000" b="1" i="0" u="none" strike="noStrike" kern="1200" baseline="0">
                  <a:solidFill>
                    <a:schemeClr val="tx1">
                      <a:lumMod val="65000"/>
                      <a:lumOff val="35000"/>
                    </a:schemeClr>
                  </a:solidFill>
                  <a:latin typeface="+mn-lt"/>
                  <a:ea typeface="+mn-ea"/>
                  <a:cs typeface="+mn-cs"/>
                </a:defRPr>
              </a:pPr>
              <a:endParaRPr lang="en-US"/>
            </a:p>
          </c:txPr>
        </c:title>
        <c:majorTickMark val="none"/>
        <c:minorTickMark val="none"/>
        <c:tickLblPos val="nextTo"/>
        <c:spPr>
          <a:noFill/>
          <a:ln w="9525">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8758232"/>
        <c:crosses val="autoZero"/>
        <c:auto val="1"/>
        <c:lblAlgn val="ctr"/>
        <c:lblOffset val="100"/>
        <c:noMultiLvlLbl val="0"/>
      </c:catAx>
      <c:valAx>
        <c:axId val="528758232"/>
        <c:scaling>
          <c:orientation val="minMax"/>
        </c:scaling>
        <c:delete val="0"/>
        <c:axPos val="l"/>
        <c:majorGridlines>
          <c:spPr>
            <a:ln w="9525">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Crime Rate</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876348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Crime Rate for</a:t>
            </a:r>
            <a:r>
              <a:rPr lang="en-GB" baseline="0"/>
              <a:t> Expenditure year</a:t>
            </a:r>
            <a:r>
              <a:rPr lang="en-GB"/>
              <a:t> </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lineChart>
        <c:grouping val="standard"/>
        <c:varyColors val="0"/>
        <c:ser>
          <c:idx val="0"/>
          <c:order val="0"/>
          <c:tx>
            <c:strRef>
              <c:f>Sheet1!$J$1</c:f>
              <c:strCache>
                <c:ptCount val="1"/>
                <c:pt idx="0">
                  <c:v>ExpenditureYear0</c:v>
                </c:pt>
              </c:strCache>
            </c:strRef>
          </c:tx>
          <c:spPr>
            <a:ln w="22225" cap="rnd">
              <a:solidFill>
                <a:schemeClr val="accent2"/>
              </a:solidFill>
            </a:ln>
            <a:effectLst>
              <a:glow rad="139700">
                <a:srgbClr val="FF0000">
                  <a:alpha val="14000"/>
                </a:srgbClr>
              </a:glow>
            </a:effectLst>
          </c:spPr>
          <c:marker>
            <c:symbol val="none"/>
          </c:marker>
          <c:val>
            <c:numRef>
              <c:f>Sheet1!$J$2:$J$48</c:f>
              <c:numCache>
                <c:formatCode>General</c:formatCode>
                <c:ptCount val="47"/>
                <c:pt idx="0">
                  <c:v>69</c:v>
                </c:pt>
                <c:pt idx="1">
                  <c:v>55</c:v>
                </c:pt>
                <c:pt idx="2">
                  <c:v>47</c:v>
                </c:pt>
                <c:pt idx="3">
                  <c:v>46</c:v>
                </c:pt>
                <c:pt idx="4">
                  <c:v>106</c:v>
                </c:pt>
                <c:pt idx="5">
                  <c:v>67</c:v>
                </c:pt>
                <c:pt idx="6">
                  <c:v>63</c:v>
                </c:pt>
                <c:pt idx="7">
                  <c:v>66</c:v>
                </c:pt>
                <c:pt idx="8">
                  <c:v>56</c:v>
                </c:pt>
                <c:pt idx="9">
                  <c:v>51</c:v>
                </c:pt>
                <c:pt idx="10">
                  <c:v>45</c:v>
                </c:pt>
                <c:pt idx="11">
                  <c:v>97</c:v>
                </c:pt>
                <c:pt idx="12">
                  <c:v>62</c:v>
                </c:pt>
                <c:pt idx="13">
                  <c:v>118</c:v>
                </c:pt>
                <c:pt idx="14">
                  <c:v>58</c:v>
                </c:pt>
                <c:pt idx="15">
                  <c:v>71</c:v>
                </c:pt>
                <c:pt idx="16">
                  <c:v>74</c:v>
                </c:pt>
                <c:pt idx="17">
                  <c:v>128</c:v>
                </c:pt>
                <c:pt idx="18">
                  <c:v>90</c:v>
                </c:pt>
                <c:pt idx="19">
                  <c:v>58</c:v>
                </c:pt>
                <c:pt idx="20">
                  <c:v>57</c:v>
                </c:pt>
                <c:pt idx="21">
                  <c:v>75</c:v>
                </c:pt>
                <c:pt idx="22">
                  <c:v>61</c:v>
                </c:pt>
                <c:pt idx="23">
                  <c:v>58</c:v>
                </c:pt>
                <c:pt idx="24">
                  <c:v>75</c:v>
                </c:pt>
                <c:pt idx="25">
                  <c:v>90</c:v>
                </c:pt>
                <c:pt idx="26">
                  <c:v>65</c:v>
                </c:pt>
                <c:pt idx="27">
                  <c:v>72</c:v>
                </c:pt>
                <c:pt idx="28">
                  <c:v>97</c:v>
                </c:pt>
                <c:pt idx="29">
                  <c:v>123</c:v>
                </c:pt>
                <c:pt idx="30">
                  <c:v>81</c:v>
                </c:pt>
                <c:pt idx="31">
                  <c:v>82</c:v>
                </c:pt>
                <c:pt idx="32">
                  <c:v>78</c:v>
                </c:pt>
                <c:pt idx="33">
                  <c:v>95</c:v>
                </c:pt>
                <c:pt idx="34">
                  <c:v>166</c:v>
                </c:pt>
                <c:pt idx="35">
                  <c:v>63</c:v>
                </c:pt>
                <c:pt idx="36">
                  <c:v>82</c:v>
                </c:pt>
                <c:pt idx="37">
                  <c:v>87</c:v>
                </c:pt>
                <c:pt idx="38">
                  <c:v>82</c:v>
                </c:pt>
                <c:pt idx="39">
                  <c:v>113</c:v>
                </c:pt>
                <c:pt idx="40">
                  <c:v>109</c:v>
                </c:pt>
                <c:pt idx="41">
                  <c:v>109</c:v>
                </c:pt>
                <c:pt idx="42">
                  <c:v>115</c:v>
                </c:pt>
                <c:pt idx="43">
                  <c:v>103</c:v>
                </c:pt>
                <c:pt idx="44">
                  <c:v>121</c:v>
                </c:pt>
                <c:pt idx="45">
                  <c:v>149</c:v>
                </c:pt>
                <c:pt idx="46">
                  <c:v>160</c:v>
                </c:pt>
              </c:numCache>
            </c:numRef>
          </c:val>
          <c:smooth val="0"/>
          <c:extLst>
            <c:ext xmlns:c16="http://schemas.microsoft.com/office/drawing/2014/chart" uri="{C3380CC4-5D6E-409C-BE32-E72D297353CC}">
              <c16:uniqueId val="{00000000-3F5D-403E-B6AD-64EC80D9D3AC}"/>
            </c:ext>
          </c:extLst>
        </c:ser>
        <c:ser>
          <c:idx val="1"/>
          <c:order val="1"/>
          <c:tx>
            <c:strRef>
              <c:f>Sheet1!$K$1</c:f>
              <c:strCache>
                <c:ptCount val="1"/>
                <c:pt idx="0">
                  <c:v>ExpenditureYear10</c:v>
                </c:pt>
              </c:strCache>
            </c:strRef>
          </c:tx>
          <c:spPr>
            <a:ln w="22225" cap="rnd">
              <a:solidFill>
                <a:schemeClr val="accent4"/>
              </a:solidFill>
            </a:ln>
            <a:effectLst>
              <a:glow rad="139700">
                <a:schemeClr val="accent4">
                  <a:satMod val="175000"/>
                  <a:alpha val="14000"/>
                </a:schemeClr>
              </a:glow>
            </a:effectLst>
          </c:spPr>
          <c:marker>
            <c:symbol val="none"/>
          </c:marker>
          <c:val>
            <c:numRef>
              <c:f>Sheet1!$K$2:$K$48</c:f>
              <c:numCache>
                <c:formatCode>General</c:formatCode>
                <c:ptCount val="47"/>
                <c:pt idx="0">
                  <c:v>71</c:v>
                </c:pt>
                <c:pt idx="1">
                  <c:v>54</c:v>
                </c:pt>
                <c:pt idx="2">
                  <c:v>44</c:v>
                </c:pt>
                <c:pt idx="3">
                  <c:v>41</c:v>
                </c:pt>
                <c:pt idx="4">
                  <c:v>97</c:v>
                </c:pt>
                <c:pt idx="5">
                  <c:v>60</c:v>
                </c:pt>
                <c:pt idx="6">
                  <c:v>57</c:v>
                </c:pt>
                <c:pt idx="7">
                  <c:v>63</c:v>
                </c:pt>
                <c:pt idx="8">
                  <c:v>54</c:v>
                </c:pt>
                <c:pt idx="9">
                  <c:v>47</c:v>
                </c:pt>
                <c:pt idx="10">
                  <c:v>44</c:v>
                </c:pt>
                <c:pt idx="11">
                  <c:v>87</c:v>
                </c:pt>
                <c:pt idx="12">
                  <c:v>61</c:v>
                </c:pt>
                <c:pt idx="13">
                  <c:v>115</c:v>
                </c:pt>
                <c:pt idx="14">
                  <c:v>54</c:v>
                </c:pt>
                <c:pt idx="15">
                  <c:v>68</c:v>
                </c:pt>
                <c:pt idx="16">
                  <c:v>67</c:v>
                </c:pt>
                <c:pt idx="17">
                  <c:v>128</c:v>
                </c:pt>
                <c:pt idx="18">
                  <c:v>81</c:v>
                </c:pt>
                <c:pt idx="19">
                  <c:v>56</c:v>
                </c:pt>
                <c:pt idx="20">
                  <c:v>53</c:v>
                </c:pt>
                <c:pt idx="21">
                  <c:v>70</c:v>
                </c:pt>
                <c:pt idx="22">
                  <c:v>54</c:v>
                </c:pt>
                <c:pt idx="23">
                  <c:v>56</c:v>
                </c:pt>
                <c:pt idx="24">
                  <c:v>71</c:v>
                </c:pt>
                <c:pt idx="25">
                  <c:v>91</c:v>
                </c:pt>
                <c:pt idx="26">
                  <c:v>62</c:v>
                </c:pt>
                <c:pt idx="27">
                  <c:v>66</c:v>
                </c:pt>
                <c:pt idx="28">
                  <c:v>97</c:v>
                </c:pt>
                <c:pt idx="29">
                  <c:v>115</c:v>
                </c:pt>
                <c:pt idx="30">
                  <c:v>77</c:v>
                </c:pt>
                <c:pt idx="31">
                  <c:v>79</c:v>
                </c:pt>
                <c:pt idx="32">
                  <c:v>73</c:v>
                </c:pt>
                <c:pt idx="33">
                  <c:v>96</c:v>
                </c:pt>
                <c:pt idx="34">
                  <c:v>157</c:v>
                </c:pt>
                <c:pt idx="35">
                  <c:v>64</c:v>
                </c:pt>
                <c:pt idx="36">
                  <c:v>74</c:v>
                </c:pt>
                <c:pt idx="37">
                  <c:v>83</c:v>
                </c:pt>
                <c:pt idx="38">
                  <c:v>76</c:v>
                </c:pt>
                <c:pt idx="39">
                  <c:v>105</c:v>
                </c:pt>
                <c:pt idx="40">
                  <c:v>101</c:v>
                </c:pt>
                <c:pt idx="41">
                  <c:v>98</c:v>
                </c:pt>
                <c:pt idx="42">
                  <c:v>109</c:v>
                </c:pt>
                <c:pt idx="43">
                  <c:v>95</c:v>
                </c:pt>
                <c:pt idx="44">
                  <c:v>116</c:v>
                </c:pt>
                <c:pt idx="45">
                  <c:v>141</c:v>
                </c:pt>
                <c:pt idx="46">
                  <c:v>143</c:v>
                </c:pt>
              </c:numCache>
            </c:numRef>
          </c:val>
          <c:smooth val="0"/>
          <c:extLst>
            <c:ext xmlns:c16="http://schemas.microsoft.com/office/drawing/2014/chart" uri="{C3380CC4-5D6E-409C-BE32-E72D297353CC}">
              <c16:uniqueId val="{00000001-3F5D-403E-B6AD-64EC80D9D3AC}"/>
            </c:ext>
          </c:extLst>
        </c:ser>
        <c:dLbls>
          <c:showLegendKey val="0"/>
          <c:showVal val="0"/>
          <c:showCatName val="0"/>
          <c:showSerName val="0"/>
          <c:showPercent val="0"/>
          <c:showBubbleSize val="0"/>
        </c:dLbls>
        <c:smooth val="0"/>
        <c:axId val="519307344"/>
        <c:axId val="519305048"/>
      </c:lineChart>
      <c:catAx>
        <c:axId val="519307344"/>
        <c:scaling>
          <c:orientation val="minMax"/>
        </c:scaling>
        <c:delete val="0"/>
        <c:axPos val="b"/>
        <c:majorGridlines>
          <c:spPr>
            <a:ln w="9525">
              <a:gradFill rotWithShape="1">
                <a:gsLst>
                  <a:gs pos="0">
                    <a:schemeClr val="dk1">
                      <a:lumMod val="65000"/>
                      <a:lumOff val="35000"/>
                    </a:schemeClr>
                  </a:gs>
                  <a:gs pos="100000">
                    <a:schemeClr val="dk1">
                      <a:lumMod val="75000"/>
                      <a:lumOff val="25000"/>
                    </a:schemeClr>
                  </a:gs>
                </a:gsLst>
                <a:lin ang="5400000" scaled="0"/>
              </a:gra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Recorded Series</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19305048"/>
        <c:crosses val="autoZero"/>
        <c:auto val="1"/>
        <c:lblAlgn val="ctr"/>
        <c:lblOffset val="100"/>
        <c:noMultiLvlLbl val="0"/>
      </c:catAx>
      <c:valAx>
        <c:axId val="519305048"/>
        <c:scaling>
          <c:orientation val="minMax"/>
        </c:scaling>
        <c:delete val="0"/>
        <c:axPos val="l"/>
        <c:majorGridlines>
          <c:spPr>
            <a:ln w="9525">
              <a:gradFill rotWithShape="1">
                <a:gsLst>
                  <a:gs pos="0">
                    <a:schemeClr val="dk1">
                      <a:lumMod val="65000"/>
                      <a:lumOff val="35000"/>
                    </a:schemeClr>
                  </a:gs>
                  <a:gs pos="100000">
                    <a:schemeClr val="dk1">
                      <a:lumMod val="75000"/>
                      <a:lumOff val="25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Crime Rate</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19307344"/>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GB"/>
              <a:t>Crime Rate among</a:t>
            </a:r>
            <a:r>
              <a:rPr lang="en-GB" baseline="0"/>
              <a:t> Labour Force</a:t>
            </a:r>
            <a:endParaRPr lang="en-GB"/>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areaChart>
        <c:grouping val="stacked"/>
        <c:varyColors val="0"/>
        <c:ser>
          <c:idx val="0"/>
          <c:order val="0"/>
          <c:tx>
            <c:strRef>
              <c:f>Sheet1!$M$1</c:f>
              <c:strCache>
                <c:ptCount val="1"/>
                <c:pt idx="0">
                  <c:v>LabourForce</c:v>
                </c:pt>
              </c:strCache>
            </c:strRef>
          </c:tx>
          <c:spPr>
            <a:solidFill>
              <a:schemeClr val="accent2"/>
            </a:solidFill>
            <a:ln>
              <a:noFill/>
            </a:ln>
            <a:effectLst/>
          </c:spPr>
          <c:val>
            <c:numRef>
              <c:f>Sheet1!$M$2:$M$48</c:f>
              <c:numCache>
                <c:formatCode>General</c:formatCode>
                <c:ptCount val="47"/>
                <c:pt idx="0">
                  <c:v>540</c:v>
                </c:pt>
                <c:pt idx="1">
                  <c:v>535</c:v>
                </c:pt>
                <c:pt idx="2">
                  <c:v>512</c:v>
                </c:pt>
                <c:pt idx="3">
                  <c:v>480</c:v>
                </c:pt>
                <c:pt idx="4">
                  <c:v>599</c:v>
                </c:pt>
                <c:pt idx="5">
                  <c:v>624</c:v>
                </c:pt>
                <c:pt idx="6">
                  <c:v>641</c:v>
                </c:pt>
                <c:pt idx="7">
                  <c:v>537</c:v>
                </c:pt>
                <c:pt idx="8">
                  <c:v>523</c:v>
                </c:pt>
                <c:pt idx="9">
                  <c:v>599</c:v>
                </c:pt>
                <c:pt idx="10">
                  <c:v>533</c:v>
                </c:pt>
                <c:pt idx="11">
                  <c:v>526</c:v>
                </c:pt>
                <c:pt idx="12">
                  <c:v>595</c:v>
                </c:pt>
                <c:pt idx="13">
                  <c:v>547</c:v>
                </c:pt>
                <c:pt idx="14">
                  <c:v>521</c:v>
                </c:pt>
                <c:pt idx="15">
                  <c:v>632</c:v>
                </c:pt>
                <c:pt idx="16">
                  <c:v>602</c:v>
                </c:pt>
                <c:pt idx="17">
                  <c:v>536</c:v>
                </c:pt>
                <c:pt idx="18">
                  <c:v>586</c:v>
                </c:pt>
                <c:pt idx="19">
                  <c:v>510</c:v>
                </c:pt>
                <c:pt idx="20">
                  <c:v>530</c:v>
                </c:pt>
                <c:pt idx="21">
                  <c:v>522</c:v>
                </c:pt>
                <c:pt idx="22">
                  <c:v>515</c:v>
                </c:pt>
                <c:pt idx="23">
                  <c:v>638</c:v>
                </c:pt>
                <c:pt idx="24">
                  <c:v>595</c:v>
                </c:pt>
                <c:pt idx="25">
                  <c:v>623</c:v>
                </c:pt>
                <c:pt idx="26">
                  <c:v>553</c:v>
                </c:pt>
                <c:pt idx="27">
                  <c:v>601</c:v>
                </c:pt>
                <c:pt idx="28">
                  <c:v>542</c:v>
                </c:pt>
                <c:pt idx="29">
                  <c:v>537</c:v>
                </c:pt>
                <c:pt idx="30">
                  <c:v>497</c:v>
                </c:pt>
                <c:pt idx="31">
                  <c:v>519</c:v>
                </c:pt>
                <c:pt idx="32">
                  <c:v>574</c:v>
                </c:pt>
                <c:pt idx="33">
                  <c:v>574</c:v>
                </c:pt>
                <c:pt idx="34">
                  <c:v>521</c:v>
                </c:pt>
                <c:pt idx="35">
                  <c:v>560</c:v>
                </c:pt>
                <c:pt idx="36">
                  <c:v>560</c:v>
                </c:pt>
                <c:pt idx="37">
                  <c:v>564</c:v>
                </c:pt>
                <c:pt idx="38">
                  <c:v>571</c:v>
                </c:pt>
                <c:pt idx="39">
                  <c:v>567</c:v>
                </c:pt>
                <c:pt idx="40">
                  <c:v>591</c:v>
                </c:pt>
                <c:pt idx="41">
                  <c:v>531</c:v>
                </c:pt>
                <c:pt idx="42">
                  <c:v>542</c:v>
                </c:pt>
                <c:pt idx="43">
                  <c:v>583</c:v>
                </c:pt>
                <c:pt idx="44">
                  <c:v>580</c:v>
                </c:pt>
                <c:pt idx="45">
                  <c:v>577</c:v>
                </c:pt>
                <c:pt idx="46">
                  <c:v>631</c:v>
                </c:pt>
              </c:numCache>
            </c:numRef>
          </c:val>
          <c:extLst>
            <c:ext xmlns:c16="http://schemas.microsoft.com/office/drawing/2014/chart" uri="{C3380CC4-5D6E-409C-BE32-E72D297353CC}">
              <c16:uniqueId val="{00000000-488C-41D1-8F3D-216EBCAF2604}"/>
            </c:ext>
          </c:extLst>
        </c:ser>
        <c:ser>
          <c:idx val="1"/>
          <c:order val="1"/>
          <c:tx>
            <c:strRef>
              <c:f>Sheet1!$N$1</c:f>
              <c:strCache>
                <c:ptCount val="1"/>
                <c:pt idx="0">
                  <c:v>LabourForce10</c:v>
                </c:pt>
              </c:strCache>
            </c:strRef>
          </c:tx>
          <c:spPr>
            <a:solidFill>
              <a:schemeClr val="accent4"/>
            </a:solidFill>
            <a:ln>
              <a:noFill/>
            </a:ln>
            <a:effectLst/>
          </c:spPr>
          <c:val>
            <c:numRef>
              <c:f>Sheet1!$N$2:$N$48</c:f>
              <c:numCache>
                <c:formatCode>General</c:formatCode>
                <c:ptCount val="47"/>
                <c:pt idx="0">
                  <c:v>564</c:v>
                </c:pt>
                <c:pt idx="1">
                  <c:v>540</c:v>
                </c:pt>
                <c:pt idx="2">
                  <c:v>529</c:v>
                </c:pt>
                <c:pt idx="3">
                  <c:v>497</c:v>
                </c:pt>
                <c:pt idx="4">
                  <c:v>602</c:v>
                </c:pt>
                <c:pt idx="5">
                  <c:v>621</c:v>
                </c:pt>
                <c:pt idx="6">
                  <c:v>641</c:v>
                </c:pt>
                <c:pt idx="7">
                  <c:v>549</c:v>
                </c:pt>
                <c:pt idx="8">
                  <c:v>538</c:v>
                </c:pt>
                <c:pt idx="9">
                  <c:v>600</c:v>
                </c:pt>
                <c:pt idx="10">
                  <c:v>552</c:v>
                </c:pt>
                <c:pt idx="11">
                  <c:v>529</c:v>
                </c:pt>
                <c:pt idx="12">
                  <c:v>599</c:v>
                </c:pt>
                <c:pt idx="13">
                  <c:v>538</c:v>
                </c:pt>
                <c:pt idx="14">
                  <c:v>543</c:v>
                </c:pt>
                <c:pt idx="15">
                  <c:v>620</c:v>
                </c:pt>
                <c:pt idx="16">
                  <c:v>599</c:v>
                </c:pt>
                <c:pt idx="17">
                  <c:v>530</c:v>
                </c:pt>
                <c:pt idx="18">
                  <c:v>571</c:v>
                </c:pt>
                <c:pt idx="19">
                  <c:v>515</c:v>
                </c:pt>
                <c:pt idx="20">
                  <c:v>541</c:v>
                </c:pt>
                <c:pt idx="21">
                  <c:v>533</c:v>
                </c:pt>
                <c:pt idx="22">
                  <c:v>520</c:v>
                </c:pt>
                <c:pt idx="23">
                  <c:v>638</c:v>
                </c:pt>
                <c:pt idx="24">
                  <c:v>599</c:v>
                </c:pt>
                <c:pt idx="25">
                  <c:v>622</c:v>
                </c:pt>
                <c:pt idx="26">
                  <c:v>562</c:v>
                </c:pt>
                <c:pt idx="27">
                  <c:v>602</c:v>
                </c:pt>
                <c:pt idx="28">
                  <c:v>549</c:v>
                </c:pt>
                <c:pt idx="29">
                  <c:v>529</c:v>
                </c:pt>
                <c:pt idx="30">
                  <c:v>501</c:v>
                </c:pt>
                <c:pt idx="31">
                  <c:v>510</c:v>
                </c:pt>
                <c:pt idx="32">
                  <c:v>581</c:v>
                </c:pt>
                <c:pt idx="33">
                  <c:v>581</c:v>
                </c:pt>
                <c:pt idx="34">
                  <c:v>524</c:v>
                </c:pt>
                <c:pt idx="35">
                  <c:v>571</c:v>
                </c:pt>
                <c:pt idx="36">
                  <c:v>563</c:v>
                </c:pt>
                <c:pt idx="37">
                  <c:v>560</c:v>
                </c:pt>
                <c:pt idx="38">
                  <c:v>567</c:v>
                </c:pt>
                <c:pt idx="39">
                  <c:v>571</c:v>
                </c:pt>
                <c:pt idx="40">
                  <c:v>590</c:v>
                </c:pt>
                <c:pt idx="41">
                  <c:v>539</c:v>
                </c:pt>
                <c:pt idx="42">
                  <c:v>548</c:v>
                </c:pt>
                <c:pt idx="43">
                  <c:v>612</c:v>
                </c:pt>
                <c:pt idx="44">
                  <c:v>580</c:v>
                </c:pt>
                <c:pt idx="45">
                  <c:v>578</c:v>
                </c:pt>
                <c:pt idx="46">
                  <c:v>632</c:v>
                </c:pt>
              </c:numCache>
            </c:numRef>
          </c:val>
          <c:extLst>
            <c:ext xmlns:c16="http://schemas.microsoft.com/office/drawing/2014/chart" uri="{C3380CC4-5D6E-409C-BE32-E72D297353CC}">
              <c16:uniqueId val="{00000001-488C-41D1-8F3D-216EBCAF2604}"/>
            </c:ext>
          </c:extLst>
        </c:ser>
        <c:dLbls>
          <c:showLegendKey val="0"/>
          <c:showVal val="0"/>
          <c:showCatName val="0"/>
          <c:showSerName val="0"/>
          <c:showPercent val="0"/>
          <c:showBubbleSize val="0"/>
        </c:dLbls>
        <c:axId val="519289304"/>
        <c:axId val="519293240"/>
      </c:areaChart>
      <c:catAx>
        <c:axId val="519289304"/>
        <c:scaling>
          <c:orientation val="minMax"/>
        </c:scaling>
        <c:delete val="0"/>
        <c:axPos val="b"/>
        <c:majorGridlines>
          <c:spPr>
            <a:ln w="9525">
              <a:solidFill>
                <a:schemeClr val="dk1">
                  <a:lumMod val="15000"/>
                  <a:lumOff val="8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Recorded Series</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majorTickMark val="none"/>
        <c:minorTickMark val="none"/>
        <c:tickLblPos val="nextTo"/>
        <c:spPr>
          <a:noFill/>
          <a:ln w="9525">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519293240"/>
        <c:crosses val="autoZero"/>
        <c:auto val="1"/>
        <c:lblAlgn val="ctr"/>
        <c:lblOffset val="100"/>
        <c:noMultiLvlLbl val="0"/>
      </c:catAx>
      <c:valAx>
        <c:axId val="519293240"/>
        <c:scaling>
          <c:orientation val="minMax"/>
        </c:scaling>
        <c:delete val="0"/>
        <c:axPos val="l"/>
        <c:majorGridlines>
          <c:spPr>
            <a:ln w="9525">
              <a:solidFill>
                <a:schemeClr val="dk1">
                  <a:lumMod val="15000"/>
                  <a:lumOff val="8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Crime Rate</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519289304"/>
        <c:crosses val="autoZero"/>
        <c:crossBetween val="midCat"/>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zero"/>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Crime</a:t>
            </a:r>
            <a:r>
              <a:rPr lang="en-GB" baseline="0"/>
              <a:t> Rate commited by Males</a:t>
            </a:r>
            <a:endParaRPr lang="en-GB"/>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0.14742825896762904"/>
          <c:y val="0.15433867808169485"/>
          <c:w val="0.75795341207349076"/>
          <c:h val="0.6970681765918959"/>
        </c:manualLayout>
      </c:layout>
      <c:line3DChart>
        <c:grouping val="standard"/>
        <c:varyColors val="0"/>
        <c:ser>
          <c:idx val="0"/>
          <c:order val="0"/>
          <c:tx>
            <c:strRef>
              <c:f>Sheet1!$P$1</c:f>
              <c:strCache>
                <c:ptCount val="1"/>
                <c:pt idx="0">
                  <c:v>Males</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val>
            <c:numRef>
              <c:f>Sheet1!$P$2:$P$48</c:f>
              <c:numCache>
                <c:formatCode>General</c:formatCode>
                <c:ptCount val="47"/>
                <c:pt idx="0">
                  <c:v>965</c:v>
                </c:pt>
                <c:pt idx="1">
                  <c:v>1045</c:v>
                </c:pt>
                <c:pt idx="2">
                  <c:v>962</c:v>
                </c:pt>
                <c:pt idx="3">
                  <c:v>968</c:v>
                </c:pt>
                <c:pt idx="4">
                  <c:v>989</c:v>
                </c:pt>
                <c:pt idx="5">
                  <c:v>972</c:v>
                </c:pt>
                <c:pt idx="6">
                  <c:v>984</c:v>
                </c:pt>
                <c:pt idx="7">
                  <c:v>977</c:v>
                </c:pt>
                <c:pt idx="8">
                  <c:v>968</c:v>
                </c:pt>
                <c:pt idx="9">
                  <c:v>1024</c:v>
                </c:pt>
                <c:pt idx="10">
                  <c:v>969</c:v>
                </c:pt>
                <c:pt idx="11">
                  <c:v>948</c:v>
                </c:pt>
                <c:pt idx="12">
                  <c:v>986</c:v>
                </c:pt>
                <c:pt idx="13">
                  <c:v>964</c:v>
                </c:pt>
                <c:pt idx="14">
                  <c:v>973</c:v>
                </c:pt>
                <c:pt idx="15">
                  <c:v>1029</c:v>
                </c:pt>
                <c:pt idx="16">
                  <c:v>984</c:v>
                </c:pt>
                <c:pt idx="17">
                  <c:v>934</c:v>
                </c:pt>
                <c:pt idx="18">
                  <c:v>964</c:v>
                </c:pt>
                <c:pt idx="19">
                  <c:v>950</c:v>
                </c:pt>
                <c:pt idx="20">
                  <c:v>986</c:v>
                </c:pt>
                <c:pt idx="21">
                  <c:v>996</c:v>
                </c:pt>
                <c:pt idx="22">
                  <c:v>953</c:v>
                </c:pt>
                <c:pt idx="23">
                  <c:v>974</c:v>
                </c:pt>
                <c:pt idx="24">
                  <c:v>972</c:v>
                </c:pt>
                <c:pt idx="25">
                  <c:v>1049</c:v>
                </c:pt>
                <c:pt idx="26">
                  <c:v>955</c:v>
                </c:pt>
                <c:pt idx="27">
                  <c:v>998</c:v>
                </c:pt>
                <c:pt idx="28">
                  <c:v>990</c:v>
                </c:pt>
                <c:pt idx="29">
                  <c:v>978</c:v>
                </c:pt>
                <c:pt idx="30">
                  <c:v>956</c:v>
                </c:pt>
                <c:pt idx="31">
                  <c:v>982</c:v>
                </c:pt>
                <c:pt idx="32">
                  <c:v>1038</c:v>
                </c:pt>
                <c:pt idx="33">
                  <c:v>1012</c:v>
                </c:pt>
                <c:pt idx="34">
                  <c:v>938</c:v>
                </c:pt>
                <c:pt idx="35">
                  <c:v>972</c:v>
                </c:pt>
                <c:pt idx="36">
                  <c:v>981</c:v>
                </c:pt>
                <c:pt idx="37">
                  <c:v>953</c:v>
                </c:pt>
                <c:pt idx="38">
                  <c:v>1018</c:v>
                </c:pt>
                <c:pt idx="39">
                  <c:v>985</c:v>
                </c:pt>
                <c:pt idx="40">
                  <c:v>985</c:v>
                </c:pt>
                <c:pt idx="41">
                  <c:v>964</c:v>
                </c:pt>
                <c:pt idx="42">
                  <c:v>969</c:v>
                </c:pt>
                <c:pt idx="43">
                  <c:v>1012</c:v>
                </c:pt>
                <c:pt idx="44">
                  <c:v>966</c:v>
                </c:pt>
                <c:pt idx="45">
                  <c:v>994</c:v>
                </c:pt>
                <c:pt idx="46">
                  <c:v>1071</c:v>
                </c:pt>
              </c:numCache>
            </c:numRef>
          </c:val>
          <c:smooth val="0"/>
          <c:extLst>
            <c:ext xmlns:c16="http://schemas.microsoft.com/office/drawing/2014/chart" uri="{C3380CC4-5D6E-409C-BE32-E72D297353CC}">
              <c16:uniqueId val="{00000000-E773-44DC-A4CB-A2663A422E3B}"/>
            </c:ext>
          </c:extLst>
        </c:ser>
        <c:ser>
          <c:idx val="1"/>
          <c:order val="1"/>
          <c:tx>
            <c:strRef>
              <c:f>Sheet1!$Q$1</c:f>
              <c:strCache>
                <c:ptCount val="1"/>
                <c:pt idx="0">
                  <c:v>Males10</c:v>
                </c:pt>
              </c:strCache>
            </c:strRef>
          </c:tx>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63500" dist="19050" dir="5400000" algn="ctr" rotWithShape="0">
                <a:srgbClr val="FF0000">
                  <a:alpha val="63000"/>
                </a:srgbClr>
              </a:outerShdw>
            </a:effectLst>
            <a:sp3d/>
          </c:spPr>
          <c:val>
            <c:numRef>
              <c:f>Sheet1!$Q$2:$Q$48</c:f>
              <c:numCache>
                <c:formatCode>General</c:formatCode>
                <c:ptCount val="47"/>
                <c:pt idx="0">
                  <c:v>974</c:v>
                </c:pt>
                <c:pt idx="1">
                  <c:v>1039</c:v>
                </c:pt>
                <c:pt idx="2">
                  <c:v>959</c:v>
                </c:pt>
                <c:pt idx="3">
                  <c:v>983</c:v>
                </c:pt>
                <c:pt idx="4">
                  <c:v>989</c:v>
                </c:pt>
                <c:pt idx="5">
                  <c:v>983</c:v>
                </c:pt>
                <c:pt idx="6">
                  <c:v>993</c:v>
                </c:pt>
                <c:pt idx="7">
                  <c:v>973</c:v>
                </c:pt>
                <c:pt idx="8">
                  <c:v>968</c:v>
                </c:pt>
                <c:pt idx="9">
                  <c:v>1024</c:v>
                </c:pt>
                <c:pt idx="10">
                  <c:v>969</c:v>
                </c:pt>
                <c:pt idx="11">
                  <c:v>949</c:v>
                </c:pt>
                <c:pt idx="12">
                  <c:v>993</c:v>
                </c:pt>
                <c:pt idx="13">
                  <c:v>968</c:v>
                </c:pt>
                <c:pt idx="14">
                  <c:v>983</c:v>
                </c:pt>
                <c:pt idx="15">
                  <c:v>1024</c:v>
                </c:pt>
                <c:pt idx="16">
                  <c:v>982</c:v>
                </c:pt>
                <c:pt idx="17">
                  <c:v>949</c:v>
                </c:pt>
                <c:pt idx="18">
                  <c:v>971</c:v>
                </c:pt>
                <c:pt idx="19">
                  <c:v>1001</c:v>
                </c:pt>
                <c:pt idx="20">
                  <c:v>989</c:v>
                </c:pt>
                <c:pt idx="21">
                  <c:v>992</c:v>
                </c:pt>
                <c:pt idx="22">
                  <c:v>952</c:v>
                </c:pt>
                <c:pt idx="23">
                  <c:v>978</c:v>
                </c:pt>
                <c:pt idx="24">
                  <c:v>982</c:v>
                </c:pt>
                <c:pt idx="25">
                  <c:v>1050</c:v>
                </c:pt>
                <c:pt idx="26">
                  <c:v>956</c:v>
                </c:pt>
                <c:pt idx="27">
                  <c:v>999</c:v>
                </c:pt>
                <c:pt idx="28">
                  <c:v>993</c:v>
                </c:pt>
                <c:pt idx="29">
                  <c:v>978</c:v>
                </c:pt>
                <c:pt idx="30">
                  <c:v>962</c:v>
                </c:pt>
                <c:pt idx="31">
                  <c:v>945</c:v>
                </c:pt>
                <c:pt idx="32">
                  <c:v>1029</c:v>
                </c:pt>
                <c:pt idx="33">
                  <c:v>1011</c:v>
                </c:pt>
                <c:pt idx="34">
                  <c:v>935</c:v>
                </c:pt>
                <c:pt idx="35">
                  <c:v>970</c:v>
                </c:pt>
                <c:pt idx="36">
                  <c:v>980</c:v>
                </c:pt>
                <c:pt idx="37">
                  <c:v>948</c:v>
                </c:pt>
                <c:pt idx="38">
                  <c:v>1079</c:v>
                </c:pt>
                <c:pt idx="39">
                  <c:v>993</c:v>
                </c:pt>
                <c:pt idx="40">
                  <c:v>987</c:v>
                </c:pt>
                <c:pt idx="41">
                  <c:v>982</c:v>
                </c:pt>
                <c:pt idx="42">
                  <c:v>976</c:v>
                </c:pt>
                <c:pt idx="43">
                  <c:v>1003</c:v>
                </c:pt>
                <c:pt idx="44">
                  <c:v>987</c:v>
                </c:pt>
                <c:pt idx="45">
                  <c:v>995</c:v>
                </c:pt>
                <c:pt idx="46">
                  <c:v>1058</c:v>
                </c:pt>
              </c:numCache>
            </c:numRef>
          </c:val>
          <c:smooth val="0"/>
          <c:extLst>
            <c:ext xmlns:c16="http://schemas.microsoft.com/office/drawing/2014/chart" uri="{C3380CC4-5D6E-409C-BE32-E72D297353CC}">
              <c16:uniqueId val="{00000001-E773-44DC-A4CB-A2663A422E3B}"/>
            </c:ext>
          </c:extLst>
        </c:ser>
        <c:dLbls>
          <c:showLegendKey val="0"/>
          <c:showVal val="0"/>
          <c:showCatName val="0"/>
          <c:showSerName val="0"/>
          <c:showPercent val="0"/>
          <c:showBubbleSize val="0"/>
        </c:dLbls>
        <c:axId val="539340552"/>
        <c:axId val="539333008"/>
        <c:axId val="441713512"/>
      </c:line3DChart>
      <c:catAx>
        <c:axId val="539340552"/>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Recorded Series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majorTickMark val="out"/>
        <c:minorTickMark val="none"/>
        <c:tickLblPos val="nextTo"/>
        <c:spPr>
          <a:noFill/>
          <a:ln w="9525">
            <a:solidFill>
              <a:schemeClr val="dk1">
                <a:lumMod val="50000"/>
                <a:lumOff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39333008"/>
        <c:crosses val="autoZero"/>
        <c:auto val="1"/>
        <c:lblAlgn val="ctr"/>
        <c:lblOffset val="100"/>
        <c:noMultiLvlLbl val="0"/>
      </c:catAx>
      <c:valAx>
        <c:axId val="539333008"/>
        <c:scaling>
          <c:orientation val="minMax"/>
        </c:scaling>
        <c:delete val="0"/>
        <c:axPos val="l"/>
        <c:majorGridlines>
          <c:spPr>
            <a:ln w="9525">
              <a:solidFill>
                <a:schemeClr val="dk1">
                  <a:lumMod val="50000"/>
                  <a:lumOff val="5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Crime RAte</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39340552"/>
        <c:crosses val="autoZero"/>
        <c:crossBetween val="between"/>
      </c:valAx>
      <c:serAx>
        <c:axId val="441713512"/>
        <c:scaling>
          <c:orientation val="minMax"/>
        </c:scaling>
        <c:delete val="1"/>
        <c:axPos val="b"/>
        <c:majorTickMark val="out"/>
        <c:minorTickMark val="none"/>
        <c:tickLblPos val="nextTo"/>
        <c:crossAx val="539333008"/>
        <c:crosses val="autoZero"/>
      </c:ser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a:noFill/>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GB"/>
              <a:t>Crime Rate Among Unemployed People</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stacked"/>
        <c:varyColors val="0"/>
        <c:ser>
          <c:idx val="0"/>
          <c:order val="0"/>
          <c:tx>
            <c:strRef>
              <c:f>Sheet1!$S$1</c:f>
              <c:strCache>
                <c:ptCount val="1"/>
                <c:pt idx="0">
                  <c:v>YouthUnemployment</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Sheet1!$S$2:$S$48</c:f>
              <c:numCache>
                <c:formatCode>General</c:formatCode>
                <c:ptCount val="47"/>
                <c:pt idx="0">
                  <c:v>80</c:v>
                </c:pt>
                <c:pt idx="1">
                  <c:v>135</c:v>
                </c:pt>
                <c:pt idx="2">
                  <c:v>97</c:v>
                </c:pt>
                <c:pt idx="3">
                  <c:v>135</c:v>
                </c:pt>
                <c:pt idx="4">
                  <c:v>78</c:v>
                </c:pt>
                <c:pt idx="5">
                  <c:v>77</c:v>
                </c:pt>
                <c:pt idx="6">
                  <c:v>70</c:v>
                </c:pt>
                <c:pt idx="7">
                  <c:v>114</c:v>
                </c:pt>
                <c:pt idx="8">
                  <c:v>107</c:v>
                </c:pt>
                <c:pt idx="9">
                  <c:v>99</c:v>
                </c:pt>
                <c:pt idx="10">
                  <c:v>94</c:v>
                </c:pt>
                <c:pt idx="11">
                  <c:v>124</c:v>
                </c:pt>
                <c:pt idx="12">
                  <c:v>77</c:v>
                </c:pt>
                <c:pt idx="13">
                  <c:v>84</c:v>
                </c:pt>
                <c:pt idx="14">
                  <c:v>72</c:v>
                </c:pt>
                <c:pt idx="15">
                  <c:v>100</c:v>
                </c:pt>
                <c:pt idx="16">
                  <c:v>102</c:v>
                </c:pt>
                <c:pt idx="17">
                  <c:v>78</c:v>
                </c:pt>
                <c:pt idx="18">
                  <c:v>105</c:v>
                </c:pt>
                <c:pt idx="19">
                  <c:v>108</c:v>
                </c:pt>
                <c:pt idx="20">
                  <c:v>92</c:v>
                </c:pt>
                <c:pt idx="21">
                  <c:v>73</c:v>
                </c:pt>
                <c:pt idx="22">
                  <c:v>86</c:v>
                </c:pt>
                <c:pt idx="23">
                  <c:v>76</c:v>
                </c:pt>
                <c:pt idx="24">
                  <c:v>83</c:v>
                </c:pt>
                <c:pt idx="25">
                  <c:v>113</c:v>
                </c:pt>
                <c:pt idx="26">
                  <c:v>81</c:v>
                </c:pt>
                <c:pt idx="27">
                  <c:v>84</c:v>
                </c:pt>
                <c:pt idx="28">
                  <c:v>102</c:v>
                </c:pt>
                <c:pt idx="29">
                  <c:v>89</c:v>
                </c:pt>
                <c:pt idx="30">
                  <c:v>116</c:v>
                </c:pt>
                <c:pt idx="31">
                  <c:v>97</c:v>
                </c:pt>
                <c:pt idx="32">
                  <c:v>142</c:v>
                </c:pt>
                <c:pt idx="33">
                  <c:v>111</c:v>
                </c:pt>
                <c:pt idx="34">
                  <c:v>92</c:v>
                </c:pt>
                <c:pt idx="35">
                  <c:v>76</c:v>
                </c:pt>
                <c:pt idx="36">
                  <c:v>88</c:v>
                </c:pt>
                <c:pt idx="37">
                  <c:v>83</c:v>
                </c:pt>
                <c:pt idx="38">
                  <c:v>103</c:v>
                </c:pt>
                <c:pt idx="39">
                  <c:v>130</c:v>
                </c:pt>
                <c:pt idx="40">
                  <c:v>91</c:v>
                </c:pt>
                <c:pt idx="41">
                  <c:v>87</c:v>
                </c:pt>
                <c:pt idx="42">
                  <c:v>79</c:v>
                </c:pt>
                <c:pt idx="43">
                  <c:v>96</c:v>
                </c:pt>
                <c:pt idx="44">
                  <c:v>77</c:v>
                </c:pt>
                <c:pt idx="45">
                  <c:v>102</c:v>
                </c:pt>
                <c:pt idx="46">
                  <c:v>102</c:v>
                </c:pt>
              </c:numCache>
            </c:numRef>
          </c:val>
          <c:extLst>
            <c:ext xmlns:c16="http://schemas.microsoft.com/office/drawing/2014/chart" uri="{C3380CC4-5D6E-409C-BE32-E72D297353CC}">
              <c16:uniqueId val="{00000000-704E-4632-9EAB-C9562CE40FEA}"/>
            </c:ext>
          </c:extLst>
        </c:ser>
        <c:ser>
          <c:idx val="1"/>
          <c:order val="1"/>
          <c:tx>
            <c:strRef>
              <c:f>Sheet1!$T$1</c:f>
              <c:strCache>
                <c:ptCount val="1"/>
                <c:pt idx="0">
                  <c:v>MatureUnemployment</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Sheet1!$T$2:$T$48</c:f>
              <c:numCache>
                <c:formatCode>General</c:formatCode>
                <c:ptCount val="47"/>
                <c:pt idx="0">
                  <c:v>22</c:v>
                </c:pt>
                <c:pt idx="1">
                  <c:v>40</c:v>
                </c:pt>
                <c:pt idx="2">
                  <c:v>34</c:v>
                </c:pt>
                <c:pt idx="3">
                  <c:v>53</c:v>
                </c:pt>
                <c:pt idx="4">
                  <c:v>25</c:v>
                </c:pt>
                <c:pt idx="5">
                  <c:v>25</c:v>
                </c:pt>
                <c:pt idx="6">
                  <c:v>21</c:v>
                </c:pt>
                <c:pt idx="7">
                  <c:v>35</c:v>
                </c:pt>
                <c:pt idx="8">
                  <c:v>37</c:v>
                </c:pt>
                <c:pt idx="9">
                  <c:v>27</c:v>
                </c:pt>
                <c:pt idx="10">
                  <c:v>33</c:v>
                </c:pt>
                <c:pt idx="11">
                  <c:v>50</c:v>
                </c:pt>
                <c:pt idx="12">
                  <c:v>27</c:v>
                </c:pt>
                <c:pt idx="13">
                  <c:v>29</c:v>
                </c:pt>
                <c:pt idx="14">
                  <c:v>26</c:v>
                </c:pt>
                <c:pt idx="15">
                  <c:v>24</c:v>
                </c:pt>
                <c:pt idx="16">
                  <c:v>33</c:v>
                </c:pt>
                <c:pt idx="17">
                  <c:v>34</c:v>
                </c:pt>
                <c:pt idx="18">
                  <c:v>43</c:v>
                </c:pt>
                <c:pt idx="19">
                  <c:v>41</c:v>
                </c:pt>
                <c:pt idx="20">
                  <c:v>43</c:v>
                </c:pt>
                <c:pt idx="21">
                  <c:v>27</c:v>
                </c:pt>
                <c:pt idx="22">
                  <c:v>35</c:v>
                </c:pt>
                <c:pt idx="23">
                  <c:v>28</c:v>
                </c:pt>
                <c:pt idx="24">
                  <c:v>31</c:v>
                </c:pt>
                <c:pt idx="25">
                  <c:v>40</c:v>
                </c:pt>
                <c:pt idx="26">
                  <c:v>28</c:v>
                </c:pt>
                <c:pt idx="27">
                  <c:v>20</c:v>
                </c:pt>
                <c:pt idx="28">
                  <c:v>35</c:v>
                </c:pt>
                <c:pt idx="29">
                  <c:v>34</c:v>
                </c:pt>
                <c:pt idx="30">
                  <c:v>47</c:v>
                </c:pt>
                <c:pt idx="31">
                  <c:v>38</c:v>
                </c:pt>
                <c:pt idx="32">
                  <c:v>42</c:v>
                </c:pt>
                <c:pt idx="33">
                  <c:v>37</c:v>
                </c:pt>
                <c:pt idx="34">
                  <c:v>36</c:v>
                </c:pt>
                <c:pt idx="35">
                  <c:v>24</c:v>
                </c:pt>
                <c:pt idx="36">
                  <c:v>31</c:v>
                </c:pt>
                <c:pt idx="37">
                  <c:v>32</c:v>
                </c:pt>
                <c:pt idx="38">
                  <c:v>28</c:v>
                </c:pt>
                <c:pt idx="39">
                  <c:v>58</c:v>
                </c:pt>
                <c:pt idx="40">
                  <c:v>20</c:v>
                </c:pt>
                <c:pt idx="41">
                  <c:v>38</c:v>
                </c:pt>
                <c:pt idx="42">
                  <c:v>35</c:v>
                </c:pt>
                <c:pt idx="43">
                  <c:v>36</c:v>
                </c:pt>
                <c:pt idx="44">
                  <c:v>35</c:v>
                </c:pt>
                <c:pt idx="45">
                  <c:v>39</c:v>
                </c:pt>
                <c:pt idx="46">
                  <c:v>41</c:v>
                </c:pt>
              </c:numCache>
            </c:numRef>
          </c:val>
          <c:extLst>
            <c:ext xmlns:c16="http://schemas.microsoft.com/office/drawing/2014/chart" uri="{C3380CC4-5D6E-409C-BE32-E72D297353CC}">
              <c16:uniqueId val="{00000001-704E-4632-9EAB-C9562CE40FEA}"/>
            </c:ext>
          </c:extLst>
        </c:ser>
        <c:ser>
          <c:idx val="2"/>
          <c:order val="2"/>
          <c:tx>
            <c:strRef>
              <c:f>Sheet1!$U$1</c:f>
              <c:strCache>
                <c:ptCount val="1"/>
                <c:pt idx="0">
                  <c:v>HighYouthUnemploy</c:v>
                </c:pt>
              </c:strCache>
            </c:strRef>
          </c:tx>
          <c:spPr>
            <a:solidFill>
              <a:srgbClr val="7030A0"/>
            </a:solidFill>
            <a:ln>
              <a:noFill/>
            </a:ln>
            <a:effectLst>
              <a:outerShdw blurRad="57150" dist="19050" dir="5400000" algn="ctr" rotWithShape="0">
                <a:srgbClr val="000000">
                  <a:alpha val="63000"/>
                </a:srgbClr>
              </a:outerShdw>
            </a:effectLst>
          </c:spPr>
          <c:invertIfNegative val="0"/>
          <c:val>
            <c:numRef>
              <c:f>Sheet1!$U$2:$U$48</c:f>
              <c:numCache>
                <c:formatCode>General</c:formatCode>
                <c:ptCount val="47"/>
                <c:pt idx="0">
                  <c:v>1</c:v>
                </c:pt>
                <c:pt idx="1">
                  <c:v>1</c:v>
                </c:pt>
                <c:pt idx="2">
                  <c:v>0</c:v>
                </c:pt>
                <c:pt idx="3">
                  <c:v>0</c:v>
                </c:pt>
                <c:pt idx="4">
                  <c:v>1</c:v>
                </c:pt>
                <c:pt idx="5">
                  <c:v>1</c:v>
                </c:pt>
                <c:pt idx="6">
                  <c:v>1</c:v>
                </c:pt>
                <c:pt idx="7">
                  <c:v>1</c:v>
                </c:pt>
                <c:pt idx="8">
                  <c:v>0</c:v>
                </c:pt>
                <c:pt idx="9">
                  <c:v>1</c:v>
                </c:pt>
                <c:pt idx="10">
                  <c:v>0</c:v>
                </c:pt>
                <c:pt idx="11">
                  <c:v>0</c:v>
                </c:pt>
                <c:pt idx="12">
                  <c:v>0</c:v>
                </c:pt>
                <c:pt idx="13">
                  <c:v>0</c:v>
                </c:pt>
                <c:pt idx="14">
                  <c:v>0</c:v>
                </c:pt>
                <c:pt idx="15">
                  <c:v>1</c:v>
                </c:pt>
                <c:pt idx="16">
                  <c:v>1</c:v>
                </c:pt>
                <c:pt idx="17">
                  <c:v>0</c:v>
                </c:pt>
                <c:pt idx="18">
                  <c:v>0</c:v>
                </c:pt>
                <c:pt idx="19">
                  <c:v>0</c:v>
                </c:pt>
                <c:pt idx="20">
                  <c:v>0</c:v>
                </c:pt>
                <c:pt idx="21">
                  <c:v>0</c:v>
                </c:pt>
                <c:pt idx="22">
                  <c:v>0</c:v>
                </c:pt>
                <c:pt idx="23">
                  <c:v>0</c:v>
                </c:pt>
                <c:pt idx="24">
                  <c:v>0</c:v>
                </c:pt>
                <c:pt idx="25">
                  <c:v>0</c:v>
                </c:pt>
                <c:pt idx="26">
                  <c:v>0</c:v>
                </c:pt>
                <c:pt idx="27">
                  <c:v>1</c:v>
                </c:pt>
                <c:pt idx="28">
                  <c:v>0</c:v>
                </c:pt>
                <c:pt idx="29">
                  <c:v>0</c:v>
                </c:pt>
                <c:pt idx="30">
                  <c:v>0</c:v>
                </c:pt>
                <c:pt idx="31">
                  <c:v>0</c:v>
                </c:pt>
                <c:pt idx="32">
                  <c:v>1</c:v>
                </c:pt>
                <c:pt idx="33">
                  <c:v>1</c:v>
                </c:pt>
                <c:pt idx="34">
                  <c:v>0</c:v>
                </c:pt>
                <c:pt idx="35">
                  <c:v>1</c:v>
                </c:pt>
                <c:pt idx="36">
                  <c:v>0</c:v>
                </c:pt>
                <c:pt idx="37">
                  <c:v>0</c:v>
                </c:pt>
                <c:pt idx="38">
                  <c:v>1</c:v>
                </c:pt>
                <c:pt idx="39">
                  <c:v>0</c:v>
                </c:pt>
                <c:pt idx="40">
                  <c:v>1</c:v>
                </c:pt>
                <c:pt idx="41">
                  <c:v>0</c:v>
                </c:pt>
                <c:pt idx="42">
                  <c:v>0</c:v>
                </c:pt>
                <c:pt idx="43">
                  <c:v>0</c:v>
                </c:pt>
                <c:pt idx="44">
                  <c:v>0</c:v>
                </c:pt>
                <c:pt idx="45">
                  <c:v>0</c:v>
                </c:pt>
                <c:pt idx="46">
                  <c:v>0</c:v>
                </c:pt>
              </c:numCache>
            </c:numRef>
          </c:val>
          <c:extLst>
            <c:ext xmlns:c16="http://schemas.microsoft.com/office/drawing/2014/chart" uri="{C3380CC4-5D6E-409C-BE32-E72D297353CC}">
              <c16:uniqueId val="{00000002-704E-4632-9EAB-C9562CE40FEA}"/>
            </c:ext>
          </c:extLst>
        </c:ser>
        <c:ser>
          <c:idx val="3"/>
          <c:order val="3"/>
          <c:tx>
            <c:strRef>
              <c:f>Sheet1!$V$1</c:f>
              <c:strCache>
                <c:ptCount val="1"/>
                <c:pt idx="0">
                  <c:v>YouthUnemploy10</c:v>
                </c:pt>
              </c:strCache>
            </c:strRef>
          </c:tx>
          <c:spPr>
            <a:solidFill>
              <a:schemeClr val="accent4">
                <a:lumMod val="20000"/>
                <a:lumOff val="80000"/>
              </a:schemeClr>
            </a:solidFill>
            <a:ln>
              <a:noFill/>
            </a:ln>
            <a:effectLst>
              <a:outerShdw blurRad="57150" dist="19050" dir="5400000" algn="ctr" rotWithShape="0">
                <a:srgbClr val="000000">
                  <a:alpha val="63000"/>
                </a:srgbClr>
              </a:outerShdw>
            </a:effectLst>
          </c:spPr>
          <c:invertIfNegative val="0"/>
          <c:val>
            <c:numRef>
              <c:f>Sheet1!$V$2:$V$48</c:f>
              <c:numCache>
                <c:formatCode>General</c:formatCode>
                <c:ptCount val="47"/>
                <c:pt idx="0">
                  <c:v>82</c:v>
                </c:pt>
                <c:pt idx="1">
                  <c:v>138</c:v>
                </c:pt>
                <c:pt idx="2">
                  <c:v>98</c:v>
                </c:pt>
                <c:pt idx="3">
                  <c:v>131</c:v>
                </c:pt>
                <c:pt idx="4">
                  <c:v>79</c:v>
                </c:pt>
                <c:pt idx="5">
                  <c:v>81</c:v>
                </c:pt>
                <c:pt idx="6">
                  <c:v>71</c:v>
                </c:pt>
                <c:pt idx="7">
                  <c:v>119</c:v>
                </c:pt>
                <c:pt idx="8">
                  <c:v>110</c:v>
                </c:pt>
                <c:pt idx="9">
                  <c:v>97</c:v>
                </c:pt>
                <c:pt idx="10">
                  <c:v>93</c:v>
                </c:pt>
                <c:pt idx="11">
                  <c:v>125</c:v>
                </c:pt>
                <c:pt idx="12">
                  <c:v>80</c:v>
                </c:pt>
                <c:pt idx="13">
                  <c:v>82</c:v>
                </c:pt>
                <c:pt idx="14">
                  <c:v>76</c:v>
                </c:pt>
                <c:pt idx="15">
                  <c:v>104</c:v>
                </c:pt>
                <c:pt idx="16">
                  <c:v>107</c:v>
                </c:pt>
                <c:pt idx="17">
                  <c:v>79</c:v>
                </c:pt>
                <c:pt idx="18">
                  <c:v>106</c:v>
                </c:pt>
                <c:pt idx="19">
                  <c:v>110</c:v>
                </c:pt>
                <c:pt idx="20">
                  <c:v>92</c:v>
                </c:pt>
                <c:pt idx="21">
                  <c:v>80</c:v>
                </c:pt>
                <c:pt idx="22">
                  <c:v>84</c:v>
                </c:pt>
                <c:pt idx="23">
                  <c:v>79</c:v>
                </c:pt>
                <c:pt idx="24">
                  <c:v>87</c:v>
                </c:pt>
                <c:pt idx="25">
                  <c:v>119</c:v>
                </c:pt>
                <c:pt idx="26">
                  <c:v>85</c:v>
                </c:pt>
                <c:pt idx="27">
                  <c:v>87</c:v>
                </c:pt>
                <c:pt idx="28">
                  <c:v>103</c:v>
                </c:pt>
                <c:pt idx="29">
                  <c:v>93</c:v>
                </c:pt>
                <c:pt idx="30">
                  <c:v>117</c:v>
                </c:pt>
                <c:pt idx="31">
                  <c:v>99</c:v>
                </c:pt>
                <c:pt idx="32">
                  <c:v>143</c:v>
                </c:pt>
                <c:pt idx="33">
                  <c:v>115</c:v>
                </c:pt>
                <c:pt idx="34">
                  <c:v>93</c:v>
                </c:pt>
                <c:pt idx="35">
                  <c:v>78</c:v>
                </c:pt>
                <c:pt idx="36">
                  <c:v>89</c:v>
                </c:pt>
                <c:pt idx="37">
                  <c:v>83</c:v>
                </c:pt>
                <c:pt idx="38">
                  <c:v>105</c:v>
                </c:pt>
                <c:pt idx="39">
                  <c:v>131</c:v>
                </c:pt>
                <c:pt idx="40">
                  <c:v>94</c:v>
                </c:pt>
                <c:pt idx="41">
                  <c:v>88</c:v>
                </c:pt>
                <c:pt idx="42">
                  <c:v>82</c:v>
                </c:pt>
                <c:pt idx="43">
                  <c:v>97</c:v>
                </c:pt>
                <c:pt idx="44">
                  <c:v>79</c:v>
                </c:pt>
                <c:pt idx="45">
                  <c:v>110</c:v>
                </c:pt>
                <c:pt idx="46">
                  <c:v>100</c:v>
                </c:pt>
              </c:numCache>
            </c:numRef>
          </c:val>
          <c:extLst>
            <c:ext xmlns:c16="http://schemas.microsoft.com/office/drawing/2014/chart" uri="{C3380CC4-5D6E-409C-BE32-E72D297353CC}">
              <c16:uniqueId val="{00000003-704E-4632-9EAB-C9562CE40FEA}"/>
            </c:ext>
          </c:extLst>
        </c:ser>
        <c:ser>
          <c:idx val="4"/>
          <c:order val="4"/>
          <c:tx>
            <c:strRef>
              <c:f>Sheet1!$W$1</c:f>
              <c:strCache>
                <c:ptCount val="1"/>
                <c:pt idx="0">
                  <c:v>MatureUnemploy10</c:v>
                </c:pt>
              </c:strCache>
            </c:strRef>
          </c:tx>
          <c:spPr>
            <a:solidFill>
              <a:srgbClr val="FF0000"/>
            </a:solidFill>
            <a:ln>
              <a:noFill/>
            </a:ln>
            <a:effectLst>
              <a:outerShdw blurRad="57150" dist="19050" dir="5400000" algn="ctr" rotWithShape="0">
                <a:srgbClr val="000000">
                  <a:alpha val="63000"/>
                </a:srgbClr>
              </a:outerShdw>
            </a:effectLst>
          </c:spPr>
          <c:invertIfNegative val="0"/>
          <c:val>
            <c:numRef>
              <c:f>Sheet1!$W$2:$W$48</c:f>
              <c:numCache>
                <c:formatCode>General</c:formatCode>
                <c:ptCount val="47"/>
                <c:pt idx="0">
                  <c:v>20</c:v>
                </c:pt>
                <c:pt idx="1">
                  <c:v>39</c:v>
                </c:pt>
                <c:pt idx="2">
                  <c:v>33</c:v>
                </c:pt>
                <c:pt idx="3">
                  <c:v>50</c:v>
                </c:pt>
                <c:pt idx="4">
                  <c:v>24</c:v>
                </c:pt>
                <c:pt idx="5">
                  <c:v>24</c:v>
                </c:pt>
                <c:pt idx="6">
                  <c:v>23</c:v>
                </c:pt>
                <c:pt idx="7">
                  <c:v>36</c:v>
                </c:pt>
                <c:pt idx="8">
                  <c:v>36</c:v>
                </c:pt>
                <c:pt idx="9">
                  <c:v>28</c:v>
                </c:pt>
                <c:pt idx="10">
                  <c:v>36</c:v>
                </c:pt>
                <c:pt idx="11">
                  <c:v>49</c:v>
                </c:pt>
                <c:pt idx="12">
                  <c:v>28</c:v>
                </c:pt>
                <c:pt idx="13">
                  <c:v>30</c:v>
                </c:pt>
                <c:pt idx="14">
                  <c:v>25</c:v>
                </c:pt>
                <c:pt idx="15">
                  <c:v>25</c:v>
                </c:pt>
                <c:pt idx="16">
                  <c:v>34</c:v>
                </c:pt>
                <c:pt idx="17">
                  <c:v>33</c:v>
                </c:pt>
                <c:pt idx="18">
                  <c:v>41</c:v>
                </c:pt>
                <c:pt idx="19">
                  <c:v>40</c:v>
                </c:pt>
                <c:pt idx="20">
                  <c:v>41</c:v>
                </c:pt>
                <c:pt idx="21">
                  <c:v>28</c:v>
                </c:pt>
                <c:pt idx="22">
                  <c:v>32</c:v>
                </c:pt>
                <c:pt idx="23">
                  <c:v>28</c:v>
                </c:pt>
                <c:pt idx="24">
                  <c:v>32</c:v>
                </c:pt>
                <c:pt idx="25">
                  <c:v>41</c:v>
                </c:pt>
                <c:pt idx="26">
                  <c:v>29</c:v>
                </c:pt>
                <c:pt idx="27">
                  <c:v>15</c:v>
                </c:pt>
                <c:pt idx="28">
                  <c:v>34</c:v>
                </c:pt>
                <c:pt idx="29">
                  <c:v>35</c:v>
                </c:pt>
                <c:pt idx="30">
                  <c:v>44</c:v>
                </c:pt>
                <c:pt idx="31">
                  <c:v>39</c:v>
                </c:pt>
                <c:pt idx="32">
                  <c:v>41</c:v>
                </c:pt>
                <c:pt idx="33">
                  <c:v>36</c:v>
                </c:pt>
                <c:pt idx="34">
                  <c:v>27</c:v>
                </c:pt>
                <c:pt idx="35">
                  <c:v>24</c:v>
                </c:pt>
                <c:pt idx="36">
                  <c:v>29</c:v>
                </c:pt>
                <c:pt idx="37">
                  <c:v>32</c:v>
                </c:pt>
                <c:pt idx="38">
                  <c:v>27</c:v>
                </c:pt>
                <c:pt idx="39">
                  <c:v>59</c:v>
                </c:pt>
                <c:pt idx="40">
                  <c:v>19</c:v>
                </c:pt>
                <c:pt idx="41">
                  <c:v>36</c:v>
                </c:pt>
                <c:pt idx="42">
                  <c:v>34</c:v>
                </c:pt>
                <c:pt idx="43">
                  <c:v>36</c:v>
                </c:pt>
                <c:pt idx="44">
                  <c:v>36</c:v>
                </c:pt>
                <c:pt idx="45">
                  <c:v>40</c:v>
                </c:pt>
                <c:pt idx="46">
                  <c:v>40</c:v>
                </c:pt>
              </c:numCache>
            </c:numRef>
          </c:val>
          <c:extLst>
            <c:ext xmlns:c16="http://schemas.microsoft.com/office/drawing/2014/chart" uri="{C3380CC4-5D6E-409C-BE32-E72D297353CC}">
              <c16:uniqueId val="{00000004-704E-4632-9EAB-C9562CE40FEA}"/>
            </c:ext>
          </c:extLst>
        </c:ser>
        <c:ser>
          <c:idx val="5"/>
          <c:order val="5"/>
          <c:tx>
            <c:strRef>
              <c:f>Sheet1!$X$1</c:f>
              <c:strCache>
                <c:ptCount val="1"/>
                <c:pt idx="0">
                  <c:v>HighYouthUnemploy10</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val>
            <c:numRef>
              <c:f>Sheet1!$X$2:$X$48</c:f>
              <c:numCache>
                <c:formatCode>General</c:formatCode>
                <c:ptCount val="47"/>
                <c:pt idx="0">
                  <c:v>1</c:v>
                </c:pt>
                <c:pt idx="1">
                  <c:v>1</c:v>
                </c:pt>
                <c:pt idx="2">
                  <c:v>0</c:v>
                </c:pt>
                <c:pt idx="3">
                  <c:v>0</c:v>
                </c:pt>
                <c:pt idx="4">
                  <c:v>1</c:v>
                </c:pt>
                <c:pt idx="5">
                  <c:v>1</c:v>
                </c:pt>
                <c:pt idx="6">
                  <c:v>1</c:v>
                </c:pt>
                <c:pt idx="7">
                  <c:v>1</c:v>
                </c:pt>
                <c:pt idx="8">
                  <c:v>1</c:v>
                </c:pt>
                <c:pt idx="9">
                  <c:v>1</c:v>
                </c:pt>
                <c:pt idx="10">
                  <c:v>0</c:v>
                </c:pt>
                <c:pt idx="11">
                  <c:v>0</c:v>
                </c:pt>
                <c:pt idx="12">
                  <c:v>0</c:v>
                </c:pt>
                <c:pt idx="13">
                  <c:v>0</c:v>
                </c:pt>
                <c:pt idx="14">
                  <c:v>1</c:v>
                </c:pt>
                <c:pt idx="15">
                  <c:v>1</c:v>
                </c:pt>
                <c:pt idx="16">
                  <c:v>1</c:v>
                </c:pt>
                <c:pt idx="17">
                  <c:v>0</c:v>
                </c:pt>
                <c:pt idx="18">
                  <c:v>0</c:v>
                </c:pt>
                <c:pt idx="19">
                  <c:v>0</c:v>
                </c:pt>
                <c:pt idx="20">
                  <c:v>0</c:v>
                </c:pt>
                <c:pt idx="21">
                  <c:v>0</c:v>
                </c:pt>
                <c:pt idx="22">
                  <c:v>0</c:v>
                </c:pt>
                <c:pt idx="23">
                  <c:v>0</c:v>
                </c:pt>
                <c:pt idx="24">
                  <c:v>0</c:v>
                </c:pt>
                <c:pt idx="25">
                  <c:v>0</c:v>
                </c:pt>
                <c:pt idx="26">
                  <c:v>0</c:v>
                </c:pt>
                <c:pt idx="27">
                  <c:v>0</c:v>
                </c:pt>
                <c:pt idx="28">
                  <c:v>1</c:v>
                </c:pt>
                <c:pt idx="29">
                  <c:v>0</c:v>
                </c:pt>
                <c:pt idx="30">
                  <c:v>0</c:v>
                </c:pt>
                <c:pt idx="31">
                  <c:v>0</c:v>
                </c:pt>
                <c:pt idx="32">
                  <c:v>1</c:v>
                </c:pt>
                <c:pt idx="33">
                  <c:v>1</c:v>
                </c:pt>
                <c:pt idx="34">
                  <c:v>1</c:v>
                </c:pt>
                <c:pt idx="35">
                  <c:v>1</c:v>
                </c:pt>
                <c:pt idx="36">
                  <c:v>1</c:v>
                </c:pt>
                <c:pt idx="37">
                  <c:v>0</c:v>
                </c:pt>
                <c:pt idx="38">
                  <c:v>1</c:v>
                </c:pt>
                <c:pt idx="39">
                  <c:v>0</c:v>
                </c:pt>
                <c:pt idx="40">
                  <c:v>1</c:v>
                </c:pt>
                <c:pt idx="41">
                  <c:v>0</c:v>
                </c:pt>
                <c:pt idx="42">
                  <c:v>0</c:v>
                </c:pt>
                <c:pt idx="43">
                  <c:v>0</c:v>
                </c:pt>
                <c:pt idx="44">
                  <c:v>0</c:v>
                </c:pt>
                <c:pt idx="45">
                  <c:v>0</c:v>
                </c:pt>
                <c:pt idx="46">
                  <c:v>0</c:v>
                </c:pt>
              </c:numCache>
            </c:numRef>
          </c:val>
          <c:extLst>
            <c:ext xmlns:c16="http://schemas.microsoft.com/office/drawing/2014/chart" uri="{C3380CC4-5D6E-409C-BE32-E72D297353CC}">
              <c16:uniqueId val="{00000005-704E-4632-9EAB-C9562CE40FEA}"/>
            </c:ext>
          </c:extLst>
        </c:ser>
        <c:dLbls>
          <c:showLegendKey val="0"/>
          <c:showVal val="0"/>
          <c:showCatName val="0"/>
          <c:showSerName val="0"/>
          <c:showPercent val="0"/>
          <c:showBubbleSize val="0"/>
        </c:dLbls>
        <c:gapWidth val="150"/>
        <c:overlap val="100"/>
        <c:axId val="531457936"/>
        <c:axId val="531459576"/>
      </c:barChart>
      <c:catAx>
        <c:axId val="531457936"/>
        <c:scaling>
          <c:orientation val="minMax"/>
        </c:scaling>
        <c:delete val="0"/>
        <c:axPos val="b"/>
        <c:title>
          <c:tx>
            <c:rich>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Recorded Series</a:t>
                </a:r>
              </a:p>
            </c:rich>
          </c:tx>
          <c:overlay val="0"/>
          <c:spPr>
            <a:noFill/>
            <a:ln>
              <a:noFill/>
            </a:ln>
            <a:effectLst/>
          </c:spPr>
          <c:txPr>
            <a:bodyPr rot="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majorTickMark val="none"/>
        <c:minorTickMark val="none"/>
        <c:tickLblPos val="nextTo"/>
        <c:spPr>
          <a:noFill/>
          <a:ln w="12700">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31459576"/>
        <c:crosses val="autoZero"/>
        <c:auto val="1"/>
        <c:lblAlgn val="ctr"/>
        <c:lblOffset val="100"/>
        <c:noMultiLvlLbl val="0"/>
      </c:catAx>
      <c:valAx>
        <c:axId val="531459576"/>
        <c:scaling>
          <c:orientation val="minMax"/>
        </c:scaling>
        <c:delete val="0"/>
        <c:axPos val="l"/>
        <c:majorGridlines>
          <c:spPr>
            <a:ln w="9525">
              <a:solidFill>
                <a:schemeClr val="lt1">
                  <a:lumMod val="95000"/>
                  <a:alpha val="10000"/>
                </a:schemeClr>
              </a:solidFill>
              <a:round/>
            </a:ln>
            <a:effectLst/>
          </c:spPr>
        </c:majorGridlines>
        <c:title>
          <c:tx>
            <c:rich>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r>
                  <a:rPr lang="en-GB"/>
                  <a:t>Crime Rate</a:t>
                </a:r>
              </a:p>
            </c:rich>
          </c:tx>
          <c:overlay val="0"/>
          <c:spPr>
            <a:noFill/>
            <a:ln>
              <a:noFill/>
            </a:ln>
            <a:effectLst/>
          </c:spPr>
          <c:txPr>
            <a:bodyPr rot="-5400000" spcFirstLastPara="1" vertOverflow="ellipsis" vert="horz" wrap="square" anchor="ctr" anchorCtr="1"/>
            <a:lstStyle/>
            <a:p>
              <a:pPr>
                <a:defRPr sz="900"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314579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rotWithShape="1">
      <a:gsLst>
        <a:gs pos="0">
          <a:schemeClr val="dk1">
            <a:lumMod val="65000"/>
            <a:lumOff val="35000"/>
          </a:schemeClr>
        </a:gs>
        <a:gs pos="100000">
          <a:schemeClr val="dk1">
            <a:lumMod val="85000"/>
            <a:lumOff val="15000"/>
          </a:schemeClr>
        </a:gs>
      </a:gsLst>
      <a:path path="circle">
        <a:fillToRect l="50000" t="50000" r="50000" b="50000"/>
      </a:path>
    </a:gradFill>
    <a:ln>
      <a:noFill/>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GB"/>
              <a:t>Crime Rate as per Wages</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lineChart>
        <c:grouping val="standard"/>
        <c:varyColors val="0"/>
        <c:ser>
          <c:idx val="0"/>
          <c:order val="0"/>
          <c:tx>
            <c:strRef>
              <c:f>Sheet1!$Z$1</c:f>
              <c:strCache>
                <c:ptCount val="1"/>
                <c:pt idx="0">
                  <c:v>Wage</c:v>
                </c:pt>
              </c:strCache>
            </c:strRef>
          </c:tx>
          <c:spPr>
            <a:ln w="22225" cap="rnd">
              <a:solidFill>
                <a:schemeClr val="accent1"/>
              </a:solidFill>
              <a:round/>
            </a:ln>
            <a:effectLst/>
          </c:spPr>
          <c:marker>
            <c:symbol val="none"/>
          </c:marker>
          <c:val>
            <c:numRef>
              <c:f>Sheet1!$Z$2:$Z$48</c:f>
              <c:numCache>
                <c:formatCode>General</c:formatCode>
                <c:ptCount val="47"/>
                <c:pt idx="0">
                  <c:v>564</c:v>
                </c:pt>
                <c:pt idx="1">
                  <c:v>453</c:v>
                </c:pt>
                <c:pt idx="2">
                  <c:v>288</c:v>
                </c:pt>
                <c:pt idx="3">
                  <c:v>457</c:v>
                </c:pt>
                <c:pt idx="4">
                  <c:v>593</c:v>
                </c:pt>
                <c:pt idx="5">
                  <c:v>507</c:v>
                </c:pt>
                <c:pt idx="6">
                  <c:v>486</c:v>
                </c:pt>
                <c:pt idx="7">
                  <c:v>487</c:v>
                </c:pt>
                <c:pt idx="8">
                  <c:v>489</c:v>
                </c:pt>
                <c:pt idx="9">
                  <c:v>425</c:v>
                </c:pt>
                <c:pt idx="10">
                  <c:v>318</c:v>
                </c:pt>
                <c:pt idx="11">
                  <c:v>572</c:v>
                </c:pt>
                <c:pt idx="12">
                  <c:v>529</c:v>
                </c:pt>
                <c:pt idx="13">
                  <c:v>689</c:v>
                </c:pt>
                <c:pt idx="14">
                  <c:v>396</c:v>
                </c:pt>
                <c:pt idx="15">
                  <c:v>526</c:v>
                </c:pt>
                <c:pt idx="16">
                  <c:v>557</c:v>
                </c:pt>
                <c:pt idx="17">
                  <c:v>627</c:v>
                </c:pt>
                <c:pt idx="18">
                  <c:v>617</c:v>
                </c:pt>
                <c:pt idx="19">
                  <c:v>394</c:v>
                </c:pt>
                <c:pt idx="20">
                  <c:v>405</c:v>
                </c:pt>
                <c:pt idx="21">
                  <c:v>496</c:v>
                </c:pt>
                <c:pt idx="22">
                  <c:v>395</c:v>
                </c:pt>
                <c:pt idx="23">
                  <c:v>382</c:v>
                </c:pt>
                <c:pt idx="24">
                  <c:v>580</c:v>
                </c:pt>
                <c:pt idx="25">
                  <c:v>588</c:v>
                </c:pt>
                <c:pt idx="26">
                  <c:v>421</c:v>
                </c:pt>
                <c:pt idx="27">
                  <c:v>590</c:v>
                </c:pt>
                <c:pt idx="28">
                  <c:v>589</c:v>
                </c:pt>
                <c:pt idx="29">
                  <c:v>631</c:v>
                </c:pt>
                <c:pt idx="30">
                  <c:v>427</c:v>
                </c:pt>
                <c:pt idx="31">
                  <c:v>620</c:v>
                </c:pt>
                <c:pt idx="32">
                  <c:v>540</c:v>
                </c:pt>
                <c:pt idx="33">
                  <c:v>622</c:v>
                </c:pt>
                <c:pt idx="34">
                  <c:v>637</c:v>
                </c:pt>
                <c:pt idx="35">
                  <c:v>462</c:v>
                </c:pt>
                <c:pt idx="36">
                  <c:v>488</c:v>
                </c:pt>
                <c:pt idx="37">
                  <c:v>513</c:v>
                </c:pt>
                <c:pt idx="38">
                  <c:v>537</c:v>
                </c:pt>
                <c:pt idx="39">
                  <c:v>626</c:v>
                </c:pt>
                <c:pt idx="40">
                  <c:v>578</c:v>
                </c:pt>
                <c:pt idx="41">
                  <c:v>559</c:v>
                </c:pt>
                <c:pt idx="42">
                  <c:v>472</c:v>
                </c:pt>
                <c:pt idx="43">
                  <c:v>557</c:v>
                </c:pt>
                <c:pt idx="44">
                  <c:v>657</c:v>
                </c:pt>
                <c:pt idx="45">
                  <c:v>673</c:v>
                </c:pt>
                <c:pt idx="46">
                  <c:v>674</c:v>
                </c:pt>
              </c:numCache>
            </c:numRef>
          </c:val>
          <c:smooth val="0"/>
          <c:extLst>
            <c:ext xmlns:c16="http://schemas.microsoft.com/office/drawing/2014/chart" uri="{C3380CC4-5D6E-409C-BE32-E72D297353CC}">
              <c16:uniqueId val="{00000000-6471-4A10-B2C1-75D2F3C36E1A}"/>
            </c:ext>
          </c:extLst>
        </c:ser>
        <c:ser>
          <c:idx val="1"/>
          <c:order val="1"/>
          <c:tx>
            <c:strRef>
              <c:f>Sheet1!$AA$1</c:f>
              <c:strCache>
                <c:ptCount val="1"/>
                <c:pt idx="0">
                  <c:v>BelowWage</c:v>
                </c:pt>
              </c:strCache>
            </c:strRef>
          </c:tx>
          <c:spPr>
            <a:ln w="22225" cap="rnd">
              <a:solidFill>
                <a:srgbClr val="FF0000"/>
              </a:solidFill>
              <a:round/>
            </a:ln>
            <a:effectLst/>
          </c:spPr>
          <c:marker>
            <c:symbol val="none"/>
          </c:marker>
          <c:val>
            <c:numRef>
              <c:f>Sheet1!$AA$2:$AA$48</c:f>
              <c:numCache>
                <c:formatCode>General</c:formatCode>
                <c:ptCount val="47"/>
                <c:pt idx="0">
                  <c:v>139</c:v>
                </c:pt>
                <c:pt idx="1">
                  <c:v>200</c:v>
                </c:pt>
                <c:pt idx="2">
                  <c:v>276</c:v>
                </c:pt>
                <c:pt idx="3">
                  <c:v>249</c:v>
                </c:pt>
                <c:pt idx="4">
                  <c:v>171</c:v>
                </c:pt>
                <c:pt idx="5">
                  <c:v>206</c:v>
                </c:pt>
                <c:pt idx="6">
                  <c:v>196</c:v>
                </c:pt>
                <c:pt idx="7">
                  <c:v>166</c:v>
                </c:pt>
                <c:pt idx="8">
                  <c:v>170</c:v>
                </c:pt>
                <c:pt idx="9">
                  <c:v>225</c:v>
                </c:pt>
                <c:pt idx="10">
                  <c:v>250</c:v>
                </c:pt>
                <c:pt idx="11">
                  <c:v>158</c:v>
                </c:pt>
                <c:pt idx="12">
                  <c:v>190</c:v>
                </c:pt>
                <c:pt idx="13">
                  <c:v>126</c:v>
                </c:pt>
                <c:pt idx="14">
                  <c:v>237</c:v>
                </c:pt>
                <c:pt idx="15">
                  <c:v>174</c:v>
                </c:pt>
                <c:pt idx="16">
                  <c:v>195</c:v>
                </c:pt>
                <c:pt idx="17">
                  <c:v>135</c:v>
                </c:pt>
                <c:pt idx="18">
                  <c:v>163</c:v>
                </c:pt>
                <c:pt idx="19">
                  <c:v>261</c:v>
                </c:pt>
                <c:pt idx="20">
                  <c:v>264</c:v>
                </c:pt>
                <c:pt idx="21">
                  <c:v>224</c:v>
                </c:pt>
                <c:pt idx="22">
                  <c:v>251</c:v>
                </c:pt>
                <c:pt idx="23">
                  <c:v>254</c:v>
                </c:pt>
                <c:pt idx="24">
                  <c:v>172</c:v>
                </c:pt>
                <c:pt idx="25">
                  <c:v>160</c:v>
                </c:pt>
                <c:pt idx="26">
                  <c:v>239</c:v>
                </c:pt>
                <c:pt idx="27">
                  <c:v>144</c:v>
                </c:pt>
                <c:pt idx="28">
                  <c:v>166</c:v>
                </c:pt>
                <c:pt idx="29">
                  <c:v>165</c:v>
                </c:pt>
                <c:pt idx="30">
                  <c:v>247</c:v>
                </c:pt>
                <c:pt idx="31">
                  <c:v>168</c:v>
                </c:pt>
                <c:pt idx="32">
                  <c:v>176</c:v>
                </c:pt>
                <c:pt idx="33">
                  <c:v>162</c:v>
                </c:pt>
                <c:pt idx="34">
                  <c:v>154</c:v>
                </c:pt>
                <c:pt idx="35">
                  <c:v>233</c:v>
                </c:pt>
                <c:pt idx="36">
                  <c:v>228</c:v>
                </c:pt>
                <c:pt idx="37">
                  <c:v>227</c:v>
                </c:pt>
                <c:pt idx="38">
                  <c:v>215</c:v>
                </c:pt>
                <c:pt idx="39">
                  <c:v>166</c:v>
                </c:pt>
                <c:pt idx="40">
                  <c:v>174</c:v>
                </c:pt>
                <c:pt idx="41">
                  <c:v>153</c:v>
                </c:pt>
                <c:pt idx="42">
                  <c:v>206</c:v>
                </c:pt>
                <c:pt idx="43">
                  <c:v>194</c:v>
                </c:pt>
                <c:pt idx="44">
                  <c:v>170</c:v>
                </c:pt>
                <c:pt idx="45">
                  <c:v>167</c:v>
                </c:pt>
                <c:pt idx="46">
                  <c:v>152</c:v>
                </c:pt>
              </c:numCache>
            </c:numRef>
          </c:val>
          <c:smooth val="0"/>
          <c:extLst>
            <c:ext xmlns:c16="http://schemas.microsoft.com/office/drawing/2014/chart" uri="{C3380CC4-5D6E-409C-BE32-E72D297353CC}">
              <c16:uniqueId val="{00000001-6471-4A10-B2C1-75D2F3C36E1A}"/>
            </c:ext>
          </c:extLst>
        </c:ser>
        <c:ser>
          <c:idx val="2"/>
          <c:order val="2"/>
          <c:tx>
            <c:strRef>
              <c:f>Sheet1!$AB$1</c:f>
              <c:strCache>
                <c:ptCount val="1"/>
                <c:pt idx="0">
                  <c:v>Wage10</c:v>
                </c:pt>
              </c:strCache>
            </c:strRef>
          </c:tx>
          <c:spPr>
            <a:ln w="22225" cap="rnd">
              <a:solidFill>
                <a:schemeClr val="accent3"/>
              </a:solidFill>
              <a:round/>
            </a:ln>
            <a:effectLst/>
          </c:spPr>
          <c:marker>
            <c:symbol val="none"/>
          </c:marker>
          <c:val>
            <c:numRef>
              <c:f>Sheet1!$AB$2:$AB$48</c:f>
              <c:numCache>
                <c:formatCode>General</c:formatCode>
                <c:ptCount val="47"/>
                <c:pt idx="0">
                  <c:v>632</c:v>
                </c:pt>
                <c:pt idx="1">
                  <c:v>521</c:v>
                </c:pt>
                <c:pt idx="2">
                  <c:v>359</c:v>
                </c:pt>
                <c:pt idx="3">
                  <c:v>510</c:v>
                </c:pt>
                <c:pt idx="4">
                  <c:v>660</c:v>
                </c:pt>
                <c:pt idx="5">
                  <c:v>571</c:v>
                </c:pt>
                <c:pt idx="6">
                  <c:v>556</c:v>
                </c:pt>
                <c:pt idx="7">
                  <c:v>561</c:v>
                </c:pt>
                <c:pt idx="8">
                  <c:v>550</c:v>
                </c:pt>
                <c:pt idx="9">
                  <c:v>499</c:v>
                </c:pt>
                <c:pt idx="10">
                  <c:v>378</c:v>
                </c:pt>
                <c:pt idx="11">
                  <c:v>639</c:v>
                </c:pt>
                <c:pt idx="12">
                  <c:v>591</c:v>
                </c:pt>
                <c:pt idx="13">
                  <c:v>742</c:v>
                </c:pt>
                <c:pt idx="14">
                  <c:v>568</c:v>
                </c:pt>
                <c:pt idx="15">
                  <c:v>570</c:v>
                </c:pt>
                <c:pt idx="16">
                  <c:v>621</c:v>
                </c:pt>
                <c:pt idx="17">
                  <c:v>692</c:v>
                </c:pt>
                <c:pt idx="18">
                  <c:v>679</c:v>
                </c:pt>
                <c:pt idx="19">
                  <c:v>465</c:v>
                </c:pt>
                <c:pt idx="20">
                  <c:v>470</c:v>
                </c:pt>
                <c:pt idx="21">
                  <c:v>562</c:v>
                </c:pt>
                <c:pt idx="22">
                  <c:v>476</c:v>
                </c:pt>
                <c:pt idx="23">
                  <c:v>456</c:v>
                </c:pt>
                <c:pt idx="24">
                  <c:v>649</c:v>
                </c:pt>
                <c:pt idx="25">
                  <c:v>649</c:v>
                </c:pt>
                <c:pt idx="26">
                  <c:v>499</c:v>
                </c:pt>
                <c:pt idx="27">
                  <c:v>656</c:v>
                </c:pt>
                <c:pt idx="28">
                  <c:v>659</c:v>
                </c:pt>
                <c:pt idx="29">
                  <c:v>703</c:v>
                </c:pt>
                <c:pt idx="30">
                  <c:v>500</c:v>
                </c:pt>
                <c:pt idx="31">
                  <c:v>696</c:v>
                </c:pt>
                <c:pt idx="32">
                  <c:v>615</c:v>
                </c:pt>
                <c:pt idx="33">
                  <c:v>691</c:v>
                </c:pt>
                <c:pt idx="34">
                  <c:v>698</c:v>
                </c:pt>
                <c:pt idx="35">
                  <c:v>511</c:v>
                </c:pt>
                <c:pt idx="36">
                  <c:v>550</c:v>
                </c:pt>
                <c:pt idx="37">
                  <c:v>589</c:v>
                </c:pt>
                <c:pt idx="38">
                  <c:v>617</c:v>
                </c:pt>
                <c:pt idx="39">
                  <c:v>684</c:v>
                </c:pt>
                <c:pt idx="40">
                  <c:v>649</c:v>
                </c:pt>
                <c:pt idx="41">
                  <c:v>635</c:v>
                </c:pt>
                <c:pt idx="42">
                  <c:v>539</c:v>
                </c:pt>
                <c:pt idx="43">
                  <c:v>625</c:v>
                </c:pt>
                <c:pt idx="44">
                  <c:v>719</c:v>
                </c:pt>
                <c:pt idx="45">
                  <c:v>739</c:v>
                </c:pt>
                <c:pt idx="46">
                  <c:v>748</c:v>
                </c:pt>
              </c:numCache>
            </c:numRef>
          </c:val>
          <c:smooth val="0"/>
          <c:extLst>
            <c:ext xmlns:c16="http://schemas.microsoft.com/office/drawing/2014/chart" uri="{C3380CC4-5D6E-409C-BE32-E72D297353CC}">
              <c16:uniqueId val="{00000002-6471-4A10-B2C1-75D2F3C36E1A}"/>
            </c:ext>
          </c:extLst>
        </c:ser>
        <c:ser>
          <c:idx val="3"/>
          <c:order val="3"/>
          <c:tx>
            <c:strRef>
              <c:f>Sheet1!$AC$1</c:f>
              <c:strCache>
                <c:ptCount val="1"/>
                <c:pt idx="0">
                  <c:v>BelowWage10</c:v>
                </c:pt>
              </c:strCache>
            </c:strRef>
          </c:tx>
          <c:spPr>
            <a:ln w="22225" cap="rnd">
              <a:solidFill>
                <a:schemeClr val="accent4"/>
              </a:solidFill>
              <a:round/>
            </a:ln>
            <a:effectLst/>
          </c:spPr>
          <c:marker>
            <c:symbol val="none"/>
          </c:marker>
          <c:val>
            <c:numRef>
              <c:f>Sheet1!$AC$2:$AC$48</c:f>
              <c:numCache>
                <c:formatCode>General</c:formatCode>
                <c:ptCount val="47"/>
                <c:pt idx="0">
                  <c:v>142</c:v>
                </c:pt>
                <c:pt idx="1">
                  <c:v>210</c:v>
                </c:pt>
                <c:pt idx="2">
                  <c:v>256</c:v>
                </c:pt>
                <c:pt idx="3">
                  <c:v>235</c:v>
                </c:pt>
                <c:pt idx="4">
                  <c:v>162</c:v>
                </c:pt>
                <c:pt idx="5">
                  <c:v>199</c:v>
                </c:pt>
                <c:pt idx="6">
                  <c:v>176</c:v>
                </c:pt>
                <c:pt idx="7">
                  <c:v>168</c:v>
                </c:pt>
                <c:pt idx="8">
                  <c:v>126</c:v>
                </c:pt>
                <c:pt idx="9">
                  <c:v>215</c:v>
                </c:pt>
                <c:pt idx="10">
                  <c:v>247</c:v>
                </c:pt>
                <c:pt idx="11">
                  <c:v>146</c:v>
                </c:pt>
                <c:pt idx="12">
                  <c:v>189</c:v>
                </c:pt>
                <c:pt idx="13">
                  <c:v>127</c:v>
                </c:pt>
                <c:pt idx="14">
                  <c:v>246</c:v>
                </c:pt>
                <c:pt idx="15">
                  <c:v>182</c:v>
                </c:pt>
                <c:pt idx="16">
                  <c:v>199</c:v>
                </c:pt>
                <c:pt idx="17">
                  <c:v>140</c:v>
                </c:pt>
                <c:pt idx="18">
                  <c:v>162</c:v>
                </c:pt>
                <c:pt idx="19">
                  <c:v>254</c:v>
                </c:pt>
                <c:pt idx="20">
                  <c:v>243</c:v>
                </c:pt>
                <c:pt idx="21">
                  <c:v>229</c:v>
                </c:pt>
                <c:pt idx="22">
                  <c:v>249</c:v>
                </c:pt>
                <c:pt idx="23">
                  <c:v>257</c:v>
                </c:pt>
                <c:pt idx="24">
                  <c:v>182</c:v>
                </c:pt>
                <c:pt idx="25">
                  <c:v>159</c:v>
                </c:pt>
                <c:pt idx="26">
                  <c:v>243</c:v>
                </c:pt>
                <c:pt idx="27">
                  <c:v>151</c:v>
                </c:pt>
                <c:pt idx="28">
                  <c:v>160</c:v>
                </c:pt>
                <c:pt idx="29">
                  <c:v>175</c:v>
                </c:pt>
                <c:pt idx="30">
                  <c:v>256</c:v>
                </c:pt>
                <c:pt idx="31">
                  <c:v>170</c:v>
                </c:pt>
                <c:pt idx="32">
                  <c:v>177</c:v>
                </c:pt>
                <c:pt idx="33">
                  <c:v>169</c:v>
                </c:pt>
                <c:pt idx="34">
                  <c:v>169</c:v>
                </c:pt>
                <c:pt idx="35">
                  <c:v>220</c:v>
                </c:pt>
                <c:pt idx="36">
                  <c:v>230</c:v>
                </c:pt>
                <c:pt idx="37">
                  <c:v>234</c:v>
                </c:pt>
                <c:pt idx="38">
                  <c:v>204</c:v>
                </c:pt>
                <c:pt idx="39">
                  <c:v>174</c:v>
                </c:pt>
                <c:pt idx="40">
                  <c:v>180</c:v>
                </c:pt>
                <c:pt idx="41">
                  <c:v>151</c:v>
                </c:pt>
                <c:pt idx="42">
                  <c:v>219</c:v>
                </c:pt>
                <c:pt idx="43">
                  <c:v>196</c:v>
                </c:pt>
                <c:pt idx="44">
                  <c:v>172</c:v>
                </c:pt>
                <c:pt idx="45">
                  <c:v>169</c:v>
                </c:pt>
                <c:pt idx="46">
                  <c:v>150</c:v>
                </c:pt>
              </c:numCache>
            </c:numRef>
          </c:val>
          <c:smooth val="0"/>
          <c:extLst>
            <c:ext xmlns:c16="http://schemas.microsoft.com/office/drawing/2014/chart" uri="{C3380CC4-5D6E-409C-BE32-E72D297353CC}">
              <c16:uniqueId val="{00000003-6471-4A10-B2C1-75D2F3C36E1A}"/>
            </c:ext>
          </c:extLst>
        </c:ser>
        <c:dLbls>
          <c:showLegendKey val="0"/>
          <c:showVal val="0"/>
          <c:showCatName val="0"/>
          <c:showSerName val="0"/>
          <c:showPercent val="0"/>
          <c:showBubbleSize val="0"/>
        </c:dLbls>
        <c:smooth val="0"/>
        <c:axId val="542113472"/>
        <c:axId val="542116752"/>
      </c:lineChart>
      <c:catAx>
        <c:axId val="542113472"/>
        <c:scaling>
          <c:orientation val="minMax"/>
        </c:scaling>
        <c:delete val="0"/>
        <c:axPos val="b"/>
        <c:majorGridlines>
          <c:spPr>
            <a:ln w="9525">
              <a:solidFill>
                <a:schemeClr val="dk1">
                  <a:lumMod val="15000"/>
                  <a:lumOff val="85000"/>
                  <a:alpha val="54000"/>
                </a:schemeClr>
              </a:solidFill>
              <a:round/>
            </a:ln>
            <a:effectLst/>
          </c:spPr>
        </c:majorGridlines>
        <c:minorGridlines>
          <c:spPr>
            <a:ln w="9525">
              <a:solidFill>
                <a:schemeClr val="dk1">
                  <a:lumMod val="15000"/>
                  <a:lumOff val="85000"/>
                  <a:alpha val="51000"/>
                </a:schemeClr>
              </a:solidFill>
              <a:round/>
            </a:ln>
            <a:effectLst/>
          </c:spPr>
        </c:minorGridlines>
        <c:title>
          <c:tx>
            <c:rich>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Recorded Series</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majorTickMark val="none"/>
        <c:minorTickMark val="none"/>
        <c:tickLblPos val="nextTo"/>
        <c:spPr>
          <a:noFill/>
          <a:ln w="9525">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542116752"/>
        <c:crosses val="autoZero"/>
        <c:auto val="1"/>
        <c:lblAlgn val="ctr"/>
        <c:lblOffset val="100"/>
        <c:noMultiLvlLbl val="0"/>
      </c:catAx>
      <c:valAx>
        <c:axId val="542116752"/>
        <c:scaling>
          <c:orientation val="minMax"/>
        </c:scaling>
        <c:delete val="0"/>
        <c:axPos val="l"/>
        <c:majorGridlines>
          <c:spPr>
            <a:ln w="9525">
              <a:solidFill>
                <a:schemeClr val="dk1">
                  <a:lumMod val="15000"/>
                  <a:lumOff val="85000"/>
                  <a:alpha val="54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a:t>Crime Rate</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542113472"/>
        <c:crosses val="autoZero"/>
        <c:crossBetween val="between"/>
      </c:valAx>
      <c:spPr>
        <a:pattFill prst="ltDnDiag">
          <a:fgClr>
            <a:schemeClr val="dk1">
              <a:lumMod val="15000"/>
              <a:lumOff val="85000"/>
            </a:schemeClr>
          </a:fgClr>
          <a:bgClr>
            <a:schemeClr val="lt1"/>
          </a:bgClr>
        </a:patt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a:solidFill>
          <a:schemeClr val="phClr">
            <a:shade val="95000"/>
          </a:schemeClr>
        </a:solidFill>
        <a:round/>
      </a:ln>
    </cs:spPr>
  </cs:dataPoint>
  <cs:dataPoint3D>
    <cs:lnRef idx="0">
      <cs:styleClr val="auto"/>
    </cs:lnRef>
    <cs:fillRef idx="2">
      <cs:styleClr val="auto"/>
    </cs:fillRef>
    <cs:effectRef idx="1"/>
    <cs:fontRef idx="minor">
      <a:schemeClr val="dk1"/>
    </cs:fontRef>
    <cs:spPr>
      <a:ln w="9525">
        <a:solidFill>
          <a:schemeClr val="phClr">
            <a:shade val="95000"/>
          </a:schemeClr>
        </a:solidFill>
        <a:round/>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rotWithShape="1">
        <a:gsLst>
          <a:gs pos="0">
            <a:schemeClr val="lt1"/>
          </a:gs>
          <a:gs pos="100000">
            <a:schemeClr val="lt1">
              <a:lumMod val="95000"/>
            </a:schemeClr>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30">
  <cs:axisTitle>
    <cs:lnRef idx="0"/>
    <cs:fillRef idx="0"/>
    <cs:effectRef idx="0"/>
    <cs:fontRef idx="minor">
      <a:schemeClr val="dk1">
        <a:lumMod val="65000"/>
        <a:lumOff val="35000"/>
      </a:schemeClr>
    </cs:fontRef>
    <cs:defRPr sz="900" kern="1200" cap="all"/>
  </cs:axisTitle>
  <cs:categoryAxis>
    <cs:lnRef idx="0"/>
    <cs:fillRef idx="0"/>
    <cs:effectRef idx="0"/>
    <cs:fontRef idx="minor">
      <a:schemeClr val="dk1">
        <a:lumMod val="65000"/>
        <a:lumOff val="35000"/>
      </a:schemeClr>
    </cs:fontRef>
    <cs:spPr>
      <a:ln w="9525">
        <a:solidFill>
          <a:schemeClr val="dk1">
            <a:lumMod val="15000"/>
            <a:lumOff val="85000"/>
          </a:schemeClr>
        </a:solidFill>
        <a:round/>
      </a:ln>
    </cs:spPr>
    <cs:defRPr sz="900" b="0" kern="1200" spc="20" baseline="0"/>
  </cs:categoryAxis>
  <cs:chartArea mods="allowNoLineOverride">
    <cs:lnRef idx="0"/>
    <cs:fillRef idx="0"/>
    <cs:effectRef idx="0"/>
    <cs:fontRef idx="minor">
      <a:schemeClr val="dk1"/>
    </cs:fontRef>
    <cs:spPr>
      <a:solidFill>
        <a:schemeClr val="lt1"/>
      </a:solidFill>
      <a:ln w="9525">
        <a:solidFill>
          <a:schemeClr val="dk1">
            <a:lumMod val="15000"/>
            <a:lumOff val="85000"/>
          </a:schemeClr>
        </a:solidFill>
        <a:round/>
      </a:ln>
    </cs:spPr>
    <cs:defRPr sz="900" kern="1200"/>
  </cs:chartArea>
  <cs:dataLabel>
    <cs:lnRef idx="0"/>
    <cs:fillRef idx="0"/>
    <cs:effectRef idx="0"/>
    <cs:fontRef idx="minor">
      <a:schemeClr val="dk1">
        <a:lumMod val="65000"/>
        <a:lumOff val="3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2">
      <cs:styleClr val="auto"/>
    </cs:fillRef>
    <cs:effectRef idx="1"/>
    <cs:fontRef idx="minor">
      <a:schemeClr val="dk1"/>
    </cs:fontRef>
    <cs:spPr>
      <a:ln w="9525">
        <a:solidFill>
          <a:schemeClr val="phClr">
            <a:shade val="95000"/>
          </a:schemeClr>
        </a:solidFill>
        <a:round/>
      </a:ln>
    </cs:spPr>
  </cs:dataPoint>
  <cs:dataPoint3D>
    <cs:lnRef idx="0">
      <cs:styleClr val="auto"/>
    </cs:lnRef>
    <cs:fillRef idx="2">
      <cs:styleClr val="auto"/>
    </cs:fillRef>
    <cs:effectRef idx="1"/>
    <cs:fontRef idx="minor">
      <a:schemeClr val="dk1"/>
    </cs:fontRef>
    <cs:spPr>
      <a:ln w="9525">
        <a:solidFill>
          <a:schemeClr val="phClr">
            <a:shade val="95000"/>
          </a:schemeClr>
        </a:solidFill>
        <a:round/>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alpha val="33000"/>
          </a:schemeClr>
        </a:solidFill>
        <a:round/>
      </a:ln>
    </cs:spPr>
  </cs:dropLine>
  <cs:errorBar>
    <cs:lnRef idx="0"/>
    <cs:fillRef idx="0"/>
    <cs:effectRef idx="0"/>
    <cs:fontRef idx="minor">
      <a:schemeClr val="dk1"/>
    </cs:fontRef>
    <cs:spPr>
      <a:ln w="9525">
        <a:solidFill>
          <a:schemeClr val="dk1">
            <a:lumMod val="65000"/>
            <a:lumOff val="35000"/>
          </a:schemeClr>
        </a:solidFill>
      </a:ln>
    </cs:spPr>
  </cs:errorBar>
  <cs:floor>
    <cs:lnRef idx="0"/>
    <cs:fillRef idx="0"/>
    <cs:effectRef idx="0"/>
    <cs:fontRef idx="minor">
      <a:schemeClr val="dk1"/>
    </cs:fontRef>
  </cs:floor>
  <cs:gridlineMajor>
    <cs:lnRef idx="0"/>
    <cs:fillRef idx="0"/>
    <cs:effectRef idx="0"/>
    <cs:fontRef idx="minor">
      <a:schemeClr val="dk1"/>
    </cs:fontRef>
    <cs:spPr>
      <a:ln>
        <a:solidFill>
          <a:schemeClr val="dk1">
            <a:lumMod val="15000"/>
            <a:lumOff val="85000"/>
          </a:schemeClr>
        </a:solidFill>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35000"/>
            <a:lumOff val="65000"/>
          </a:schemeClr>
        </a:solidFill>
      </a:ln>
    </cs:spPr>
  </cs:hiLoLine>
  <cs:leaderLine>
    <cs:lnRef idx="0"/>
    <cs:fillRef idx="0"/>
    <cs:effectRef idx="0"/>
    <cs:fontRef idx="minor">
      <a:schemeClr val="dk1"/>
    </cs:fontRef>
    <cs:spPr>
      <a:ln w="9525">
        <a:solidFill>
          <a:schemeClr val="dk1">
            <a:lumMod val="35000"/>
            <a:lumOff val="65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gradFill rotWithShape="1">
        <a:gsLst>
          <a:gs pos="0">
            <a:schemeClr val="lt1"/>
          </a:gs>
          <a:gs pos="100000">
            <a:schemeClr val="lt1">
              <a:lumMod val="95000"/>
            </a:schemeClr>
          </a:gs>
        </a:gsLst>
        <a:lin ang="5400000" scaled="0"/>
      </a:gradFill>
    </cs:spPr>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prstDash val="dash"/>
      </a:ln>
    </cs:spPr>
  </cs:seriesLine>
  <cs:title>
    <cs:lnRef idx="0"/>
    <cs:fillRef idx="0"/>
    <cs:effectRef idx="0"/>
    <cs:fontRef idx="minor">
      <a:schemeClr val="dk1">
        <a:lumMod val="50000"/>
        <a:lumOff val="50000"/>
      </a:schemeClr>
    </cs:fontRef>
    <cs:defRPr sz="1400" kern="1200" cap="none" spc="2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65000"/>
        <a:lumOff val="35000"/>
      </a:schemeClr>
    </cs:fontRef>
    <cs:defRPr sz="900" kern="1200" spc="20" baseline="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75000"/>
            <a:lumOff val="25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36">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4"/>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a:gradFill rotWithShape="1">
          <a:gsLst>
            <a:gs pos="0">
              <a:schemeClr val="dk1">
                <a:lumMod val="65000"/>
                <a:lumOff val="35000"/>
              </a:schemeClr>
            </a:gs>
            <a:gs pos="100000">
              <a:schemeClr val="dk1">
                <a:lumMod val="75000"/>
                <a:lumOff val="25000"/>
              </a:schemeClr>
            </a:gs>
          </a:gsLst>
          <a:lin ang="5400000" scaled="0"/>
        </a:gradFill>
        <a:round/>
      </a:ln>
    </cs:spPr>
  </cs:gridlineMajor>
  <cs:gridlineMinor>
    <cs:lnRef idx="0"/>
    <cs:fillRef idx="0"/>
    <cs:effectRef idx="0"/>
    <cs:fontRef idx="minor">
      <a:schemeClr val="dk1"/>
    </cs:fontRef>
    <cs:spPr>
      <a:ln w="9525">
        <a:gradFill rotWithShape="1">
          <a:gsLst>
            <a:gs pos="0">
              <a:schemeClr val="dk1">
                <a:lumMod val="65000"/>
                <a:lumOff val="35000"/>
                <a:alpha val="25000"/>
              </a:schemeClr>
            </a:gs>
            <a:gs pos="100000">
              <a:schemeClr val="dk1">
                <a:lumMod val="75000"/>
                <a:lumOff val="25000"/>
                <a:alpha val="25000"/>
              </a:schemeClr>
            </a:gs>
          </a:gsLst>
          <a:lin ang="5400000" scaled="0"/>
        </a:gra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8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a:solidFill>
          <a:schemeClr val="dk1">
            <a:lumMod val="50000"/>
            <a:lumOff val="50000"/>
          </a:schemeClr>
        </a:solidFill>
        <a:round/>
      </a:ln>
    </cs:spPr>
  </cs:downBar>
  <cs:dropLine>
    <cs:lnRef idx="0"/>
    <cs:fillRef idx="0"/>
    <cs:effectRef idx="0"/>
    <cs:fontRef idx="minor">
      <a:schemeClr val="dk1"/>
    </cs:fontRef>
    <cs:spPr>
      <a:ln w="9525">
        <a:solidFill>
          <a:schemeClr val="dk1">
            <a:lumMod val="35000"/>
            <a:lumOff val="65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a:solidFill>
          <a:schemeClr val="dk1">
            <a:lumMod val="15000"/>
            <a:lumOff val="85000"/>
          </a:schemeClr>
        </a:solidFill>
        <a:round/>
      </a:ln>
    </cs:spPr>
  </cs:gridlineMajor>
  <cs:gridlineMinor>
    <cs:lnRef idx="0"/>
    <cs:fillRef idx="0"/>
    <cs:effectRef idx="0"/>
    <cs:fontRef idx="minor">
      <a:schemeClr val="dk1"/>
    </cs:fontRef>
    <cs:spPr>
      <a:ln w="9525">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round/>
      </a:ln>
    </cs:spPr>
  </cs:hiLoLine>
  <cs:leaderLine>
    <cs:lnRef idx="0"/>
    <cs:fillRef idx="0"/>
    <cs:effectRef idx="0"/>
    <cs:fontRef idx="minor">
      <a:schemeClr val="dk1"/>
    </cs:fontRef>
    <cs:spPr>
      <a:ln w="9525">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spPr>
      <a:ln w="9525">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50000"/>
            <a:lumOff val="50000"/>
          </a:schemeClr>
        </a:solidFill>
        <a:round/>
      </a:ln>
    </cs:spPr>
  </cs:upBar>
  <cs:valueAxis>
    <cs:lnRef idx="0"/>
    <cs:fillRef idx="0"/>
    <cs:effectRef idx="0"/>
    <cs:fontRef idx="minor">
      <a:schemeClr val="dk1">
        <a:lumMod val="65000"/>
        <a:lumOff val="35000"/>
      </a:schemeClr>
    </cs:fontRef>
    <cs:spPr>
      <a:ln w="9525">
        <a:solidFill>
          <a:schemeClr val="dk1">
            <a:lumMod val="15000"/>
            <a:lumOff val="85000"/>
          </a:schemeClr>
        </a:solidFill>
        <a:round/>
      </a:ln>
    </cs:spPr>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6.xml><?xml version="1.0" encoding="utf-8"?>
<cs:chartStyle xmlns:cs="http://schemas.microsoft.com/office/drawing/2012/chartStyle" xmlns:a="http://schemas.openxmlformats.org/drawingml/2006/main" id="3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a:solidFill>
          <a:schemeClr val="dk1">
            <a:lumMod val="50000"/>
            <a:lumOff val="50000"/>
          </a:schemeClr>
        </a:solidFill>
        <a:round/>
      </a:ln>
    </cs:spPr>
    <cs:defRPr sz="900" kern="1200"/>
  </cs:categoryAxis>
  <cs:chartArea>
    <cs:lnRef idx="0"/>
    <cs:fillRef idx="0"/>
    <cs:effectRef idx="0"/>
    <cs:fontRef idx="minor">
      <a:schemeClr val="dk1"/>
    </cs:fontRef>
    <cs:spPr>
      <a:gradFill rotWithShape="1">
        <a:gsLst>
          <a:gs pos="0">
            <a:schemeClr val="dk1">
              <a:lumMod val="65000"/>
              <a:lumOff val="35000"/>
            </a:schemeClr>
          </a:gs>
          <a:gs pos="100000">
            <a:schemeClr val="dk1">
              <a:lumMod val="85000"/>
              <a:lumOff val="15000"/>
            </a:schemeClr>
          </a:gs>
        </a:gsLst>
        <a:path path="circle">
          <a:fillToRect l="50000" t="50000" r="50000" b="50000"/>
        </a:path>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9525">
        <a:solidFill>
          <a:schemeClr val="dk1">
            <a:lumMod val="50000"/>
            <a:lumOff val="50000"/>
          </a:schemeClr>
        </a:solidFill>
        <a:round/>
      </a:ln>
    </cs:spPr>
    <cs:defRPr sz="900" kern="1200"/>
  </cs:seriesAxis>
  <cs:seriesLine>
    <cs:lnRef idx="0"/>
    <cs:fillRef idx="0"/>
    <cs:effectRef idx="0"/>
    <cs:fontRef idx="minor">
      <a:schemeClr val="lt1"/>
    </cs:fontRef>
    <cs:spPr>
      <a:ln w="9525">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7.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a:solidFill>
          <a:schemeClr val="lt1">
            <a:lumMod val="95000"/>
            <a:alpha val="54000"/>
          </a:schemeClr>
        </a:solidFill>
        <a:round/>
      </a:ln>
    </cs:spPr>
    <cs:defRPr sz="900" kern="1200"/>
  </cs:categoryAxis>
  <cs:chartArea>
    <cs:lnRef idx="0"/>
    <cs:fillRef idx="0"/>
    <cs:effectRef idx="0"/>
    <cs:fontRef idx="minor">
      <a:schemeClr val="dk1"/>
    </cs:fontRef>
    <cs:spPr>
      <a:gradFill rotWithShape="1">
        <a:gsLst>
          <a:gs pos="0">
            <a:schemeClr val="dk1">
              <a:lumMod val="65000"/>
              <a:lumOff val="35000"/>
            </a:schemeClr>
          </a:gs>
          <a:gs pos="100000">
            <a:schemeClr val="dk1">
              <a:lumMod val="85000"/>
              <a:lumOff val="15000"/>
            </a:schemeClr>
          </a:gs>
        </a:gsLst>
        <a:path path="circle">
          <a:fillToRect l="50000" t="50000" r="50000" b="50000"/>
        </a:path>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a:solidFill>
          <a:schemeClr val="lt1">
            <a:lumMod val="95000"/>
            <a:alpha val="54000"/>
          </a:schemeClr>
        </a:solidFill>
        <a:round/>
      </a:ln>
    </cs:spPr>
    <cs:defRPr sz="900" kern="1200"/>
  </cs:seriesAxis>
  <cs:seriesLine>
    <cs:lnRef idx="0"/>
    <cs:fillRef idx="0"/>
    <cs:effectRef idx="0"/>
    <cs:fontRef idx="minor">
      <a:schemeClr val="lt1"/>
    </cs:fontRef>
    <cs:spPr>
      <a:ln w="9525">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8.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a:solidFill>
          <a:schemeClr val="dk1">
            <a:lumMod val="50000"/>
            <a:lumOff val="50000"/>
          </a:schemeClr>
        </a:solidFill>
        <a:round/>
      </a:ln>
    </cs:spPr>
  </cs:downBar>
  <cs:dropLine>
    <cs:lnRef idx="0"/>
    <cs:fillRef idx="0"/>
    <cs:effectRef idx="0"/>
    <cs:fontRef idx="minor">
      <a:schemeClr val="dk1"/>
    </cs:fontRef>
    <cs:spPr>
      <a:ln w="9525">
        <a:solidFill>
          <a:schemeClr val="dk1">
            <a:lumMod val="35000"/>
            <a:lumOff val="65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a:solidFill>
          <a:schemeClr val="dk1">
            <a:lumMod val="15000"/>
            <a:lumOff val="85000"/>
            <a:alpha val="54000"/>
          </a:schemeClr>
        </a:solidFill>
        <a:round/>
      </a:ln>
    </cs:spPr>
  </cs:gridlineMajor>
  <cs:gridlineMinor>
    <cs:lnRef idx="0"/>
    <cs:fillRef idx="0"/>
    <cs:effectRef idx="0"/>
    <cs:fontRef idx="minor">
      <a:schemeClr val="dk1"/>
    </cs:fontRef>
    <cs:spPr>
      <a:ln w="9525">
        <a:solidFill>
          <a:schemeClr val="dk1">
            <a:lumMod val="15000"/>
            <a:lumOff val="85000"/>
            <a:alpha val="51000"/>
          </a:schemeClr>
        </a:solidFill>
        <a:round/>
      </a:ln>
    </cs:spPr>
  </cs:gridlineMinor>
  <cs:hiLoLine>
    <cs:lnRef idx="0"/>
    <cs:fillRef idx="0"/>
    <cs:effectRef idx="0"/>
    <cs:fontRef idx="minor">
      <a:schemeClr val="dk1"/>
    </cs:fontRef>
    <cs:spPr>
      <a:ln w="9525">
        <a:solidFill>
          <a:schemeClr val="dk1">
            <a:lumMod val="35000"/>
            <a:lumOff val="65000"/>
          </a:schemeClr>
        </a:solidFill>
        <a:round/>
      </a:ln>
    </cs:spPr>
  </cs:hiLoLine>
  <cs:leaderLine>
    <cs:lnRef idx="0"/>
    <cs:fillRef idx="0"/>
    <cs:effectRef idx="0"/>
    <cs:fontRef idx="minor">
      <a:schemeClr val="dk1"/>
    </cs:fontRef>
    <cs:spPr>
      <a:ln w="9525">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497843-190E-4B88-B6BC-C281A6A54C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353</TotalTime>
  <Pages>13</Pages>
  <Words>1798</Words>
  <Characters>10253</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Antara Ray</dc:creator>
  <cp:lastModifiedBy>Olteanu, Octavian</cp:lastModifiedBy>
  <cp:revision>94</cp:revision>
  <dcterms:created xsi:type="dcterms:W3CDTF">2022-03-29T09:29:00Z</dcterms:created>
  <dcterms:modified xsi:type="dcterms:W3CDTF">2022-04-02T08:55:00Z</dcterms:modified>
</cp:coreProperties>
</file>