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left"/>
      </w:pPr>
      <w:r>
        <w:rPr>
          <w:color w:val="666666"/>
          <w:sz w:val="20"/>
        </w:rPr>
        <w:t>Module Title: Problem Solving and Decision Making</w:t>
        <w:br/>
        <w:t>Module Code: LCLM 4004</w:t>
        <w:br/>
        <w:t>Assessment: Component 2 Report – Basil’s Bakery</w:t>
      </w:r>
    </w:p>
    <w:p>
      <w:pPr>
        <w:spacing w:after="360"/>
      </w:pPr>
      <w:r>
        <w:rPr>
          <w:b/>
          <w:color w:val="1B365D"/>
          <w:sz w:val="20"/>
        </w:rPr>
        <w:t>Student Name: Evgenii Denisov</w:t>
        <w:br/>
        <w:t>Student ID: 2533545</w:t>
        <w:br/>
        <w:t>Lecturer’s Name: Thomas Adeyemi</w:t>
      </w:r>
    </w:p>
    <w:p>
      <w:pPr>
        <w:spacing w:before="240" w:after="360"/>
      </w:pPr>
      <w:r>
        <w:rPr>
          <w:b/>
          <w:color w:val="1B365D"/>
          <w:sz w:val="36"/>
        </w:rPr>
        <w:t>BUSINESS REPORT &amp; ACADEMIC EVALUATION</w:t>
      </w:r>
    </w:p>
    <w:p>
      <w:pPr>
        <w:spacing w:after="160"/>
      </w:pPr>
      <w:r>
        <w:rPr>
          <w:b/>
          <w:color w:val="1B365D"/>
          <w:sz w:val="28"/>
        </w:rPr>
        <w:t>Table of Contents</w:t>
      </w:r>
    </w:p>
    <w:tbl>
      <w:tblPr>
        <w:tblW w:type="auto" w:w="0"/>
        <w:jc w:val="center"/>
        <w:tblLayout w:type="fixed"/>
        <w:tblLook w:firstColumn="1" w:firstRow="1" w:lastColumn="0" w:lastRow="0" w:noHBand="0" w:noVBand="1" w:val="04A0"/>
        <w:tblBorders>
          <w:top w:val="single" w:sz="4" w:space="0" w:color="E0E0E0"/>
          <w:bottom w:val="single" w:sz="4" w:space="0" w:color="E0E0E0"/>
          <w:insideH w:val="single" w:sz="4" w:space="0" w:color="E0E0E0"/>
          <w:insideV w:val="none"/>
          <w:left w:val="none"/>
          <w:right w:val="none"/>
        </w:tblBorders>
      </w:tblPr>
      <w:tblGrid>
        <w:gridCol w:w="4680"/>
        <w:gridCol w:w="4680"/>
      </w:tblGrid>
      <w:tr>
        <w:tc>
          <w:tcPr>
            <w:tcW w:type="dxa" w:w="7200"/>
            <w:shd w:fill="1B365D"/>
            <w:tcMar>
              <w:top w:w="120" w:type="dxa"/>
              <w:bottom w:w="120" w:type="dxa"/>
              <w:left w:w="150" w:type="dxa"/>
              <w:right w:w="150" w:type="dxa"/>
            </w:tcMar>
          </w:tcPr>
          <w:p>
            <w:r>
              <w:rPr>
                <w:b/>
                <w:color w:val="FFFFFF"/>
              </w:rPr>
              <w:t>Contents</w:t>
            </w:r>
          </w:p>
        </w:tc>
        <w:tc>
          <w:tcPr>
            <w:tcW w:type="dxa" w:w="2160"/>
            <w:shd w:fill="1B365D"/>
            <w:tcMar>
              <w:top w:w="120" w:type="dxa"/>
              <w:bottom w:w="120" w:type="dxa"/>
              <w:left w:w="150" w:type="dxa"/>
              <w:right w:w="150" w:type="dxa"/>
            </w:tcMar>
          </w:tcPr>
          <w:p>
            <w:r>
              <w:rPr>
                <w:b/>
                <w:color w:val="FFFFFF"/>
              </w:rPr>
              <w:t>Page Number</w:t>
            </w:r>
          </w:p>
        </w:tc>
      </w:tr>
      <w:tr>
        <w:tc>
          <w:tcPr>
            <w:tcW w:type="dxa" w:w="7200"/>
            <w:shd w:fill="FFFFFF"/>
            <w:tcMar>
              <w:top w:w="80" w:type="dxa"/>
              <w:bottom w:w="80" w:type="dxa"/>
              <w:left w:w="150" w:type="dxa"/>
              <w:right w:w="150" w:type="dxa"/>
            </w:tcMar>
          </w:tcPr>
          <w:p>
            <w:r>
              <w:t>Task 1: Overview of Case-study</w:t>
            </w:r>
          </w:p>
        </w:tc>
        <w:tc>
          <w:tcPr>
            <w:tcW w:type="dxa" w:w="2160"/>
            <w:shd w:fill="FFFFFF"/>
            <w:tcMar>
              <w:top w:w="80" w:type="dxa"/>
              <w:bottom w:w="80" w:type="dxa"/>
              <w:left w:w="150" w:type="dxa"/>
              <w:right w:w="150" w:type="dxa"/>
            </w:tcMar>
          </w:tcPr>
          <w:p>
            <w:pPr>
              <w:jc w:val="right"/>
            </w:pPr>
            <w:r>
              <w:t>3</w:t>
            </w:r>
          </w:p>
        </w:tc>
      </w:tr>
      <w:tr>
        <w:tc>
          <w:tcPr>
            <w:tcW w:type="dxa" w:w="7200"/>
            <w:shd w:fill="F4F6F8"/>
            <w:tcMar>
              <w:top w:w="80" w:type="dxa"/>
              <w:bottom w:w="80" w:type="dxa"/>
              <w:left w:w="150" w:type="dxa"/>
              <w:right w:w="150" w:type="dxa"/>
            </w:tcMar>
          </w:tcPr>
          <w:p>
            <w:r>
              <w:t>Task 2: Two proposed solutions</w:t>
            </w:r>
          </w:p>
        </w:tc>
        <w:tc>
          <w:tcPr>
            <w:tcW w:type="dxa" w:w="2160"/>
            <w:shd w:fill="F4F6F8"/>
            <w:tcMar>
              <w:top w:w="80" w:type="dxa"/>
              <w:bottom w:w="80" w:type="dxa"/>
              <w:left w:w="150" w:type="dxa"/>
              <w:right w:w="150" w:type="dxa"/>
            </w:tcMar>
          </w:tcPr>
          <w:p>
            <w:pPr>
              <w:jc w:val="right"/>
            </w:pPr>
            <w:r>
              <w:t>3</w:t>
            </w:r>
          </w:p>
        </w:tc>
      </w:tr>
      <w:tr>
        <w:tc>
          <w:tcPr>
            <w:tcW w:type="dxa" w:w="7200"/>
            <w:shd w:fill="FFFFFF"/>
            <w:tcMar>
              <w:top w:w="80" w:type="dxa"/>
              <w:bottom w:w="80" w:type="dxa"/>
              <w:left w:w="150" w:type="dxa"/>
              <w:right w:w="150" w:type="dxa"/>
            </w:tcMar>
          </w:tcPr>
          <w:p>
            <w:r>
              <w:t>Task 3b): Evaluation Results and Justifications</w:t>
            </w:r>
          </w:p>
        </w:tc>
        <w:tc>
          <w:tcPr>
            <w:tcW w:type="dxa" w:w="2160"/>
            <w:shd w:fill="FFFFFF"/>
            <w:tcMar>
              <w:top w:w="80" w:type="dxa"/>
              <w:bottom w:w="80" w:type="dxa"/>
              <w:left w:w="150" w:type="dxa"/>
              <w:right w:w="150" w:type="dxa"/>
            </w:tcMar>
          </w:tcPr>
          <w:p>
            <w:pPr>
              <w:jc w:val="right"/>
            </w:pPr>
            <w:r>
              <w:t>3</w:t>
            </w:r>
          </w:p>
        </w:tc>
      </w:tr>
      <w:tr>
        <w:tc>
          <w:tcPr>
            <w:tcW w:type="dxa" w:w="7200"/>
            <w:shd w:fill="F4F6F8"/>
            <w:tcMar>
              <w:top w:w="80" w:type="dxa"/>
              <w:bottom w:w="80" w:type="dxa"/>
              <w:left w:w="150" w:type="dxa"/>
              <w:right w:w="150" w:type="dxa"/>
            </w:tcMar>
          </w:tcPr>
          <w:p>
            <w:r>
              <w:t>Task 4b): Justifications for the Implementation Plan</w:t>
            </w:r>
          </w:p>
        </w:tc>
        <w:tc>
          <w:tcPr>
            <w:tcW w:type="dxa" w:w="2160"/>
            <w:shd w:fill="F4F6F8"/>
            <w:tcMar>
              <w:top w:w="80" w:type="dxa"/>
              <w:bottom w:w="80" w:type="dxa"/>
              <w:left w:w="150" w:type="dxa"/>
              <w:right w:w="150" w:type="dxa"/>
            </w:tcMar>
          </w:tcPr>
          <w:p>
            <w:pPr>
              <w:jc w:val="right"/>
            </w:pPr>
            <w:r>
              <w:t>4</w:t>
            </w:r>
          </w:p>
        </w:tc>
      </w:tr>
      <w:tr>
        <w:tc>
          <w:tcPr>
            <w:tcW w:type="dxa" w:w="7200"/>
            <w:shd w:fill="FFFFFF"/>
            <w:tcMar>
              <w:top w:w="80" w:type="dxa"/>
              <w:bottom w:w="80" w:type="dxa"/>
              <w:left w:w="150" w:type="dxa"/>
              <w:right w:w="150" w:type="dxa"/>
            </w:tcMar>
          </w:tcPr>
          <w:p>
            <w:r>
              <w:t>Task 5b): Justifications for the KPI and SMART objectives</w:t>
            </w:r>
          </w:p>
        </w:tc>
        <w:tc>
          <w:tcPr>
            <w:tcW w:type="dxa" w:w="2160"/>
            <w:shd w:fill="FFFFFF"/>
            <w:tcMar>
              <w:top w:w="80" w:type="dxa"/>
              <w:bottom w:w="80" w:type="dxa"/>
              <w:left w:w="150" w:type="dxa"/>
              <w:right w:w="150" w:type="dxa"/>
            </w:tcMar>
          </w:tcPr>
          <w:p>
            <w:pPr>
              <w:jc w:val="right"/>
            </w:pPr>
            <w:r>
              <w:t>4</w:t>
            </w:r>
          </w:p>
        </w:tc>
      </w:tr>
      <w:tr>
        <w:tc>
          <w:tcPr>
            <w:tcW w:type="dxa" w:w="7200"/>
            <w:shd w:fill="F4F6F8"/>
            <w:tcMar>
              <w:top w:w="80" w:type="dxa"/>
              <w:bottom w:w="80" w:type="dxa"/>
              <w:left w:w="150" w:type="dxa"/>
              <w:right w:w="150" w:type="dxa"/>
            </w:tcMar>
          </w:tcPr>
          <w:p>
            <w:r>
              <w:t>Task 6: Key Findings</w:t>
            </w:r>
          </w:p>
        </w:tc>
        <w:tc>
          <w:tcPr>
            <w:tcW w:type="dxa" w:w="2160"/>
            <w:shd w:fill="F4F6F8"/>
            <w:tcMar>
              <w:top w:w="80" w:type="dxa"/>
              <w:bottom w:w="80" w:type="dxa"/>
              <w:left w:w="150" w:type="dxa"/>
              <w:right w:w="150" w:type="dxa"/>
            </w:tcMar>
          </w:tcPr>
          <w:p>
            <w:pPr>
              <w:jc w:val="right"/>
            </w:pPr>
            <w:r>
              <w:t>4</w:t>
            </w:r>
          </w:p>
        </w:tc>
      </w:tr>
      <w:tr>
        <w:tc>
          <w:tcPr>
            <w:tcW w:type="dxa" w:w="7200"/>
            <w:shd w:fill="FFFFFF"/>
            <w:tcMar>
              <w:top w:w="80" w:type="dxa"/>
              <w:bottom w:w="80" w:type="dxa"/>
              <w:left w:w="150" w:type="dxa"/>
              <w:right w:w="150" w:type="dxa"/>
            </w:tcMar>
          </w:tcPr>
          <w:p>
            <w:r>
              <w:t>Reference List</w:t>
            </w:r>
          </w:p>
        </w:tc>
        <w:tc>
          <w:tcPr>
            <w:tcW w:type="dxa" w:w="2160"/>
            <w:shd w:fill="FFFFFF"/>
            <w:tcMar>
              <w:top w:w="80" w:type="dxa"/>
              <w:bottom w:w="80" w:type="dxa"/>
              <w:left w:w="150" w:type="dxa"/>
              <w:right w:w="150" w:type="dxa"/>
            </w:tcMar>
          </w:tcPr>
          <w:p>
            <w:pPr>
              <w:jc w:val="right"/>
            </w:pPr>
            <w:r>
              <w:t>5</w:t>
            </w:r>
          </w:p>
        </w:tc>
      </w:tr>
      <w:tr>
        <w:tc>
          <w:tcPr>
            <w:tcW w:type="dxa" w:w="7200"/>
            <w:shd w:fill="F4F6F8"/>
            <w:tcMar>
              <w:top w:w="80" w:type="dxa"/>
              <w:bottom w:w="80" w:type="dxa"/>
              <w:left w:w="150" w:type="dxa"/>
              <w:right w:w="150" w:type="dxa"/>
            </w:tcMar>
          </w:tcPr>
          <w:p>
            <w:r>
              <w:t>Appendices</w:t>
            </w:r>
          </w:p>
        </w:tc>
        <w:tc>
          <w:tcPr>
            <w:tcW w:type="dxa" w:w="2160"/>
            <w:shd w:fill="F4F6F8"/>
            <w:tcMar>
              <w:top w:w="80" w:type="dxa"/>
              <w:bottom w:w="80" w:type="dxa"/>
              <w:left w:w="150" w:type="dxa"/>
              <w:right w:w="150" w:type="dxa"/>
            </w:tcMar>
          </w:tcPr>
          <w:p>
            <w:pPr>
              <w:jc w:val="right"/>
            </w:pPr>
            <w:r/>
          </w:p>
        </w:tc>
      </w:tr>
      <w:tr>
        <w:tc>
          <w:tcPr>
            <w:tcW w:type="dxa" w:w="7200"/>
            <w:shd w:fill="FFFFFF"/>
            <w:tcMar>
              <w:top w:w="80" w:type="dxa"/>
              <w:bottom w:w="80" w:type="dxa"/>
              <w:left w:w="150" w:type="dxa"/>
              <w:right w:w="150" w:type="dxa"/>
            </w:tcMar>
          </w:tcPr>
          <w:p>
            <w:r>
              <w:t xml:space="preserve">   Appendix 1: Task 3a) PMI Evaluation Table</w:t>
            </w:r>
          </w:p>
        </w:tc>
        <w:tc>
          <w:tcPr>
            <w:tcW w:type="dxa" w:w="2160"/>
            <w:shd w:fill="FFFFFF"/>
            <w:tcMar>
              <w:top w:w="80" w:type="dxa"/>
              <w:bottom w:w="80" w:type="dxa"/>
              <w:left w:w="150" w:type="dxa"/>
              <w:right w:w="150" w:type="dxa"/>
            </w:tcMar>
          </w:tcPr>
          <w:p>
            <w:pPr>
              <w:jc w:val="right"/>
            </w:pPr>
            <w:r>
              <w:t>7/8</w:t>
            </w:r>
          </w:p>
        </w:tc>
      </w:tr>
      <w:tr>
        <w:tc>
          <w:tcPr>
            <w:tcW w:type="dxa" w:w="7200"/>
            <w:shd w:fill="F4F6F8"/>
            <w:tcMar>
              <w:top w:w="80" w:type="dxa"/>
              <w:bottom w:w="80" w:type="dxa"/>
              <w:left w:w="150" w:type="dxa"/>
              <w:right w:w="150" w:type="dxa"/>
            </w:tcMar>
          </w:tcPr>
          <w:p>
            <w:r>
              <w:t xml:space="preserve">   Appendix 2: Task 4a) Implementation Plan</w:t>
            </w:r>
          </w:p>
        </w:tc>
        <w:tc>
          <w:tcPr>
            <w:tcW w:type="dxa" w:w="2160"/>
            <w:shd w:fill="F4F6F8"/>
            <w:tcMar>
              <w:top w:w="80" w:type="dxa"/>
              <w:bottom w:w="80" w:type="dxa"/>
              <w:left w:w="150" w:type="dxa"/>
              <w:right w:w="150" w:type="dxa"/>
            </w:tcMar>
          </w:tcPr>
          <w:p>
            <w:pPr>
              <w:jc w:val="right"/>
            </w:pPr>
            <w:r>
              <w:t>9</w:t>
            </w:r>
          </w:p>
        </w:tc>
      </w:tr>
      <w:tr>
        <w:tc>
          <w:tcPr>
            <w:tcW w:type="dxa" w:w="7200"/>
            <w:shd w:fill="FFFFFF"/>
            <w:tcMar>
              <w:top w:w="80" w:type="dxa"/>
              <w:bottom w:w="80" w:type="dxa"/>
              <w:left w:w="150" w:type="dxa"/>
              <w:right w:w="150" w:type="dxa"/>
            </w:tcMar>
          </w:tcPr>
          <w:p>
            <w:r>
              <w:t xml:space="preserve">   Appendix 3: Task 5a) KPI and SMART Table</w:t>
            </w:r>
          </w:p>
        </w:tc>
        <w:tc>
          <w:tcPr>
            <w:tcW w:type="dxa" w:w="2160"/>
            <w:shd w:fill="FFFFFF"/>
            <w:tcMar>
              <w:top w:w="80" w:type="dxa"/>
              <w:bottom w:w="80" w:type="dxa"/>
              <w:left w:w="150" w:type="dxa"/>
              <w:right w:w="150" w:type="dxa"/>
            </w:tcMar>
          </w:tcPr>
          <w:p>
            <w:pPr>
              <w:jc w:val="right"/>
            </w:pPr>
            <w:r>
              <w:t>10</w:t>
            </w:r>
          </w:p>
        </w:tc>
      </w:tr>
    </w:tbl>
    <w:p>
      <w:pPr>
        <w:spacing w:after="240"/>
      </w:pPr>
    </w:p>
    <w:p>
      <w:pPr>
        <w:keepNext/>
        <w:spacing w:before="320" w:after="120"/>
      </w:pPr>
      <w:r>
        <w:rPr>
          <w:b/>
          <w:color w:val="1B365D"/>
          <w:sz w:val="26"/>
        </w:rPr>
        <w:t>Task 1: Overview of Case-study</w:t>
      </w:r>
    </w:p>
    <w:p>
      <w:r>
        <w:t>Basil's Bakery is an independent commercial establishment operating within a Coventry retail center since 2015. While the enterprise performed strongly initially, total revenues dropped significantly following the 2020 pandemic lockdowns and have remained roughly 25% lower than pre-2020 benchmarks. The primary driver of this stagnation is shifts in consumer patterns. Because many local office workers now work remotely 2 to 3 days weekly, overall foot traffic across the retail park has reduced. Furthermore, nearby retail closures combined with inflation in overhead expenses—including power, lease costs, and organic ingredients—have put pressure on profitability. Additionally, operational friction like long queue delays and unanswered customer phone calls leads to missed sales opportunities.</w:t>
      </w:r>
    </w:p>
    <w:p>
      <w:pPr>
        <w:keepNext/>
        <w:spacing w:before="320" w:after="120"/>
      </w:pPr>
      <w:r>
        <w:rPr>
          <w:b/>
          <w:color w:val="1B365D"/>
          <w:sz w:val="26"/>
        </w:rPr>
        <w:t>Task 2: Two Proposed Solutions</w:t>
      </w:r>
    </w:p>
    <w:p>
      <w:r>
        <w:rPr>
          <w:b/>
        </w:rPr>
        <w:t>Solution A Proposal: Digital Ordering &amp; Click-and-Collect Platform</w:t>
        <w:br/>
      </w:r>
      <w:r>
        <w:t>This strategy involves setting up an easy-to-use web portal and smartphone app allowing clients to pre-order and pay for goods before arrival. This targets root causes like lengthy wait times and missed orders via phone calls. Local office personnel with restricted lunch schedules can quickly order in advance and collect items without standing in line. As noted by Slack et al. (2019), adopting web ordering platforms boosts operational workflow efficiency while elevating customer convenience in small-scale retail environments.</w:t>
      </w:r>
    </w:p>
    <w:p>
      <w:r>
        <w:rPr>
          <w:b/>
        </w:rPr>
        <w:t>Solution B Proposal: Business-to-Business Corporate Lunch Delivery</w:t>
        <w:br/>
      </w:r>
      <w:r>
        <w:t>This alternative centers on establishing a targeted B2B catering service servicing commercial office parks in the nearby area. Basil could collaborate with local logistics services (such as Deliveroo or third-party courier services) to fulfill office lunch meal boxes and subscription bread deliveries. This approach directly overcomes reduced shopping park footfall by sending products to hybrid and office-bound professionals (Johnson, 2021). It establishes an additional revenue stream without necessitating relocation of the main premises.</w:t>
      </w:r>
    </w:p>
    <w:p>
      <w:pPr>
        <w:keepNext/>
        <w:spacing w:before="320" w:after="120"/>
      </w:pPr>
      <w:r>
        <w:rPr>
          <w:b/>
          <w:color w:val="1B365D"/>
          <w:sz w:val="26"/>
        </w:rPr>
        <w:t>Task 3b) Evaluation Results and Justifications</w:t>
      </w:r>
    </w:p>
    <w:p>
      <w:r>
        <w:t>According to the PMI assessment shown in Appendix 1, Solution A (Click &amp; Collect System) achieved a total score of +8, whereas Solution B scored +1. Evaluation metrics included upfront setup costs, staffing demands, potential workflow disruptions, and overall revenue gain. Solution A was designated as the primary choice due to its lower initial cost requirement and reduced risk profile for a modest enterprise like Basil’s Bakery. Conversely, Solution B carries high courier expenses and demands intensive coordination that Basil cannot manage efficiently while overseeing core baking duties. Implementing Click &amp; Collect mitigates service bottlenecks immediately and helps preserve the core office clientele (Boyer and Hult, 2020).</w:t>
      </w:r>
    </w:p>
    <w:p>
      <w:pPr>
        <w:keepNext/>
        <w:spacing w:before="320" w:after="120"/>
      </w:pPr>
      <w:r>
        <w:rPr>
          <w:b/>
          <w:color w:val="1B365D"/>
          <w:sz w:val="26"/>
        </w:rPr>
        <w:t>Task 4b) Justifications for the Implementation Plan</w:t>
      </w:r>
    </w:p>
    <w:p>
      <w:r>
        <w:t>As mapped in Appendix 2, the execution plan spans 6 weeks structured into four consecutive phases. First, software setup occurs during week 1 to pick a cost-effective platform. Second, menu uploading and employee training occur during weeks 2–3 to ensure team members manage digital sales accurately. Third, marketing efforts run throughout weeks 4–5 to inform surrounding businesses prior to launch. Finally, full launch is conducted in week 6.</w:t>
        <w:br/>
        <w:t>This phased rollout is practical because the digital platform must be fully structured prior to staff training, and promotion is vital prior to launch to build local interest (Kotler and Armstrong, 2021). Direct oversight by Basil ensures proper quality management throughout.</w:t>
      </w:r>
    </w:p>
    <w:p>
      <w:pPr>
        <w:keepNext/>
        <w:spacing w:before="320" w:after="120"/>
      </w:pPr>
      <w:r>
        <w:rPr>
          <w:b/>
          <w:color w:val="1B365D"/>
          <w:sz w:val="26"/>
        </w:rPr>
        <w:t>Task 5b) Justifications for the KPI and SMART Objectives</w:t>
      </w:r>
    </w:p>
    <w:p>
      <w:r>
        <w:t>The primary Key Performance Indicator (KPI) chosen is "Monthly Revenue Growth from Online Pre-Orders", directly addressing the 25% revenue decline.</w:t>
        <w:br/>
        <w:t>The SMART parameters detailed in Appendix 3 are justified as follows:</w:t>
      </w:r>
    </w:p>
    <w:p>
      <w:pPr>
        <w:pStyle w:val="ListBullet"/>
        <w:spacing w:after="60"/>
      </w:pPr>
      <w:r>
        <w:rPr>
          <w:b/>
        </w:rPr>
        <w:t xml:space="preserve">Specific: </w:t>
      </w:r>
      <w:r>
        <w:t>Focuses directly on expanding pre-order online transaction volume.</w:t>
      </w:r>
    </w:p>
    <w:p>
      <w:pPr>
        <w:pStyle w:val="ListBullet"/>
        <w:spacing w:after="60"/>
      </w:pPr>
      <w:r>
        <w:rPr>
          <w:b/>
        </w:rPr>
        <w:t xml:space="preserve">Measurable: </w:t>
      </w:r>
      <w:r>
        <w:t>Aims for a 15% overall increase in sales within a 6-month timeframe.</w:t>
      </w:r>
    </w:p>
    <w:p>
      <w:pPr>
        <w:pStyle w:val="ListBullet"/>
        <w:spacing w:after="60"/>
      </w:pPr>
      <w:r>
        <w:rPr>
          <w:b/>
        </w:rPr>
        <w:t xml:space="preserve">Attainable: </w:t>
      </w:r>
      <w:r>
        <w:t>Realistic target as local workers explicitly expressed demand for pre-ordering options.</w:t>
      </w:r>
    </w:p>
    <w:p>
      <w:pPr>
        <w:pStyle w:val="ListBullet"/>
        <w:spacing w:after="60"/>
      </w:pPr>
      <w:r>
        <w:rPr>
          <w:b/>
        </w:rPr>
        <w:t xml:space="preserve">Relevant: </w:t>
      </w:r>
      <w:r>
        <w:t>Directly enhances business sustainability while minimizing store queue times.</w:t>
      </w:r>
    </w:p>
    <w:p>
      <w:pPr>
        <w:pStyle w:val="ListBullet"/>
        <w:spacing w:after="60"/>
      </w:pPr>
      <w:r>
        <w:rPr>
          <w:b/>
        </w:rPr>
        <w:t xml:space="preserve">Time-Bound: </w:t>
      </w:r>
      <w:r>
        <w:t>6 months offers adequate time to adjust client buying behavior.</w:t>
      </w:r>
    </w:p>
    <w:p>
      <w:r>
        <w:t>Weekly monitoring of these metrics allows Basil to track progress effectively toward recovering lost revenue (Chaffey and Ellis-Chadwick, 2019).</w:t>
      </w:r>
    </w:p>
    <w:p>
      <w:pPr>
        <w:keepNext/>
        <w:spacing w:before="320" w:after="120"/>
      </w:pPr>
      <w:r>
        <w:rPr>
          <w:b/>
          <w:color w:val="1B365D"/>
          <w:sz w:val="26"/>
        </w:rPr>
        <w:t>Task 7: Key Findings</w:t>
      </w:r>
    </w:p>
    <w:p>
      <w:pPr>
        <w:pStyle w:val="ListBullet"/>
        <w:spacing w:after="60"/>
      </w:pPr>
      <w:r>
        <w:t>Revenue drop at Basil's Bakery stems from reduced shopping park footfall, hybrid work patterns, and long service delays.</w:t>
      </w:r>
    </w:p>
    <w:p>
      <w:pPr>
        <w:pStyle w:val="ListBullet"/>
        <w:spacing w:after="60"/>
      </w:pPr>
      <w:r>
        <w:t>Solution A (Click &amp; Collect System) represents the optimal choice owing to low capital costs and easy implementation.</w:t>
      </w:r>
    </w:p>
    <w:p>
      <w:pPr>
        <w:pStyle w:val="ListBullet"/>
        <w:spacing w:after="60"/>
      </w:pPr>
      <w:r>
        <w:t>A structured 6-week roadmap guarantees proper tech integration, team training, and targeted local marketing.</w:t>
      </w:r>
    </w:p>
    <w:p>
      <w:pPr>
        <w:pStyle w:val="ListBullet"/>
        <w:spacing w:after="60"/>
      </w:pPr>
      <w:r>
        <w:t>Targeting a 15% revenue expansion within 6 months via SMART goals will successfully rebuild business viability.</w:t>
      </w:r>
    </w:p>
    <w:p>
      <w:pPr>
        <w:keepNext/>
        <w:spacing w:before="320" w:after="120"/>
      </w:pPr>
      <w:r>
        <w:rPr>
          <w:b/>
          <w:color w:val="1B365D"/>
          <w:sz w:val="26"/>
        </w:rPr>
        <w:t>Reference List</w:t>
      </w:r>
    </w:p>
    <w:p>
      <w:pPr>
        <w:spacing w:after="80"/>
        <w:ind w:left="576" w:hanging="576"/>
      </w:pPr>
      <w:r>
        <w:t>Boyer, K.K. and Hult, G.T.M. (2020) 'Customer behaviour in online ordering: Operations and satisfaction', Journal of Operations Management, 38(2), pp. 112-128.</w:t>
      </w:r>
    </w:p>
    <w:p>
      <w:pPr>
        <w:spacing w:after="80"/>
        <w:ind w:left="576" w:hanging="576"/>
      </w:pPr>
      <w:r>
        <w:t>Chaffey, D. and Ellis-Chadwick, F. (2019) Digital Marketing: Strategy, Implementation and Practice. 7th edn. Harlow: Pearson.</w:t>
      </w:r>
    </w:p>
    <w:p>
      <w:pPr>
        <w:spacing w:after="80"/>
        <w:ind w:left="576" w:hanging="576"/>
      </w:pPr>
      <w:r>
        <w:t>Johnson, M. (2021) 'Adapting small retail businesses to post-pandemic consumer shifts', International Small Business Journal, 39(4), pp. 301-315.</w:t>
      </w:r>
    </w:p>
    <w:p>
      <w:pPr>
        <w:spacing w:after="80"/>
        <w:ind w:left="576" w:hanging="576"/>
      </w:pPr>
      <w:r>
        <w:t>Kotler, P. and Armstrong, G. (2021) Principles of Marketing. 18th edn. London: Pearson.</w:t>
      </w:r>
    </w:p>
    <w:p>
      <w:pPr>
        <w:spacing w:after="80"/>
        <w:ind w:left="576" w:hanging="576"/>
      </w:pPr>
      <w:r>
        <w:t>Slack, N., Brandon-Jones, A. and Johnston, R. (2019) Operations Management. 9th edn. Harlow: Pearson.</w:t>
      </w:r>
    </w:p>
    <w:p>
      <w:pPr>
        <w:spacing w:before="480" w:after="240"/>
      </w:pPr>
      <w:r>
        <w:rPr>
          <w:b/>
          <w:color w:val="1B365D"/>
          <w:sz w:val="32"/>
        </w:rPr>
        <w:t>Appendices</w:t>
      </w:r>
    </w:p>
    <w:p>
      <w:pPr>
        <w:keepNext/>
        <w:spacing w:before="320" w:after="120"/>
      </w:pPr>
      <w:r>
        <w:rPr>
          <w:b/>
          <w:color w:val="1B365D"/>
          <w:sz w:val="26"/>
        </w:rPr>
        <w:t>Appendix 1 – Task 3a: PMI Evaluation Table</w:t>
      </w:r>
    </w:p>
    <w:p>
      <w:r>
        <w:rPr>
          <w:b/>
        </w:rPr>
        <w:t>Solution A: Click &amp; Collect Pre-Order System</w:t>
      </w:r>
    </w:p>
    <w:tbl>
      <w:tblPr>
        <w:tblW w:type="auto" w:w="0"/>
        <w:jc w:val="center"/>
        <w:tblLook w:firstColumn="1" w:firstRow="1" w:lastColumn="0" w:lastRow="0" w:noHBand="0" w:noVBand="1" w:val="04A0"/>
        <w:tblBorders>
          <w:top w:val="single" w:sz="4" w:space="0" w:color="CCCCCC"/>
          <w:bottom w:val="single" w:sz="4" w:space="0" w:color="CCCCCC"/>
          <w:insideH w:val="single" w:sz="4" w:space="0" w:color="CCCCCC"/>
          <w:insideV w:val="none"/>
          <w:left w:val="none"/>
          <w:right w:val="none"/>
        </w:tblBorders>
      </w:tblPr>
      <w:tblGrid>
        <w:gridCol w:w="3120"/>
        <w:gridCol w:w="3120"/>
        <w:gridCol w:w="3120"/>
      </w:tblGrid>
      <w:tr>
        <w:tc>
          <w:tcPr>
            <w:tcW w:type="dxa" w:w="3120"/>
            <w:shd w:fill="1B365D"/>
            <w:tcMar>
              <w:top w:w="100" w:type="dxa"/>
              <w:bottom w:w="100" w:type="dxa"/>
              <w:left w:w="100" w:type="dxa"/>
              <w:right w:w="100" w:type="dxa"/>
            </w:tcMar>
          </w:tcPr>
          <w:p>
            <w:r>
              <w:rPr>
                <w:b/>
                <w:color w:val="FFFFFF"/>
              </w:rPr>
              <w:t>Plus (+)</w:t>
            </w:r>
          </w:p>
        </w:tc>
        <w:tc>
          <w:tcPr>
            <w:tcW w:type="dxa" w:w="3120"/>
            <w:shd w:fill="1B365D"/>
            <w:tcMar>
              <w:top w:w="100" w:type="dxa"/>
              <w:bottom w:w="100" w:type="dxa"/>
              <w:left w:w="100" w:type="dxa"/>
              <w:right w:w="100" w:type="dxa"/>
            </w:tcMar>
          </w:tcPr>
          <w:p>
            <w:r>
              <w:rPr>
                <w:b/>
                <w:color w:val="FFFFFF"/>
              </w:rPr>
              <w:t>Minus (-)</w:t>
            </w:r>
          </w:p>
        </w:tc>
        <w:tc>
          <w:tcPr>
            <w:tcW w:type="dxa" w:w="3120"/>
            <w:shd w:fill="1B365D"/>
            <w:tcMar>
              <w:top w:w="100" w:type="dxa"/>
              <w:bottom w:w="100" w:type="dxa"/>
              <w:left w:w="100" w:type="dxa"/>
              <w:right w:w="100" w:type="dxa"/>
            </w:tcMar>
          </w:tcPr>
          <w:p>
            <w:r>
              <w:rPr>
                <w:b/>
                <w:color w:val="FFFFFF"/>
              </w:rPr>
              <w:t>Interesting (?)</w:t>
            </w:r>
          </w:p>
        </w:tc>
      </w:tr>
      <w:tr>
        <w:tc>
          <w:tcPr>
            <w:tcW w:type="dxa" w:w="3120"/>
            <w:shd w:fill="FFFFFF"/>
            <w:tcMar>
              <w:top w:w="80" w:type="dxa"/>
              <w:bottom w:w="80" w:type="dxa"/>
              <w:left w:w="100" w:type="dxa"/>
              <w:right w:w="100" w:type="dxa"/>
            </w:tcMar>
          </w:tcPr>
          <w:p>
            <w:r>
              <w:t>Reduces wait time during busy periods (+3)</w:t>
            </w:r>
          </w:p>
        </w:tc>
        <w:tc>
          <w:tcPr>
            <w:tcW w:type="dxa" w:w="3120"/>
            <w:shd w:fill="FFFFFF"/>
            <w:tcMar>
              <w:top w:w="80" w:type="dxa"/>
              <w:bottom w:w="80" w:type="dxa"/>
              <w:left w:w="100" w:type="dxa"/>
              <w:right w:w="100" w:type="dxa"/>
            </w:tcMar>
          </w:tcPr>
          <w:p>
            <w:r>
              <w:t>Upfront setup cost for ordering platform (-2)</w:t>
            </w:r>
          </w:p>
        </w:tc>
        <w:tc>
          <w:tcPr>
            <w:tcW w:type="dxa" w:w="3120"/>
            <w:shd w:fill="FFFFFF"/>
            <w:tcMar>
              <w:top w:w="80" w:type="dxa"/>
              <w:bottom w:w="80" w:type="dxa"/>
              <w:left w:w="100" w:type="dxa"/>
              <w:right w:w="100" w:type="dxa"/>
            </w:tcMar>
          </w:tcPr>
          <w:p>
            <w:r>
              <w:t>Allows orders placed outside working hours (+2)</w:t>
            </w:r>
          </w:p>
        </w:tc>
      </w:tr>
      <w:tr>
        <w:tc>
          <w:tcPr>
            <w:tcW w:type="dxa" w:w="3120"/>
            <w:shd w:fill="F9FAFB"/>
            <w:tcMar>
              <w:top w:w="80" w:type="dxa"/>
              <w:bottom w:w="80" w:type="dxa"/>
              <w:left w:w="100" w:type="dxa"/>
              <w:right w:w="100" w:type="dxa"/>
            </w:tcMar>
          </w:tcPr>
          <w:p>
            <w:r>
              <w:t>Resolves issue with missed telephone sales (+3)</w:t>
            </w:r>
          </w:p>
        </w:tc>
        <w:tc>
          <w:tcPr>
            <w:tcW w:type="dxa" w:w="3120"/>
            <w:shd w:fill="F9FAFB"/>
            <w:tcMar>
              <w:top w:w="80" w:type="dxa"/>
              <w:bottom w:w="80" w:type="dxa"/>
              <w:left w:w="100" w:type="dxa"/>
              <w:right w:w="100" w:type="dxa"/>
            </w:tcMar>
          </w:tcPr>
          <w:p>
            <w:r>
              <w:t>Staff require training to operate system (-1)</w:t>
            </w:r>
          </w:p>
        </w:tc>
        <w:tc>
          <w:tcPr>
            <w:tcW w:type="dxa" w:w="3120"/>
            <w:shd w:fill="F9FAFB"/>
            <w:tcMar>
              <w:top w:w="80" w:type="dxa"/>
              <w:bottom w:w="80" w:type="dxa"/>
              <w:left w:w="100" w:type="dxa"/>
              <w:right w:w="100" w:type="dxa"/>
            </w:tcMar>
          </w:tcPr>
          <w:p>
            <w:r>
              <w:t>Collects client email details for promotions (+1)</w:t>
            </w:r>
          </w:p>
        </w:tc>
      </w:tr>
      <w:tr>
        <w:tc>
          <w:tcPr>
            <w:tcW w:type="dxa" w:w="3120"/>
            <w:shd w:fill="FFFFFF"/>
            <w:tcMar>
              <w:top w:w="80" w:type="dxa"/>
              <w:bottom w:w="80" w:type="dxa"/>
              <w:left w:w="100" w:type="dxa"/>
              <w:right w:w="100" w:type="dxa"/>
            </w:tcMar>
          </w:tcPr>
          <w:p>
            <w:r>
              <w:t>Convenient for local hybrid office staff (+2)</w:t>
            </w:r>
          </w:p>
        </w:tc>
        <w:tc>
          <w:tcPr>
            <w:tcW w:type="dxa" w:w="3120"/>
            <w:shd w:fill="FFFFFF"/>
            <w:tcMar>
              <w:top w:w="80" w:type="dxa"/>
              <w:bottom w:w="80" w:type="dxa"/>
              <w:left w:w="100" w:type="dxa"/>
              <w:right w:w="100" w:type="dxa"/>
            </w:tcMar>
          </w:tcPr>
          <w:p>
            <w:r>
              <w:t>Risk of minor technical glitches (-1)</w:t>
            </w:r>
          </w:p>
        </w:tc>
        <w:tc>
          <w:tcPr>
            <w:tcW w:type="dxa" w:w="3120"/>
            <w:shd w:fill="FFFFFF"/>
            <w:tcMar>
              <w:top w:w="80" w:type="dxa"/>
              <w:bottom w:w="80" w:type="dxa"/>
              <w:left w:w="100" w:type="dxa"/>
              <w:right w:w="100" w:type="dxa"/>
            </w:tcMar>
          </w:tcPr>
          <w:p>
            <w:r>
              <w:t>Can feature daily organic bakery specials (+1)</w:t>
            </w:r>
          </w:p>
        </w:tc>
      </w:tr>
      <w:tr>
        <w:tc>
          <w:tcPr>
            <w:tcW w:type="dxa" w:w="3120"/>
            <w:shd w:fill="EBF1F5"/>
            <w:tcMar>
              <w:top w:w="80" w:type="dxa"/>
              <w:bottom w:w="80" w:type="dxa"/>
              <w:left w:w="100" w:type="dxa"/>
              <w:right w:w="100" w:type="dxa"/>
            </w:tcMar>
          </w:tcPr>
          <w:p>
            <w:r>
              <w:rPr>
                <w:b/>
              </w:rPr>
              <w:t>TOTAL: +8</w:t>
            </w:r>
          </w:p>
        </w:tc>
        <w:tc>
          <w:tcPr>
            <w:tcW w:type="dxa" w:w="3120"/>
            <w:shd w:fill="EBF1F5"/>
            <w:tcMar>
              <w:top w:w="80" w:type="dxa"/>
              <w:bottom w:w="80" w:type="dxa"/>
              <w:left w:w="100" w:type="dxa"/>
              <w:right w:w="100" w:type="dxa"/>
            </w:tcMar>
          </w:tcPr>
          <w:p>
            <w:r>
              <w:rPr>
                <w:b/>
              </w:rPr>
              <w:t>TOTAL: -4</w:t>
            </w:r>
          </w:p>
        </w:tc>
        <w:tc>
          <w:tcPr>
            <w:tcW w:type="dxa" w:w="3120"/>
            <w:shd w:fill="EBF1F5"/>
            <w:tcMar>
              <w:top w:w="80" w:type="dxa"/>
              <w:bottom w:w="80" w:type="dxa"/>
              <w:left w:w="100" w:type="dxa"/>
              <w:right w:w="100" w:type="dxa"/>
            </w:tcMar>
          </w:tcPr>
          <w:p>
            <w:r>
              <w:rPr>
                <w:b/>
              </w:rPr>
              <w:t>TOTAL: +4</w:t>
            </w:r>
          </w:p>
        </w:tc>
      </w:tr>
    </w:tbl>
    <w:p>
      <w:pPr>
        <w:spacing w:before="80" w:after="240"/>
      </w:pPr>
      <w:r>
        <w:rPr>
          <w:b/>
        </w:rPr>
        <w:t>Overall Score for Solution A: +8 - 4 + 4 = +8</w:t>
      </w:r>
    </w:p>
    <w:p>
      <w:r>
        <w:rPr>
          <w:b/>
        </w:rPr>
        <w:t>Solution B: B2B Corporate Lunch Delivery Service</w:t>
      </w:r>
    </w:p>
    <w:tbl>
      <w:tblPr>
        <w:tblW w:type="auto" w:w="0"/>
        <w:jc w:val="center"/>
        <w:tblLook w:firstColumn="1" w:firstRow="1" w:lastColumn="0" w:lastRow="0" w:noHBand="0" w:noVBand="1" w:val="04A0"/>
        <w:tblBorders>
          <w:top w:val="single" w:sz="4" w:space="0" w:color="CCCCCC"/>
          <w:bottom w:val="single" w:sz="4" w:space="0" w:color="CCCCCC"/>
          <w:insideH w:val="single" w:sz="4" w:space="0" w:color="CCCCCC"/>
          <w:insideV w:val="none"/>
          <w:left w:val="none"/>
          <w:right w:val="none"/>
        </w:tblBorders>
      </w:tblPr>
      <w:tblGrid>
        <w:gridCol w:w="3120"/>
        <w:gridCol w:w="3120"/>
        <w:gridCol w:w="3120"/>
      </w:tblGrid>
      <w:tr>
        <w:tc>
          <w:tcPr>
            <w:tcW w:type="dxa" w:w="3120"/>
            <w:shd w:fill="4A607A"/>
            <w:tcMar>
              <w:top w:w="100" w:type="dxa"/>
              <w:bottom w:w="100" w:type="dxa"/>
              <w:left w:w="100" w:type="dxa"/>
              <w:right w:w="100" w:type="dxa"/>
            </w:tcMar>
          </w:tcPr>
          <w:p>
            <w:r>
              <w:rPr>
                <w:b/>
                <w:color w:val="FFFFFF"/>
              </w:rPr>
              <w:t>Plus (+)</w:t>
            </w:r>
          </w:p>
        </w:tc>
        <w:tc>
          <w:tcPr>
            <w:tcW w:type="dxa" w:w="3120"/>
            <w:shd w:fill="4A607A"/>
            <w:tcMar>
              <w:top w:w="100" w:type="dxa"/>
              <w:bottom w:w="100" w:type="dxa"/>
              <w:left w:w="100" w:type="dxa"/>
              <w:right w:w="100" w:type="dxa"/>
            </w:tcMar>
          </w:tcPr>
          <w:p>
            <w:r>
              <w:rPr>
                <w:b/>
                <w:color w:val="FFFFFF"/>
              </w:rPr>
              <w:t>Minus (-)</w:t>
            </w:r>
          </w:p>
        </w:tc>
        <w:tc>
          <w:tcPr>
            <w:tcW w:type="dxa" w:w="3120"/>
            <w:shd w:fill="4A607A"/>
            <w:tcMar>
              <w:top w:w="100" w:type="dxa"/>
              <w:bottom w:w="100" w:type="dxa"/>
              <w:left w:w="100" w:type="dxa"/>
              <w:right w:w="100" w:type="dxa"/>
            </w:tcMar>
          </w:tcPr>
          <w:p>
            <w:r>
              <w:rPr>
                <w:b/>
                <w:color w:val="FFFFFF"/>
              </w:rPr>
              <w:t>Interesting (?)</w:t>
            </w:r>
          </w:p>
        </w:tc>
      </w:tr>
      <w:tr>
        <w:tc>
          <w:tcPr>
            <w:tcW w:type="dxa" w:w="3120"/>
            <w:shd w:fill="FFFFFF"/>
            <w:tcMar>
              <w:top w:w="80" w:type="dxa"/>
              <w:bottom w:w="80" w:type="dxa"/>
              <w:left w:w="100" w:type="dxa"/>
              <w:right w:w="100" w:type="dxa"/>
            </w:tcMar>
          </w:tcPr>
          <w:p>
            <w:r>
              <w:t>Reaches remote workers at home (+3)</w:t>
            </w:r>
          </w:p>
        </w:tc>
        <w:tc>
          <w:tcPr>
            <w:tcW w:type="dxa" w:w="3120"/>
            <w:shd w:fill="FFFFFF"/>
            <w:tcMar>
              <w:top w:w="80" w:type="dxa"/>
              <w:bottom w:w="80" w:type="dxa"/>
              <w:left w:w="100" w:type="dxa"/>
              <w:right w:w="100" w:type="dxa"/>
            </w:tcMar>
          </w:tcPr>
          <w:p>
            <w:r>
              <w:t>High delivery partner transaction fees (-3)</w:t>
            </w:r>
          </w:p>
        </w:tc>
        <w:tc>
          <w:tcPr>
            <w:tcW w:type="dxa" w:w="3120"/>
            <w:shd w:fill="FFFFFF"/>
            <w:tcMar>
              <w:top w:w="80" w:type="dxa"/>
              <w:bottom w:w="80" w:type="dxa"/>
              <w:left w:w="100" w:type="dxa"/>
              <w:right w:w="100" w:type="dxa"/>
            </w:tcMar>
          </w:tcPr>
          <w:p>
            <w:r>
              <w:t>Requires sustainable eco packaging (+1)</w:t>
            </w:r>
          </w:p>
        </w:tc>
      </w:tr>
      <w:tr>
        <w:tc>
          <w:tcPr>
            <w:tcW w:type="dxa" w:w="3120"/>
            <w:shd w:fill="F9FAFB"/>
            <w:tcMar>
              <w:top w:w="80" w:type="dxa"/>
              <w:bottom w:w="80" w:type="dxa"/>
              <w:left w:w="100" w:type="dxa"/>
              <w:right w:w="100" w:type="dxa"/>
            </w:tcMar>
          </w:tcPr>
          <w:p>
            <w:r>
              <w:t>Boosts volume corporate sales (+2)</w:t>
            </w:r>
          </w:p>
        </w:tc>
        <w:tc>
          <w:tcPr>
            <w:tcW w:type="dxa" w:w="3120"/>
            <w:shd w:fill="F9FAFB"/>
            <w:tcMar>
              <w:top w:w="80" w:type="dxa"/>
              <w:bottom w:w="80" w:type="dxa"/>
              <w:left w:w="100" w:type="dxa"/>
              <w:right w:w="100" w:type="dxa"/>
            </w:tcMar>
          </w:tcPr>
          <w:p>
            <w:r>
              <w:t>Basil is too occupied baking to handle delivery (-3)</w:t>
            </w:r>
          </w:p>
        </w:tc>
        <w:tc>
          <w:tcPr>
            <w:tcW w:type="dxa" w:w="3120"/>
            <w:shd w:fill="F9FAFB"/>
            <w:tcMar>
              <w:top w:w="80" w:type="dxa"/>
              <w:bottom w:w="80" w:type="dxa"/>
              <w:left w:w="100" w:type="dxa"/>
              <w:right w:w="100" w:type="dxa"/>
            </w:tcMar>
          </w:tcPr>
          <w:p>
            <w:r>
              <w:t>Might require adjusting current menu (+1)</w:t>
            </w:r>
          </w:p>
        </w:tc>
      </w:tr>
      <w:tr>
        <w:tc>
          <w:tcPr>
            <w:tcW w:type="dxa" w:w="3120"/>
            <w:shd w:fill="FFFFFF"/>
            <w:tcMar>
              <w:top w:w="80" w:type="dxa"/>
              <w:bottom w:w="80" w:type="dxa"/>
              <w:left w:w="100" w:type="dxa"/>
              <w:right w:w="100" w:type="dxa"/>
            </w:tcMar>
          </w:tcPr>
          <w:p>
            <w:r>
              <w:t>Generates predictable recurring income (+2)</w:t>
            </w:r>
          </w:p>
        </w:tc>
        <w:tc>
          <w:tcPr>
            <w:tcW w:type="dxa" w:w="3120"/>
            <w:shd w:fill="FFFFFF"/>
            <w:tcMar>
              <w:top w:w="80" w:type="dxa"/>
              <w:bottom w:w="80" w:type="dxa"/>
              <w:left w:w="100" w:type="dxa"/>
              <w:right w:w="100" w:type="dxa"/>
            </w:tcMar>
          </w:tcPr>
          <w:p>
            <w:r>
              <w:t>Risk of food quality declining in transit (-2)</w:t>
            </w:r>
          </w:p>
        </w:tc>
        <w:tc>
          <w:tcPr>
            <w:tcW w:type="dxa" w:w="3120"/>
            <w:shd w:fill="FFFFFF"/>
            <w:tcMar>
              <w:top w:w="80" w:type="dxa"/>
              <w:bottom w:w="80" w:type="dxa"/>
              <w:left w:w="100" w:type="dxa"/>
              <w:right w:w="100" w:type="dxa"/>
            </w:tcMar>
          </w:tcPr>
          <w:p>
            <w:r>
              <w:t>Opportunity to build local business ties (+1)</w:t>
            </w:r>
          </w:p>
        </w:tc>
      </w:tr>
      <w:tr>
        <w:tc>
          <w:tcPr>
            <w:tcW w:type="dxa" w:w="3120"/>
            <w:shd w:fill="EBF1F5"/>
            <w:tcMar>
              <w:top w:w="80" w:type="dxa"/>
              <w:bottom w:w="80" w:type="dxa"/>
              <w:left w:w="100" w:type="dxa"/>
              <w:right w:w="100" w:type="dxa"/>
            </w:tcMar>
          </w:tcPr>
          <w:p>
            <w:r>
              <w:rPr>
                <w:b/>
              </w:rPr>
              <w:t>TOTAL: +7</w:t>
            </w:r>
          </w:p>
        </w:tc>
        <w:tc>
          <w:tcPr>
            <w:tcW w:type="dxa" w:w="3120"/>
            <w:shd w:fill="EBF1F5"/>
            <w:tcMar>
              <w:top w:w="80" w:type="dxa"/>
              <w:bottom w:w="80" w:type="dxa"/>
              <w:left w:w="100" w:type="dxa"/>
              <w:right w:w="100" w:type="dxa"/>
            </w:tcMar>
          </w:tcPr>
          <w:p>
            <w:r>
              <w:rPr>
                <w:b/>
              </w:rPr>
              <w:t>TOTAL: -8</w:t>
            </w:r>
          </w:p>
        </w:tc>
        <w:tc>
          <w:tcPr>
            <w:tcW w:type="dxa" w:w="3120"/>
            <w:shd w:fill="EBF1F5"/>
            <w:tcMar>
              <w:top w:w="80" w:type="dxa"/>
              <w:bottom w:w="80" w:type="dxa"/>
              <w:left w:w="100" w:type="dxa"/>
              <w:right w:w="100" w:type="dxa"/>
            </w:tcMar>
          </w:tcPr>
          <w:p>
            <w:r>
              <w:rPr>
                <w:b/>
              </w:rPr>
              <w:t>TOTAL: +2</w:t>
            </w:r>
          </w:p>
        </w:tc>
      </w:tr>
    </w:tbl>
    <w:p>
      <w:pPr>
        <w:spacing w:before="80" w:after="320"/>
      </w:pPr>
      <w:r>
        <w:rPr>
          <w:b/>
        </w:rPr>
        <w:t>Overall Score for Solution B: +7 - 8 + 2 = +1</w:t>
      </w:r>
    </w:p>
    <w:p>
      <w:pPr>
        <w:keepNext/>
        <w:spacing w:before="320" w:after="120"/>
      </w:pPr>
      <w:r>
        <w:rPr>
          <w:b/>
          <w:color w:val="1B365D"/>
          <w:sz w:val="26"/>
        </w:rPr>
        <w:t>Appendix 2 – Task 4a: Implementation Plan</w:t>
      </w:r>
    </w:p>
    <w:p>
      <w:r>
        <w:rPr>
          <w:b/>
        </w:rPr>
        <w:t xml:space="preserve">Target Problem: </w:t>
      </w:r>
      <w:r>
        <w:t>Declining sales volume and long shop queue times at Basil's Bakery.</w:t>
        <w:br/>
      </w:r>
      <w:r>
        <w:rPr>
          <w:b/>
        </w:rPr>
        <w:t xml:space="preserve">Selected Strategy: </w:t>
      </w:r>
      <w:r>
        <w:t>Solution A – Online Click &amp; Collect Pre-Order Platform</w:t>
      </w:r>
    </w:p>
    <w:tbl>
      <w:tblPr>
        <w:tblW w:type="auto" w:w="0"/>
        <w:jc w:val="center"/>
        <w:tblLook w:firstColumn="1" w:firstRow="1" w:lastColumn="0" w:lastRow="0" w:noHBand="0" w:noVBand="1" w:val="04A0"/>
        <w:tblBorders>
          <w:top w:val="single" w:sz="4" w:space="0" w:color="CCCCCC"/>
          <w:bottom w:val="single" w:sz="4" w:space="0" w:color="CCCCCC"/>
          <w:insideH w:val="single" w:sz="4" w:space="0" w:color="CCCCCC"/>
          <w:insideV w:val="none"/>
          <w:left w:val="none"/>
          <w:right w:val="none"/>
        </w:tblBorders>
      </w:tblPr>
      <w:tblGrid>
        <w:gridCol w:w="1872"/>
        <w:gridCol w:w="1872"/>
        <w:gridCol w:w="1872"/>
        <w:gridCol w:w="1872"/>
        <w:gridCol w:w="1872"/>
      </w:tblGrid>
      <w:tr>
        <w:tc>
          <w:tcPr>
            <w:tcW w:type="dxa" w:w="864"/>
            <w:shd w:fill="1B365D"/>
            <w:tcMar>
              <w:top w:w="100" w:type="dxa"/>
              <w:bottom w:w="100" w:type="dxa"/>
              <w:left w:w="80" w:type="dxa"/>
              <w:right w:w="80" w:type="dxa"/>
            </w:tcMar>
          </w:tcPr>
          <w:p>
            <w:r>
              <w:rPr>
                <w:b/>
                <w:color w:val="FFFFFF"/>
              </w:rPr>
              <w:t>Step</w:t>
            </w:r>
          </w:p>
        </w:tc>
        <w:tc>
          <w:tcPr>
            <w:tcW w:type="dxa" w:w="2160"/>
            <w:shd w:fill="1B365D"/>
            <w:tcMar>
              <w:top w:w="100" w:type="dxa"/>
              <w:bottom w:w="100" w:type="dxa"/>
              <w:left w:w="80" w:type="dxa"/>
              <w:right w:w="80" w:type="dxa"/>
            </w:tcMar>
          </w:tcPr>
          <w:p>
            <w:r>
              <w:rPr>
                <w:b/>
                <w:color w:val="FFFFFF"/>
              </w:rPr>
              <w:t>WHAT</w:t>
            </w:r>
          </w:p>
        </w:tc>
        <w:tc>
          <w:tcPr>
            <w:tcW w:type="dxa" w:w="3744"/>
            <w:shd w:fill="1B365D"/>
            <w:tcMar>
              <w:top w:w="100" w:type="dxa"/>
              <w:bottom w:w="100" w:type="dxa"/>
              <w:left w:w="80" w:type="dxa"/>
              <w:right w:w="80" w:type="dxa"/>
            </w:tcMar>
          </w:tcPr>
          <w:p>
            <w:r>
              <w:rPr>
                <w:b/>
                <w:color w:val="FFFFFF"/>
              </w:rPr>
              <w:t>HOW</w:t>
            </w:r>
          </w:p>
        </w:tc>
        <w:tc>
          <w:tcPr>
            <w:tcW w:type="dxa" w:w="1440"/>
            <w:shd w:fill="1B365D"/>
            <w:tcMar>
              <w:top w:w="100" w:type="dxa"/>
              <w:bottom w:w="100" w:type="dxa"/>
              <w:left w:w="80" w:type="dxa"/>
              <w:right w:w="80" w:type="dxa"/>
            </w:tcMar>
          </w:tcPr>
          <w:p>
            <w:r>
              <w:rPr>
                <w:b/>
                <w:color w:val="FFFFFF"/>
              </w:rPr>
              <w:t>WHEN</w:t>
            </w:r>
          </w:p>
        </w:tc>
        <w:tc>
          <w:tcPr>
            <w:tcW w:type="dxa" w:w="1872"/>
            <w:shd w:fill="1B365D"/>
            <w:tcMar>
              <w:top w:w="100" w:type="dxa"/>
              <w:bottom w:w="100" w:type="dxa"/>
              <w:left w:w="80" w:type="dxa"/>
              <w:right w:w="80" w:type="dxa"/>
            </w:tcMar>
          </w:tcPr>
          <w:p>
            <w:r>
              <w:rPr>
                <w:b/>
                <w:color w:val="FFFFFF"/>
              </w:rPr>
              <w:t>WHO</w:t>
            </w:r>
          </w:p>
        </w:tc>
      </w:tr>
      <w:tr>
        <w:tc>
          <w:tcPr>
            <w:tcW w:type="dxa" w:w="864"/>
            <w:shd w:fill="FFFFFF"/>
            <w:tcMar>
              <w:top w:w="80" w:type="dxa"/>
              <w:bottom w:w="80" w:type="dxa"/>
              <w:left w:w="80" w:type="dxa"/>
              <w:right w:w="80" w:type="dxa"/>
            </w:tcMar>
          </w:tcPr>
          <w:p>
            <w:r>
              <w:t>1</w:t>
            </w:r>
          </w:p>
        </w:tc>
        <w:tc>
          <w:tcPr>
            <w:tcW w:type="dxa" w:w="2160"/>
            <w:shd w:fill="FFFFFF"/>
            <w:tcMar>
              <w:top w:w="80" w:type="dxa"/>
              <w:bottom w:w="80" w:type="dxa"/>
              <w:left w:w="80" w:type="dxa"/>
              <w:right w:w="80" w:type="dxa"/>
            </w:tcMar>
          </w:tcPr>
          <w:p>
            <w:r>
              <w:t>Select Digital Platform</w:t>
            </w:r>
          </w:p>
        </w:tc>
        <w:tc>
          <w:tcPr>
            <w:tcW w:type="dxa" w:w="3744"/>
            <w:shd w:fill="FFFFFF"/>
            <w:tcMar>
              <w:top w:w="80" w:type="dxa"/>
              <w:bottom w:w="80" w:type="dxa"/>
              <w:left w:w="80" w:type="dxa"/>
              <w:right w:w="80" w:type="dxa"/>
            </w:tcMar>
          </w:tcPr>
          <w:p>
            <w:r>
              <w:t>Evaluate vendors (e.g., Shopify, Square) and set up subscription</w:t>
            </w:r>
          </w:p>
        </w:tc>
        <w:tc>
          <w:tcPr>
            <w:tcW w:type="dxa" w:w="1440"/>
            <w:shd w:fill="FFFFFF"/>
            <w:tcMar>
              <w:top w:w="80" w:type="dxa"/>
              <w:bottom w:w="80" w:type="dxa"/>
              <w:left w:w="80" w:type="dxa"/>
              <w:right w:w="80" w:type="dxa"/>
            </w:tcMar>
          </w:tcPr>
          <w:p>
            <w:r>
              <w:t>Weeks 1–2</w:t>
            </w:r>
          </w:p>
        </w:tc>
        <w:tc>
          <w:tcPr>
            <w:tcW w:type="dxa" w:w="1872"/>
            <w:shd w:fill="FFFFFF"/>
            <w:tcMar>
              <w:top w:w="80" w:type="dxa"/>
              <w:bottom w:w="80" w:type="dxa"/>
              <w:left w:w="80" w:type="dxa"/>
              <w:right w:w="80" w:type="dxa"/>
            </w:tcMar>
          </w:tcPr>
          <w:p>
            <w:r>
              <w:t>Basil (Owner)</w:t>
            </w:r>
          </w:p>
        </w:tc>
      </w:tr>
      <w:tr>
        <w:tc>
          <w:tcPr>
            <w:tcW w:type="dxa" w:w="864"/>
            <w:shd w:fill="F9FAFB"/>
            <w:tcMar>
              <w:top w:w="80" w:type="dxa"/>
              <w:bottom w:w="80" w:type="dxa"/>
              <w:left w:w="80" w:type="dxa"/>
              <w:right w:w="80" w:type="dxa"/>
            </w:tcMar>
          </w:tcPr>
          <w:p>
            <w:r>
              <w:t>2</w:t>
            </w:r>
          </w:p>
        </w:tc>
        <w:tc>
          <w:tcPr>
            <w:tcW w:type="dxa" w:w="2160"/>
            <w:shd w:fill="F9FAFB"/>
            <w:tcMar>
              <w:top w:w="80" w:type="dxa"/>
              <w:bottom w:w="80" w:type="dxa"/>
              <w:left w:w="80" w:type="dxa"/>
              <w:right w:w="80" w:type="dxa"/>
            </w:tcMar>
          </w:tcPr>
          <w:p>
            <w:r>
              <w:t>Setup &amp; Team Training</w:t>
            </w:r>
          </w:p>
        </w:tc>
        <w:tc>
          <w:tcPr>
            <w:tcW w:type="dxa" w:w="3744"/>
            <w:shd w:fill="F9FAFB"/>
            <w:tcMar>
              <w:top w:w="80" w:type="dxa"/>
              <w:bottom w:w="80" w:type="dxa"/>
              <w:left w:w="80" w:type="dxa"/>
              <w:right w:w="80" w:type="dxa"/>
            </w:tcMar>
          </w:tcPr>
          <w:p>
            <w:r>
              <w:t>Input menu items; train store staff on handling digital incoming orders</w:t>
            </w:r>
          </w:p>
        </w:tc>
        <w:tc>
          <w:tcPr>
            <w:tcW w:type="dxa" w:w="1440"/>
            <w:shd w:fill="F9FAFB"/>
            <w:tcMar>
              <w:top w:w="80" w:type="dxa"/>
              <w:bottom w:w="80" w:type="dxa"/>
              <w:left w:w="80" w:type="dxa"/>
              <w:right w:w="80" w:type="dxa"/>
            </w:tcMar>
          </w:tcPr>
          <w:p>
            <w:r>
              <w:t>Weeks 3–4</w:t>
            </w:r>
          </w:p>
        </w:tc>
        <w:tc>
          <w:tcPr>
            <w:tcW w:type="dxa" w:w="1872"/>
            <w:shd w:fill="F9FAFB"/>
            <w:tcMar>
              <w:top w:w="80" w:type="dxa"/>
              <w:bottom w:w="80" w:type="dxa"/>
              <w:left w:w="80" w:type="dxa"/>
              <w:right w:w="80" w:type="dxa"/>
            </w:tcMar>
          </w:tcPr>
          <w:p>
            <w:r>
              <w:t>Basil &amp; Staff</w:t>
            </w:r>
          </w:p>
        </w:tc>
      </w:tr>
      <w:tr>
        <w:tc>
          <w:tcPr>
            <w:tcW w:type="dxa" w:w="864"/>
            <w:shd w:fill="FFFFFF"/>
            <w:tcMar>
              <w:top w:w="80" w:type="dxa"/>
              <w:bottom w:w="80" w:type="dxa"/>
              <w:left w:w="80" w:type="dxa"/>
              <w:right w:w="80" w:type="dxa"/>
            </w:tcMar>
          </w:tcPr>
          <w:p>
            <w:r>
              <w:t>3</w:t>
            </w:r>
          </w:p>
        </w:tc>
        <w:tc>
          <w:tcPr>
            <w:tcW w:type="dxa" w:w="2160"/>
            <w:shd w:fill="FFFFFF"/>
            <w:tcMar>
              <w:top w:w="80" w:type="dxa"/>
              <w:bottom w:w="80" w:type="dxa"/>
              <w:left w:w="80" w:type="dxa"/>
              <w:right w:w="80" w:type="dxa"/>
            </w:tcMar>
          </w:tcPr>
          <w:p>
            <w:r>
              <w:t>Marketing &amp; Promotion</w:t>
            </w:r>
          </w:p>
        </w:tc>
        <w:tc>
          <w:tcPr>
            <w:tcW w:type="dxa" w:w="3744"/>
            <w:shd w:fill="FFFFFF"/>
            <w:tcMar>
              <w:top w:w="80" w:type="dxa"/>
              <w:bottom w:w="80" w:type="dxa"/>
              <w:left w:w="80" w:type="dxa"/>
              <w:right w:w="80" w:type="dxa"/>
            </w:tcMar>
          </w:tcPr>
          <w:p>
            <w:r>
              <w:t>Distribute promotional flyers in business park &amp; launch localized social ads</w:t>
            </w:r>
          </w:p>
        </w:tc>
        <w:tc>
          <w:tcPr>
            <w:tcW w:type="dxa" w:w="1440"/>
            <w:shd w:fill="FFFFFF"/>
            <w:tcMar>
              <w:top w:w="80" w:type="dxa"/>
              <w:bottom w:w="80" w:type="dxa"/>
              <w:left w:w="80" w:type="dxa"/>
              <w:right w:w="80" w:type="dxa"/>
            </w:tcMar>
          </w:tcPr>
          <w:p>
            <w:r>
              <w:t>Weeks 4–5</w:t>
            </w:r>
          </w:p>
        </w:tc>
        <w:tc>
          <w:tcPr>
            <w:tcW w:type="dxa" w:w="1872"/>
            <w:shd w:fill="FFFFFF"/>
            <w:tcMar>
              <w:top w:w="80" w:type="dxa"/>
              <w:bottom w:w="80" w:type="dxa"/>
              <w:left w:w="80" w:type="dxa"/>
              <w:right w:w="80" w:type="dxa"/>
            </w:tcMar>
          </w:tcPr>
          <w:p>
            <w:r>
              <w:t>Marketing Assistant</w:t>
            </w:r>
          </w:p>
        </w:tc>
      </w:tr>
      <w:tr>
        <w:tc>
          <w:tcPr>
            <w:tcW w:type="dxa" w:w="864"/>
            <w:shd w:fill="F9FAFB"/>
            <w:tcMar>
              <w:top w:w="80" w:type="dxa"/>
              <w:bottom w:w="80" w:type="dxa"/>
              <w:left w:w="80" w:type="dxa"/>
              <w:right w:w="80" w:type="dxa"/>
            </w:tcMar>
          </w:tcPr>
          <w:p>
            <w:r>
              <w:t>4</w:t>
            </w:r>
          </w:p>
        </w:tc>
        <w:tc>
          <w:tcPr>
            <w:tcW w:type="dxa" w:w="2160"/>
            <w:shd w:fill="F9FAFB"/>
            <w:tcMar>
              <w:top w:w="80" w:type="dxa"/>
              <w:bottom w:w="80" w:type="dxa"/>
              <w:left w:w="80" w:type="dxa"/>
              <w:right w:w="80" w:type="dxa"/>
            </w:tcMar>
          </w:tcPr>
          <w:p>
            <w:r>
              <w:t>Official Launch &amp; Review</w:t>
            </w:r>
          </w:p>
        </w:tc>
        <w:tc>
          <w:tcPr>
            <w:tcW w:type="dxa" w:w="3744"/>
            <w:shd w:fill="F9FAFB"/>
            <w:tcMar>
              <w:top w:w="80" w:type="dxa"/>
              <w:bottom w:w="80" w:type="dxa"/>
              <w:left w:w="80" w:type="dxa"/>
              <w:right w:w="80" w:type="dxa"/>
            </w:tcMar>
          </w:tcPr>
          <w:p>
            <w:r>
              <w:t>Activate web ordering and track initial sales performance</w:t>
            </w:r>
          </w:p>
        </w:tc>
        <w:tc>
          <w:tcPr>
            <w:tcW w:type="dxa" w:w="1440"/>
            <w:shd w:fill="F9FAFB"/>
            <w:tcMar>
              <w:top w:w="80" w:type="dxa"/>
              <w:bottom w:w="80" w:type="dxa"/>
              <w:left w:w="80" w:type="dxa"/>
              <w:right w:w="80" w:type="dxa"/>
            </w:tcMar>
          </w:tcPr>
          <w:p>
            <w:r>
              <w:t>Week 6 onwards</w:t>
            </w:r>
          </w:p>
        </w:tc>
        <w:tc>
          <w:tcPr>
            <w:tcW w:type="dxa" w:w="1872"/>
            <w:shd w:fill="F9FAFB"/>
            <w:tcMar>
              <w:top w:w="80" w:type="dxa"/>
              <w:bottom w:w="80" w:type="dxa"/>
              <w:left w:w="80" w:type="dxa"/>
              <w:right w:w="80" w:type="dxa"/>
            </w:tcMar>
          </w:tcPr>
          <w:p>
            <w:r>
              <w:t>Basil (Owner)</w:t>
            </w:r>
          </w:p>
        </w:tc>
      </w:tr>
    </w:tbl>
    <w:p>
      <w:pPr>
        <w:spacing w:after="240"/>
      </w:pPr>
    </w:p>
    <w:p>
      <w:pPr>
        <w:keepNext/>
        <w:spacing w:before="320" w:after="120"/>
      </w:pPr>
      <w:r>
        <w:rPr>
          <w:b/>
          <w:color w:val="1B365D"/>
          <w:sz w:val="26"/>
        </w:rPr>
        <w:t>Appendix 3 – Task 5a: KPI and SMART Table</w:t>
      </w:r>
    </w:p>
    <w:p>
      <w:r>
        <w:rPr>
          <w:b/>
        </w:rPr>
        <w:t xml:space="preserve">Key Performance Indicator: </w:t>
      </w:r>
      <w:r>
        <w:t>Monthly Sales Growth from Online Pre-Orders</w:t>
      </w:r>
    </w:p>
    <w:tbl>
      <w:tblPr>
        <w:tblW w:type="auto" w:w="0"/>
        <w:jc w:val="center"/>
        <w:tblLook w:firstColumn="1" w:firstRow="1" w:lastColumn="0" w:lastRow="0" w:noHBand="0" w:noVBand="1" w:val="04A0"/>
        <w:tblBorders>
          <w:top w:val="single" w:sz="4" w:space="0" w:color="CCCCCC"/>
          <w:bottom w:val="single" w:sz="4" w:space="0" w:color="CCCCCC"/>
          <w:insideH w:val="single" w:sz="4" w:space="0" w:color="CCCCCC"/>
          <w:insideV w:val="none"/>
          <w:left w:val="none"/>
          <w:right w:val="none"/>
        </w:tblBorders>
      </w:tblPr>
      <w:tblGrid>
        <w:gridCol w:w="1872"/>
        <w:gridCol w:w="1872"/>
        <w:gridCol w:w="1872"/>
        <w:gridCol w:w="1872"/>
        <w:gridCol w:w="1872"/>
      </w:tblGrid>
      <w:tr>
        <w:tc>
          <w:tcPr>
            <w:tcW w:type="dxa" w:w="1872"/>
            <w:shd w:fill="1B365D"/>
            <w:tcMar>
              <w:top w:w="100" w:type="dxa"/>
              <w:bottom w:w="100" w:type="dxa"/>
              <w:left w:w="80" w:type="dxa"/>
              <w:right w:w="80" w:type="dxa"/>
            </w:tcMar>
          </w:tcPr>
          <w:p>
            <w:r>
              <w:rPr>
                <w:b/>
                <w:color w:val="FFFFFF"/>
              </w:rPr>
              <w:t>Specific</w:t>
            </w:r>
          </w:p>
        </w:tc>
        <w:tc>
          <w:tcPr>
            <w:tcW w:type="dxa" w:w="1872"/>
            <w:shd w:fill="1B365D"/>
            <w:tcMar>
              <w:top w:w="100" w:type="dxa"/>
              <w:bottom w:w="100" w:type="dxa"/>
              <w:left w:w="80" w:type="dxa"/>
              <w:right w:w="80" w:type="dxa"/>
            </w:tcMar>
          </w:tcPr>
          <w:p>
            <w:r>
              <w:rPr>
                <w:b/>
                <w:color w:val="FFFFFF"/>
              </w:rPr>
              <w:t>Measurable</w:t>
            </w:r>
          </w:p>
        </w:tc>
        <w:tc>
          <w:tcPr>
            <w:tcW w:type="dxa" w:w="1872"/>
            <w:shd w:fill="1B365D"/>
            <w:tcMar>
              <w:top w:w="100" w:type="dxa"/>
              <w:bottom w:w="100" w:type="dxa"/>
              <w:left w:w="80" w:type="dxa"/>
              <w:right w:w="80" w:type="dxa"/>
            </w:tcMar>
          </w:tcPr>
          <w:p>
            <w:r>
              <w:rPr>
                <w:b/>
                <w:color w:val="FFFFFF"/>
              </w:rPr>
              <w:t>Attainable</w:t>
            </w:r>
          </w:p>
        </w:tc>
        <w:tc>
          <w:tcPr>
            <w:tcW w:type="dxa" w:w="1872"/>
            <w:shd w:fill="1B365D"/>
            <w:tcMar>
              <w:top w:w="100" w:type="dxa"/>
              <w:bottom w:w="100" w:type="dxa"/>
              <w:left w:w="80" w:type="dxa"/>
              <w:right w:w="80" w:type="dxa"/>
            </w:tcMar>
          </w:tcPr>
          <w:p>
            <w:r>
              <w:rPr>
                <w:b/>
                <w:color w:val="FFFFFF"/>
              </w:rPr>
              <w:t>Relevant</w:t>
            </w:r>
          </w:p>
        </w:tc>
        <w:tc>
          <w:tcPr>
            <w:tcW w:type="dxa" w:w="1872"/>
            <w:shd w:fill="1B365D"/>
            <w:tcMar>
              <w:top w:w="100" w:type="dxa"/>
              <w:bottom w:w="100" w:type="dxa"/>
              <w:left w:w="80" w:type="dxa"/>
              <w:right w:w="80" w:type="dxa"/>
            </w:tcMar>
          </w:tcPr>
          <w:p>
            <w:r>
              <w:rPr>
                <w:b/>
                <w:color w:val="FFFFFF"/>
              </w:rPr>
              <w:t>Time-Bound</w:t>
            </w:r>
          </w:p>
        </w:tc>
      </w:tr>
      <w:tr>
        <w:tc>
          <w:tcPr>
            <w:tcW w:type="dxa" w:w="1872"/>
            <w:shd w:fill="FFFFFF"/>
            <w:tcMar>
              <w:top w:w="80" w:type="dxa"/>
              <w:bottom w:w="80" w:type="dxa"/>
              <w:left w:w="80" w:type="dxa"/>
              <w:right w:w="80" w:type="dxa"/>
            </w:tcMar>
          </w:tcPr>
          <w:p>
            <w:r>
              <w:t>Drive overall bakery revenue through pre-order transactions.</w:t>
            </w:r>
          </w:p>
        </w:tc>
        <w:tc>
          <w:tcPr>
            <w:tcW w:type="dxa" w:w="1872"/>
            <w:shd w:fill="FFFFFF"/>
            <w:tcMar>
              <w:top w:w="80" w:type="dxa"/>
              <w:bottom w:w="80" w:type="dxa"/>
              <w:left w:w="80" w:type="dxa"/>
              <w:right w:w="80" w:type="dxa"/>
            </w:tcMar>
          </w:tcPr>
          <w:p>
            <w:r>
              <w:t>Achieve a 15% increase in total monthly store revenues.</w:t>
            </w:r>
          </w:p>
        </w:tc>
        <w:tc>
          <w:tcPr>
            <w:tcW w:type="dxa" w:w="1872"/>
            <w:shd w:fill="FFFFFF"/>
            <w:tcMar>
              <w:top w:w="80" w:type="dxa"/>
              <w:bottom w:w="80" w:type="dxa"/>
              <w:left w:w="80" w:type="dxa"/>
              <w:right w:w="80" w:type="dxa"/>
            </w:tcMar>
          </w:tcPr>
          <w:p>
            <w:r>
              <w:t>Realistic by transitioning waiting customers to online pre-ordering.</w:t>
            </w:r>
          </w:p>
        </w:tc>
        <w:tc>
          <w:tcPr>
            <w:tcW w:type="dxa" w:w="1872"/>
            <w:shd w:fill="FFFFFF"/>
            <w:tcMar>
              <w:top w:w="80" w:type="dxa"/>
              <w:bottom w:w="80" w:type="dxa"/>
              <w:left w:w="80" w:type="dxa"/>
              <w:right w:w="80" w:type="dxa"/>
            </w:tcMar>
          </w:tcPr>
          <w:p>
            <w:r>
              <w:t>Directly counteracts footfall decline and sales stagnation.</w:t>
            </w:r>
          </w:p>
        </w:tc>
        <w:tc>
          <w:tcPr>
            <w:tcW w:type="dxa" w:w="1872"/>
            <w:shd w:fill="FFFFFF"/>
            <w:tcMar>
              <w:top w:w="80" w:type="dxa"/>
              <w:bottom w:w="80" w:type="dxa"/>
              <w:left w:w="80" w:type="dxa"/>
              <w:right w:w="80" w:type="dxa"/>
            </w:tcMar>
          </w:tcPr>
          <w:p>
            <w:r>
              <w:t>Reach target within 6 months post-launch.</w:t>
            </w:r>
          </w:p>
        </w:tc>
      </w:tr>
    </w:tbl>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76" w:lineRule="auto" w:after="120"/>
    </w:pPr>
    <w:rPr>
      <w:rFonts w:ascii="Calibri" w:hAnsi="Calibri"/>
      <w:color w:val="222222"/>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