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19CE81" w14:textId="621B4A84" w:rsidR="008870EA" w:rsidRDefault="00B36BC3" w:rsidP="003974F9">
      <w:pPr>
        <w:spacing w:line="360" w:lineRule="auto"/>
        <w:jc w:val="center"/>
        <w:rPr>
          <w:rFonts w:ascii="Arial" w:hAnsi="Arial" w:cs="Arial"/>
          <w:b/>
          <w:bCs/>
          <w:sz w:val="40"/>
          <w:szCs w:val="40"/>
        </w:rPr>
      </w:pPr>
      <w:r>
        <w:rPr>
          <w:rFonts w:ascii="Arial" w:hAnsi="Arial" w:cs="Arial"/>
          <w:b/>
          <w:bCs/>
          <w:sz w:val="40"/>
          <w:szCs w:val="40"/>
        </w:rPr>
        <w:t>Digital Skills And Research Methods</w:t>
      </w:r>
    </w:p>
    <w:p w14:paraId="5EB0178C" w14:textId="77777777" w:rsidR="006A341E" w:rsidRDefault="006A341E" w:rsidP="003974F9">
      <w:pPr>
        <w:spacing w:line="360" w:lineRule="auto"/>
        <w:jc w:val="center"/>
        <w:rPr>
          <w:rFonts w:ascii="Arial" w:hAnsi="Arial" w:cs="Arial"/>
          <w:b/>
          <w:bCs/>
          <w:sz w:val="40"/>
          <w:szCs w:val="40"/>
        </w:rPr>
      </w:pPr>
    </w:p>
    <w:p w14:paraId="34592D9F" w14:textId="0BA5A7C8" w:rsidR="00B36BC3" w:rsidRDefault="0055664B" w:rsidP="003974F9">
      <w:pPr>
        <w:spacing w:line="360" w:lineRule="auto"/>
        <w:jc w:val="center"/>
        <w:rPr>
          <w:rFonts w:ascii="Arial" w:hAnsi="Arial" w:cs="Arial"/>
          <w:b/>
          <w:bCs/>
          <w:sz w:val="40"/>
          <w:szCs w:val="40"/>
        </w:rPr>
      </w:pPr>
      <w:proofErr w:type="spellStart"/>
      <w:r>
        <w:rPr>
          <w:rFonts w:ascii="Arial" w:hAnsi="Arial" w:cs="Arial"/>
          <w:b/>
          <w:bCs/>
          <w:sz w:val="40"/>
          <w:szCs w:val="40"/>
        </w:rPr>
        <w:t>Shellymae</w:t>
      </w:r>
      <w:proofErr w:type="spellEnd"/>
      <w:r>
        <w:rPr>
          <w:rFonts w:ascii="Arial" w:hAnsi="Arial" w:cs="Arial"/>
          <w:b/>
          <w:bCs/>
          <w:sz w:val="40"/>
          <w:szCs w:val="40"/>
        </w:rPr>
        <w:t xml:space="preserve"> </w:t>
      </w:r>
      <w:proofErr w:type="spellStart"/>
      <w:r>
        <w:rPr>
          <w:rFonts w:ascii="Arial" w:hAnsi="Arial" w:cs="Arial"/>
          <w:b/>
          <w:bCs/>
          <w:sz w:val="40"/>
          <w:szCs w:val="40"/>
        </w:rPr>
        <w:t>Mulcare</w:t>
      </w:r>
      <w:proofErr w:type="spellEnd"/>
      <w:r>
        <w:rPr>
          <w:rFonts w:ascii="Arial" w:hAnsi="Arial" w:cs="Arial"/>
          <w:b/>
          <w:bCs/>
          <w:sz w:val="40"/>
          <w:szCs w:val="40"/>
        </w:rPr>
        <w:t xml:space="preserve"> </w:t>
      </w:r>
    </w:p>
    <w:p w14:paraId="7F268C30" w14:textId="77777777" w:rsidR="006A341E" w:rsidRDefault="006A341E" w:rsidP="003974F9">
      <w:pPr>
        <w:spacing w:line="360" w:lineRule="auto"/>
        <w:jc w:val="center"/>
        <w:rPr>
          <w:rFonts w:ascii="Arial" w:hAnsi="Arial" w:cs="Arial"/>
          <w:b/>
          <w:bCs/>
          <w:sz w:val="40"/>
          <w:szCs w:val="40"/>
        </w:rPr>
      </w:pPr>
    </w:p>
    <w:p w14:paraId="5927E884" w14:textId="5C42C46B" w:rsidR="0055664B" w:rsidRDefault="0055664B" w:rsidP="003974F9">
      <w:pPr>
        <w:spacing w:line="360" w:lineRule="auto"/>
        <w:jc w:val="center"/>
        <w:rPr>
          <w:rFonts w:ascii="Arial" w:hAnsi="Arial" w:cs="Arial"/>
          <w:b/>
          <w:bCs/>
          <w:sz w:val="40"/>
          <w:szCs w:val="40"/>
        </w:rPr>
      </w:pPr>
      <w:r>
        <w:rPr>
          <w:rFonts w:ascii="Arial" w:hAnsi="Arial" w:cs="Arial"/>
          <w:b/>
          <w:bCs/>
          <w:sz w:val="40"/>
          <w:szCs w:val="40"/>
        </w:rPr>
        <w:t>2434948</w:t>
      </w:r>
    </w:p>
    <w:p w14:paraId="2C16E425" w14:textId="77777777" w:rsidR="006A341E" w:rsidRDefault="006A341E" w:rsidP="003974F9">
      <w:pPr>
        <w:spacing w:line="360" w:lineRule="auto"/>
        <w:jc w:val="center"/>
        <w:rPr>
          <w:rFonts w:ascii="Arial" w:hAnsi="Arial" w:cs="Arial"/>
          <w:b/>
          <w:bCs/>
          <w:sz w:val="40"/>
          <w:szCs w:val="40"/>
        </w:rPr>
      </w:pPr>
    </w:p>
    <w:p w14:paraId="18A25676" w14:textId="1645DD9A" w:rsidR="00F22456" w:rsidRDefault="00F22456" w:rsidP="003974F9">
      <w:pPr>
        <w:spacing w:line="360" w:lineRule="auto"/>
        <w:jc w:val="center"/>
        <w:rPr>
          <w:rFonts w:ascii="Arial" w:hAnsi="Arial" w:cs="Arial"/>
          <w:b/>
          <w:bCs/>
          <w:sz w:val="40"/>
          <w:szCs w:val="40"/>
        </w:rPr>
      </w:pPr>
      <w:r>
        <w:rPr>
          <w:rFonts w:ascii="Arial" w:hAnsi="Arial" w:cs="Arial"/>
          <w:b/>
          <w:bCs/>
          <w:sz w:val="40"/>
          <w:szCs w:val="40"/>
        </w:rPr>
        <w:t>LCHS-4007</w:t>
      </w:r>
    </w:p>
    <w:p w14:paraId="395C5FE9" w14:textId="77777777" w:rsidR="00F22456" w:rsidRDefault="00F22456" w:rsidP="003974F9">
      <w:pPr>
        <w:spacing w:line="360" w:lineRule="auto"/>
        <w:jc w:val="center"/>
        <w:rPr>
          <w:rFonts w:ascii="Arial" w:hAnsi="Arial" w:cs="Arial"/>
          <w:b/>
          <w:bCs/>
          <w:sz w:val="40"/>
          <w:szCs w:val="40"/>
        </w:rPr>
      </w:pPr>
    </w:p>
    <w:p w14:paraId="2C109631" w14:textId="1AAA4478" w:rsidR="00F22456" w:rsidRDefault="002D58DB" w:rsidP="003974F9">
      <w:pPr>
        <w:spacing w:line="360" w:lineRule="auto"/>
        <w:jc w:val="center"/>
        <w:rPr>
          <w:rFonts w:ascii="Arial" w:hAnsi="Arial" w:cs="Arial"/>
          <w:b/>
          <w:bCs/>
          <w:sz w:val="40"/>
          <w:szCs w:val="40"/>
        </w:rPr>
      </w:pPr>
      <w:proofErr w:type="spellStart"/>
      <w:r>
        <w:rPr>
          <w:rFonts w:ascii="Arial" w:hAnsi="Arial" w:cs="Arial"/>
          <w:b/>
          <w:bCs/>
          <w:sz w:val="40"/>
          <w:szCs w:val="40"/>
        </w:rPr>
        <w:t>Hajra</w:t>
      </w:r>
      <w:proofErr w:type="spellEnd"/>
      <w:r>
        <w:rPr>
          <w:rFonts w:ascii="Arial" w:hAnsi="Arial" w:cs="Arial"/>
          <w:b/>
          <w:bCs/>
          <w:sz w:val="40"/>
          <w:szCs w:val="40"/>
        </w:rPr>
        <w:t xml:space="preserve"> </w:t>
      </w:r>
      <w:proofErr w:type="spellStart"/>
      <w:r>
        <w:rPr>
          <w:rFonts w:ascii="Arial" w:hAnsi="Arial" w:cs="Arial"/>
          <w:b/>
          <w:bCs/>
          <w:sz w:val="40"/>
          <w:szCs w:val="40"/>
        </w:rPr>
        <w:t>Mustasim</w:t>
      </w:r>
      <w:proofErr w:type="spellEnd"/>
    </w:p>
    <w:p w14:paraId="660F18CF" w14:textId="77777777" w:rsidR="002D58DB" w:rsidRDefault="002D58DB" w:rsidP="003974F9">
      <w:pPr>
        <w:spacing w:line="360" w:lineRule="auto"/>
        <w:jc w:val="center"/>
        <w:rPr>
          <w:rFonts w:ascii="Arial" w:hAnsi="Arial" w:cs="Arial"/>
          <w:b/>
          <w:bCs/>
          <w:sz w:val="40"/>
          <w:szCs w:val="40"/>
        </w:rPr>
      </w:pPr>
    </w:p>
    <w:p w14:paraId="2E0B90E4" w14:textId="3BC90D20" w:rsidR="002D58DB" w:rsidRDefault="001649D8" w:rsidP="003974F9">
      <w:pPr>
        <w:spacing w:line="360" w:lineRule="auto"/>
        <w:jc w:val="center"/>
        <w:rPr>
          <w:rFonts w:ascii="Arial" w:hAnsi="Arial" w:cs="Arial"/>
          <w:b/>
          <w:bCs/>
          <w:sz w:val="40"/>
          <w:szCs w:val="40"/>
        </w:rPr>
      </w:pPr>
      <w:r>
        <w:rPr>
          <w:rFonts w:ascii="Arial" w:hAnsi="Arial" w:cs="Arial"/>
          <w:b/>
          <w:bCs/>
          <w:sz w:val="40"/>
          <w:szCs w:val="40"/>
        </w:rPr>
        <w:t>28.11.2025</w:t>
      </w:r>
    </w:p>
    <w:p w14:paraId="3890D06A" w14:textId="77777777" w:rsidR="0055664B" w:rsidRPr="003974F9" w:rsidRDefault="0055664B" w:rsidP="003974F9">
      <w:pPr>
        <w:spacing w:line="360" w:lineRule="auto"/>
        <w:jc w:val="center"/>
        <w:rPr>
          <w:rFonts w:ascii="Arial" w:hAnsi="Arial" w:cs="Arial"/>
          <w:b/>
          <w:bCs/>
          <w:sz w:val="40"/>
          <w:szCs w:val="40"/>
        </w:rPr>
      </w:pPr>
    </w:p>
    <w:p w14:paraId="4B2A9D62" w14:textId="77777777" w:rsidR="008870EA" w:rsidRDefault="008870EA">
      <w:pPr>
        <w:rPr>
          <w:rFonts w:ascii="Arial" w:hAnsi="Arial" w:cs="Arial"/>
          <w:sz w:val="22"/>
          <w:szCs w:val="22"/>
        </w:rPr>
      </w:pPr>
      <w:r>
        <w:rPr>
          <w:rFonts w:ascii="Arial" w:hAnsi="Arial" w:cs="Arial"/>
          <w:sz w:val="22"/>
          <w:szCs w:val="22"/>
        </w:rPr>
        <w:br w:type="page"/>
      </w:r>
    </w:p>
    <w:p w14:paraId="6BB3A458" w14:textId="3CE482DB" w:rsidR="005134C5" w:rsidRPr="005F42B8" w:rsidRDefault="005134C5" w:rsidP="003974F9">
      <w:pPr>
        <w:spacing w:line="360" w:lineRule="auto"/>
        <w:rPr>
          <w:rFonts w:ascii="Arial" w:hAnsi="Arial" w:cs="Arial"/>
          <w:sz w:val="22"/>
          <w:szCs w:val="22"/>
        </w:rPr>
      </w:pPr>
      <w:r w:rsidRPr="005F42B8">
        <w:rPr>
          <w:rFonts w:ascii="Arial" w:hAnsi="Arial" w:cs="Arial"/>
          <w:sz w:val="22"/>
          <w:szCs w:val="22"/>
        </w:rPr>
        <w:t>Introduction</w:t>
      </w:r>
    </w:p>
    <w:p w14:paraId="65B4A839" w14:textId="77777777" w:rsidR="005134C5" w:rsidRPr="005F42B8" w:rsidRDefault="005134C5" w:rsidP="005F42B8">
      <w:pPr>
        <w:spacing w:line="360" w:lineRule="auto"/>
        <w:rPr>
          <w:rFonts w:ascii="Arial" w:hAnsi="Arial" w:cs="Arial"/>
          <w:sz w:val="22"/>
          <w:szCs w:val="22"/>
        </w:rPr>
      </w:pPr>
    </w:p>
    <w:p w14:paraId="76FC5DFB" w14:textId="1A2B9D33"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This report investigates the persistent workforce shortage in the United Kingdom’s adult social care sector, a challenge that continues to undermine the delivery of safe, effective, and person-centred care. The report explores the nature and scale of the issue, identifies who is most affected, and provides an evidence-based rationale for further research. Drawing on relevant peer-reviewed literature, the report outlines the methodological approach and data collection strategy appropriate for exploring this problem. It concludes by summarising the implications of the proposed research and its potential contribution to improving workforce stability within adult social care.</w:t>
      </w:r>
    </w:p>
    <w:p w14:paraId="4AAE65A3" w14:textId="77777777" w:rsidR="005134C5" w:rsidRPr="005F42B8" w:rsidRDefault="005134C5" w:rsidP="005F42B8">
      <w:pPr>
        <w:spacing w:line="360" w:lineRule="auto"/>
        <w:rPr>
          <w:rFonts w:ascii="Arial" w:hAnsi="Arial" w:cs="Arial"/>
          <w:sz w:val="22"/>
          <w:szCs w:val="22"/>
        </w:rPr>
      </w:pPr>
    </w:p>
    <w:p w14:paraId="1F7DF702" w14:textId="73FB8CAB"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 xml:space="preserve">Task 1: Research Topic Identification </w:t>
      </w:r>
    </w:p>
    <w:p w14:paraId="0CE23269" w14:textId="77777777" w:rsidR="0065067C" w:rsidRPr="005F42B8" w:rsidRDefault="0065067C" w:rsidP="005F42B8">
      <w:pPr>
        <w:spacing w:line="360" w:lineRule="auto"/>
        <w:rPr>
          <w:rFonts w:ascii="Arial" w:hAnsi="Arial" w:cs="Arial"/>
          <w:sz w:val="22"/>
          <w:szCs w:val="22"/>
        </w:rPr>
      </w:pPr>
    </w:p>
    <w:p w14:paraId="6076DB65" w14:textId="0C6B5680"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Identification of the Issue</w:t>
      </w:r>
    </w:p>
    <w:p w14:paraId="4ACBA109" w14:textId="77777777" w:rsidR="005134C5" w:rsidRPr="005F42B8" w:rsidRDefault="005134C5" w:rsidP="005F42B8">
      <w:pPr>
        <w:spacing w:line="360" w:lineRule="auto"/>
        <w:rPr>
          <w:rFonts w:ascii="Arial" w:hAnsi="Arial" w:cs="Arial"/>
          <w:sz w:val="22"/>
          <w:szCs w:val="22"/>
        </w:rPr>
      </w:pPr>
    </w:p>
    <w:p w14:paraId="00EDACF7"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A critical current issue in the UK health and social care sector is the chronic workforce shortage in adult social care. This includes persistently high vacancy rates, rapid staff turnover, and difficulties in attracting and retaining skilled care workers (Hussein, 2022). Several studies acknowledge that adult social care—especially domiciliary and residential care—is facing unprecedented pressure due to increased demand, limited workforce supply, and long-standing structural weaknesses such as low pay and poor working conditions (Skills for Care, 2021; Moriarty et al., 2018).</w:t>
      </w:r>
    </w:p>
    <w:p w14:paraId="39113947" w14:textId="77777777" w:rsidR="005134C5" w:rsidRPr="005F42B8" w:rsidRDefault="005134C5" w:rsidP="005F42B8">
      <w:pPr>
        <w:spacing w:line="360" w:lineRule="auto"/>
        <w:rPr>
          <w:rFonts w:ascii="Arial" w:hAnsi="Arial" w:cs="Arial"/>
          <w:sz w:val="22"/>
          <w:szCs w:val="22"/>
        </w:rPr>
      </w:pPr>
    </w:p>
    <w:p w14:paraId="64CF1F73"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The problem affects multiple stakeholders. Service users—including older people, individuals with long-term conditions, and people with disabilities—are directly impacted through reduced access to care, longer waiting times, and inconsistent care provision (Daly &amp; Armstrong, 2016). Care workers themselves experience poor job security, limited career progression, emotional stress, and burnout (</w:t>
      </w:r>
      <w:proofErr w:type="spellStart"/>
      <w:r w:rsidRPr="005F42B8">
        <w:rPr>
          <w:rFonts w:ascii="Arial" w:hAnsi="Arial" w:cs="Arial"/>
          <w:sz w:val="22"/>
          <w:szCs w:val="22"/>
        </w:rPr>
        <w:t>Rubery</w:t>
      </w:r>
      <w:proofErr w:type="spellEnd"/>
      <w:r w:rsidRPr="005F42B8">
        <w:rPr>
          <w:rFonts w:ascii="Arial" w:hAnsi="Arial" w:cs="Arial"/>
          <w:sz w:val="22"/>
          <w:szCs w:val="22"/>
        </w:rPr>
        <w:t xml:space="preserve"> et al., 2015). Care organisations, particularly small independent providers, struggle to maintain adequate staffing levels and financial viability (Atkinson &amp; Lucas, 2013). The NHS is also indirectly affected, as social care bottlenecks contribute to delayed discharges and system-wide inefficiencies (Glasby &amp; </w:t>
      </w:r>
      <w:proofErr w:type="spellStart"/>
      <w:r w:rsidRPr="005F42B8">
        <w:rPr>
          <w:rFonts w:ascii="Arial" w:hAnsi="Arial" w:cs="Arial"/>
          <w:sz w:val="22"/>
          <w:szCs w:val="22"/>
        </w:rPr>
        <w:t>Thomes</w:t>
      </w:r>
      <w:proofErr w:type="spellEnd"/>
      <w:r w:rsidRPr="005F42B8">
        <w:rPr>
          <w:rFonts w:ascii="Arial" w:hAnsi="Arial" w:cs="Arial"/>
          <w:sz w:val="22"/>
          <w:szCs w:val="22"/>
        </w:rPr>
        <w:t>, 2018).</w:t>
      </w:r>
    </w:p>
    <w:p w14:paraId="78F66F17" w14:textId="77777777" w:rsidR="005134C5" w:rsidRPr="005F42B8" w:rsidRDefault="005134C5" w:rsidP="005F42B8">
      <w:pPr>
        <w:spacing w:line="360" w:lineRule="auto"/>
        <w:rPr>
          <w:rFonts w:ascii="Arial" w:hAnsi="Arial" w:cs="Arial"/>
          <w:sz w:val="22"/>
          <w:szCs w:val="22"/>
        </w:rPr>
      </w:pPr>
    </w:p>
    <w:p w14:paraId="2110D046"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Why Research is Needed</w:t>
      </w:r>
    </w:p>
    <w:p w14:paraId="1D12DE21" w14:textId="77777777" w:rsidR="005134C5" w:rsidRPr="005F42B8" w:rsidRDefault="005134C5" w:rsidP="005F42B8">
      <w:pPr>
        <w:spacing w:line="360" w:lineRule="auto"/>
        <w:rPr>
          <w:rFonts w:ascii="Arial" w:hAnsi="Arial" w:cs="Arial"/>
          <w:sz w:val="22"/>
          <w:szCs w:val="22"/>
        </w:rPr>
      </w:pPr>
    </w:p>
    <w:p w14:paraId="77E06383"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There are several reasons why the workforce shortage in adult social care warrants further academic investigation.</w:t>
      </w:r>
    </w:p>
    <w:p w14:paraId="76569C63" w14:textId="77777777" w:rsidR="005134C5" w:rsidRPr="005F42B8" w:rsidRDefault="005134C5" w:rsidP="005F42B8">
      <w:pPr>
        <w:spacing w:line="360" w:lineRule="auto"/>
        <w:rPr>
          <w:rFonts w:ascii="Arial" w:hAnsi="Arial" w:cs="Arial"/>
          <w:sz w:val="22"/>
          <w:szCs w:val="22"/>
        </w:rPr>
      </w:pPr>
    </w:p>
    <w:p w14:paraId="73BA6F48"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First, the scale and persistence of the problem highlight a systemic failure. Despite years of policy attention, vacancy and turnover rates remain significantly higher in social care than in comparable sectors (Hussein, 2022). Without a stable workforce, the sector cannot meet the needs of a rapidly ageing population.</w:t>
      </w:r>
    </w:p>
    <w:p w14:paraId="524C1DF5" w14:textId="77777777" w:rsidR="005134C5" w:rsidRPr="005F42B8" w:rsidRDefault="005134C5" w:rsidP="005F42B8">
      <w:pPr>
        <w:spacing w:line="360" w:lineRule="auto"/>
        <w:rPr>
          <w:rFonts w:ascii="Arial" w:hAnsi="Arial" w:cs="Arial"/>
          <w:sz w:val="22"/>
          <w:szCs w:val="22"/>
        </w:rPr>
      </w:pPr>
    </w:p>
    <w:p w14:paraId="4D262322"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Second, the shortage has critical implications for care quality. Research consistently shows that understaffing compromises continuity, safety, and person-</w:t>
      </w:r>
      <w:proofErr w:type="spellStart"/>
      <w:r w:rsidRPr="005F42B8">
        <w:rPr>
          <w:rFonts w:ascii="Arial" w:hAnsi="Arial" w:cs="Arial"/>
          <w:sz w:val="22"/>
          <w:szCs w:val="22"/>
        </w:rPr>
        <w:t>centredness</w:t>
      </w:r>
      <w:proofErr w:type="spellEnd"/>
      <w:r w:rsidRPr="005F42B8">
        <w:rPr>
          <w:rFonts w:ascii="Arial" w:hAnsi="Arial" w:cs="Arial"/>
          <w:sz w:val="22"/>
          <w:szCs w:val="22"/>
        </w:rPr>
        <w:t xml:space="preserve"> of care (Moriarty et al., 2018).</w:t>
      </w:r>
    </w:p>
    <w:p w14:paraId="4B1EB51B" w14:textId="77777777" w:rsidR="005134C5" w:rsidRPr="005F42B8" w:rsidRDefault="005134C5" w:rsidP="005F42B8">
      <w:pPr>
        <w:spacing w:line="360" w:lineRule="auto"/>
        <w:rPr>
          <w:rFonts w:ascii="Arial" w:hAnsi="Arial" w:cs="Arial"/>
          <w:sz w:val="22"/>
          <w:szCs w:val="22"/>
        </w:rPr>
      </w:pPr>
    </w:p>
    <w:p w14:paraId="741699E8"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Third, the workforce crisis has deep socio-economic roots, including low pay, heavy workloads, and weak labour protections (</w:t>
      </w:r>
      <w:proofErr w:type="spellStart"/>
      <w:r w:rsidRPr="005F42B8">
        <w:rPr>
          <w:rFonts w:ascii="Arial" w:hAnsi="Arial" w:cs="Arial"/>
          <w:sz w:val="22"/>
          <w:szCs w:val="22"/>
        </w:rPr>
        <w:t>Rubery</w:t>
      </w:r>
      <w:proofErr w:type="spellEnd"/>
      <w:r w:rsidRPr="005F42B8">
        <w:rPr>
          <w:rFonts w:ascii="Arial" w:hAnsi="Arial" w:cs="Arial"/>
          <w:sz w:val="22"/>
          <w:szCs w:val="22"/>
        </w:rPr>
        <w:t xml:space="preserve"> &amp; Johnson, 2019). Understanding how these structural factors interact requires robust qualitative enquiry.</w:t>
      </w:r>
    </w:p>
    <w:p w14:paraId="221B55F7" w14:textId="77777777" w:rsidR="005134C5" w:rsidRPr="005F42B8" w:rsidRDefault="005134C5" w:rsidP="005F42B8">
      <w:pPr>
        <w:spacing w:line="360" w:lineRule="auto"/>
        <w:rPr>
          <w:rFonts w:ascii="Arial" w:hAnsi="Arial" w:cs="Arial"/>
          <w:sz w:val="22"/>
          <w:szCs w:val="22"/>
        </w:rPr>
      </w:pPr>
    </w:p>
    <w:p w14:paraId="0DBDA1CD"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Fourth, the issue has become more urgent since COVID-19, which exacerbated workforce attrition and increased the psychological burden on frontline workers (</w:t>
      </w:r>
      <w:proofErr w:type="spellStart"/>
      <w:r w:rsidRPr="005F42B8">
        <w:rPr>
          <w:rFonts w:ascii="Arial" w:hAnsi="Arial" w:cs="Arial"/>
          <w:sz w:val="22"/>
          <w:szCs w:val="22"/>
        </w:rPr>
        <w:t>Nyashanu</w:t>
      </w:r>
      <w:proofErr w:type="spellEnd"/>
      <w:r w:rsidRPr="005F42B8">
        <w:rPr>
          <w:rFonts w:ascii="Arial" w:hAnsi="Arial" w:cs="Arial"/>
          <w:sz w:val="22"/>
          <w:szCs w:val="22"/>
        </w:rPr>
        <w:t xml:space="preserve">, </w:t>
      </w:r>
      <w:proofErr w:type="spellStart"/>
      <w:r w:rsidRPr="005F42B8">
        <w:rPr>
          <w:rFonts w:ascii="Arial" w:hAnsi="Arial" w:cs="Arial"/>
          <w:sz w:val="22"/>
          <w:szCs w:val="22"/>
        </w:rPr>
        <w:t>Pfende</w:t>
      </w:r>
      <w:proofErr w:type="spellEnd"/>
      <w:r w:rsidRPr="005F42B8">
        <w:rPr>
          <w:rFonts w:ascii="Arial" w:hAnsi="Arial" w:cs="Arial"/>
          <w:sz w:val="22"/>
          <w:szCs w:val="22"/>
        </w:rPr>
        <w:t xml:space="preserve"> &amp; </w:t>
      </w:r>
      <w:proofErr w:type="spellStart"/>
      <w:r w:rsidRPr="005F42B8">
        <w:rPr>
          <w:rFonts w:ascii="Arial" w:hAnsi="Arial" w:cs="Arial"/>
          <w:sz w:val="22"/>
          <w:szCs w:val="22"/>
        </w:rPr>
        <w:t>Ekpenyong</w:t>
      </w:r>
      <w:proofErr w:type="spellEnd"/>
      <w:r w:rsidRPr="005F42B8">
        <w:rPr>
          <w:rFonts w:ascii="Arial" w:hAnsi="Arial" w:cs="Arial"/>
          <w:sz w:val="22"/>
          <w:szCs w:val="22"/>
        </w:rPr>
        <w:t>, 2020).</w:t>
      </w:r>
    </w:p>
    <w:p w14:paraId="3EF4EA5F" w14:textId="77777777" w:rsidR="005134C5" w:rsidRPr="005F42B8" w:rsidRDefault="005134C5" w:rsidP="005F42B8">
      <w:pPr>
        <w:spacing w:line="360" w:lineRule="auto"/>
        <w:rPr>
          <w:rFonts w:ascii="Arial" w:hAnsi="Arial" w:cs="Arial"/>
          <w:sz w:val="22"/>
          <w:szCs w:val="22"/>
        </w:rPr>
      </w:pPr>
    </w:p>
    <w:p w14:paraId="54D0217E"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 xml:space="preserve">Finally, addressing the workforce shortage is essential for sustainable health and social care integration, a core policy objective in the UK (Glasby &amp; </w:t>
      </w:r>
      <w:proofErr w:type="spellStart"/>
      <w:r w:rsidRPr="005F42B8">
        <w:rPr>
          <w:rFonts w:ascii="Arial" w:hAnsi="Arial" w:cs="Arial"/>
          <w:sz w:val="22"/>
          <w:szCs w:val="22"/>
        </w:rPr>
        <w:t>Thomes</w:t>
      </w:r>
      <w:proofErr w:type="spellEnd"/>
      <w:r w:rsidRPr="005F42B8">
        <w:rPr>
          <w:rFonts w:ascii="Arial" w:hAnsi="Arial" w:cs="Arial"/>
          <w:sz w:val="22"/>
          <w:szCs w:val="22"/>
        </w:rPr>
        <w:t>, 2018). Research can inform evidence-based workforce planning and policy reform.</w:t>
      </w:r>
    </w:p>
    <w:p w14:paraId="4FA1B697" w14:textId="77777777" w:rsidR="005134C5" w:rsidRPr="005F42B8" w:rsidRDefault="005134C5" w:rsidP="005F42B8">
      <w:pPr>
        <w:spacing w:line="360" w:lineRule="auto"/>
        <w:rPr>
          <w:rFonts w:ascii="Arial" w:hAnsi="Arial" w:cs="Arial"/>
          <w:sz w:val="22"/>
          <w:szCs w:val="22"/>
        </w:rPr>
      </w:pPr>
    </w:p>
    <w:p w14:paraId="09E69434"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Peer-Reviewed Sources Supporting the Research Topic</w:t>
      </w:r>
    </w:p>
    <w:p w14:paraId="6DD03E18" w14:textId="77777777" w:rsidR="005134C5" w:rsidRPr="005F42B8" w:rsidRDefault="005134C5" w:rsidP="005F42B8">
      <w:pPr>
        <w:spacing w:line="360" w:lineRule="auto"/>
        <w:rPr>
          <w:rFonts w:ascii="Arial" w:hAnsi="Arial" w:cs="Arial"/>
          <w:sz w:val="22"/>
          <w:szCs w:val="22"/>
        </w:rPr>
      </w:pPr>
    </w:p>
    <w:p w14:paraId="68EB0931"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Source 1: Hussein, S. (2022) "Tackling social care workforce shortages." Journal of Social Policy.</w:t>
      </w:r>
    </w:p>
    <w:p w14:paraId="1BCC7AFD" w14:textId="77777777" w:rsidR="005134C5" w:rsidRPr="005F42B8" w:rsidRDefault="005134C5" w:rsidP="005F42B8">
      <w:pPr>
        <w:spacing w:line="360" w:lineRule="auto"/>
        <w:rPr>
          <w:rFonts w:ascii="Arial" w:hAnsi="Arial" w:cs="Arial"/>
          <w:sz w:val="22"/>
          <w:szCs w:val="22"/>
        </w:rPr>
      </w:pPr>
    </w:p>
    <w:p w14:paraId="0E96FBC1"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Content and relevance:</w:t>
      </w:r>
    </w:p>
    <w:p w14:paraId="5144C54C"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Hussein (2022) provides empirical analysis of recruitment and retention trends in the UK adult social care workforce. The article examines the causes of persistent shortages, including low pay, limited career structures, and high emotional demands.</w:t>
      </w:r>
    </w:p>
    <w:p w14:paraId="5651D890"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Justification:</w:t>
      </w:r>
    </w:p>
    <w:p w14:paraId="1CEDF1FE"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This source is highly relevant because it is recent, UK-focused, and uses robust data to explain why shortages persist. It supports the rationale for conducting research by highlighting structural challenges that require deeper investigation.</w:t>
      </w:r>
    </w:p>
    <w:p w14:paraId="6F696367" w14:textId="77777777" w:rsidR="005134C5" w:rsidRPr="005F42B8" w:rsidRDefault="005134C5" w:rsidP="005F42B8">
      <w:pPr>
        <w:spacing w:line="360" w:lineRule="auto"/>
        <w:rPr>
          <w:rFonts w:ascii="Arial" w:hAnsi="Arial" w:cs="Arial"/>
          <w:sz w:val="22"/>
          <w:szCs w:val="22"/>
        </w:rPr>
      </w:pPr>
    </w:p>
    <w:p w14:paraId="39176738"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 xml:space="preserve">Source 2: </w:t>
      </w:r>
      <w:proofErr w:type="spellStart"/>
      <w:r w:rsidRPr="005F42B8">
        <w:rPr>
          <w:rFonts w:ascii="Arial" w:hAnsi="Arial" w:cs="Arial"/>
          <w:sz w:val="22"/>
          <w:szCs w:val="22"/>
        </w:rPr>
        <w:t>Rubery</w:t>
      </w:r>
      <w:proofErr w:type="spellEnd"/>
      <w:r w:rsidRPr="005F42B8">
        <w:rPr>
          <w:rFonts w:ascii="Arial" w:hAnsi="Arial" w:cs="Arial"/>
          <w:sz w:val="22"/>
          <w:szCs w:val="22"/>
        </w:rPr>
        <w:t xml:space="preserve">, J., </w:t>
      </w:r>
      <w:proofErr w:type="spellStart"/>
      <w:r w:rsidRPr="005F42B8">
        <w:rPr>
          <w:rFonts w:ascii="Arial" w:hAnsi="Arial" w:cs="Arial"/>
          <w:sz w:val="22"/>
          <w:szCs w:val="22"/>
        </w:rPr>
        <w:t>Hebson</w:t>
      </w:r>
      <w:proofErr w:type="spellEnd"/>
      <w:r w:rsidRPr="005F42B8">
        <w:rPr>
          <w:rFonts w:ascii="Arial" w:hAnsi="Arial" w:cs="Arial"/>
          <w:sz w:val="22"/>
          <w:szCs w:val="22"/>
        </w:rPr>
        <w:t xml:space="preserve">, G. &amp; </w:t>
      </w:r>
      <w:proofErr w:type="spellStart"/>
      <w:r w:rsidRPr="005F42B8">
        <w:rPr>
          <w:rFonts w:ascii="Arial" w:hAnsi="Arial" w:cs="Arial"/>
          <w:sz w:val="22"/>
          <w:szCs w:val="22"/>
        </w:rPr>
        <w:t>Grimshaw</w:t>
      </w:r>
      <w:proofErr w:type="spellEnd"/>
      <w:r w:rsidRPr="005F42B8">
        <w:rPr>
          <w:rFonts w:ascii="Arial" w:hAnsi="Arial" w:cs="Arial"/>
          <w:sz w:val="22"/>
          <w:szCs w:val="22"/>
        </w:rPr>
        <w:t>, D. (2015) "The fragmentation of care and the implications for workforce sustainability." Work, Employment and Society.</w:t>
      </w:r>
    </w:p>
    <w:p w14:paraId="51DFB279" w14:textId="77777777" w:rsidR="005134C5" w:rsidRPr="005F42B8" w:rsidRDefault="005134C5" w:rsidP="005F42B8">
      <w:pPr>
        <w:spacing w:line="360" w:lineRule="auto"/>
        <w:rPr>
          <w:rFonts w:ascii="Arial" w:hAnsi="Arial" w:cs="Arial"/>
          <w:sz w:val="22"/>
          <w:szCs w:val="22"/>
        </w:rPr>
      </w:pPr>
    </w:p>
    <w:p w14:paraId="0DCEB1B7"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Content and relevance:</w:t>
      </w:r>
    </w:p>
    <w:p w14:paraId="4D846038" w14:textId="77777777" w:rsidR="005134C5" w:rsidRPr="005F42B8" w:rsidRDefault="005134C5" w:rsidP="005F42B8">
      <w:pPr>
        <w:spacing w:line="360" w:lineRule="auto"/>
        <w:rPr>
          <w:rFonts w:ascii="Arial" w:hAnsi="Arial" w:cs="Arial"/>
          <w:sz w:val="22"/>
          <w:szCs w:val="22"/>
        </w:rPr>
      </w:pPr>
      <w:proofErr w:type="spellStart"/>
      <w:r w:rsidRPr="005F42B8">
        <w:rPr>
          <w:rFonts w:ascii="Arial" w:hAnsi="Arial" w:cs="Arial"/>
          <w:sz w:val="22"/>
          <w:szCs w:val="22"/>
        </w:rPr>
        <w:t>Rubery</w:t>
      </w:r>
      <w:proofErr w:type="spellEnd"/>
      <w:r w:rsidRPr="005F42B8">
        <w:rPr>
          <w:rFonts w:ascii="Arial" w:hAnsi="Arial" w:cs="Arial"/>
          <w:sz w:val="22"/>
          <w:szCs w:val="22"/>
        </w:rPr>
        <w:t xml:space="preserve"> et al. (2015) analyse how the structure of the social care market—including outsourcing, privatisation, and cost-driven commissioning—creates unstable employment conditions that undermine workforce sustainability.</w:t>
      </w:r>
    </w:p>
    <w:p w14:paraId="6A6C1AA9"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Justification:</w:t>
      </w:r>
    </w:p>
    <w:p w14:paraId="5047A8D3"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The article provides a theoretical framework for understanding how labour market conditions shape recruitment and retention. It strengthens the research justification by illustrating systemic pressures that push workers out of the sector.</w:t>
      </w:r>
    </w:p>
    <w:p w14:paraId="682481EA" w14:textId="77777777" w:rsidR="005134C5" w:rsidRPr="005F42B8" w:rsidRDefault="005134C5" w:rsidP="005F42B8">
      <w:pPr>
        <w:spacing w:line="360" w:lineRule="auto"/>
        <w:rPr>
          <w:rFonts w:ascii="Arial" w:hAnsi="Arial" w:cs="Arial"/>
          <w:sz w:val="22"/>
          <w:szCs w:val="22"/>
        </w:rPr>
      </w:pPr>
    </w:p>
    <w:p w14:paraId="5B98D0FD"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 xml:space="preserve">Source 3: Moriarty, J., </w:t>
      </w:r>
      <w:proofErr w:type="spellStart"/>
      <w:r w:rsidRPr="005F42B8">
        <w:rPr>
          <w:rFonts w:ascii="Arial" w:hAnsi="Arial" w:cs="Arial"/>
          <w:sz w:val="22"/>
          <w:szCs w:val="22"/>
        </w:rPr>
        <w:t>Manthorpe</w:t>
      </w:r>
      <w:proofErr w:type="spellEnd"/>
      <w:r w:rsidRPr="005F42B8">
        <w:rPr>
          <w:rFonts w:ascii="Arial" w:hAnsi="Arial" w:cs="Arial"/>
          <w:sz w:val="22"/>
          <w:szCs w:val="22"/>
        </w:rPr>
        <w:t>, J. &amp; Harris, J. (2018) "Adult social care workforce retention: Review of research and promising practices." Health &amp; Social Care in the Community.</w:t>
      </w:r>
    </w:p>
    <w:p w14:paraId="109651BB" w14:textId="77777777" w:rsidR="005134C5" w:rsidRPr="005F42B8" w:rsidRDefault="005134C5" w:rsidP="005F42B8">
      <w:pPr>
        <w:spacing w:line="360" w:lineRule="auto"/>
        <w:rPr>
          <w:rFonts w:ascii="Arial" w:hAnsi="Arial" w:cs="Arial"/>
          <w:sz w:val="22"/>
          <w:szCs w:val="22"/>
        </w:rPr>
      </w:pPr>
    </w:p>
    <w:p w14:paraId="71CA21E9"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Content and relevance:</w:t>
      </w:r>
    </w:p>
    <w:p w14:paraId="7283E393"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This systematic review synthesises evidence on factors affecting workforce retention and identifies best practices that support staff stability.</w:t>
      </w:r>
    </w:p>
    <w:p w14:paraId="48BE68E0"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Justification:</w:t>
      </w:r>
    </w:p>
    <w:p w14:paraId="4BCA378F"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The review provides a comprehensive overview of the existing academic literature, highlighting key gaps—particularly relating to qualitative understanding of worker experiences. This directly supports the need for new research to fill identified gaps.</w:t>
      </w:r>
    </w:p>
    <w:p w14:paraId="27C24F27" w14:textId="77777777" w:rsidR="005134C5" w:rsidRPr="005F42B8" w:rsidRDefault="005134C5" w:rsidP="005F42B8">
      <w:pPr>
        <w:spacing w:line="360" w:lineRule="auto"/>
        <w:rPr>
          <w:rFonts w:ascii="Arial" w:hAnsi="Arial" w:cs="Arial"/>
          <w:sz w:val="22"/>
          <w:szCs w:val="22"/>
        </w:rPr>
      </w:pPr>
    </w:p>
    <w:p w14:paraId="64635BB7"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Together, these peer-reviewed sources strengthen the academic foundation of the research by demonstrating the severity, complexity, and systemic nature of the workforce shortage.</w:t>
      </w:r>
    </w:p>
    <w:p w14:paraId="52C25F6F" w14:textId="77777777" w:rsidR="005134C5" w:rsidRPr="005F42B8" w:rsidRDefault="005134C5" w:rsidP="005F42B8">
      <w:pPr>
        <w:spacing w:line="360" w:lineRule="auto"/>
        <w:rPr>
          <w:rFonts w:ascii="Arial" w:hAnsi="Arial" w:cs="Arial"/>
          <w:sz w:val="22"/>
          <w:szCs w:val="22"/>
        </w:rPr>
      </w:pPr>
    </w:p>
    <w:p w14:paraId="05D40B01" w14:textId="77777777" w:rsidR="005134C5" w:rsidRPr="005F42B8" w:rsidRDefault="005134C5" w:rsidP="005F42B8">
      <w:pPr>
        <w:spacing w:line="360" w:lineRule="auto"/>
        <w:rPr>
          <w:rFonts w:ascii="Arial" w:hAnsi="Arial" w:cs="Arial"/>
          <w:sz w:val="22"/>
          <w:szCs w:val="22"/>
        </w:rPr>
      </w:pPr>
    </w:p>
    <w:p w14:paraId="63618775" w14:textId="0512482C"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 xml:space="preserve">Task 2: Research Methodologies </w:t>
      </w:r>
    </w:p>
    <w:p w14:paraId="2F96724A" w14:textId="77777777" w:rsidR="005134C5" w:rsidRPr="005F42B8" w:rsidRDefault="005134C5" w:rsidP="005F42B8">
      <w:pPr>
        <w:spacing w:line="360" w:lineRule="auto"/>
        <w:rPr>
          <w:rFonts w:ascii="Arial" w:hAnsi="Arial" w:cs="Arial"/>
          <w:sz w:val="22"/>
          <w:szCs w:val="22"/>
        </w:rPr>
      </w:pPr>
    </w:p>
    <w:p w14:paraId="39AB521B"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 xml:space="preserve">Quantitative and qualitative research methodologies offer different strengths for investigating workforce issues in adult social care. Quantitative research focuses on numerical measurement, statistical relationships, and </w:t>
      </w:r>
      <w:proofErr w:type="spellStart"/>
      <w:r w:rsidRPr="005F42B8">
        <w:rPr>
          <w:rFonts w:ascii="Arial" w:hAnsi="Arial" w:cs="Arial"/>
          <w:sz w:val="22"/>
          <w:szCs w:val="22"/>
        </w:rPr>
        <w:t>generalisable</w:t>
      </w:r>
      <w:proofErr w:type="spellEnd"/>
      <w:r w:rsidRPr="005F42B8">
        <w:rPr>
          <w:rFonts w:ascii="Arial" w:hAnsi="Arial" w:cs="Arial"/>
          <w:sz w:val="22"/>
          <w:szCs w:val="22"/>
        </w:rPr>
        <w:t xml:space="preserve"> patterns (Creswell &amp; Creswell, 2018). Examples include workforce surveys, administrative data, and regression analyses of turnover rates. Quantitative methods are valuable for determining the scale of shortages and identifying correlations between variables such as pay, vacancy rates, and worker demographics.</w:t>
      </w:r>
    </w:p>
    <w:p w14:paraId="7C79ABBF" w14:textId="77777777" w:rsidR="005134C5" w:rsidRPr="005F42B8" w:rsidRDefault="005134C5" w:rsidP="005F42B8">
      <w:pPr>
        <w:spacing w:line="360" w:lineRule="auto"/>
        <w:rPr>
          <w:rFonts w:ascii="Arial" w:hAnsi="Arial" w:cs="Arial"/>
          <w:sz w:val="22"/>
          <w:szCs w:val="22"/>
        </w:rPr>
      </w:pPr>
    </w:p>
    <w:p w14:paraId="62BECBB3"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In contrast, qualitative research explores meanings, experiences, and perceptions using methods such as interviews, focus groups, and thematic analysis (Braun &amp; Clarke, 2006). This approach is suitable for understanding why workers leave, how organisational cultures influence retention, and how job demands shape worker wellbeing.</w:t>
      </w:r>
    </w:p>
    <w:p w14:paraId="4C9981E5" w14:textId="77777777" w:rsidR="005134C5" w:rsidRPr="005F42B8" w:rsidRDefault="005134C5" w:rsidP="005F42B8">
      <w:pPr>
        <w:spacing w:line="360" w:lineRule="auto"/>
        <w:rPr>
          <w:rFonts w:ascii="Arial" w:hAnsi="Arial" w:cs="Arial"/>
          <w:sz w:val="22"/>
          <w:szCs w:val="22"/>
        </w:rPr>
      </w:pPr>
    </w:p>
    <w:p w14:paraId="38190F4D"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Given the complexity of workforce shortages, this study will adopt a mixed-methods approach. Workforce challenges have both measurable dimensions (e.g., vacancy rates) and experiential components (e.g., job satisfaction, burnout). Mixed-methods designs provide a richer understanding by integrating statistical patterns with lived experiences (Creswell &amp; Creswell, 2018).</w:t>
      </w:r>
    </w:p>
    <w:p w14:paraId="346CC009" w14:textId="77777777" w:rsidR="005134C5" w:rsidRPr="005F42B8" w:rsidRDefault="005134C5" w:rsidP="005F42B8">
      <w:pPr>
        <w:spacing w:line="360" w:lineRule="auto"/>
        <w:rPr>
          <w:rFonts w:ascii="Arial" w:hAnsi="Arial" w:cs="Arial"/>
          <w:sz w:val="22"/>
          <w:szCs w:val="22"/>
        </w:rPr>
      </w:pPr>
    </w:p>
    <w:p w14:paraId="4B0FE28D"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Quantitative data can establish the scope of shortages, while qualitative data can explain underlying causes. This combination is essential for developing actionable recommendations that address both structural and human factors.</w:t>
      </w:r>
    </w:p>
    <w:p w14:paraId="3B73076D" w14:textId="77777777" w:rsidR="005134C5" w:rsidRPr="005F42B8" w:rsidRDefault="005134C5" w:rsidP="005F42B8">
      <w:pPr>
        <w:spacing w:line="360" w:lineRule="auto"/>
        <w:rPr>
          <w:rFonts w:ascii="Arial" w:hAnsi="Arial" w:cs="Arial"/>
          <w:sz w:val="22"/>
          <w:szCs w:val="22"/>
        </w:rPr>
      </w:pPr>
    </w:p>
    <w:p w14:paraId="6A68D39A" w14:textId="7E8BABEC"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 xml:space="preserve">Task 3: Data Collection </w:t>
      </w:r>
    </w:p>
    <w:p w14:paraId="528AA3D8" w14:textId="77777777" w:rsidR="005134C5" w:rsidRPr="005F42B8" w:rsidRDefault="005134C5" w:rsidP="005F42B8">
      <w:pPr>
        <w:spacing w:line="360" w:lineRule="auto"/>
        <w:rPr>
          <w:rFonts w:ascii="Arial" w:hAnsi="Arial" w:cs="Arial"/>
          <w:sz w:val="22"/>
          <w:szCs w:val="22"/>
        </w:rPr>
      </w:pPr>
    </w:p>
    <w:p w14:paraId="2BBC7AB3"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Primary data refers to data collected directly by the researcher, such as interviews, surveys, observations, or focus groups (</w:t>
      </w:r>
      <w:proofErr w:type="spellStart"/>
      <w:r w:rsidRPr="005F42B8">
        <w:rPr>
          <w:rFonts w:ascii="Arial" w:hAnsi="Arial" w:cs="Arial"/>
          <w:sz w:val="22"/>
          <w:szCs w:val="22"/>
        </w:rPr>
        <w:t>Bryman</w:t>
      </w:r>
      <w:proofErr w:type="spellEnd"/>
      <w:r w:rsidRPr="005F42B8">
        <w:rPr>
          <w:rFonts w:ascii="Arial" w:hAnsi="Arial" w:cs="Arial"/>
          <w:sz w:val="22"/>
          <w:szCs w:val="22"/>
        </w:rPr>
        <w:t>, 2016). These methods allow exploration of current experiences and provide detailed insights tailored to the research question.</w:t>
      </w:r>
    </w:p>
    <w:p w14:paraId="78BBE7B6" w14:textId="77777777" w:rsidR="005134C5" w:rsidRPr="005F42B8" w:rsidRDefault="005134C5" w:rsidP="005F42B8">
      <w:pPr>
        <w:spacing w:line="360" w:lineRule="auto"/>
        <w:rPr>
          <w:rFonts w:ascii="Arial" w:hAnsi="Arial" w:cs="Arial"/>
          <w:sz w:val="22"/>
          <w:szCs w:val="22"/>
        </w:rPr>
      </w:pPr>
    </w:p>
    <w:p w14:paraId="5BB52448"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Secondary data involves the use of existing data sources—including peer-reviewed studies, government datasets, and organisational records—that were originally collected for a different purpose.</w:t>
      </w:r>
    </w:p>
    <w:p w14:paraId="4F3DBF0A" w14:textId="77777777" w:rsidR="005134C5" w:rsidRPr="005F42B8" w:rsidRDefault="005134C5" w:rsidP="005F42B8">
      <w:pPr>
        <w:spacing w:line="360" w:lineRule="auto"/>
        <w:rPr>
          <w:rFonts w:ascii="Arial" w:hAnsi="Arial" w:cs="Arial"/>
          <w:sz w:val="22"/>
          <w:szCs w:val="22"/>
        </w:rPr>
      </w:pPr>
    </w:p>
    <w:p w14:paraId="0ED6B728"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Given the mixed-methods approach, this study will use a combination of primary qualitative data and secondary quantitative data.</w:t>
      </w:r>
    </w:p>
    <w:p w14:paraId="5E3D28CF" w14:textId="77777777" w:rsidR="005134C5" w:rsidRPr="005F42B8" w:rsidRDefault="005134C5" w:rsidP="005F42B8">
      <w:pPr>
        <w:spacing w:line="360" w:lineRule="auto"/>
        <w:rPr>
          <w:rFonts w:ascii="Arial" w:hAnsi="Arial" w:cs="Arial"/>
          <w:sz w:val="22"/>
          <w:szCs w:val="22"/>
        </w:rPr>
      </w:pPr>
    </w:p>
    <w:p w14:paraId="6B537EA3"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Secondary data usage</w:t>
      </w:r>
    </w:p>
    <w:p w14:paraId="707D215B"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Secondary data from peer-reviewed studies and national datasets (e.g., Skills for Care workforce statistics) will be used to identify broad quantitative trends and patterns in recruitment, retention, turnover, and vacancy rates. This supports the research by providing a robust empirical foundation.</w:t>
      </w:r>
    </w:p>
    <w:p w14:paraId="0B759E9E" w14:textId="77777777" w:rsidR="005134C5" w:rsidRPr="005F42B8" w:rsidRDefault="005134C5" w:rsidP="005F42B8">
      <w:pPr>
        <w:spacing w:line="360" w:lineRule="auto"/>
        <w:rPr>
          <w:rFonts w:ascii="Arial" w:hAnsi="Arial" w:cs="Arial"/>
          <w:sz w:val="22"/>
          <w:szCs w:val="22"/>
        </w:rPr>
      </w:pPr>
    </w:p>
    <w:p w14:paraId="3A52BEEF"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Primary data usage</w:t>
      </w:r>
    </w:p>
    <w:p w14:paraId="559E3A56"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Primary qualitative data will be collected through semi-structured interviews with care workers and care managers. This method is appropriate because it allows for flexibility while providing depth (Braun &amp; Clarke, 2006). Interviews can uncover personal experiences relating to motivation, stress, job satisfaction, and organisational support—factors which are not easily captured in quantitative datasets.</w:t>
      </w:r>
    </w:p>
    <w:p w14:paraId="3230E87C" w14:textId="77777777" w:rsidR="005134C5" w:rsidRPr="005F42B8" w:rsidRDefault="005134C5" w:rsidP="005F42B8">
      <w:pPr>
        <w:spacing w:line="360" w:lineRule="auto"/>
        <w:rPr>
          <w:rFonts w:ascii="Arial" w:hAnsi="Arial" w:cs="Arial"/>
          <w:sz w:val="22"/>
          <w:szCs w:val="22"/>
        </w:rPr>
      </w:pPr>
    </w:p>
    <w:p w14:paraId="19539E76"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This combination will ensure the research captures both the systemic and personal dimensions of the workforce crisis.</w:t>
      </w:r>
    </w:p>
    <w:p w14:paraId="37F2DE4C" w14:textId="77777777" w:rsidR="005134C5" w:rsidRPr="005F42B8" w:rsidRDefault="005134C5" w:rsidP="005F42B8">
      <w:pPr>
        <w:spacing w:line="360" w:lineRule="auto"/>
        <w:rPr>
          <w:rFonts w:ascii="Arial" w:hAnsi="Arial" w:cs="Arial"/>
          <w:sz w:val="22"/>
          <w:szCs w:val="22"/>
        </w:rPr>
      </w:pPr>
    </w:p>
    <w:p w14:paraId="093BC5A9" w14:textId="7F4A35B8"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 xml:space="preserve">Conclusion </w:t>
      </w:r>
    </w:p>
    <w:p w14:paraId="551AA20F" w14:textId="77777777" w:rsidR="005134C5" w:rsidRPr="005F42B8" w:rsidRDefault="005134C5" w:rsidP="005F42B8">
      <w:pPr>
        <w:spacing w:line="360" w:lineRule="auto"/>
        <w:rPr>
          <w:rFonts w:ascii="Arial" w:hAnsi="Arial" w:cs="Arial"/>
          <w:sz w:val="22"/>
          <w:szCs w:val="22"/>
        </w:rPr>
      </w:pPr>
    </w:p>
    <w:p w14:paraId="79C80618"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This report has examined the significant workforce shortage affecting the UK adult social care sector, highlighting its impact on service users, care workers, organisations, and the wider health system. A review of peer-reviewed literature demonstrates that the shortage is driven by structural vulnerabilities, including low pay, market fragmentation, and demanding working conditions. The report justifies the urgent need for research to inform sustainable workforce strategies. A mixed-methods approach, incorporating secondary quantitative data and primary qualitative interviews, has been identified as the most suitable methodology for capturing both the scale and lived experience of the issue. This research has the potential to contribute meaningfully to policy development, organisational practice, and the long-term stability of the adult social care workforce.</w:t>
      </w:r>
    </w:p>
    <w:p w14:paraId="099EAF19" w14:textId="77777777" w:rsidR="005134C5" w:rsidRPr="005F42B8" w:rsidRDefault="005134C5" w:rsidP="005F42B8">
      <w:pPr>
        <w:spacing w:line="360" w:lineRule="auto"/>
        <w:rPr>
          <w:rFonts w:ascii="Arial" w:hAnsi="Arial" w:cs="Arial"/>
          <w:sz w:val="22"/>
          <w:szCs w:val="22"/>
        </w:rPr>
      </w:pPr>
    </w:p>
    <w:p w14:paraId="27B0069C" w14:textId="77777777" w:rsidR="005134C5" w:rsidRPr="005F42B8" w:rsidRDefault="005134C5" w:rsidP="005F42B8">
      <w:pPr>
        <w:spacing w:line="360" w:lineRule="auto"/>
        <w:rPr>
          <w:rFonts w:ascii="Arial" w:hAnsi="Arial" w:cs="Arial"/>
          <w:sz w:val="22"/>
          <w:szCs w:val="22"/>
        </w:rPr>
      </w:pPr>
    </w:p>
    <w:p w14:paraId="26FA4ED0" w14:textId="6155F137" w:rsidR="005134C5" w:rsidRPr="005F42B8" w:rsidRDefault="005134C5" w:rsidP="005F42B8">
      <w:pPr>
        <w:spacing w:line="360" w:lineRule="auto"/>
        <w:rPr>
          <w:rFonts w:ascii="Arial" w:hAnsi="Arial" w:cs="Arial"/>
          <w:sz w:val="22"/>
          <w:szCs w:val="22"/>
        </w:rPr>
      </w:pPr>
    </w:p>
    <w:p w14:paraId="6BAE479E" w14:textId="77777777" w:rsidR="005134C5" w:rsidRPr="005F42B8" w:rsidRDefault="005134C5" w:rsidP="005F42B8">
      <w:pPr>
        <w:spacing w:line="360" w:lineRule="auto"/>
        <w:rPr>
          <w:rFonts w:ascii="Arial" w:hAnsi="Arial" w:cs="Arial"/>
          <w:sz w:val="22"/>
          <w:szCs w:val="22"/>
        </w:rPr>
      </w:pPr>
    </w:p>
    <w:p w14:paraId="17FE723C"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References (Harvard Style)</w:t>
      </w:r>
    </w:p>
    <w:p w14:paraId="1771289D" w14:textId="77777777" w:rsidR="005134C5" w:rsidRPr="005F42B8" w:rsidRDefault="005134C5" w:rsidP="005F42B8">
      <w:pPr>
        <w:spacing w:line="360" w:lineRule="auto"/>
        <w:rPr>
          <w:rFonts w:ascii="Arial" w:hAnsi="Arial" w:cs="Arial"/>
          <w:sz w:val="22"/>
          <w:szCs w:val="22"/>
        </w:rPr>
      </w:pPr>
    </w:p>
    <w:p w14:paraId="6B2FC714"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Atkinson, C. &amp; Lucas, R. (2013)</w:t>
      </w:r>
      <w:r w:rsidRPr="001453B8">
        <w:rPr>
          <w:rFonts w:ascii="Arial" w:hAnsi="Arial" w:cs="Arial"/>
          <w:i/>
          <w:iCs/>
          <w:sz w:val="22"/>
          <w:szCs w:val="22"/>
        </w:rPr>
        <w:t xml:space="preserve"> ‘Policy and gender in adult social care work’, Public Administration</w:t>
      </w:r>
      <w:r w:rsidRPr="005F42B8">
        <w:rPr>
          <w:rFonts w:ascii="Arial" w:hAnsi="Arial" w:cs="Arial"/>
          <w:sz w:val="22"/>
          <w:szCs w:val="22"/>
        </w:rPr>
        <w:t>, 91(1), pp. 159–173.</w:t>
      </w:r>
    </w:p>
    <w:p w14:paraId="22F54560" w14:textId="77777777" w:rsidR="005134C5" w:rsidRPr="005F42B8" w:rsidRDefault="005134C5" w:rsidP="005F42B8">
      <w:pPr>
        <w:spacing w:line="360" w:lineRule="auto"/>
        <w:rPr>
          <w:rFonts w:ascii="Arial" w:hAnsi="Arial" w:cs="Arial"/>
          <w:sz w:val="22"/>
          <w:szCs w:val="22"/>
        </w:rPr>
      </w:pPr>
    </w:p>
    <w:p w14:paraId="36733823"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Braun, V. &amp; Clarke, V. (2006) ‘</w:t>
      </w:r>
      <w:r w:rsidRPr="0013089A">
        <w:rPr>
          <w:rFonts w:ascii="Arial" w:hAnsi="Arial" w:cs="Arial"/>
          <w:i/>
          <w:iCs/>
          <w:sz w:val="22"/>
          <w:szCs w:val="22"/>
        </w:rPr>
        <w:t>Using thematic analysis in psychology’, Qualitative Research in Psychology,</w:t>
      </w:r>
      <w:r w:rsidRPr="005F42B8">
        <w:rPr>
          <w:rFonts w:ascii="Arial" w:hAnsi="Arial" w:cs="Arial"/>
          <w:sz w:val="22"/>
          <w:szCs w:val="22"/>
        </w:rPr>
        <w:t xml:space="preserve"> 3(2), pp. 77–101.</w:t>
      </w:r>
    </w:p>
    <w:p w14:paraId="7D3D5C65" w14:textId="77777777" w:rsidR="005134C5" w:rsidRPr="005F42B8" w:rsidRDefault="005134C5" w:rsidP="005F42B8">
      <w:pPr>
        <w:spacing w:line="360" w:lineRule="auto"/>
        <w:rPr>
          <w:rFonts w:ascii="Arial" w:hAnsi="Arial" w:cs="Arial"/>
          <w:sz w:val="22"/>
          <w:szCs w:val="22"/>
        </w:rPr>
      </w:pPr>
    </w:p>
    <w:p w14:paraId="360E8C0C" w14:textId="77777777" w:rsidR="005134C5" w:rsidRPr="0013089A" w:rsidRDefault="005134C5" w:rsidP="005F42B8">
      <w:pPr>
        <w:spacing w:line="360" w:lineRule="auto"/>
        <w:rPr>
          <w:rFonts w:ascii="Arial" w:hAnsi="Arial" w:cs="Arial"/>
          <w:sz w:val="22"/>
          <w:szCs w:val="22"/>
        </w:rPr>
      </w:pPr>
      <w:proofErr w:type="spellStart"/>
      <w:r w:rsidRPr="005F42B8">
        <w:rPr>
          <w:rFonts w:ascii="Arial" w:hAnsi="Arial" w:cs="Arial"/>
          <w:sz w:val="22"/>
          <w:szCs w:val="22"/>
        </w:rPr>
        <w:t>Bryman</w:t>
      </w:r>
      <w:proofErr w:type="spellEnd"/>
      <w:r w:rsidRPr="005F42B8">
        <w:rPr>
          <w:rFonts w:ascii="Arial" w:hAnsi="Arial" w:cs="Arial"/>
          <w:sz w:val="22"/>
          <w:szCs w:val="22"/>
        </w:rPr>
        <w:t xml:space="preserve">, A. (2016) </w:t>
      </w:r>
      <w:r w:rsidRPr="0013089A">
        <w:rPr>
          <w:rFonts w:ascii="Arial" w:hAnsi="Arial" w:cs="Arial"/>
          <w:i/>
          <w:iCs/>
          <w:sz w:val="22"/>
          <w:szCs w:val="22"/>
        </w:rPr>
        <w:t xml:space="preserve">Social Research Methods. 5th </w:t>
      </w:r>
      <w:proofErr w:type="spellStart"/>
      <w:r w:rsidRPr="0013089A">
        <w:rPr>
          <w:rFonts w:ascii="Arial" w:hAnsi="Arial" w:cs="Arial"/>
          <w:i/>
          <w:iCs/>
          <w:sz w:val="22"/>
          <w:szCs w:val="22"/>
        </w:rPr>
        <w:t>edn</w:t>
      </w:r>
      <w:proofErr w:type="spellEnd"/>
      <w:r w:rsidRPr="0013089A">
        <w:rPr>
          <w:rFonts w:ascii="Arial" w:hAnsi="Arial" w:cs="Arial"/>
          <w:i/>
          <w:iCs/>
          <w:sz w:val="22"/>
          <w:szCs w:val="22"/>
        </w:rPr>
        <w:t>. Oxford</w:t>
      </w:r>
      <w:r w:rsidRPr="0013089A">
        <w:rPr>
          <w:rFonts w:ascii="Arial" w:hAnsi="Arial" w:cs="Arial"/>
          <w:sz w:val="22"/>
          <w:szCs w:val="22"/>
        </w:rPr>
        <w:t>: Oxford University Press.</w:t>
      </w:r>
    </w:p>
    <w:p w14:paraId="671F7DDA" w14:textId="77777777" w:rsidR="005134C5" w:rsidRPr="005F42B8" w:rsidRDefault="005134C5" w:rsidP="005F42B8">
      <w:pPr>
        <w:spacing w:line="360" w:lineRule="auto"/>
        <w:rPr>
          <w:rFonts w:ascii="Arial" w:hAnsi="Arial" w:cs="Arial"/>
          <w:sz w:val="22"/>
          <w:szCs w:val="22"/>
        </w:rPr>
      </w:pPr>
    </w:p>
    <w:p w14:paraId="3E2BF7B3"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 xml:space="preserve">Creswell, J. &amp; Creswell, D. (2018) </w:t>
      </w:r>
      <w:r w:rsidRPr="0013089A">
        <w:rPr>
          <w:rFonts w:ascii="Arial" w:hAnsi="Arial" w:cs="Arial"/>
          <w:i/>
          <w:iCs/>
          <w:sz w:val="22"/>
          <w:szCs w:val="22"/>
        </w:rPr>
        <w:t>Research Design: Qualitative, Quantitative and Mixed Methods Approaches</w:t>
      </w:r>
      <w:r w:rsidRPr="005F42B8">
        <w:rPr>
          <w:rFonts w:ascii="Arial" w:hAnsi="Arial" w:cs="Arial"/>
          <w:sz w:val="22"/>
          <w:szCs w:val="22"/>
        </w:rPr>
        <w:t xml:space="preserve">. 5th </w:t>
      </w:r>
      <w:proofErr w:type="spellStart"/>
      <w:r w:rsidRPr="005F42B8">
        <w:rPr>
          <w:rFonts w:ascii="Arial" w:hAnsi="Arial" w:cs="Arial"/>
          <w:sz w:val="22"/>
          <w:szCs w:val="22"/>
        </w:rPr>
        <w:t>edn</w:t>
      </w:r>
      <w:proofErr w:type="spellEnd"/>
      <w:r w:rsidRPr="005F42B8">
        <w:rPr>
          <w:rFonts w:ascii="Arial" w:hAnsi="Arial" w:cs="Arial"/>
          <w:sz w:val="22"/>
          <w:szCs w:val="22"/>
        </w:rPr>
        <w:t>. London: Sage.</w:t>
      </w:r>
    </w:p>
    <w:p w14:paraId="37CA7042" w14:textId="77777777" w:rsidR="005134C5" w:rsidRPr="005F42B8" w:rsidRDefault="005134C5" w:rsidP="005F42B8">
      <w:pPr>
        <w:spacing w:line="360" w:lineRule="auto"/>
        <w:rPr>
          <w:rFonts w:ascii="Arial" w:hAnsi="Arial" w:cs="Arial"/>
          <w:sz w:val="22"/>
          <w:szCs w:val="22"/>
        </w:rPr>
      </w:pPr>
    </w:p>
    <w:p w14:paraId="6C4172D5"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Daly, T. &amp; Armstrong, P. (2016) ‘</w:t>
      </w:r>
      <w:r w:rsidRPr="004E6B9F">
        <w:rPr>
          <w:rFonts w:ascii="Arial" w:hAnsi="Arial" w:cs="Arial"/>
          <w:i/>
          <w:iCs/>
          <w:sz w:val="22"/>
          <w:szCs w:val="22"/>
        </w:rPr>
        <w:t>Dementia care as labour: The role of migrant care workers’, Journal of Ethics in Mental Health</w:t>
      </w:r>
      <w:r w:rsidRPr="005F42B8">
        <w:rPr>
          <w:rFonts w:ascii="Arial" w:hAnsi="Arial" w:cs="Arial"/>
          <w:sz w:val="22"/>
          <w:szCs w:val="22"/>
        </w:rPr>
        <w:t>, 9, pp. 1–7.</w:t>
      </w:r>
    </w:p>
    <w:p w14:paraId="25DF53EF" w14:textId="77777777" w:rsidR="005134C5" w:rsidRPr="005F42B8" w:rsidRDefault="005134C5" w:rsidP="005F42B8">
      <w:pPr>
        <w:spacing w:line="360" w:lineRule="auto"/>
        <w:rPr>
          <w:rFonts w:ascii="Arial" w:hAnsi="Arial" w:cs="Arial"/>
          <w:sz w:val="22"/>
          <w:szCs w:val="22"/>
        </w:rPr>
      </w:pPr>
    </w:p>
    <w:p w14:paraId="03A3C9BA"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 xml:space="preserve">Glasby, J. &amp; </w:t>
      </w:r>
      <w:proofErr w:type="spellStart"/>
      <w:r w:rsidRPr="005F42B8">
        <w:rPr>
          <w:rFonts w:ascii="Arial" w:hAnsi="Arial" w:cs="Arial"/>
          <w:sz w:val="22"/>
          <w:szCs w:val="22"/>
        </w:rPr>
        <w:t>Thomes</w:t>
      </w:r>
      <w:proofErr w:type="spellEnd"/>
      <w:r w:rsidRPr="005F42B8">
        <w:rPr>
          <w:rFonts w:ascii="Arial" w:hAnsi="Arial" w:cs="Arial"/>
          <w:sz w:val="22"/>
          <w:szCs w:val="22"/>
        </w:rPr>
        <w:t xml:space="preserve">, S. (2018) </w:t>
      </w:r>
      <w:r w:rsidRPr="004E6B9F">
        <w:rPr>
          <w:rFonts w:ascii="Arial" w:hAnsi="Arial" w:cs="Arial"/>
          <w:i/>
          <w:iCs/>
          <w:sz w:val="22"/>
          <w:szCs w:val="22"/>
        </w:rPr>
        <w:t xml:space="preserve">Understanding Health and Social Care. 3rd </w:t>
      </w:r>
      <w:proofErr w:type="spellStart"/>
      <w:r w:rsidRPr="004E6B9F">
        <w:rPr>
          <w:rFonts w:ascii="Arial" w:hAnsi="Arial" w:cs="Arial"/>
          <w:i/>
          <w:iCs/>
          <w:sz w:val="22"/>
          <w:szCs w:val="22"/>
        </w:rPr>
        <w:t>edn</w:t>
      </w:r>
      <w:proofErr w:type="spellEnd"/>
      <w:r w:rsidRPr="004E6B9F">
        <w:rPr>
          <w:rFonts w:ascii="Arial" w:hAnsi="Arial" w:cs="Arial"/>
          <w:i/>
          <w:iCs/>
          <w:sz w:val="22"/>
          <w:szCs w:val="22"/>
        </w:rPr>
        <w:t xml:space="preserve">. </w:t>
      </w:r>
      <w:r w:rsidRPr="005F42B8">
        <w:rPr>
          <w:rFonts w:ascii="Arial" w:hAnsi="Arial" w:cs="Arial"/>
          <w:sz w:val="22"/>
          <w:szCs w:val="22"/>
        </w:rPr>
        <w:t>London: Policy Press.</w:t>
      </w:r>
    </w:p>
    <w:p w14:paraId="3D7E8624" w14:textId="77777777" w:rsidR="005134C5" w:rsidRPr="005F42B8" w:rsidRDefault="005134C5" w:rsidP="005F42B8">
      <w:pPr>
        <w:spacing w:line="360" w:lineRule="auto"/>
        <w:rPr>
          <w:rFonts w:ascii="Arial" w:hAnsi="Arial" w:cs="Arial"/>
          <w:sz w:val="22"/>
          <w:szCs w:val="22"/>
        </w:rPr>
      </w:pPr>
    </w:p>
    <w:p w14:paraId="39ECD4F1" w14:textId="77777777" w:rsidR="005134C5" w:rsidRPr="004E6B9F" w:rsidRDefault="005134C5" w:rsidP="005F42B8">
      <w:pPr>
        <w:spacing w:line="360" w:lineRule="auto"/>
        <w:rPr>
          <w:rFonts w:ascii="Arial" w:hAnsi="Arial" w:cs="Arial"/>
          <w:i/>
          <w:iCs/>
          <w:sz w:val="22"/>
          <w:szCs w:val="22"/>
        </w:rPr>
      </w:pPr>
      <w:r w:rsidRPr="005F42B8">
        <w:rPr>
          <w:rFonts w:ascii="Arial" w:hAnsi="Arial" w:cs="Arial"/>
          <w:sz w:val="22"/>
          <w:szCs w:val="22"/>
        </w:rPr>
        <w:t>Hussein, S. (2022) ‘</w:t>
      </w:r>
      <w:r w:rsidRPr="004E6B9F">
        <w:rPr>
          <w:rFonts w:ascii="Arial" w:hAnsi="Arial" w:cs="Arial"/>
          <w:i/>
          <w:iCs/>
          <w:sz w:val="22"/>
          <w:szCs w:val="22"/>
        </w:rPr>
        <w:t>Tackling social care workforce shortages’, Journal of Social Policy, 51(3), pp. 1–18.</w:t>
      </w:r>
    </w:p>
    <w:p w14:paraId="4DB1EE6D" w14:textId="77777777" w:rsidR="005134C5" w:rsidRPr="004E6B9F" w:rsidRDefault="005134C5" w:rsidP="005F42B8">
      <w:pPr>
        <w:spacing w:line="360" w:lineRule="auto"/>
        <w:rPr>
          <w:rFonts w:ascii="Arial" w:hAnsi="Arial" w:cs="Arial"/>
          <w:i/>
          <w:iCs/>
          <w:sz w:val="22"/>
          <w:szCs w:val="22"/>
        </w:rPr>
      </w:pPr>
    </w:p>
    <w:p w14:paraId="3E14B360" w14:textId="77777777"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 xml:space="preserve">Moriarty, J., </w:t>
      </w:r>
      <w:proofErr w:type="spellStart"/>
      <w:r w:rsidRPr="005F42B8">
        <w:rPr>
          <w:rFonts w:ascii="Arial" w:hAnsi="Arial" w:cs="Arial"/>
          <w:sz w:val="22"/>
          <w:szCs w:val="22"/>
        </w:rPr>
        <w:t>Manthorpe</w:t>
      </w:r>
      <w:proofErr w:type="spellEnd"/>
      <w:r w:rsidRPr="005F42B8">
        <w:rPr>
          <w:rFonts w:ascii="Arial" w:hAnsi="Arial" w:cs="Arial"/>
          <w:sz w:val="22"/>
          <w:szCs w:val="22"/>
        </w:rPr>
        <w:t xml:space="preserve">, J. &amp; Harris, J. (2018) </w:t>
      </w:r>
      <w:r w:rsidRPr="009330E7">
        <w:rPr>
          <w:rFonts w:ascii="Arial" w:hAnsi="Arial" w:cs="Arial"/>
          <w:i/>
          <w:iCs/>
          <w:sz w:val="22"/>
          <w:szCs w:val="22"/>
        </w:rPr>
        <w:t>‘Adult social care workforce retention: A review’, Health &amp; Social Care in the Community</w:t>
      </w:r>
      <w:r w:rsidRPr="005F42B8">
        <w:rPr>
          <w:rFonts w:ascii="Arial" w:hAnsi="Arial" w:cs="Arial"/>
          <w:sz w:val="22"/>
          <w:szCs w:val="22"/>
        </w:rPr>
        <w:t>, 26(3), pp. 324–337.</w:t>
      </w:r>
    </w:p>
    <w:p w14:paraId="3B32334E" w14:textId="77777777" w:rsidR="005134C5" w:rsidRPr="005F42B8" w:rsidRDefault="005134C5" w:rsidP="005F42B8">
      <w:pPr>
        <w:spacing w:line="360" w:lineRule="auto"/>
        <w:rPr>
          <w:rFonts w:ascii="Arial" w:hAnsi="Arial" w:cs="Arial"/>
          <w:sz w:val="22"/>
          <w:szCs w:val="22"/>
        </w:rPr>
      </w:pPr>
    </w:p>
    <w:p w14:paraId="0FE7117A" w14:textId="77777777" w:rsidR="005134C5" w:rsidRPr="005F42B8" w:rsidRDefault="005134C5" w:rsidP="005F42B8">
      <w:pPr>
        <w:spacing w:line="360" w:lineRule="auto"/>
        <w:rPr>
          <w:rFonts w:ascii="Arial" w:hAnsi="Arial" w:cs="Arial"/>
          <w:sz w:val="22"/>
          <w:szCs w:val="22"/>
        </w:rPr>
      </w:pPr>
      <w:proofErr w:type="spellStart"/>
      <w:r w:rsidRPr="005F42B8">
        <w:rPr>
          <w:rFonts w:ascii="Arial" w:hAnsi="Arial" w:cs="Arial"/>
          <w:sz w:val="22"/>
          <w:szCs w:val="22"/>
        </w:rPr>
        <w:t>Nyashanu</w:t>
      </w:r>
      <w:proofErr w:type="spellEnd"/>
      <w:r w:rsidRPr="005F42B8">
        <w:rPr>
          <w:rFonts w:ascii="Arial" w:hAnsi="Arial" w:cs="Arial"/>
          <w:sz w:val="22"/>
          <w:szCs w:val="22"/>
        </w:rPr>
        <w:t xml:space="preserve">, M., </w:t>
      </w:r>
      <w:proofErr w:type="spellStart"/>
      <w:r w:rsidRPr="005F42B8">
        <w:rPr>
          <w:rFonts w:ascii="Arial" w:hAnsi="Arial" w:cs="Arial"/>
          <w:sz w:val="22"/>
          <w:szCs w:val="22"/>
        </w:rPr>
        <w:t>Pfende</w:t>
      </w:r>
      <w:proofErr w:type="spellEnd"/>
      <w:r w:rsidRPr="005F42B8">
        <w:rPr>
          <w:rFonts w:ascii="Arial" w:hAnsi="Arial" w:cs="Arial"/>
          <w:sz w:val="22"/>
          <w:szCs w:val="22"/>
        </w:rPr>
        <w:t xml:space="preserve">, F. &amp; </w:t>
      </w:r>
      <w:proofErr w:type="spellStart"/>
      <w:r w:rsidRPr="005F42B8">
        <w:rPr>
          <w:rFonts w:ascii="Arial" w:hAnsi="Arial" w:cs="Arial"/>
          <w:sz w:val="22"/>
          <w:szCs w:val="22"/>
        </w:rPr>
        <w:t>Ekpenyong</w:t>
      </w:r>
      <w:proofErr w:type="spellEnd"/>
      <w:r w:rsidRPr="005F42B8">
        <w:rPr>
          <w:rFonts w:ascii="Arial" w:hAnsi="Arial" w:cs="Arial"/>
          <w:sz w:val="22"/>
          <w:szCs w:val="22"/>
        </w:rPr>
        <w:t>, M. (2020) ‘</w:t>
      </w:r>
      <w:r w:rsidRPr="009330E7">
        <w:rPr>
          <w:rFonts w:ascii="Arial" w:hAnsi="Arial" w:cs="Arial"/>
          <w:i/>
          <w:iCs/>
          <w:sz w:val="22"/>
          <w:szCs w:val="22"/>
        </w:rPr>
        <w:t xml:space="preserve">Exploring the challenges faced by frontline workers in health and social care during the COVID-19 pandemic’, Journal of </w:t>
      </w:r>
      <w:proofErr w:type="spellStart"/>
      <w:r w:rsidRPr="009330E7">
        <w:rPr>
          <w:rFonts w:ascii="Arial" w:hAnsi="Arial" w:cs="Arial"/>
          <w:i/>
          <w:iCs/>
          <w:sz w:val="22"/>
          <w:szCs w:val="22"/>
        </w:rPr>
        <w:t>Interprofessional</w:t>
      </w:r>
      <w:proofErr w:type="spellEnd"/>
      <w:r w:rsidRPr="009330E7">
        <w:rPr>
          <w:rFonts w:ascii="Arial" w:hAnsi="Arial" w:cs="Arial"/>
          <w:i/>
          <w:iCs/>
          <w:sz w:val="22"/>
          <w:szCs w:val="22"/>
        </w:rPr>
        <w:t xml:space="preserve"> Care, </w:t>
      </w:r>
      <w:r w:rsidRPr="005F42B8">
        <w:rPr>
          <w:rFonts w:ascii="Arial" w:hAnsi="Arial" w:cs="Arial"/>
          <w:sz w:val="22"/>
          <w:szCs w:val="22"/>
        </w:rPr>
        <w:t>34(5), pp. 655–661.</w:t>
      </w:r>
    </w:p>
    <w:p w14:paraId="2E963C81" w14:textId="77777777" w:rsidR="005134C5" w:rsidRPr="005F42B8" w:rsidRDefault="005134C5" w:rsidP="005F42B8">
      <w:pPr>
        <w:spacing w:line="360" w:lineRule="auto"/>
        <w:rPr>
          <w:rFonts w:ascii="Arial" w:hAnsi="Arial" w:cs="Arial"/>
          <w:sz w:val="22"/>
          <w:szCs w:val="22"/>
        </w:rPr>
      </w:pPr>
    </w:p>
    <w:p w14:paraId="549BE9C5" w14:textId="77777777" w:rsidR="005134C5" w:rsidRPr="005F42B8" w:rsidRDefault="005134C5" w:rsidP="005F42B8">
      <w:pPr>
        <w:spacing w:line="360" w:lineRule="auto"/>
        <w:rPr>
          <w:rFonts w:ascii="Arial" w:hAnsi="Arial" w:cs="Arial"/>
          <w:sz w:val="22"/>
          <w:szCs w:val="22"/>
        </w:rPr>
      </w:pPr>
      <w:proofErr w:type="spellStart"/>
      <w:r w:rsidRPr="005F42B8">
        <w:rPr>
          <w:rFonts w:ascii="Arial" w:hAnsi="Arial" w:cs="Arial"/>
          <w:sz w:val="22"/>
          <w:szCs w:val="22"/>
        </w:rPr>
        <w:t>Rubery</w:t>
      </w:r>
      <w:proofErr w:type="spellEnd"/>
      <w:r w:rsidRPr="005F42B8">
        <w:rPr>
          <w:rFonts w:ascii="Arial" w:hAnsi="Arial" w:cs="Arial"/>
          <w:sz w:val="22"/>
          <w:szCs w:val="22"/>
        </w:rPr>
        <w:t xml:space="preserve">, J., </w:t>
      </w:r>
      <w:proofErr w:type="spellStart"/>
      <w:r w:rsidRPr="005F42B8">
        <w:rPr>
          <w:rFonts w:ascii="Arial" w:hAnsi="Arial" w:cs="Arial"/>
          <w:sz w:val="22"/>
          <w:szCs w:val="22"/>
        </w:rPr>
        <w:t>Hebson</w:t>
      </w:r>
      <w:proofErr w:type="spellEnd"/>
      <w:r w:rsidRPr="005F42B8">
        <w:rPr>
          <w:rFonts w:ascii="Arial" w:hAnsi="Arial" w:cs="Arial"/>
          <w:sz w:val="22"/>
          <w:szCs w:val="22"/>
        </w:rPr>
        <w:t xml:space="preserve">, G. &amp; </w:t>
      </w:r>
      <w:proofErr w:type="spellStart"/>
      <w:r w:rsidRPr="005F42B8">
        <w:rPr>
          <w:rFonts w:ascii="Arial" w:hAnsi="Arial" w:cs="Arial"/>
          <w:sz w:val="22"/>
          <w:szCs w:val="22"/>
        </w:rPr>
        <w:t>Grimshaw</w:t>
      </w:r>
      <w:proofErr w:type="spellEnd"/>
      <w:r w:rsidRPr="005F42B8">
        <w:rPr>
          <w:rFonts w:ascii="Arial" w:hAnsi="Arial" w:cs="Arial"/>
          <w:sz w:val="22"/>
          <w:szCs w:val="22"/>
        </w:rPr>
        <w:t>, D. (2015) ‘</w:t>
      </w:r>
      <w:r w:rsidRPr="001B179B">
        <w:rPr>
          <w:rFonts w:ascii="Arial" w:hAnsi="Arial" w:cs="Arial"/>
          <w:i/>
          <w:iCs/>
          <w:sz w:val="22"/>
          <w:szCs w:val="22"/>
        </w:rPr>
        <w:t>The fragmentation of care and implications for workforce sustainability’, Work, Employment and Society</w:t>
      </w:r>
      <w:r w:rsidRPr="005F42B8">
        <w:rPr>
          <w:rFonts w:ascii="Arial" w:hAnsi="Arial" w:cs="Arial"/>
          <w:sz w:val="22"/>
          <w:szCs w:val="22"/>
        </w:rPr>
        <w:t>, 29(2), pp. 1–19.</w:t>
      </w:r>
    </w:p>
    <w:p w14:paraId="7C63FA49" w14:textId="77777777" w:rsidR="005134C5" w:rsidRPr="005F42B8" w:rsidRDefault="005134C5" w:rsidP="005F42B8">
      <w:pPr>
        <w:spacing w:line="360" w:lineRule="auto"/>
        <w:rPr>
          <w:rFonts w:ascii="Arial" w:hAnsi="Arial" w:cs="Arial"/>
          <w:sz w:val="22"/>
          <w:szCs w:val="22"/>
        </w:rPr>
      </w:pPr>
    </w:p>
    <w:p w14:paraId="2285CCEA" w14:textId="77777777" w:rsidR="005134C5" w:rsidRPr="005F42B8" w:rsidRDefault="005134C5" w:rsidP="005F42B8">
      <w:pPr>
        <w:spacing w:line="360" w:lineRule="auto"/>
        <w:rPr>
          <w:rFonts w:ascii="Arial" w:hAnsi="Arial" w:cs="Arial"/>
          <w:sz w:val="22"/>
          <w:szCs w:val="22"/>
        </w:rPr>
      </w:pPr>
      <w:proofErr w:type="spellStart"/>
      <w:r w:rsidRPr="005F42B8">
        <w:rPr>
          <w:rFonts w:ascii="Arial" w:hAnsi="Arial" w:cs="Arial"/>
          <w:sz w:val="22"/>
          <w:szCs w:val="22"/>
        </w:rPr>
        <w:t>Rubery</w:t>
      </w:r>
      <w:proofErr w:type="spellEnd"/>
      <w:r w:rsidRPr="005F42B8">
        <w:rPr>
          <w:rFonts w:ascii="Arial" w:hAnsi="Arial" w:cs="Arial"/>
          <w:sz w:val="22"/>
          <w:szCs w:val="22"/>
        </w:rPr>
        <w:t>, J. &amp; Johnson, M. (2019) ‘</w:t>
      </w:r>
      <w:r w:rsidRPr="001B179B">
        <w:rPr>
          <w:rFonts w:ascii="Arial" w:hAnsi="Arial" w:cs="Arial"/>
          <w:i/>
          <w:iCs/>
          <w:sz w:val="22"/>
          <w:szCs w:val="22"/>
        </w:rPr>
        <w:t>Zero-hours contracts and the adult social care workforce’, Industrial Relations Journal,</w:t>
      </w:r>
      <w:r w:rsidRPr="005F42B8">
        <w:rPr>
          <w:rFonts w:ascii="Arial" w:hAnsi="Arial" w:cs="Arial"/>
          <w:sz w:val="22"/>
          <w:szCs w:val="22"/>
        </w:rPr>
        <w:t xml:space="preserve"> 50(1), pp. 1–17.</w:t>
      </w:r>
    </w:p>
    <w:p w14:paraId="0212F35F" w14:textId="77777777" w:rsidR="005134C5" w:rsidRPr="005F42B8" w:rsidRDefault="005134C5" w:rsidP="005F42B8">
      <w:pPr>
        <w:spacing w:line="360" w:lineRule="auto"/>
        <w:rPr>
          <w:rFonts w:ascii="Arial" w:hAnsi="Arial" w:cs="Arial"/>
          <w:sz w:val="22"/>
          <w:szCs w:val="22"/>
        </w:rPr>
      </w:pPr>
    </w:p>
    <w:p w14:paraId="55B46130" w14:textId="2C0F2621" w:rsidR="005134C5" w:rsidRPr="005F42B8" w:rsidRDefault="005134C5" w:rsidP="005F42B8">
      <w:pPr>
        <w:spacing w:line="360" w:lineRule="auto"/>
        <w:rPr>
          <w:rFonts w:ascii="Arial" w:hAnsi="Arial" w:cs="Arial"/>
          <w:sz w:val="22"/>
          <w:szCs w:val="22"/>
        </w:rPr>
      </w:pPr>
      <w:r w:rsidRPr="005F42B8">
        <w:rPr>
          <w:rFonts w:ascii="Arial" w:hAnsi="Arial" w:cs="Arial"/>
          <w:sz w:val="22"/>
          <w:szCs w:val="22"/>
        </w:rPr>
        <w:t>Skills for Care (2021) ‘</w:t>
      </w:r>
      <w:r w:rsidRPr="001B179B">
        <w:rPr>
          <w:rFonts w:ascii="Arial" w:hAnsi="Arial" w:cs="Arial"/>
          <w:i/>
          <w:iCs/>
          <w:sz w:val="22"/>
          <w:szCs w:val="22"/>
        </w:rPr>
        <w:t xml:space="preserve">The state of the adult social care workforce’. British Journal of Social Work, </w:t>
      </w:r>
      <w:r w:rsidRPr="005F42B8">
        <w:rPr>
          <w:rFonts w:ascii="Arial" w:hAnsi="Arial" w:cs="Arial"/>
          <w:sz w:val="22"/>
          <w:szCs w:val="22"/>
        </w:rPr>
        <w:t>51(8), pp. 1–5.</w:t>
      </w:r>
    </w:p>
    <w:sectPr w:rsidR="005134C5" w:rsidRPr="005F42B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4C5"/>
    <w:rsid w:val="0013089A"/>
    <w:rsid w:val="001453B8"/>
    <w:rsid w:val="001649D8"/>
    <w:rsid w:val="001B179B"/>
    <w:rsid w:val="002D58DB"/>
    <w:rsid w:val="002F2760"/>
    <w:rsid w:val="00315ADE"/>
    <w:rsid w:val="003974F9"/>
    <w:rsid w:val="004E6B9F"/>
    <w:rsid w:val="005134C5"/>
    <w:rsid w:val="0055664B"/>
    <w:rsid w:val="005B6594"/>
    <w:rsid w:val="005F42B8"/>
    <w:rsid w:val="0065067C"/>
    <w:rsid w:val="006A341E"/>
    <w:rsid w:val="008870EA"/>
    <w:rsid w:val="009330E7"/>
    <w:rsid w:val="00A95B9F"/>
    <w:rsid w:val="00B36BC3"/>
    <w:rsid w:val="00B95C79"/>
    <w:rsid w:val="00BF404F"/>
    <w:rsid w:val="00F22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35900D"/>
  <w15:chartTrackingRefBased/>
  <w15:docId w15:val="{4544EB5B-374F-634D-9C71-F7DF6F8F3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34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34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34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34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34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34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34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34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34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34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34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34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34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34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34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34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34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34C5"/>
    <w:rPr>
      <w:rFonts w:eastAsiaTheme="majorEastAsia" w:cstheme="majorBidi"/>
      <w:color w:val="272727" w:themeColor="text1" w:themeTint="D8"/>
    </w:rPr>
  </w:style>
  <w:style w:type="paragraph" w:styleId="Title">
    <w:name w:val="Title"/>
    <w:basedOn w:val="Normal"/>
    <w:next w:val="Normal"/>
    <w:link w:val="TitleChar"/>
    <w:uiPriority w:val="10"/>
    <w:qFormat/>
    <w:rsid w:val="005134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34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34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34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34C5"/>
    <w:pPr>
      <w:spacing w:before="160"/>
      <w:jc w:val="center"/>
    </w:pPr>
    <w:rPr>
      <w:i/>
      <w:iCs/>
      <w:color w:val="404040" w:themeColor="text1" w:themeTint="BF"/>
    </w:rPr>
  </w:style>
  <w:style w:type="character" w:customStyle="1" w:styleId="QuoteChar">
    <w:name w:val="Quote Char"/>
    <w:basedOn w:val="DefaultParagraphFont"/>
    <w:link w:val="Quote"/>
    <w:uiPriority w:val="29"/>
    <w:rsid w:val="005134C5"/>
    <w:rPr>
      <w:i/>
      <w:iCs/>
      <w:color w:val="404040" w:themeColor="text1" w:themeTint="BF"/>
    </w:rPr>
  </w:style>
  <w:style w:type="paragraph" w:styleId="ListParagraph">
    <w:name w:val="List Paragraph"/>
    <w:basedOn w:val="Normal"/>
    <w:uiPriority w:val="34"/>
    <w:qFormat/>
    <w:rsid w:val="005134C5"/>
    <w:pPr>
      <w:ind w:left="720"/>
      <w:contextualSpacing/>
    </w:pPr>
  </w:style>
  <w:style w:type="character" w:styleId="IntenseEmphasis">
    <w:name w:val="Intense Emphasis"/>
    <w:basedOn w:val="DefaultParagraphFont"/>
    <w:uiPriority w:val="21"/>
    <w:qFormat/>
    <w:rsid w:val="005134C5"/>
    <w:rPr>
      <w:i/>
      <w:iCs/>
      <w:color w:val="0F4761" w:themeColor="accent1" w:themeShade="BF"/>
    </w:rPr>
  </w:style>
  <w:style w:type="paragraph" w:styleId="IntenseQuote">
    <w:name w:val="Intense Quote"/>
    <w:basedOn w:val="Normal"/>
    <w:next w:val="Normal"/>
    <w:link w:val="IntenseQuoteChar"/>
    <w:uiPriority w:val="30"/>
    <w:qFormat/>
    <w:rsid w:val="005134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34C5"/>
    <w:rPr>
      <w:i/>
      <w:iCs/>
      <w:color w:val="0F4761" w:themeColor="accent1" w:themeShade="BF"/>
    </w:rPr>
  </w:style>
  <w:style w:type="character" w:styleId="IntenseReference">
    <w:name w:val="Intense Reference"/>
    <w:basedOn w:val="DefaultParagraphFont"/>
    <w:uiPriority w:val="32"/>
    <w:qFormat/>
    <w:rsid w:val="005134C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197</TotalTime>
  <Pages>1</Pages>
  <Words>1672</Words>
  <Characters>9533</Characters>
  <Application>Microsoft Office Word</Application>
  <DocSecurity>0</DocSecurity>
  <Lines>79</Lines>
  <Paragraphs>22</Paragraphs>
  <ScaleCrop>false</ScaleCrop>
  <Company/>
  <LinksUpToDate>false</LinksUpToDate>
  <CharactersWithSpaces>11183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Shellymae Mulcare</dc:creator>
  <cp:keywords/>
  <dc:description/>
  <cp:lastModifiedBy>Shellymae Mulcare</cp:lastModifiedBy>
  <cp:revision>19</cp:revision>
  <dcterms:created xsi:type="dcterms:W3CDTF">2025-11-23T11:59:00Z</dcterms:created>
  <dcterms:modified xsi:type="dcterms:W3CDTF">2026-03-23T15:51:00Z</dcterms:modified>
</cp:coreProperties>
</file>