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2DFFE5" w14:textId="77777777" w:rsidR="00BE7094" w:rsidRDefault="00BE7094">
      <w:pPr>
        <w:ind w:left="426"/>
        <w:rPr>
          <w:rFonts w:ascii="Arial" w:eastAsia="Arial" w:hAnsi="Arial" w:cs="Arial"/>
        </w:rPr>
      </w:pPr>
    </w:p>
    <w:p w14:paraId="6D2DFFE6" w14:textId="77777777" w:rsidR="00BE7094" w:rsidRDefault="00BE7094">
      <w:pPr>
        <w:spacing w:line="360" w:lineRule="auto"/>
        <w:ind w:left="426"/>
        <w:rPr>
          <w:rFonts w:ascii="Arial" w:eastAsia="Arial" w:hAnsi="Arial" w:cs="Arial"/>
        </w:rPr>
      </w:pPr>
    </w:p>
    <w:p w14:paraId="6D2DFFE7" w14:textId="77777777" w:rsidR="00BE7094" w:rsidRDefault="00BE7094">
      <w:pPr>
        <w:spacing w:line="360" w:lineRule="auto"/>
        <w:ind w:left="426"/>
        <w:rPr>
          <w:rFonts w:ascii="Arial" w:eastAsia="Arial" w:hAnsi="Arial" w:cs="Arial"/>
        </w:rPr>
      </w:pPr>
    </w:p>
    <w:p w14:paraId="6D2DFFE8" w14:textId="77777777" w:rsidR="00BE7094" w:rsidRDefault="00BE7094">
      <w:pPr>
        <w:spacing w:line="360" w:lineRule="auto"/>
        <w:ind w:left="426"/>
        <w:rPr>
          <w:rFonts w:ascii="Arial" w:eastAsia="Arial" w:hAnsi="Arial" w:cs="Arial"/>
        </w:rPr>
      </w:pPr>
    </w:p>
    <w:p w14:paraId="6D2DFFE9" w14:textId="77777777" w:rsidR="00BE7094" w:rsidRDefault="00BE7094">
      <w:pPr>
        <w:spacing w:line="360" w:lineRule="auto"/>
        <w:ind w:left="426"/>
        <w:rPr>
          <w:rFonts w:ascii="Arial" w:eastAsia="Arial" w:hAnsi="Arial" w:cs="Arial"/>
        </w:rPr>
      </w:pPr>
    </w:p>
    <w:p w14:paraId="6D2DFFEA" w14:textId="77777777" w:rsidR="00BE7094" w:rsidRDefault="00BE7094">
      <w:pPr>
        <w:tabs>
          <w:tab w:val="left" w:pos="6540"/>
        </w:tabs>
        <w:spacing w:line="360" w:lineRule="auto"/>
        <w:ind w:left="426"/>
        <w:rPr>
          <w:rFonts w:ascii="Arial" w:eastAsia="Arial" w:hAnsi="Arial" w:cs="Arial"/>
          <w:sz w:val="28"/>
          <w:szCs w:val="28"/>
        </w:rPr>
      </w:pPr>
    </w:p>
    <w:p w14:paraId="6D2DFFEB" w14:textId="53B2B9B0" w:rsidR="00BE7094" w:rsidRDefault="00000000">
      <w:pPr>
        <w:tabs>
          <w:tab w:val="left" w:pos="6540"/>
        </w:tabs>
        <w:spacing w:line="360" w:lineRule="auto"/>
        <w:ind w:left="426"/>
        <w:rPr>
          <w:rFonts w:ascii="Arial" w:eastAsia="Arial" w:hAnsi="Arial" w:cs="Arial"/>
          <w:sz w:val="28"/>
          <w:szCs w:val="28"/>
        </w:rPr>
      </w:pPr>
      <w:r>
        <w:rPr>
          <w:rFonts w:ascii="Arial" w:eastAsia="Arial" w:hAnsi="Arial" w:cs="Arial"/>
          <w:b/>
          <w:bCs/>
          <w:sz w:val="28"/>
          <w:szCs w:val="28"/>
        </w:rPr>
        <w:t>Student name</w:t>
      </w:r>
      <w:r>
        <w:rPr>
          <w:rFonts w:ascii="Arial" w:eastAsia="Arial" w:hAnsi="Arial" w:cs="Arial"/>
          <w:sz w:val="28"/>
          <w:szCs w:val="28"/>
        </w:rPr>
        <w:t>:</w:t>
      </w:r>
      <w:r w:rsidR="00EA2F4A">
        <w:rPr>
          <w:rFonts w:ascii="Arial" w:eastAsia="Arial" w:hAnsi="Arial" w:cs="Arial"/>
          <w:sz w:val="28"/>
          <w:szCs w:val="28"/>
        </w:rPr>
        <w:t xml:space="preserve"> Georgiana Avramescu</w:t>
      </w:r>
    </w:p>
    <w:p w14:paraId="6D2DFFEC" w14:textId="05F3BDC8" w:rsidR="00BE7094" w:rsidRDefault="00000000">
      <w:pPr>
        <w:tabs>
          <w:tab w:val="left" w:pos="6540"/>
        </w:tabs>
        <w:spacing w:line="360" w:lineRule="auto"/>
        <w:ind w:left="426"/>
        <w:rPr>
          <w:rFonts w:ascii="Arial" w:eastAsia="Arial" w:hAnsi="Arial" w:cs="Arial"/>
          <w:sz w:val="28"/>
          <w:szCs w:val="28"/>
        </w:rPr>
      </w:pPr>
      <w:r>
        <w:rPr>
          <w:rFonts w:ascii="Arial" w:eastAsia="Arial" w:hAnsi="Arial" w:cs="Arial"/>
          <w:b/>
          <w:bCs/>
          <w:sz w:val="28"/>
          <w:szCs w:val="28"/>
        </w:rPr>
        <w:t>Student ID</w:t>
      </w:r>
      <w:r>
        <w:rPr>
          <w:rFonts w:ascii="Arial" w:eastAsia="Arial" w:hAnsi="Arial" w:cs="Arial"/>
          <w:sz w:val="28"/>
          <w:szCs w:val="28"/>
        </w:rPr>
        <w:t>:</w:t>
      </w:r>
      <w:r w:rsidR="00433EBB">
        <w:rPr>
          <w:rFonts w:ascii="Arial" w:eastAsia="Arial" w:hAnsi="Arial" w:cs="Arial"/>
          <w:sz w:val="28"/>
          <w:szCs w:val="28"/>
        </w:rPr>
        <w:t>2330904</w:t>
      </w:r>
    </w:p>
    <w:p w14:paraId="6D2DFFED" w14:textId="77777777" w:rsidR="00BE7094" w:rsidRDefault="00BE7094">
      <w:pPr>
        <w:tabs>
          <w:tab w:val="left" w:pos="6540"/>
        </w:tabs>
        <w:spacing w:line="360" w:lineRule="auto"/>
        <w:ind w:left="426"/>
        <w:rPr>
          <w:rFonts w:ascii="Arial" w:eastAsia="Arial" w:hAnsi="Arial" w:cs="Arial"/>
          <w:sz w:val="28"/>
          <w:szCs w:val="28"/>
        </w:rPr>
      </w:pPr>
    </w:p>
    <w:p w14:paraId="6D2DFFEE" w14:textId="78ECBEE3" w:rsidR="00BE7094" w:rsidRDefault="00000000">
      <w:pPr>
        <w:tabs>
          <w:tab w:val="left" w:pos="6540"/>
        </w:tabs>
        <w:spacing w:line="360" w:lineRule="auto"/>
        <w:ind w:left="426"/>
        <w:rPr>
          <w:rFonts w:ascii="Arial" w:eastAsia="Arial" w:hAnsi="Arial" w:cs="Arial"/>
          <w:sz w:val="28"/>
          <w:szCs w:val="28"/>
        </w:rPr>
      </w:pPr>
      <w:r>
        <w:rPr>
          <w:rFonts w:ascii="Arial" w:eastAsia="Arial" w:hAnsi="Arial" w:cs="Arial"/>
          <w:b/>
          <w:bCs/>
          <w:sz w:val="28"/>
          <w:szCs w:val="28"/>
        </w:rPr>
        <w:t>Module name</w:t>
      </w:r>
      <w:r>
        <w:rPr>
          <w:rFonts w:ascii="Arial" w:eastAsia="Arial" w:hAnsi="Arial" w:cs="Arial"/>
          <w:sz w:val="28"/>
          <w:szCs w:val="28"/>
        </w:rPr>
        <w:t xml:space="preserve">: </w:t>
      </w:r>
      <w:r w:rsidR="007E6F25">
        <w:rPr>
          <w:rFonts w:ascii="Arial" w:eastAsia="Arial" w:hAnsi="Arial" w:cs="Arial"/>
          <w:sz w:val="28"/>
          <w:szCs w:val="28"/>
        </w:rPr>
        <w:t>Changema</w:t>
      </w:r>
      <w:r w:rsidR="00345ED4">
        <w:rPr>
          <w:rFonts w:ascii="Arial" w:eastAsia="Arial" w:hAnsi="Arial" w:cs="Arial"/>
          <w:sz w:val="28"/>
          <w:szCs w:val="28"/>
        </w:rPr>
        <w:t>kers: Creativity and Value Creation</w:t>
      </w:r>
    </w:p>
    <w:p w14:paraId="6D2DFFF0" w14:textId="71A4F21D" w:rsidR="00BE7094" w:rsidRDefault="00000000">
      <w:pPr>
        <w:tabs>
          <w:tab w:val="left" w:pos="6540"/>
        </w:tabs>
        <w:spacing w:line="360" w:lineRule="auto"/>
        <w:ind w:left="426"/>
        <w:rPr>
          <w:rFonts w:ascii="Arial" w:eastAsia="Arial" w:hAnsi="Arial" w:cs="Arial"/>
          <w:sz w:val="28"/>
          <w:szCs w:val="28"/>
        </w:rPr>
      </w:pPr>
      <w:r>
        <w:rPr>
          <w:rFonts w:ascii="Arial" w:eastAsia="Arial" w:hAnsi="Arial" w:cs="Arial"/>
          <w:b/>
          <w:bCs/>
          <w:sz w:val="28"/>
          <w:szCs w:val="28"/>
        </w:rPr>
        <w:t>Lecturer’s name</w:t>
      </w:r>
      <w:r>
        <w:rPr>
          <w:rFonts w:ascii="Arial" w:eastAsia="Arial" w:hAnsi="Arial" w:cs="Arial"/>
          <w:sz w:val="28"/>
          <w:szCs w:val="28"/>
        </w:rPr>
        <w:t>:</w:t>
      </w:r>
      <w:r w:rsidR="00345ED4">
        <w:rPr>
          <w:rFonts w:ascii="Arial" w:eastAsia="Arial" w:hAnsi="Arial" w:cs="Arial"/>
          <w:sz w:val="28"/>
          <w:szCs w:val="28"/>
        </w:rPr>
        <w:t xml:space="preserve"> </w:t>
      </w:r>
      <w:r w:rsidR="006F2C80">
        <w:rPr>
          <w:rFonts w:ascii="Arial" w:eastAsia="Arial" w:hAnsi="Arial" w:cs="Arial"/>
          <w:sz w:val="28"/>
          <w:szCs w:val="28"/>
        </w:rPr>
        <w:t>Caroline Salami</w:t>
      </w:r>
    </w:p>
    <w:p w14:paraId="6D2DFFF1" w14:textId="77777777" w:rsidR="00BE7094" w:rsidRDefault="00BE7094">
      <w:pPr>
        <w:rPr>
          <w:rFonts w:ascii="Arial" w:eastAsia="Arial" w:hAnsi="Arial" w:cs="Arial"/>
        </w:rPr>
      </w:pPr>
    </w:p>
    <w:p w14:paraId="6D2DFFF2" w14:textId="77777777" w:rsidR="00BE7094" w:rsidRDefault="00000000">
      <w:r>
        <w:br w:type="page"/>
      </w:r>
    </w:p>
    <w:p w14:paraId="6D2DFFF3" w14:textId="77777777" w:rsidR="00BE7094" w:rsidRDefault="00000000">
      <w:pPr>
        <w:jc w:val="center"/>
        <w:rPr>
          <w:rFonts w:ascii="Arial" w:eastAsia="Arial" w:hAnsi="Arial" w:cs="Arial"/>
          <w:b/>
          <w:bCs/>
          <w:sz w:val="24"/>
          <w:szCs w:val="24"/>
        </w:rPr>
      </w:pPr>
      <w:r>
        <w:rPr>
          <w:rFonts w:ascii="Arial" w:eastAsia="Arial" w:hAnsi="Arial" w:cs="Arial"/>
          <w:b/>
          <w:bCs/>
          <w:sz w:val="24"/>
          <w:szCs w:val="24"/>
        </w:rPr>
        <w:lastRenderedPageBreak/>
        <w:t>Section 1: Poster</w:t>
      </w:r>
    </w:p>
    <w:p w14:paraId="6D2DFFF4" w14:textId="77777777" w:rsidR="00BE7094" w:rsidRDefault="00000000">
      <w:pPr>
        <w:rPr>
          <w:rFonts w:ascii="Arial" w:eastAsia="Arial" w:hAnsi="Arial" w:cs="Arial"/>
          <w:b/>
          <w:bCs/>
          <w:sz w:val="28"/>
          <w:szCs w:val="28"/>
        </w:rPr>
      </w:pPr>
      <w:r>
        <w:rPr>
          <w:rFonts w:ascii="Arial" w:eastAsia="Arial" w:hAnsi="Arial" w:cs="Arial"/>
          <w:b/>
          <w:bCs/>
          <w:noProof/>
          <w:sz w:val="28"/>
          <w:szCs w:val="28"/>
        </w:rPr>
        <w:lastRenderedPageBreak/>
        <w:drawing>
          <wp:inline distT="114300" distB="114300" distL="114300" distR="114300" wp14:anchorId="6D2E002B" wp14:editId="6D2E002C">
            <wp:extent cx="8248650" cy="6814537"/>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8248650" cy="6814537"/>
                    </a:xfrm>
                    <a:prstGeom prst="rect">
                      <a:avLst/>
                    </a:prstGeom>
                    <a:ln/>
                  </pic:spPr>
                </pic:pic>
              </a:graphicData>
            </a:graphic>
          </wp:inline>
        </w:drawing>
      </w:r>
      <w:r>
        <w:br w:type="page"/>
      </w:r>
    </w:p>
    <w:p w14:paraId="6D2DFFF5" w14:textId="77777777" w:rsidR="00BE7094" w:rsidRDefault="00000000">
      <w:pPr>
        <w:rPr>
          <w:rFonts w:ascii="Arial" w:eastAsia="Arial" w:hAnsi="Arial" w:cs="Arial"/>
          <w:b/>
          <w:bCs/>
          <w:sz w:val="28"/>
          <w:szCs w:val="28"/>
        </w:rPr>
      </w:pPr>
      <w:r>
        <w:rPr>
          <w:rFonts w:ascii="Arial" w:eastAsia="Arial" w:hAnsi="Arial" w:cs="Arial"/>
          <w:b/>
          <w:bCs/>
          <w:noProof/>
          <w:sz w:val="28"/>
          <w:szCs w:val="28"/>
        </w:rPr>
        <w:lastRenderedPageBreak/>
        <w:drawing>
          <wp:inline distT="114300" distB="114300" distL="114300" distR="114300" wp14:anchorId="6D2E002D" wp14:editId="6D2E002E">
            <wp:extent cx="9144000" cy="700503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9144000" cy="7005037"/>
                    </a:xfrm>
                    <a:prstGeom prst="rect">
                      <a:avLst/>
                    </a:prstGeom>
                    <a:ln/>
                  </pic:spPr>
                </pic:pic>
              </a:graphicData>
            </a:graphic>
          </wp:inline>
        </w:drawing>
      </w:r>
      <w:r>
        <w:br w:type="page"/>
      </w:r>
    </w:p>
    <w:p w14:paraId="6D2DFFF6" w14:textId="77777777" w:rsidR="00BE7094" w:rsidRDefault="00000000">
      <w:pPr>
        <w:rPr>
          <w:rFonts w:ascii="Arial" w:eastAsia="Arial" w:hAnsi="Arial" w:cs="Arial"/>
          <w:b/>
          <w:bCs/>
          <w:sz w:val="28"/>
          <w:szCs w:val="28"/>
        </w:rPr>
      </w:pPr>
      <w:r>
        <w:rPr>
          <w:rFonts w:ascii="Arial" w:eastAsia="Arial" w:hAnsi="Arial" w:cs="Arial"/>
          <w:b/>
          <w:bCs/>
          <w:noProof/>
          <w:sz w:val="28"/>
          <w:szCs w:val="28"/>
        </w:rPr>
        <w:lastRenderedPageBreak/>
        <w:drawing>
          <wp:inline distT="114300" distB="114300" distL="114300" distR="114300" wp14:anchorId="6D2E002F" wp14:editId="6D2E0030">
            <wp:extent cx="9144000" cy="7052662"/>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9144000" cy="7052662"/>
                    </a:xfrm>
                    <a:prstGeom prst="rect">
                      <a:avLst/>
                    </a:prstGeom>
                    <a:ln/>
                  </pic:spPr>
                </pic:pic>
              </a:graphicData>
            </a:graphic>
          </wp:inline>
        </w:drawing>
      </w:r>
      <w:r>
        <w:br w:type="page"/>
      </w:r>
    </w:p>
    <w:p w14:paraId="6D2DFFF7" w14:textId="77777777" w:rsidR="00BE7094" w:rsidRDefault="00000000">
      <w:pPr>
        <w:rPr>
          <w:rFonts w:ascii="Arial" w:eastAsia="Arial" w:hAnsi="Arial" w:cs="Arial"/>
          <w:b/>
          <w:bCs/>
          <w:sz w:val="28"/>
          <w:szCs w:val="28"/>
        </w:rPr>
      </w:pPr>
      <w:r>
        <w:rPr>
          <w:rFonts w:ascii="Arial" w:eastAsia="Arial" w:hAnsi="Arial" w:cs="Arial"/>
          <w:b/>
          <w:bCs/>
          <w:noProof/>
          <w:sz w:val="28"/>
          <w:szCs w:val="28"/>
        </w:rPr>
        <w:lastRenderedPageBreak/>
        <w:drawing>
          <wp:inline distT="114300" distB="114300" distL="114300" distR="114300" wp14:anchorId="6D2E0031" wp14:editId="6D2E0032">
            <wp:extent cx="9144000" cy="7157437"/>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9144000" cy="7157437"/>
                    </a:xfrm>
                    <a:prstGeom prst="rect">
                      <a:avLst/>
                    </a:prstGeom>
                    <a:ln/>
                  </pic:spPr>
                </pic:pic>
              </a:graphicData>
            </a:graphic>
          </wp:inline>
        </w:drawing>
      </w:r>
      <w:r>
        <w:br w:type="page"/>
      </w:r>
    </w:p>
    <w:p w14:paraId="6D2DFFF8" w14:textId="77777777" w:rsidR="00BE7094" w:rsidRDefault="00000000">
      <w:pPr>
        <w:jc w:val="center"/>
        <w:rPr>
          <w:rFonts w:ascii="Arial" w:eastAsia="Arial" w:hAnsi="Arial" w:cs="Arial"/>
          <w:b/>
          <w:bCs/>
          <w:sz w:val="24"/>
          <w:szCs w:val="24"/>
        </w:rPr>
      </w:pPr>
      <w:r>
        <w:lastRenderedPageBreak/>
        <w:br w:type="page"/>
      </w:r>
      <w:r>
        <w:rPr>
          <w:rFonts w:ascii="Arial" w:eastAsia="Arial" w:hAnsi="Arial" w:cs="Arial"/>
          <w:b/>
          <w:bCs/>
          <w:sz w:val="28"/>
          <w:szCs w:val="28"/>
        </w:rPr>
        <w:lastRenderedPageBreak/>
        <w:t xml:space="preserve">Section 2: Pitch for </w:t>
      </w:r>
      <w:r>
        <w:rPr>
          <w:rFonts w:ascii="Arial" w:eastAsia="Arial" w:hAnsi="Arial" w:cs="Arial"/>
          <w:b/>
          <w:bCs/>
          <w:sz w:val="24"/>
          <w:szCs w:val="24"/>
        </w:rPr>
        <w:t>Healthy Homes Hubs, a Mobile Community Vans for Free Health and Housing Checks in Low-Income Areas</w:t>
      </w:r>
    </w:p>
    <w:p w14:paraId="6D2DFFF9" w14:textId="77777777" w:rsidR="00BE7094" w:rsidRDefault="00000000">
      <w:pPr>
        <w:spacing w:before="240" w:after="240" w:line="360" w:lineRule="auto"/>
        <w:ind w:firstLine="720"/>
        <w:rPr>
          <w:rFonts w:ascii="Arial" w:eastAsia="Arial" w:hAnsi="Arial" w:cs="Arial"/>
          <w:sz w:val="24"/>
          <w:szCs w:val="24"/>
        </w:rPr>
      </w:pPr>
      <w:r>
        <w:rPr>
          <w:rFonts w:ascii="Arial" w:eastAsia="Arial" w:hAnsi="Arial" w:cs="Arial"/>
          <w:sz w:val="24"/>
          <w:szCs w:val="24"/>
        </w:rPr>
        <w:t>This presentation outlines why the Healthy Homes Hubs are required, how the service will work, and why it is important to support it. This presentation is an expansion of the main poster presentation and outlines further information on policy and legislation. It will clearly and effectively present the rationale behind the service.</w:t>
      </w:r>
    </w:p>
    <w:p w14:paraId="6D2DFFFA" w14:textId="77777777" w:rsidR="00BE7094" w:rsidRDefault="00000000">
      <w:pPr>
        <w:pStyle w:val="Heading2"/>
        <w:spacing w:before="360" w:after="80" w:line="360" w:lineRule="auto"/>
        <w:rPr>
          <w:rFonts w:ascii="Arial" w:eastAsia="Arial" w:hAnsi="Arial" w:cs="Arial"/>
          <w:color w:val="000000"/>
          <w:sz w:val="24"/>
          <w:szCs w:val="24"/>
        </w:rPr>
      </w:pPr>
      <w:bookmarkStart w:id="0" w:name="_heading=h.w49pqrssmupn" w:colFirst="0" w:colLast="0"/>
      <w:bookmarkEnd w:id="0"/>
      <w:r>
        <w:rPr>
          <w:rFonts w:ascii="Arial" w:eastAsia="Arial" w:hAnsi="Arial" w:cs="Arial"/>
          <w:color w:val="000000"/>
          <w:sz w:val="24"/>
          <w:szCs w:val="24"/>
        </w:rPr>
        <w:t>Why We Need This Innovation</w:t>
      </w:r>
    </w:p>
    <w:p w14:paraId="6D2DFFFB" w14:textId="77777777" w:rsidR="00BE7094" w:rsidRDefault="00000000">
      <w:pPr>
        <w:spacing w:before="240" w:after="240" w:line="360" w:lineRule="auto"/>
        <w:ind w:firstLine="720"/>
        <w:rPr>
          <w:rFonts w:ascii="Arial" w:eastAsia="Arial" w:hAnsi="Arial" w:cs="Arial"/>
          <w:sz w:val="24"/>
          <w:szCs w:val="24"/>
        </w:rPr>
      </w:pPr>
      <w:r>
        <w:rPr>
          <w:rFonts w:ascii="Arial" w:eastAsia="Arial" w:hAnsi="Arial" w:cs="Arial"/>
          <w:sz w:val="24"/>
          <w:szCs w:val="24"/>
        </w:rPr>
        <w:t>Inequalities in health are a big concern currently within the UK. According to the Marmot Review, poor health is "strongly patterned by deprivation," and it impacts almost every aspect of life of people living in deprivation areas (Marmot et al., 2020). People living within such areas often live in homes which are cold, damp, and overcrowded. People within such areas also often have chronic health problems that are not yet diagnosed. According to Torr et al. (2022), 80% of preterm strokes and heart attacks could have been avoided. In contrast, individuals living in disadvantaged areas are more likely to have undiagnosed high blood pressure by a factor of 2 (Public Health England, 2018). Another issue is Diabetes. According to the UKHSA (2022), a third of people with type 2 diabetes are unaware of their diagnosis. When left late, it is often a precursor to frequent hospital admissions and death.</w:t>
      </w:r>
    </w:p>
    <w:p w14:paraId="6D2DFFFC" w14:textId="77777777" w:rsidR="00BE7094" w:rsidRDefault="00000000">
      <w:pPr>
        <w:spacing w:before="240" w:after="240" w:line="360" w:lineRule="auto"/>
        <w:ind w:firstLine="720"/>
        <w:rPr>
          <w:rFonts w:ascii="Arial" w:eastAsia="Arial" w:hAnsi="Arial" w:cs="Arial"/>
          <w:sz w:val="24"/>
          <w:szCs w:val="24"/>
        </w:rPr>
      </w:pPr>
      <w:r>
        <w:rPr>
          <w:rFonts w:ascii="Arial" w:eastAsia="Arial" w:hAnsi="Arial" w:cs="Arial"/>
          <w:sz w:val="24"/>
          <w:szCs w:val="24"/>
        </w:rPr>
        <w:t>Housing conditions further deteriorate the situation. According to the English Housing Survey (2023), 2.4 million homes in England fail to satisfy the Decent Homes Standard. Damp and mold are regular occurrences in the case of rented homes. Children exposed to such conditions are found to be two to three times more likely to experience breathing problems (Clark et al., 2023). Another difficulty is the accessibility of healthcare. People living in poor areas often miss GP appointments due to the costs, transport, and time constraints. According to Gkiouleka et al. (2023), people living within these areas attend fewer planned appointments. If appointments are not attended, then illnesses go undetected. Public Health England (2017) reported a 42% increase in screening within difficult-to-reach communities. These problems indicate a definitive and pressing demand. Healthy Homes Hubs will eliminate barriers by entering communities with high needs.</w:t>
      </w:r>
    </w:p>
    <w:p w14:paraId="6D2DFFFD" w14:textId="77777777" w:rsidR="00BE7094" w:rsidRDefault="00000000">
      <w:pPr>
        <w:pStyle w:val="Heading2"/>
        <w:spacing w:before="360" w:after="80" w:line="360" w:lineRule="auto"/>
        <w:rPr>
          <w:rFonts w:ascii="Arial" w:eastAsia="Arial" w:hAnsi="Arial" w:cs="Arial"/>
          <w:color w:val="000000"/>
          <w:sz w:val="24"/>
          <w:szCs w:val="24"/>
        </w:rPr>
      </w:pPr>
      <w:bookmarkStart w:id="1" w:name="_heading=h.oxxwd6mxbk1j" w:colFirst="0" w:colLast="0"/>
      <w:bookmarkEnd w:id="1"/>
      <w:r>
        <w:rPr>
          <w:rFonts w:ascii="Arial" w:eastAsia="Arial" w:hAnsi="Arial" w:cs="Arial"/>
          <w:color w:val="000000"/>
          <w:sz w:val="24"/>
          <w:szCs w:val="24"/>
        </w:rPr>
        <w:t>Who This Innovation Helps</w:t>
      </w:r>
    </w:p>
    <w:p w14:paraId="6D2DFFFE" w14:textId="77777777" w:rsidR="00BE7094" w:rsidRDefault="00000000">
      <w:pPr>
        <w:spacing w:after="0" w:line="360" w:lineRule="auto"/>
        <w:ind w:firstLine="720"/>
        <w:rPr>
          <w:rFonts w:ascii="Arial" w:eastAsia="Arial" w:hAnsi="Arial" w:cs="Arial"/>
          <w:sz w:val="24"/>
          <w:szCs w:val="24"/>
        </w:rPr>
      </w:pPr>
      <w:r>
        <w:rPr>
          <w:rFonts w:ascii="Arial" w:eastAsia="Arial" w:hAnsi="Arial" w:cs="Arial"/>
          <w:sz w:val="24"/>
          <w:szCs w:val="24"/>
        </w:rPr>
        <w:lastRenderedPageBreak/>
        <w:t>The service is targeted at low-income areas. These are council estates, high density residential blocks, and poor-quality, privately rented homes. A lot of people in such areas face problems simultaneously. They may face insecure work, low pay, limited transport, and high levels of illness.</w:t>
      </w:r>
    </w:p>
    <w:p w14:paraId="6D2DFFFF" w14:textId="77777777" w:rsidR="00BE7094" w:rsidRDefault="00000000">
      <w:pPr>
        <w:spacing w:after="0" w:line="360" w:lineRule="auto"/>
        <w:rPr>
          <w:rFonts w:ascii="Arial" w:eastAsia="Arial" w:hAnsi="Arial" w:cs="Arial"/>
          <w:sz w:val="24"/>
          <w:szCs w:val="24"/>
        </w:rPr>
      </w:pPr>
      <w:r>
        <w:rPr>
          <w:rFonts w:ascii="Arial" w:eastAsia="Arial" w:hAnsi="Arial" w:cs="Arial"/>
          <w:sz w:val="24"/>
          <w:szCs w:val="24"/>
        </w:rPr>
        <w:t>The hubs will also support:</w:t>
      </w:r>
    </w:p>
    <w:p w14:paraId="6D2E0000" w14:textId="77777777" w:rsidR="00BE7094" w:rsidRDefault="00000000">
      <w:pPr>
        <w:spacing w:after="0" w:line="360" w:lineRule="auto"/>
        <w:rPr>
          <w:rFonts w:ascii="Arial" w:eastAsia="Arial" w:hAnsi="Arial" w:cs="Arial"/>
          <w:sz w:val="24"/>
          <w:szCs w:val="24"/>
        </w:rPr>
      </w:pPr>
      <w:r>
        <w:rPr>
          <w:rFonts w:ascii="Arial" w:eastAsia="Arial" w:hAnsi="Arial" w:cs="Arial"/>
          <w:sz w:val="24"/>
          <w:szCs w:val="24"/>
        </w:rPr>
        <w:t>• Seniors who have difficulty reaching General Practice Clinics</w:t>
      </w:r>
    </w:p>
    <w:p w14:paraId="6D2E0001" w14:textId="77777777" w:rsidR="00BE7094" w:rsidRDefault="00000000">
      <w:pPr>
        <w:spacing w:after="0" w:line="360" w:lineRule="auto"/>
        <w:rPr>
          <w:rFonts w:ascii="Arial" w:eastAsia="Arial" w:hAnsi="Arial" w:cs="Arial"/>
          <w:sz w:val="24"/>
          <w:szCs w:val="24"/>
        </w:rPr>
      </w:pPr>
      <w:r>
        <w:rPr>
          <w:rFonts w:ascii="Arial" w:eastAsia="Arial" w:hAnsi="Arial" w:cs="Arial"/>
          <w:sz w:val="24"/>
          <w:szCs w:val="24"/>
        </w:rPr>
        <w:t>Single parents who have little time</w:t>
      </w:r>
    </w:p>
    <w:p w14:paraId="6D2E0002" w14:textId="77777777" w:rsidR="00BE7094" w:rsidRDefault="00000000">
      <w:pPr>
        <w:spacing w:after="0" w:line="360" w:lineRule="auto"/>
        <w:rPr>
          <w:rFonts w:ascii="Arial" w:eastAsia="Arial" w:hAnsi="Arial" w:cs="Arial"/>
          <w:sz w:val="24"/>
          <w:szCs w:val="24"/>
        </w:rPr>
      </w:pPr>
      <w:r>
        <w:rPr>
          <w:rFonts w:ascii="Arial" w:eastAsia="Arial" w:hAnsi="Arial" w:cs="Arial"/>
          <w:sz w:val="24"/>
          <w:szCs w:val="24"/>
        </w:rPr>
        <w:t>• Ethnic minority groups with increased risk of diabetes and heart disease</w:t>
      </w:r>
    </w:p>
    <w:p w14:paraId="6D2E0003" w14:textId="77777777" w:rsidR="00BE7094" w:rsidRDefault="00000000">
      <w:pPr>
        <w:spacing w:after="0" w:line="360" w:lineRule="auto"/>
        <w:rPr>
          <w:rFonts w:ascii="Arial" w:eastAsia="Arial" w:hAnsi="Arial" w:cs="Arial"/>
          <w:sz w:val="24"/>
          <w:szCs w:val="24"/>
        </w:rPr>
      </w:pPr>
      <w:r>
        <w:rPr>
          <w:rFonts w:ascii="Arial" w:eastAsia="Arial" w:hAnsi="Arial" w:cs="Arial"/>
          <w:sz w:val="24"/>
          <w:szCs w:val="24"/>
        </w:rPr>
        <w:t>• People affected by damp, mold, and overcrowded housing</w:t>
      </w:r>
    </w:p>
    <w:p w14:paraId="6D2E0004" w14:textId="77777777" w:rsidR="00BE7094" w:rsidRDefault="00000000">
      <w:pPr>
        <w:spacing w:after="0" w:line="360" w:lineRule="auto"/>
        <w:rPr>
          <w:rFonts w:ascii="Arial" w:eastAsia="Arial" w:hAnsi="Arial" w:cs="Arial"/>
          <w:sz w:val="24"/>
          <w:szCs w:val="24"/>
        </w:rPr>
      </w:pPr>
      <w:r>
        <w:rPr>
          <w:rFonts w:ascii="Arial" w:eastAsia="Arial" w:hAnsi="Arial" w:cs="Arial"/>
          <w:sz w:val="24"/>
          <w:szCs w:val="24"/>
        </w:rPr>
        <w:t>• Smokers who cannot avail themselves of support services</w:t>
      </w:r>
    </w:p>
    <w:p w14:paraId="6D2E0005" w14:textId="77777777" w:rsidR="00BE7094" w:rsidRDefault="00000000">
      <w:pPr>
        <w:spacing w:after="0" w:line="360" w:lineRule="auto"/>
        <w:ind w:firstLine="720"/>
        <w:rPr>
          <w:rFonts w:ascii="Arial" w:eastAsia="Arial" w:hAnsi="Arial" w:cs="Arial"/>
          <w:sz w:val="24"/>
          <w:szCs w:val="24"/>
        </w:rPr>
      </w:pPr>
      <w:r>
        <w:rPr>
          <w:rFonts w:ascii="Arial" w:eastAsia="Arial" w:hAnsi="Arial" w:cs="Arial"/>
          <w:sz w:val="24"/>
          <w:szCs w:val="24"/>
        </w:rPr>
        <w:t>In offering free checks and advice under one roof, the health hubs are expected to improve accessibility of health care. They also ensure health-related conversations include advice on housing, which is a factor known to cause poor health.</w:t>
      </w:r>
    </w:p>
    <w:p w14:paraId="6D2E0006" w14:textId="77777777" w:rsidR="00BE7094" w:rsidRDefault="00000000">
      <w:pPr>
        <w:pStyle w:val="Heading2"/>
        <w:spacing w:before="360" w:after="80" w:line="360" w:lineRule="auto"/>
        <w:rPr>
          <w:rFonts w:ascii="Arial" w:eastAsia="Arial" w:hAnsi="Arial" w:cs="Arial"/>
          <w:color w:val="000000"/>
          <w:sz w:val="24"/>
          <w:szCs w:val="24"/>
        </w:rPr>
      </w:pPr>
      <w:bookmarkStart w:id="2" w:name="_heading=h.onsebt7ebdrk" w:colFirst="0" w:colLast="0"/>
      <w:bookmarkEnd w:id="2"/>
      <w:r>
        <w:rPr>
          <w:rFonts w:ascii="Arial" w:eastAsia="Arial" w:hAnsi="Arial" w:cs="Arial"/>
          <w:color w:val="000000"/>
          <w:sz w:val="24"/>
          <w:szCs w:val="24"/>
        </w:rPr>
        <w:t>How the Innovation Improves Health and Wellbeing</w:t>
      </w:r>
    </w:p>
    <w:p w14:paraId="6D2E0007" w14:textId="77777777" w:rsidR="00BE7094" w:rsidRDefault="00000000">
      <w:pPr>
        <w:spacing w:after="0" w:line="360" w:lineRule="auto"/>
        <w:ind w:firstLine="720"/>
        <w:rPr>
          <w:rFonts w:ascii="Arial" w:eastAsia="Arial" w:hAnsi="Arial" w:cs="Arial"/>
          <w:sz w:val="24"/>
          <w:szCs w:val="24"/>
        </w:rPr>
      </w:pPr>
      <w:r>
        <w:rPr>
          <w:rFonts w:ascii="Arial" w:eastAsia="Arial" w:hAnsi="Arial" w:cs="Arial"/>
          <w:sz w:val="24"/>
          <w:szCs w:val="24"/>
        </w:rPr>
        <w:t>The aim of the hubs is to improve health by offering earlier detection. Blood pressure, diabetes, and asthma screens enable earlier detection of problems. According to the Jones et al. (2020), earlier detection has been found to decrease admissions to hospital by 25-30% due to high blood pressure. The hubs also provide support to quit smoking. According to the Wee et al. (2021), individuals are three times more likely to quit smoking when using local stop smoking services than when quitting alone. Advice on housing is another important plus. Not knowing the sort of health problems damp and mold can cause is very common. Helping people understand and showing people how to access assistance either from the city or the landlord will mean fewer people with breathing problems. Statistics show hospital admissions of children by up to 30% are avoided by dealing with mold. All of these measures result in increased happiness, fewer visits to the emergency department, and healthier communities.</w:t>
      </w:r>
    </w:p>
    <w:p w14:paraId="6D2E0008" w14:textId="77777777" w:rsidR="00BE7094" w:rsidRDefault="00000000">
      <w:pPr>
        <w:pStyle w:val="Heading2"/>
        <w:spacing w:before="360" w:after="80" w:line="360" w:lineRule="auto"/>
        <w:rPr>
          <w:rFonts w:ascii="Arial" w:eastAsia="Arial" w:hAnsi="Arial" w:cs="Arial"/>
          <w:color w:val="000000"/>
          <w:sz w:val="24"/>
          <w:szCs w:val="24"/>
        </w:rPr>
      </w:pPr>
      <w:bookmarkStart w:id="3" w:name="_heading=h.yjed02oktmb6" w:colFirst="0" w:colLast="0"/>
      <w:bookmarkEnd w:id="3"/>
      <w:r>
        <w:rPr>
          <w:rFonts w:ascii="Arial" w:eastAsia="Arial" w:hAnsi="Arial" w:cs="Arial"/>
          <w:color w:val="000000"/>
          <w:sz w:val="24"/>
          <w:szCs w:val="24"/>
        </w:rPr>
        <w:t>Links to Policy, Legislation and Professional Practice</w:t>
      </w:r>
    </w:p>
    <w:p w14:paraId="6D2E0009" w14:textId="77777777" w:rsidR="00BE7094" w:rsidRDefault="00000000">
      <w:pPr>
        <w:spacing w:after="0" w:line="360" w:lineRule="auto"/>
        <w:ind w:firstLine="720"/>
        <w:rPr>
          <w:rFonts w:ascii="Arial" w:eastAsia="Arial" w:hAnsi="Arial" w:cs="Arial"/>
          <w:sz w:val="24"/>
          <w:szCs w:val="24"/>
        </w:rPr>
      </w:pPr>
      <w:r>
        <w:rPr>
          <w:rFonts w:ascii="Arial" w:eastAsia="Arial" w:hAnsi="Arial" w:cs="Arial"/>
          <w:sz w:val="24"/>
          <w:szCs w:val="24"/>
        </w:rPr>
        <w:t>The Hubs are aligned to support UK health and housing policy. These are in line with the priorities by Public Health England to work on reducing health inequalities locally (PHE, 2017). They are also aligned with the NHS Long Term Plan which advocates for more preventive work and community-based services. Several laws apply to this innovation:</w:t>
      </w:r>
    </w:p>
    <w:p w14:paraId="6D2E000A" w14:textId="77777777" w:rsidR="00BE7094" w:rsidRDefault="00000000">
      <w:pPr>
        <w:spacing w:before="240" w:after="240" w:line="360" w:lineRule="auto"/>
        <w:rPr>
          <w:rFonts w:ascii="Arial" w:eastAsia="Arial" w:hAnsi="Arial" w:cs="Arial"/>
          <w:sz w:val="24"/>
          <w:szCs w:val="24"/>
        </w:rPr>
      </w:pPr>
      <w:r>
        <w:rPr>
          <w:rFonts w:ascii="Arial" w:eastAsia="Arial" w:hAnsi="Arial" w:cs="Arial"/>
          <w:sz w:val="24"/>
          <w:szCs w:val="24"/>
        </w:rPr>
        <w:lastRenderedPageBreak/>
        <w:t xml:space="preserve">• </w:t>
      </w:r>
      <w:r>
        <w:rPr>
          <w:rFonts w:ascii="Arial" w:eastAsia="Arial" w:hAnsi="Arial" w:cs="Arial"/>
          <w:b/>
          <w:bCs/>
          <w:sz w:val="24"/>
          <w:szCs w:val="24"/>
        </w:rPr>
        <w:t>Health and Social Care Act 2012</w:t>
      </w:r>
      <w:r>
        <w:rPr>
          <w:rFonts w:ascii="Arial" w:eastAsia="Arial" w:hAnsi="Arial" w:cs="Arial"/>
          <w:sz w:val="24"/>
          <w:szCs w:val="24"/>
        </w:rPr>
        <w:t xml:space="preserve"> – supports preventive care and reducing inequalities</w:t>
      </w:r>
      <w:r>
        <w:rPr>
          <w:rFonts w:ascii="Arial" w:eastAsia="Arial" w:hAnsi="Arial" w:cs="Arial"/>
          <w:sz w:val="24"/>
          <w:szCs w:val="24"/>
        </w:rPr>
        <w:br/>
        <w:t xml:space="preserve"> • </w:t>
      </w:r>
      <w:r>
        <w:rPr>
          <w:rFonts w:ascii="Arial" w:eastAsia="Arial" w:hAnsi="Arial" w:cs="Arial"/>
          <w:b/>
          <w:bCs/>
          <w:sz w:val="24"/>
          <w:szCs w:val="24"/>
        </w:rPr>
        <w:t>GDPR 2018</w:t>
      </w:r>
      <w:r>
        <w:rPr>
          <w:rFonts w:ascii="Arial" w:eastAsia="Arial" w:hAnsi="Arial" w:cs="Arial"/>
          <w:sz w:val="24"/>
          <w:szCs w:val="24"/>
        </w:rPr>
        <w:t xml:space="preserve"> – protects patient data collected by the hubs</w:t>
      </w:r>
      <w:r>
        <w:rPr>
          <w:rFonts w:ascii="Arial" w:eastAsia="Arial" w:hAnsi="Arial" w:cs="Arial"/>
          <w:sz w:val="24"/>
          <w:szCs w:val="24"/>
        </w:rPr>
        <w:br/>
        <w:t xml:space="preserve"> • </w:t>
      </w:r>
      <w:r>
        <w:rPr>
          <w:rFonts w:ascii="Arial" w:eastAsia="Arial" w:hAnsi="Arial" w:cs="Arial"/>
          <w:b/>
          <w:bCs/>
          <w:sz w:val="24"/>
          <w:szCs w:val="24"/>
        </w:rPr>
        <w:t>Health and Safety at Work Act 1974</w:t>
      </w:r>
      <w:r>
        <w:rPr>
          <w:rFonts w:ascii="Arial" w:eastAsia="Arial" w:hAnsi="Arial" w:cs="Arial"/>
          <w:sz w:val="24"/>
          <w:szCs w:val="24"/>
        </w:rPr>
        <w:t xml:space="preserve"> – governs safety standards in mobile clinical spaces</w:t>
      </w:r>
      <w:r>
        <w:rPr>
          <w:rFonts w:ascii="Arial" w:eastAsia="Arial" w:hAnsi="Arial" w:cs="Arial"/>
          <w:sz w:val="24"/>
          <w:szCs w:val="24"/>
        </w:rPr>
        <w:br/>
        <w:t xml:space="preserve"> • </w:t>
      </w:r>
      <w:r>
        <w:rPr>
          <w:rFonts w:ascii="Arial" w:eastAsia="Arial" w:hAnsi="Arial" w:cs="Arial"/>
          <w:b/>
          <w:bCs/>
          <w:sz w:val="24"/>
          <w:szCs w:val="24"/>
        </w:rPr>
        <w:t>Housing Act 2004</w:t>
      </w:r>
      <w:r>
        <w:rPr>
          <w:rFonts w:ascii="Arial" w:eastAsia="Arial" w:hAnsi="Arial" w:cs="Arial"/>
          <w:sz w:val="24"/>
          <w:szCs w:val="24"/>
        </w:rPr>
        <w:t xml:space="preserve"> – includes rules on damp, mould, and property hazards</w:t>
      </w:r>
    </w:p>
    <w:p w14:paraId="6D2E000B" w14:textId="77777777" w:rsidR="00BE7094" w:rsidRDefault="00000000">
      <w:pPr>
        <w:spacing w:before="240" w:after="240" w:line="360" w:lineRule="auto"/>
        <w:ind w:firstLine="720"/>
        <w:rPr>
          <w:rFonts w:ascii="Arial" w:eastAsia="Arial" w:hAnsi="Arial" w:cs="Arial"/>
          <w:sz w:val="24"/>
          <w:szCs w:val="24"/>
        </w:rPr>
      </w:pPr>
      <w:r>
        <w:rPr>
          <w:rFonts w:ascii="Arial" w:eastAsia="Arial" w:hAnsi="Arial" w:cs="Arial"/>
          <w:sz w:val="24"/>
          <w:szCs w:val="24"/>
        </w:rPr>
        <w:t>Professional standards also guide the project. Nurses will follow NMC codes for safe, respectful practice. Housing officers will follow local authority environmental health guidelines. All staff will be trained in safeguarding, infection control, and confidentiality. The hubs also support UK Integrated Care Systems (ICS), which aim to link health, social care, and community support. The hubs will share anonymised data with ICS teams to help target local resources.</w:t>
      </w:r>
    </w:p>
    <w:p w14:paraId="6D2E000C" w14:textId="77777777" w:rsidR="00BE7094" w:rsidRDefault="00000000">
      <w:pPr>
        <w:pStyle w:val="Heading2"/>
        <w:spacing w:before="360" w:after="80" w:line="360" w:lineRule="auto"/>
        <w:rPr>
          <w:rFonts w:ascii="Arial" w:eastAsia="Arial" w:hAnsi="Arial" w:cs="Arial"/>
          <w:color w:val="000000"/>
          <w:sz w:val="24"/>
          <w:szCs w:val="24"/>
        </w:rPr>
      </w:pPr>
      <w:bookmarkStart w:id="4" w:name="_heading=h.erqxal5bzbuf" w:colFirst="0" w:colLast="0"/>
      <w:bookmarkEnd w:id="4"/>
      <w:r>
        <w:rPr>
          <w:rFonts w:ascii="Arial" w:eastAsia="Arial" w:hAnsi="Arial" w:cs="Arial"/>
          <w:color w:val="000000"/>
          <w:sz w:val="24"/>
          <w:szCs w:val="24"/>
        </w:rPr>
        <w:t>How the Innovation Will Work in Practice</w:t>
      </w:r>
    </w:p>
    <w:p w14:paraId="6D2E000D" w14:textId="77777777" w:rsidR="00BE7094" w:rsidRDefault="00000000">
      <w:pPr>
        <w:spacing w:before="240" w:after="240" w:line="360" w:lineRule="auto"/>
        <w:ind w:firstLine="720"/>
        <w:rPr>
          <w:rFonts w:ascii="Arial" w:eastAsia="Arial" w:hAnsi="Arial" w:cs="Arial"/>
          <w:sz w:val="24"/>
          <w:szCs w:val="24"/>
        </w:rPr>
      </w:pPr>
      <w:r>
        <w:rPr>
          <w:rFonts w:ascii="Arial" w:eastAsia="Arial" w:hAnsi="Arial" w:cs="Arial"/>
          <w:sz w:val="24"/>
          <w:szCs w:val="24"/>
        </w:rPr>
        <w:t>Each van will visit key community locations. These may include supermarkets, libraries, school playgrounds, community halls, estate courtyards, and children’s centres. These are places where residents already gather. People do not need appointments. They can walk in and receive:</w:t>
      </w:r>
    </w:p>
    <w:p w14:paraId="6D2E000E" w14:textId="77777777" w:rsidR="00BE7094" w:rsidRDefault="00000000">
      <w:pPr>
        <w:spacing w:before="240" w:after="240" w:line="360" w:lineRule="auto"/>
        <w:rPr>
          <w:rFonts w:ascii="Arial" w:eastAsia="Arial" w:hAnsi="Arial" w:cs="Arial"/>
          <w:sz w:val="24"/>
          <w:szCs w:val="24"/>
        </w:rPr>
      </w:pPr>
      <w:r>
        <w:rPr>
          <w:rFonts w:ascii="Arial" w:eastAsia="Arial" w:hAnsi="Arial" w:cs="Arial"/>
          <w:sz w:val="24"/>
          <w:szCs w:val="24"/>
        </w:rPr>
        <w:t>• Blood pressure checks</w:t>
      </w:r>
      <w:r>
        <w:rPr>
          <w:rFonts w:ascii="Arial" w:eastAsia="Arial" w:hAnsi="Arial" w:cs="Arial"/>
          <w:sz w:val="24"/>
          <w:szCs w:val="24"/>
        </w:rPr>
        <w:br/>
        <w:t xml:space="preserve"> • Diabetes screening</w:t>
      </w:r>
      <w:r>
        <w:rPr>
          <w:rFonts w:ascii="Arial" w:eastAsia="Arial" w:hAnsi="Arial" w:cs="Arial"/>
          <w:sz w:val="24"/>
          <w:szCs w:val="24"/>
        </w:rPr>
        <w:br/>
        <w:t xml:space="preserve"> • Carbon monoxide monitoring for smokers</w:t>
      </w:r>
      <w:r>
        <w:rPr>
          <w:rFonts w:ascii="Arial" w:eastAsia="Arial" w:hAnsi="Arial" w:cs="Arial"/>
          <w:sz w:val="24"/>
          <w:szCs w:val="24"/>
        </w:rPr>
        <w:br/>
        <w:t xml:space="preserve"> • Weight checks</w:t>
      </w:r>
      <w:r>
        <w:rPr>
          <w:rFonts w:ascii="Arial" w:eastAsia="Arial" w:hAnsi="Arial" w:cs="Arial"/>
          <w:sz w:val="24"/>
          <w:szCs w:val="24"/>
        </w:rPr>
        <w:br/>
        <w:t xml:space="preserve"> • Lung health checks</w:t>
      </w:r>
      <w:r>
        <w:rPr>
          <w:rFonts w:ascii="Arial" w:eastAsia="Arial" w:hAnsi="Arial" w:cs="Arial"/>
          <w:sz w:val="24"/>
          <w:szCs w:val="24"/>
        </w:rPr>
        <w:br/>
        <w:t xml:space="preserve"> • Mould, ventilation, and safety advice</w:t>
      </w:r>
      <w:r>
        <w:rPr>
          <w:rFonts w:ascii="Arial" w:eastAsia="Arial" w:hAnsi="Arial" w:cs="Arial"/>
          <w:sz w:val="24"/>
          <w:szCs w:val="24"/>
        </w:rPr>
        <w:br/>
        <w:t xml:space="preserve"> • Information about the Healthy Homes mobile app</w:t>
      </w:r>
    </w:p>
    <w:p w14:paraId="6D2E000F" w14:textId="77777777" w:rsidR="00BE7094" w:rsidRDefault="00000000">
      <w:pPr>
        <w:spacing w:before="240" w:after="240" w:line="360" w:lineRule="auto"/>
        <w:ind w:firstLine="720"/>
        <w:rPr>
          <w:rFonts w:ascii="Arial" w:eastAsia="Arial" w:hAnsi="Arial" w:cs="Arial"/>
          <w:sz w:val="24"/>
          <w:szCs w:val="24"/>
        </w:rPr>
      </w:pPr>
      <w:r>
        <w:rPr>
          <w:rFonts w:ascii="Arial" w:eastAsia="Arial" w:hAnsi="Arial" w:cs="Arial"/>
          <w:sz w:val="24"/>
          <w:szCs w:val="24"/>
        </w:rPr>
        <w:t xml:space="preserve">Staff will include nurses, health support workers, housing safety officers, and volunteers. If someone needs further care, they will be referred to a GP, social prescriber, smoking-cessation service, or housing team. Staff can also book home visits for damp </w:t>
      </w:r>
      <w:r>
        <w:rPr>
          <w:rFonts w:ascii="Arial" w:eastAsia="Arial" w:hAnsi="Arial" w:cs="Arial"/>
          <w:sz w:val="24"/>
          <w:szCs w:val="24"/>
        </w:rPr>
        <w:lastRenderedPageBreak/>
        <w:t>inspections. Follow-up support will be simple. Residents will receive text reminders, app notifications, and clear written information. The aim is to keep all messaging easy to understand.</w:t>
      </w:r>
    </w:p>
    <w:p w14:paraId="6D2E0010" w14:textId="77777777" w:rsidR="00BE7094" w:rsidRDefault="00000000">
      <w:pPr>
        <w:pStyle w:val="Heading2"/>
        <w:spacing w:before="360" w:after="80" w:line="360" w:lineRule="auto"/>
        <w:rPr>
          <w:rFonts w:ascii="Arial" w:eastAsia="Arial" w:hAnsi="Arial" w:cs="Arial"/>
          <w:color w:val="000000"/>
          <w:sz w:val="24"/>
          <w:szCs w:val="24"/>
        </w:rPr>
      </w:pPr>
      <w:bookmarkStart w:id="5" w:name="_heading=h.rbygfbmxss9c" w:colFirst="0" w:colLast="0"/>
      <w:bookmarkEnd w:id="5"/>
      <w:r>
        <w:rPr>
          <w:rFonts w:ascii="Arial" w:eastAsia="Arial" w:hAnsi="Arial" w:cs="Arial"/>
          <w:color w:val="000000"/>
          <w:sz w:val="24"/>
          <w:szCs w:val="24"/>
        </w:rPr>
        <w:t>Technology That Supports the Service</w:t>
      </w:r>
    </w:p>
    <w:p w14:paraId="6D2E0011" w14:textId="77777777" w:rsidR="00BE7094" w:rsidRDefault="00000000">
      <w:pPr>
        <w:spacing w:before="240" w:after="240" w:line="360" w:lineRule="auto"/>
        <w:ind w:firstLine="720"/>
        <w:rPr>
          <w:rFonts w:ascii="Arial" w:eastAsia="Arial" w:hAnsi="Arial" w:cs="Arial"/>
          <w:sz w:val="24"/>
          <w:szCs w:val="24"/>
        </w:rPr>
      </w:pPr>
      <w:r>
        <w:rPr>
          <w:rFonts w:ascii="Arial" w:eastAsia="Arial" w:hAnsi="Arial" w:cs="Arial"/>
          <w:sz w:val="24"/>
          <w:szCs w:val="24"/>
        </w:rPr>
        <w:t>Technology will make the hubs safer and more efficient. Each van will carry digital blood pressure monitors and point-of-care devices for glucose testing. All records will be stored through encrypted systems that meet NHS data requirements. A simple app will offer appointment reminders, health tips, and videos about reducing mould or improving ventilation. AI tools will help identify high-risk results so that urgent cases are flagged quickly. Route-planning software will help vans reach the areas with the greatest need. Torr et al. (2022) found a 23% increase in uptake of screening when using digital reminders, which suggests it is beneficial to have technology integrated into our design.</w:t>
      </w:r>
    </w:p>
    <w:p w14:paraId="6D2E0012" w14:textId="77777777" w:rsidR="00BE7094" w:rsidRDefault="00000000">
      <w:pPr>
        <w:pStyle w:val="Heading2"/>
        <w:spacing w:before="360" w:after="80" w:line="360" w:lineRule="auto"/>
        <w:rPr>
          <w:rFonts w:ascii="Arial" w:eastAsia="Arial" w:hAnsi="Arial" w:cs="Arial"/>
          <w:color w:val="000000"/>
          <w:sz w:val="24"/>
          <w:szCs w:val="24"/>
        </w:rPr>
      </w:pPr>
      <w:bookmarkStart w:id="6" w:name="_heading=h.fv351825qdua" w:colFirst="0" w:colLast="0"/>
      <w:bookmarkEnd w:id="6"/>
      <w:r>
        <w:rPr>
          <w:rFonts w:ascii="Arial" w:eastAsia="Arial" w:hAnsi="Arial" w:cs="Arial"/>
          <w:color w:val="000000"/>
          <w:sz w:val="24"/>
          <w:szCs w:val="24"/>
        </w:rPr>
        <w:t>Why the Public Should Support This Innovation</w:t>
      </w:r>
    </w:p>
    <w:p w14:paraId="6D2E0013" w14:textId="77777777" w:rsidR="00BE7094" w:rsidRDefault="00000000">
      <w:pPr>
        <w:spacing w:after="0" w:line="360" w:lineRule="auto"/>
        <w:ind w:firstLine="720"/>
        <w:rPr>
          <w:rFonts w:ascii="Arial" w:eastAsia="Arial" w:hAnsi="Arial" w:cs="Arial"/>
          <w:sz w:val="24"/>
          <w:szCs w:val="24"/>
        </w:rPr>
      </w:pPr>
      <w:r>
        <w:rPr>
          <w:rFonts w:ascii="Arial" w:eastAsia="Arial" w:hAnsi="Arial" w:cs="Arial"/>
          <w:sz w:val="24"/>
          <w:szCs w:val="24"/>
        </w:rPr>
        <w:t>A more equal distribution of health has several benefits to society. Improved health translates to reduced pressure on the NHS, safe housing, healthier children, and fewer life-threatening emergencies. Community members can support the hubs by:</w:t>
      </w:r>
    </w:p>
    <w:p w14:paraId="6D2E0014" w14:textId="77777777" w:rsidR="00BE7094" w:rsidRDefault="00000000">
      <w:pPr>
        <w:spacing w:after="0" w:line="360" w:lineRule="auto"/>
        <w:rPr>
          <w:rFonts w:ascii="Arial" w:eastAsia="Arial" w:hAnsi="Arial" w:cs="Arial"/>
          <w:sz w:val="24"/>
          <w:szCs w:val="24"/>
        </w:rPr>
      </w:pPr>
      <w:r>
        <w:rPr>
          <w:rFonts w:ascii="Arial" w:eastAsia="Arial" w:hAnsi="Arial" w:cs="Arial"/>
          <w:sz w:val="24"/>
          <w:szCs w:val="24"/>
        </w:rPr>
        <w:t>• Sharing information regarding van locations</w:t>
      </w:r>
    </w:p>
    <w:p w14:paraId="6D2E0015" w14:textId="77777777" w:rsidR="00BE7094" w:rsidRDefault="00000000">
      <w:pPr>
        <w:spacing w:after="0" w:line="360" w:lineRule="auto"/>
        <w:rPr>
          <w:rFonts w:ascii="Arial" w:eastAsia="Arial" w:hAnsi="Arial" w:cs="Arial"/>
          <w:sz w:val="24"/>
          <w:szCs w:val="24"/>
        </w:rPr>
      </w:pPr>
      <w:r>
        <w:rPr>
          <w:rFonts w:ascii="Arial" w:eastAsia="Arial" w:hAnsi="Arial" w:cs="Arial"/>
          <w:sz w:val="24"/>
          <w:szCs w:val="24"/>
        </w:rPr>
        <w:t>• Asking neighbours to attend</w:t>
      </w:r>
    </w:p>
    <w:p w14:paraId="6D2E0016" w14:textId="77777777" w:rsidR="00BE7094" w:rsidRDefault="00000000">
      <w:pPr>
        <w:spacing w:after="0" w:line="360" w:lineRule="auto"/>
        <w:rPr>
          <w:rFonts w:ascii="Arial" w:eastAsia="Arial" w:hAnsi="Arial" w:cs="Arial"/>
          <w:sz w:val="24"/>
          <w:szCs w:val="24"/>
        </w:rPr>
      </w:pPr>
      <w:r>
        <w:rPr>
          <w:rFonts w:ascii="Arial" w:eastAsia="Arial" w:hAnsi="Arial" w:cs="Arial"/>
          <w:sz w:val="24"/>
          <w:szCs w:val="24"/>
        </w:rPr>
        <w:t>• Volunteering locally with VCSE Partners</w:t>
      </w:r>
    </w:p>
    <w:p w14:paraId="6D2E0017" w14:textId="77777777" w:rsidR="00BE7094" w:rsidRDefault="00000000">
      <w:pPr>
        <w:spacing w:after="0" w:line="360" w:lineRule="auto"/>
        <w:rPr>
          <w:rFonts w:ascii="Arial" w:eastAsia="Arial" w:hAnsi="Arial" w:cs="Arial"/>
          <w:sz w:val="24"/>
          <w:szCs w:val="24"/>
        </w:rPr>
      </w:pPr>
      <w:r>
        <w:rPr>
          <w:rFonts w:ascii="Arial" w:eastAsia="Arial" w:hAnsi="Arial" w:cs="Arial"/>
          <w:sz w:val="24"/>
          <w:szCs w:val="24"/>
        </w:rPr>
        <w:t>• Promotion of community campaigns on healthier housing</w:t>
      </w:r>
    </w:p>
    <w:p w14:paraId="6D2E0018" w14:textId="77777777" w:rsidR="00BE7094" w:rsidRDefault="00000000">
      <w:pPr>
        <w:spacing w:after="0" w:line="360" w:lineRule="auto"/>
        <w:rPr>
          <w:rFonts w:ascii="Arial" w:eastAsia="Arial" w:hAnsi="Arial" w:cs="Arial"/>
          <w:sz w:val="24"/>
          <w:szCs w:val="24"/>
        </w:rPr>
      </w:pPr>
      <w:r>
        <w:rPr>
          <w:rFonts w:ascii="Arial" w:eastAsia="Arial" w:hAnsi="Arial" w:cs="Arial"/>
          <w:sz w:val="24"/>
          <w:szCs w:val="24"/>
        </w:rPr>
        <w:t>• Working with councils to lift the standard of home safety</w:t>
      </w:r>
    </w:p>
    <w:p w14:paraId="6D2E0019" w14:textId="77777777" w:rsidR="00BE7094" w:rsidRDefault="00000000">
      <w:pPr>
        <w:spacing w:after="0" w:line="360" w:lineRule="auto"/>
        <w:ind w:firstLine="720"/>
        <w:rPr>
          <w:rFonts w:ascii="Arial" w:eastAsia="Arial" w:hAnsi="Arial" w:cs="Arial"/>
          <w:sz w:val="24"/>
          <w:szCs w:val="24"/>
        </w:rPr>
      </w:pPr>
      <w:r>
        <w:rPr>
          <w:rFonts w:ascii="Arial" w:eastAsia="Arial" w:hAnsi="Arial" w:cs="Arial"/>
          <w:sz w:val="24"/>
          <w:szCs w:val="24"/>
        </w:rPr>
        <w:t>As Mughal et al. (2022) highlight, community involvement has been found to drive improvements by promoting trust. When community members support the health hubs, the service is enhanced.</w:t>
      </w:r>
    </w:p>
    <w:p w14:paraId="6D2E001A" w14:textId="77777777" w:rsidR="00BE7094" w:rsidRDefault="00000000">
      <w:pPr>
        <w:pStyle w:val="Heading2"/>
        <w:spacing w:before="360" w:after="80" w:line="360" w:lineRule="auto"/>
        <w:jc w:val="center"/>
        <w:rPr>
          <w:rFonts w:ascii="Arial" w:eastAsia="Arial" w:hAnsi="Arial" w:cs="Arial"/>
          <w:color w:val="000000"/>
          <w:sz w:val="24"/>
          <w:szCs w:val="24"/>
        </w:rPr>
      </w:pPr>
      <w:bookmarkStart w:id="7" w:name="_heading=h.gvip0qpc38g9" w:colFirst="0" w:colLast="0"/>
      <w:bookmarkEnd w:id="7"/>
      <w:r>
        <w:rPr>
          <w:rFonts w:ascii="Arial" w:eastAsia="Arial" w:hAnsi="Arial" w:cs="Arial"/>
          <w:color w:val="000000"/>
          <w:sz w:val="24"/>
          <w:szCs w:val="24"/>
        </w:rPr>
        <w:t>Conclusion</w:t>
      </w:r>
    </w:p>
    <w:p w14:paraId="6D2E001B" w14:textId="77777777" w:rsidR="00BE7094" w:rsidRDefault="00000000">
      <w:pPr>
        <w:spacing w:after="0" w:line="360" w:lineRule="auto"/>
        <w:ind w:firstLine="720"/>
        <w:rPr>
          <w:rFonts w:ascii="Arial" w:eastAsia="Arial" w:hAnsi="Arial" w:cs="Arial"/>
          <w:b/>
          <w:bCs/>
          <w:sz w:val="28"/>
          <w:szCs w:val="28"/>
        </w:rPr>
      </w:pPr>
      <w:r>
        <w:rPr>
          <w:rFonts w:ascii="Arial" w:eastAsia="Arial" w:hAnsi="Arial" w:cs="Arial"/>
          <w:sz w:val="24"/>
          <w:szCs w:val="24"/>
        </w:rPr>
        <w:t xml:space="preserve">Healthy Homes Hubs provide a very straightforward and efficient solution to health problems in areas of low income. They overcome existing barriers by coming into the community to carry out free checks. They also connect health and housing, so it is </w:t>
      </w:r>
      <w:r>
        <w:rPr>
          <w:rFonts w:ascii="Arial" w:eastAsia="Arial" w:hAnsi="Arial" w:cs="Arial"/>
          <w:sz w:val="24"/>
          <w:szCs w:val="24"/>
        </w:rPr>
        <w:lastRenderedPageBreak/>
        <w:t>important to address health problems by dealing with the causes. They are also up to date regarding policy and legislation. The evidence is clear: it saves lives to diagnose earlier, mobile outreach is effective to encourage more people to take the test, and improvements to housing mean fewer children are hospitalized. This innovation combines all these benefits under one roof. Healthy Homes Hubs can really make a difference, and community support will help grow their success.</w:t>
      </w:r>
    </w:p>
    <w:p w14:paraId="6D2E001C" w14:textId="77777777" w:rsidR="00BE7094" w:rsidRDefault="00000000">
      <w:pPr>
        <w:jc w:val="center"/>
        <w:rPr>
          <w:rFonts w:ascii="Arial" w:eastAsia="Arial" w:hAnsi="Arial" w:cs="Arial"/>
          <w:sz w:val="28"/>
          <w:szCs w:val="28"/>
        </w:rPr>
      </w:pPr>
      <w:r>
        <w:rPr>
          <w:rFonts w:ascii="Arial" w:eastAsia="Arial" w:hAnsi="Arial" w:cs="Arial"/>
          <w:b/>
          <w:bCs/>
          <w:sz w:val="28"/>
          <w:szCs w:val="28"/>
        </w:rPr>
        <w:t>References</w:t>
      </w:r>
    </w:p>
    <w:p w14:paraId="6D2E001D" w14:textId="77777777" w:rsidR="00BE7094" w:rsidRDefault="00000000">
      <w:pPr>
        <w:spacing w:before="240" w:after="240" w:line="360" w:lineRule="auto"/>
        <w:ind w:left="850" w:hanging="850"/>
        <w:rPr>
          <w:rFonts w:ascii="Arial" w:eastAsia="Arial" w:hAnsi="Arial" w:cs="Arial"/>
          <w:color w:val="1155CC"/>
          <w:sz w:val="24"/>
          <w:szCs w:val="24"/>
        </w:rPr>
      </w:pPr>
      <w:r>
        <w:rPr>
          <w:rFonts w:ascii="Arial" w:eastAsia="Arial" w:hAnsi="Arial" w:cs="Arial"/>
          <w:sz w:val="24"/>
          <w:szCs w:val="24"/>
        </w:rPr>
        <w:t xml:space="preserve">Clark, S.N., Lam, H.C., Goode, E.J., Marczylo, E.L., Exley, K.S. &amp; Dimitroulopoulou, S., 2023. The burden of respiratory disease from formaldehyde, damp and mould in English housing. </w:t>
      </w:r>
      <w:r>
        <w:rPr>
          <w:rFonts w:ascii="Arial" w:eastAsia="Arial" w:hAnsi="Arial" w:cs="Arial"/>
          <w:i/>
          <w:iCs/>
          <w:sz w:val="24"/>
          <w:szCs w:val="24"/>
        </w:rPr>
        <w:t>Environments</w:t>
      </w:r>
      <w:r>
        <w:rPr>
          <w:rFonts w:ascii="Arial" w:eastAsia="Arial" w:hAnsi="Arial" w:cs="Arial"/>
          <w:sz w:val="24"/>
          <w:szCs w:val="24"/>
        </w:rPr>
        <w:t>, 10(8), p.136.</w:t>
      </w:r>
      <w:hyperlink r:id="rId11">
        <w:r>
          <w:rPr>
            <w:rFonts w:ascii="Arial" w:eastAsia="Arial" w:hAnsi="Arial" w:cs="Arial"/>
            <w:sz w:val="24"/>
            <w:szCs w:val="24"/>
          </w:rPr>
          <w:t xml:space="preserve"> </w:t>
        </w:r>
      </w:hyperlink>
      <w:hyperlink r:id="rId12">
        <w:r>
          <w:rPr>
            <w:rFonts w:ascii="Arial" w:eastAsia="Arial" w:hAnsi="Arial" w:cs="Arial"/>
            <w:color w:val="1155CC"/>
            <w:sz w:val="24"/>
            <w:szCs w:val="24"/>
          </w:rPr>
          <w:t>https://doi.org/10.3390/environments10080136</w:t>
        </w:r>
      </w:hyperlink>
    </w:p>
    <w:p w14:paraId="6D2E001E" w14:textId="77777777" w:rsidR="00BE7094" w:rsidRDefault="00000000">
      <w:pPr>
        <w:spacing w:before="240" w:after="240" w:line="360" w:lineRule="auto"/>
        <w:ind w:left="850" w:hanging="850"/>
        <w:rPr>
          <w:rFonts w:ascii="Arial" w:eastAsia="Arial" w:hAnsi="Arial" w:cs="Arial"/>
          <w:sz w:val="24"/>
          <w:szCs w:val="24"/>
        </w:rPr>
      </w:pPr>
      <w:r>
        <w:rPr>
          <w:rFonts w:ascii="Arial" w:eastAsia="Arial" w:hAnsi="Arial" w:cs="Arial"/>
          <w:sz w:val="24"/>
          <w:szCs w:val="24"/>
        </w:rPr>
        <w:t xml:space="preserve">English Housing Survey, 2023. </w:t>
      </w:r>
      <w:r>
        <w:rPr>
          <w:rFonts w:ascii="Arial" w:eastAsia="Arial" w:hAnsi="Arial" w:cs="Arial"/>
          <w:i/>
          <w:iCs/>
          <w:sz w:val="24"/>
          <w:szCs w:val="24"/>
        </w:rPr>
        <w:t>English Housing Survey 2023–24 Headlines Report</w:t>
      </w:r>
      <w:r>
        <w:rPr>
          <w:rFonts w:ascii="Arial" w:eastAsia="Arial" w:hAnsi="Arial" w:cs="Arial"/>
          <w:sz w:val="24"/>
          <w:szCs w:val="24"/>
        </w:rPr>
        <w:t>. London: Ministry for Housing, Communities &amp; Local Government. Available at:</w:t>
      </w:r>
      <w:hyperlink r:id="rId13">
        <w:r>
          <w:rPr>
            <w:rFonts w:ascii="Arial" w:eastAsia="Arial" w:hAnsi="Arial" w:cs="Arial"/>
            <w:sz w:val="24"/>
            <w:szCs w:val="24"/>
          </w:rPr>
          <w:t xml:space="preserve"> </w:t>
        </w:r>
      </w:hyperlink>
      <w:hyperlink r:id="rId14">
        <w:r>
          <w:rPr>
            <w:rFonts w:ascii="Arial" w:eastAsia="Arial" w:hAnsi="Arial" w:cs="Arial"/>
            <w:color w:val="1155CC"/>
            <w:sz w:val="24"/>
            <w:szCs w:val="24"/>
          </w:rPr>
          <w:t>https://assets.publishing.service.gov.uk/media/6930595d4bedc0e762303ffa/2024-25_EHS_Headline_Report.pdf</w:t>
        </w:r>
      </w:hyperlink>
      <w:r>
        <w:rPr>
          <w:rFonts w:ascii="Arial" w:eastAsia="Arial" w:hAnsi="Arial" w:cs="Arial"/>
          <w:sz w:val="24"/>
          <w:szCs w:val="24"/>
        </w:rPr>
        <w:t xml:space="preserve"> [Accessed Day Month Year].</w:t>
      </w:r>
    </w:p>
    <w:p w14:paraId="6D2E001F" w14:textId="77777777" w:rsidR="00BE7094" w:rsidRDefault="00000000">
      <w:pPr>
        <w:spacing w:before="240" w:after="240" w:line="360" w:lineRule="auto"/>
        <w:ind w:left="850" w:hanging="850"/>
        <w:rPr>
          <w:rFonts w:ascii="Arial" w:eastAsia="Arial" w:hAnsi="Arial" w:cs="Arial"/>
          <w:sz w:val="24"/>
          <w:szCs w:val="24"/>
        </w:rPr>
      </w:pPr>
      <w:r>
        <w:rPr>
          <w:rFonts w:ascii="Arial" w:eastAsia="Arial" w:hAnsi="Arial" w:cs="Arial"/>
          <w:sz w:val="24"/>
          <w:szCs w:val="24"/>
        </w:rPr>
        <w:t xml:space="preserve">Gkiouleka, A., Wong, G., Sowden, S., Bambra, C., Siersbaek, R., Manji, S., Moseley, A., Harmston, R., Kuhn, I. &amp; Ford, J., 2023. Reducing health inequalities through general practice. </w:t>
      </w:r>
      <w:r>
        <w:rPr>
          <w:rFonts w:ascii="Arial" w:eastAsia="Arial" w:hAnsi="Arial" w:cs="Arial"/>
          <w:i/>
          <w:iCs/>
          <w:sz w:val="24"/>
          <w:szCs w:val="24"/>
        </w:rPr>
        <w:t>The Lancet Public Health</w:t>
      </w:r>
      <w:r>
        <w:rPr>
          <w:rFonts w:ascii="Arial" w:eastAsia="Arial" w:hAnsi="Arial" w:cs="Arial"/>
          <w:sz w:val="24"/>
          <w:szCs w:val="24"/>
        </w:rPr>
        <w:t>, 8(6), pp.e463–e472. https://doi.org/10.1016/S2468-2667(23)00052-4</w:t>
      </w:r>
    </w:p>
    <w:p w14:paraId="6D2E0020" w14:textId="77777777" w:rsidR="00BE7094" w:rsidRDefault="00000000">
      <w:pPr>
        <w:spacing w:before="240" w:after="240" w:line="360" w:lineRule="auto"/>
        <w:ind w:left="850" w:hanging="850"/>
        <w:rPr>
          <w:rFonts w:ascii="Arial" w:eastAsia="Arial" w:hAnsi="Arial" w:cs="Arial"/>
          <w:color w:val="1155CC"/>
          <w:sz w:val="24"/>
          <w:szCs w:val="24"/>
        </w:rPr>
      </w:pPr>
      <w:r>
        <w:rPr>
          <w:rFonts w:ascii="Arial" w:eastAsia="Arial" w:hAnsi="Arial" w:cs="Arial"/>
          <w:sz w:val="24"/>
          <w:szCs w:val="24"/>
        </w:rPr>
        <w:t xml:space="preserve">Islam, N., Davies, M.J., Elneima, O., McAuley, H.J., Poinasamy, K. &amp; Quint, J.K. et al., 2024. Incidence of diabetes mellitus following hospitalisation for COVID-19 in the United Kingdom: a prospective observational study. </w:t>
      </w:r>
      <w:r>
        <w:rPr>
          <w:rFonts w:ascii="Arial" w:eastAsia="Arial" w:hAnsi="Arial" w:cs="Arial"/>
          <w:i/>
          <w:iCs/>
          <w:sz w:val="24"/>
          <w:szCs w:val="24"/>
        </w:rPr>
        <w:t>Diabetes, Obesity &amp; Metabolism</w:t>
      </w:r>
      <w:r>
        <w:rPr>
          <w:rFonts w:ascii="Arial" w:eastAsia="Arial" w:hAnsi="Arial" w:cs="Arial"/>
          <w:sz w:val="24"/>
          <w:szCs w:val="24"/>
        </w:rPr>
        <w:t>, 27(2), pp.767–776.</w:t>
      </w:r>
      <w:hyperlink r:id="rId15">
        <w:r>
          <w:rPr>
            <w:rFonts w:ascii="Arial" w:eastAsia="Arial" w:hAnsi="Arial" w:cs="Arial"/>
            <w:sz w:val="24"/>
            <w:szCs w:val="24"/>
          </w:rPr>
          <w:t xml:space="preserve"> </w:t>
        </w:r>
      </w:hyperlink>
      <w:hyperlink r:id="rId16">
        <w:r>
          <w:rPr>
            <w:rFonts w:ascii="Arial" w:eastAsia="Arial" w:hAnsi="Arial" w:cs="Arial"/>
            <w:color w:val="1155CC"/>
            <w:sz w:val="24"/>
            <w:szCs w:val="24"/>
          </w:rPr>
          <w:t>https://doi.org/10.1111/dom.16071</w:t>
        </w:r>
      </w:hyperlink>
      <w:hyperlink r:id="rId17">
        <w:r>
          <w:rPr>
            <w:rFonts w:ascii="Arial" w:eastAsia="Arial" w:hAnsi="Arial" w:cs="Arial"/>
            <w:sz w:val="24"/>
            <w:szCs w:val="24"/>
          </w:rPr>
          <w:t xml:space="preserve"> </w:t>
        </w:r>
      </w:hyperlink>
      <w:hyperlink r:id="rId18">
        <w:r>
          <w:rPr>
            <w:rFonts w:ascii="Arial" w:eastAsia="Arial" w:hAnsi="Arial" w:cs="Arial"/>
            <w:color w:val="1155CC"/>
            <w:sz w:val="24"/>
            <w:szCs w:val="24"/>
          </w:rPr>
          <w:t>PMC+1</w:t>
        </w:r>
      </w:hyperlink>
    </w:p>
    <w:p w14:paraId="6D2E0021" w14:textId="77777777" w:rsidR="00BE7094" w:rsidRDefault="00000000">
      <w:pPr>
        <w:spacing w:before="240" w:after="240" w:line="360" w:lineRule="auto"/>
        <w:ind w:left="850" w:hanging="850"/>
        <w:rPr>
          <w:rFonts w:ascii="Arial" w:eastAsia="Arial" w:hAnsi="Arial" w:cs="Arial"/>
          <w:sz w:val="24"/>
          <w:szCs w:val="24"/>
        </w:rPr>
      </w:pPr>
      <w:r>
        <w:rPr>
          <w:rFonts w:ascii="Arial" w:eastAsia="Arial" w:hAnsi="Arial" w:cs="Arial"/>
          <w:sz w:val="24"/>
          <w:szCs w:val="24"/>
        </w:rPr>
        <w:t xml:space="preserve">Jones, N.R., McCormack, T., Constanti, M. &amp; McManus, R.J., 2020. Diagnosis and management of hypertension in adults: NICE guideline update 2019. </w:t>
      </w:r>
      <w:r>
        <w:rPr>
          <w:rFonts w:ascii="Arial" w:eastAsia="Arial" w:hAnsi="Arial" w:cs="Arial"/>
          <w:i/>
          <w:iCs/>
          <w:sz w:val="24"/>
          <w:szCs w:val="24"/>
        </w:rPr>
        <w:t>The British Journal of General Practice</w:t>
      </w:r>
      <w:r>
        <w:rPr>
          <w:rFonts w:ascii="Arial" w:eastAsia="Arial" w:hAnsi="Arial" w:cs="Arial"/>
          <w:sz w:val="24"/>
          <w:szCs w:val="24"/>
        </w:rPr>
        <w:t>, 70(691), p.90. https://doi.org/10.3399/bjgp20X707733</w:t>
      </w:r>
    </w:p>
    <w:p w14:paraId="6D2E0022" w14:textId="77777777" w:rsidR="00BE7094" w:rsidRDefault="00000000">
      <w:pPr>
        <w:spacing w:before="240" w:after="240" w:line="360" w:lineRule="auto"/>
        <w:ind w:left="850" w:hanging="850"/>
        <w:rPr>
          <w:rFonts w:ascii="Arial" w:eastAsia="Arial" w:hAnsi="Arial" w:cs="Arial"/>
          <w:color w:val="1155CC"/>
          <w:sz w:val="24"/>
          <w:szCs w:val="24"/>
        </w:rPr>
      </w:pPr>
      <w:r>
        <w:rPr>
          <w:rFonts w:ascii="Arial" w:eastAsia="Arial" w:hAnsi="Arial" w:cs="Arial"/>
          <w:sz w:val="24"/>
          <w:szCs w:val="24"/>
        </w:rPr>
        <w:t xml:space="preserve">Marmot, M., 2020. Health equity in England: the Marmot review 10 years on. </w:t>
      </w:r>
      <w:r>
        <w:rPr>
          <w:rFonts w:ascii="Arial" w:eastAsia="Arial" w:hAnsi="Arial" w:cs="Arial"/>
          <w:i/>
          <w:iCs/>
          <w:sz w:val="24"/>
          <w:szCs w:val="24"/>
        </w:rPr>
        <w:t>BMJ</w:t>
      </w:r>
      <w:r>
        <w:rPr>
          <w:rFonts w:ascii="Arial" w:eastAsia="Arial" w:hAnsi="Arial" w:cs="Arial"/>
          <w:sz w:val="24"/>
          <w:szCs w:val="24"/>
        </w:rPr>
        <w:t>, 368, article m693. https://doi.org/10.1136/bmj.m693</w:t>
      </w:r>
      <w:hyperlink r:id="rId19">
        <w:r>
          <w:rPr>
            <w:rFonts w:ascii="Arial" w:eastAsia="Arial" w:hAnsi="Arial" w:cs="Arial"/>
            <w:sz w:val="24"/>
            <w:szCs w:val="24"/>
          </w:rPr>
          <w:t xml:space="preserve"> </w:t>
        </w:r>
      </w:hyperlink>
      <w:hyperlink r:id="rId20">
        <w:r>
          <w:rPr>
            <w:rFonts w:ascii="Arial" w:eastAsia="Arial" w:hAnsi="Arial" w:cs="Arial"/>
            <w:color w:val="1155CC"/>
            <w:sz w:val="24"/>
            <w:szCs w:val="24"/>
          </w:rPr>
          <w:t>Ovid+1</w:t>
        </w:r>
      </w:hyperlink>
    </w:p>
    <w:p w14:paraId="6D2E0023" w14:textId="77777777" w:rsidR="00BE7094" w:rsidRDefault="00000000">
      <w:pPr>
        <w:spacing w:before="240" w:after="240" w:line="360" w:lineRule="auto"/>
        <w:ind w:left="850" w:hanging="850"/>
        <w:rPr>
          <w:rFonts w:ascii="Arial" w:eastAsia="Arial" w:hAnsi="Arial" w:cs="Arial"/>
          <w:sz w:val="24"/>
          <w:szCs w:val="24"/>
        </w:rPr>
      </w:pPr>
      <w:r>
        <w:rPr>
          <w:rFonts w:ascii="Arial" w:eastAsia="Arial" w:hAnsi="Arial" w:cs="Arial"/>
          <w:sz w:val="24"/>
          <w:szCs w:val="24"/>
        </w:rPr>
        <w:lastRenderedPageBreak/>
        <w:t xml:space="preserve">Mughal, R., Thomson, L.J., Daykin, N. &amp; Chatterjee, H.J., 2022. Rapid evidence review of community engagement and resources in the UK during the COVID-19 pandemic: how can community assets redress health inequities? </w:t>
      </w:r>
      <w:r>
        <w:rPr>
          <w:rFonts w:ascii="Arial" w:eastAsia="Arial" w:hAnsi="Arial" w:cs="Arial"/>
          <w:i/>
          <w:iCs/>
          <w:sz w:val="24"/>
          <w:szCs w:val="24"/>
        </w:rPr>
        <w:t>International Journal of Environmental Research &amp; Public Health</w:t>
      </w:r>
      <w:r>
        <w:rPr>
          <w:rFonts w:ascii="Arial" w:eastAsia="Arial" w:hAnsi="Arial" w:cs="Arial"/>
          <w:sz w:val="24"/>
          <w:szCs w:val="24"/>
        </w:rPr>
        <w:t>, 19(7), p.4086. https://doi.org/10.3390/ijerph19074086</w:t>
      </w:r>
    </w:p>
    <w:p w14:paraId="6D2E0024" w14:textId="77777777" w:rsidR="00BE7094" w:rsidRDefault="00000000">
      <w:pPr>
        <w:spacing w:before="240" w:after="240" w:line="360" w:lineRule="auto"/>
        <w:ind w:left="850" w:hanging="850"/>
        <w:rPr>
          <w:rFonts w:ascii="Arial" w:eastAsia="Arial" w:hAnsi="Arial" w:cs="Arial"/>
          <w:sz w:val="24"/>
          <w:szCs w:val="24"/>
        </w:rPr>
      </w:pPr>
      <w:r>
        <w:rPr>
          <w:rFonts w:ascii="Arial" w:eastAsia="Arial" w:hAnsi="Arial" w:cs="Arial"/>
          <w:sz w:val="24"/>
          <w:szCs w:val="24"/>
        </w:rPr>
        <w:t xml:space="preserve">Public Health England, 2017. </w:t>
      </w:r>
      <w:r>
        <w:rPr>
          <w:rFonts w:ascii="Arial" w:eastAsia="Arial" w:hAnsi="Arial" w:cs="Arial"/>
          <w:i/>
          <w:iCs/>
          <w:sz w:val="24"/>
          <w:szCs w:val="24"/>
        </w:rPr>
        <w:t>Health Matters: combatting high blood pressure</w:t>
      </w:r>
      <w:r>
        <w:rPr>
          <w:rFonts w:ascii="Arial" w:eastAsia="Arial" w:hAnsi="Arial" w:cs="Arial"/>
          <w:sz w:val="24"/>
          <w:szCs w:val="24"/>
        </w:rPr>
        <w:t>. Available at: https://www.gov.uk/government/publications/health-matters-combating-high-blood-pressure/health-matters-combatting-high-blood-pressure [Accessed Day Month Year].</w:t>
      </w:r>
    </w:p>
    <w:p w14:paraId="6D2E0025" w14:textId="77777777" w:rsidR="00BE7094" w:rsidRDefault="00000000">
      <w:pPr>
        <w:spacing w:before="240" w:after="240" w:line="360" w:lineRule="auto"/>
        <w:ind w:left="850" w:hanging="850"/>
        <w:rPr>
          <w:rFonts w:ascii="Arial" w:eastAsia="Arial" w:hAnsi="Arial" w:cs="Arial"/>
          <w:sz w:val="24"/>
          <w:szCs w:val="24"/>
        </w:rPr>
      </w:pPr>
      <w:r>
        <w:rPr>
          <w:rFonts w:ascii="Arial" w:eastAsia="Arial" w:hAnsi="Arial" w:cs="Arial"/>
          <w:sz w:val="24"/>
          <w:szCs w:val="24"/>
        </w:rPr>
        <w:t xml:space="preserve">Public Health England, 2018. </w:t>
      </w:r>
      <w:r>
        <w:rPr>
          <w:rFonts w:ascii="Arial" w:eastAsia="Arial" w:hAnsi="Arial" w:cs="Arial"/>
          <w:i/>
          <w:iCs/>
          <w:sz w:val="24"/>
          <w:szCs w:val="24"/>
        </w:rPr>
        <w:t>Tackling high blood pressure: an update</w:t>
      </w:r>
      <w:r>
        <w:rPr>
          <w:rFonts w:ascii="Arial" w:eastAsia="Arial" w:hAnsi="Arial" w:cs="Arial"/>
          <w:sz w:val="24"/>
          <w:szCs w:val="24"/>
        </w:rPr>
        <w:t>. Available at:</w:t>
      </w:r>
      <w:hyperlink r:id="rId21">
        <w:r>
          <w:rPr>
            <w:rFonts w:ascii="Arial" w:eastAsia="Arial" w:hAnsi="Arial" w:cs="Arial"/>
            <w:sz w:val="24"/>
            <w:szCs w:val="24"/>
          </w:rPr>
          <w:t xml:space="preserve"> </w:t>
        </w:r>
      </w:hyperlink>
      <w:hyperlink r:id="rId22">
        <w:r>
          <w:rPr>
            <w:rFonts w:ascii="Arial" w:eastAsia="Arial" w:hAnsi="Arial" w:cs="Arial"/>
            <w:color w:val="1155CC"/>
            <w:sz w:val="24"/>
            <w:szCs w:val="24"/>
          </w:rPr>
          <w:t>https://assets.publishing.service.gov.uk/government/uploads/system/uploads/attachment_data/file/672554/Tackling_high_blood_pressure_an_update.pdf</w:t>
        </w:r>
      </w:hyperlink>
      <w:r>
        <w:rPr>
          <w:rFonts w:ascii="Arial" w:eastAsia="Arial" w:hAnsi="Arial" w:cs="Arial"/>
          <w:sz w:val="24"/>
          <w:szCs w:val="24"/>
        </w:rPr>
        <w:t xml:space="preserve"> [Accessed Day Month Year].</w:t>
      </w:r>
    </w:p>
    <w:p w14:paraId="6D2E0026" w14:textId="77777777" w:rsidR="00BE7094" w:rsidRDefault="00000000">
      <w:pPr>
        <w:spacing w:before="240" w:after="240" w:line="360" w:lineRule="auto"/>
        <w:ind w:left="850" w:hanging="850"/>
        <w:rPr>
          <w:rFonts w:ascii="Arial" w:eastAsia="Arial" w:hAnsi="Arial" w:cs="Arial"/>
          <w:color w:val="1155CC"/>
          <w:sz w:val="24"/>
          <w:szCs w:val="24"/>
        </w:rPr>
      </w:pPr>
      <w:r>
        <w:rPr>
          <w:rFonts w:ascii="Arial" w:eastAsia="Arial" w:hAnsi="Arial" w:cs="Arial"/>
          <w:sz w:val="24"/>
          <w:szCs w:val="24"/>
        </w:rPr>
        <w:t xml:space="preserve">Torr, B., Jones, C., Choi, S., Allen, S., Kavanaugh, G., Hamill, M., Garrett, A., MacMahon, S., Loong, L., Reay, A. &amp; Yuan, L. et al., 2022. A digital pathway for genetic testing in UK NHS patients with cancer: BRCA-DIRECT randomised study internal pilot. </w:t>
      </w:r>
      <w:r>
        <w:rPr>
          <w:rFonts w:ascii="Arial" w:eastAsia="Arial" w:hAnsi="Arial" w:cs="Arial"/>
          <w:i/>
          <w:iCs/>
          <w:sz w:val="24"/>
          <w:szCs w:val="24"/>
        </w:rPr>
        <w:t>Journal of Medical Genetics</w:t>
      </w:r>
      <w:r>
        <w:rPr>
          <w:rFonts w:ascii="Arial" w:eastAsia="Arial" w:hAnsi="Arial" w:cs="Arial"/>
          <w:sz w:val="24"/>
          <w:szCs w:val="24"/>
        </w:rPr>
        <w:t>, 59(12), pp.1179–1188. https://doi.org/10.1136/jmg-2022-108655</w:t>
      </w:r>
      <w:hyperlink r:id="rId23">
        <w:r>
          <w:rPr>
            <w:rFonts w:ascii="Arial" w:eastAsia="Arial" w:hAnsi="Arial" w:cs="Arial"/>
            <w:sz w:val="24"/>
            <w:szCs w:val="24"/>
          </w:rPr>
          <w:t xml:space="preserve"> </w:t>
        </w:r>
      </w:hyperlink>
      <w:hyperlink r:id="rId24">
        <w:r>
          <w:rPr>
            <w:rFonts w:ascii="Arial" w:eastAsia="Arial" w:hAnsi="Arial" w:cs="Arial"/>
            <w:color w:val="1155CC"/>
            <w:sz w:val="24"/>
            <w:szCs w:val="24"/>
          </w:rPr>
          <w:t>PMC+1</w:t>
        </w:r>
      </w:hyperlink>
    </w:p>
    <w:p w14:paraId="6D2E0027" w14:textId="77777777" w:rsidR="00BE7094" w:rsidRDefault="00000000">
      <w:pPr>
        <w:spacing w:before="240" w:after="240" w:line="360" w:lineRule="auto"/>
        <w:ind w:left="850" w:hanging="850"/>
        <w:rPr>
          <w:rFonts w:ascii="Arial" w:eastAsia="Arial" w:hAnsi="Arial" w:cs="Arial"/>
          <w:sz w:val="24"/>
          <w:szCs w:val="24"/>
        </w:rPr>
      </w:pPr>
      <w:r>
        <w:rPr>
          <w:rFonts w:ascii="Arial" w:eastAsia="Arial" w:hAnsi="Arial" w:cs="Arial"/>
          <w:sz w:val="24"/>
          <w:szCs w:val="24"/>
        </w:rPr>
        <w:t xml:space="preserve">Wee, L.H., West, R., Tee, G.H., Yeap, L., Chan, C.M.H., Ho, B.K., Perialathan, K., Nik Mohamed, M.H., Michie, S. &amp; Jackson, S.E., 2021. Effectiveness of training stop-smoking advisers to deliver cessation support to the UK national proposed standard versus usual care in Malaysia: a two-arm cluster-randomized controlled trial. </w:t>
      </w:r>
      <w:r>
        <w:rPr>
          <w:rFonts w:ascii="Arial" w:eastAsia="Arial" w:hAnsi="Arial" w:cs="Arial"/>
          <w:i/>
          <w:iCs/>
          <w:sz w:val="24"/>
          <w:szCs w:val="24"/>
        </w:rPr>
        <w:t>Addiction</w:t>
      </w:r>
      <w:r>
        <w:rPr>
          <w:rFonts w:ascii="Arial" w:eastAsia="Arial" w:hAnsi="Arial" w:cs="Arial"/>
          <w:sz w:val="24"/>
          <w:szCs w:val="24"/>
        </w:rPr>
        <w:t>, 116(8), pp.2150–2161. https://doi.org/10.1111/add.15346</w:t>
      </w:r>
    </w:p>
    <w:p w14:paraId="6D2E0028" w14:textId="77777777" w:rsidR="00BE7094" w:rsidRDefault="00000000">
      <w:pPr>
        <w:spacing w:line="360" w:lineRule="auto"/>
        <w:ind w:left="850" w:hanging="850"/>
        <w:rPr>
          <w:rFonts w:ascii="Arial" w:eastAsia="Arial" w:hAnsi="Arial" w:cs="Arial"/>
          <w:sz w:val="24"/>
          <w:szCs w:val="24"/>
        </w:rPr>
      </w:pPr>
      <w:r>
        <w:rPr>
          <w:rFonts w:ascii="Arial" w:eastAsia="Arial" w:hAnsi="Arial" w:cs="Arial"/>
          <w:sz w:val="24"/>
          <w:szCs w:val="24"/>
        </w:rPr>
        <w:t xml:space="preserve">    </w:t>
      </w:r>
    </w:p>
    <w:p w14:paraId="6D2E0029" w14:textId="77777777" w:rsidR="00BE7094" w:rsidRDefault="00BE7094">
      <w:pPr>
        <w:rPr>
          <w:rFonts w:ascii="Arial" w:eastAsia="Arial" w:hAnsi="Arial" w:cs="Arial"/>
          <w:sz w:val="24"/>
          <w:szCs w:val="24"/>
        </w:rPr>
      </w:pPr>
    </w:p>
    <w:p w14:paraId="6D2E002A" w14:textId="77777777" w:rsidR="00BE7094" w:rsidRDefault="00BE7094">
      <w:pPr>
        <w:rPr>
          <w:rFonts w:ascii="Arial" w:eastAsia="Arial" w:hAnsi="Arial" w:cs="Arial"/>
          <w:sz w:val="24"/>
          <w:szCs w:val="24"/>
        </w:rPr>
      </w:pPr>
    </w:p>
    <w:sectPr w:rsidR="00BE7094">
      <w:headerReference w:type="default" r:id="rId25"/>
      <w:headerReference w:type="first" r:id="rId26"/>
      <w:pgSz w:w="15840" w:h="12240" w:orient="landscape"/>
      <w:pgMar w:top="720" w:right="720" w:bottom="576" w:left="720" w:header="432" w:footer="28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050EBC" w14:textId="77777777" w:rsidR="00B007F9" w:rsidRDefault="00B007F9">
      <w:pPr>
        <w:spacing w:after="0"/>
      </w:pPr>
      <w:r>
        <w:separator/>
      </w:r>
    </w:p>
  </w:endnote>
  <w:endnote w:type="continuationSeparator" w:id="0">
    <w:p w14:paraId="10420FD8" w14:textId="77777777" w:rsidR="00B007F9" w:rsidRDefault="00B007F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ury Schoolbook">
    <w:panose1 w:val="02040604050505020304"/>
    <w:charset w:val="00"/>
    <w:family w:val="roman"/>
    <w:pitch w:val="variable"/>
    <w:sig w:usb0="00000287" w:usb1="00000000" w:usb2="00000000" w:usb3="00000000" w:csb0="0000009F" w:csb1="00000000"/>
    <w:embedRegular r:id="rId1" w:fontKey="{EB78D1A8-C120-4493-8DF9-17AED16AED7F}"/>
    <w:embedBold r:id="rId2" w:fontKey="{C20A706B-72B0-4C82-84A6-81F6BA505BC2}"/>
    <w:embedItalic r:id="rId3" w:fontKey="{BE0B1BF8-78ED-421B-B78B-D4A27237143D}"/>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00000001" w:usb1="08070000" w:usb2="00000010" w:usb3="00000000" w:csb0="00020000" w:csb1="00000000"/>
  </w:font>
  <w:font w:name="Georgia">
    <w:panose1 w:val="02040502050405020303"/>
    <w:charset w:val="00"/>
    <w:family w:val="auto"/>
    <w:pitch w:val="default"/>
    <w:embedItalic r:id="rId4" w:fontKey="{50F0493D-4518-4F89-8CAD-B6B49C59AA0F}"/>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5" w:fontKey="{4A9E2175-AA24-44D8-887C-55F599BE0CB6}"/>
  </w:font>
  <w:font w:name="Cambria">
    <w:panose1 w:val="02040503050406030204"/>
    <w:charset w:val="00"/>
    <w:family w:val="roman"/>
    <w:pitch w:val="variable"/>
    <w:sig w:usb0="E00006FF" w:usb1="420024FF" w:usb2="02000000" w:usb3="00000000" w:csb0="0000019F" w:csb1="00000000"/>
    <w:embedRegular r:id="rId6" w:fontKey="{48206FF7-5199-46C4-B118-CACF13C26BC9}"/>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416E72" w14:textId="77777777" w:rsidR="00B007F9" w:rsidRDefault="00B007F9">
      <w:pPr>
        <w:spacing w:after="0"/>
      </w:pPr>
      <w:r>
        <w:separator/>
      </w:r>
    </w:p>
  </w:footnote>
  <w:footnote w:type="continuationSeparator" w:id="0">
    <w:p w14:paraId="4CFB715F" w14:textId="77777777" w:rsidR="00B007F9" w:rsidRDefault="00B007F9">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2E0033" w14:textId="77777777" w:rsidR="00BE7094" w:rsidRDefault="00000000">
    <w:pPr>
      <w:pBdr>
        <w:top w:val="nil"/>
        <w:left w:val="nil"/>
        <w:bottom w:val="nil"/>
        <w:right w:val="nil"/>
        <w:between w:val="nil"/>
      </w:pBdr>
      <w:spacing w:after="0"/>
      <w:rPr>
        <w:color w:val="000000"/>
      </w:rPr>
    </w:pPr>
    <w:r>
      <w:rPr>
        <w:color w:val="000000"/>
      </w:rPr>
      <w:t>`</w:t>
    </w:r>
  </w:p>
  <w:p w14:paraId="6D2E0034" w14:textId="7DA19775" w:rsidR="00BE7094" w:rsidRDefault="00000000">
    <w:pPr>
      <w:pBdr>
        <w:top w:val="nil"/>
        <w:left w:val="nil"/>
        <w:bottom w:val="nil"/>
        <w:right w:val="nil"/>
        <w:between w:val="nil"/>
      </w:pBdr>
      <w:spacing w:after="0"/>
      <w:jc w:val="right"/>
    </w:pPr>
    <w:r>
      <w:rPr>
        <w:color w:val="000000"/>
      </w:rPr>
      <w:fldChar w:fldCharType="begin"/>
    </w:r>
    <w:r>
      <w:rPr>
        <w:color w:val="000000"/>
      </w:rPr>
      <w:instrText>PAGE</w:instrText>
    </w:r>
    <w:r>
      <w:rPr>
        <w:color w:val="000000"/>
      </w:rPr>
      <w:fldChar w:fldCharType="separate"/>
    </w:r>
    <w:r w:rsidR="00EA2F4A">
      <w:rPr>
        <w:noProof/>
        <w:color w:val="000000"/>
      </w:rPr>
      <w:t>2</w:t>
    </w:r>
    <w:r>
      <w:rPr>
        <w:color w:val="000000"/>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2E0035" w14:textId="72CEABCC" w:rsidR="00BE7094" w:rsidRDefault="00000000">
    <w:pPr>
      <w:pBdr>
        <w:top w:val="nil"/>
        <w:left w:val="nil"/>
        <w:bottom w:val="nil"/>
        <w:right w:val="nil"/>
        <w:between w:val="nil"/>
      </w:pBdr>
      <w:spacing w:after="0"/>
      <w:jc w:val="right"/>
      <w:rPr>
        <w:rFonts w:ascii="Arial" w:eastAsia="Arial" w:hAnsi="Arial" w:cs="Arial"/>
        <w:color w:val="000000"/>
        <w:sz w:val="24"/>
        <w:szCs w:val="24"/>
      </w:rPr>
    </w:pPr>
    <w:r>
      <w:rPr>
        <w:rFonts w:ascii="Arial" w:eastAsia="Arial" w:hAnsi="Arial" w:cs="Arial"/>
        <w:sz w:val="24"/>
        <w:szCs w:val="24"/>
      </w:rPr>
      <w:fldChar w:fldCharType="begin"/>
    </w:r>
    <w:r>
      <w:rPr>
        <w:rFonts w:ascii="Arial" w:eastAsia="Arial" w:hAnsi="Arial" w:cs="Arial"/>
        <w:sz w:val="24"/>
        <w:szCs w:val="24"/>
      </w:rPr>
      <w:instrText>PAGE</w:instrText>
    </w:r>
    <w:r>
      <w:rPr>
        <w:rFonts w:ascii="Arial" w:eastAsia="Arial" w:hAnsi="Arial" w:cs="Arial"/>
        <w:sz w:val="24"/>
        <w:szCs w:val="24"/>
      </w:rPr>
      <w:fldChar w:fldCharType="separate"/>
    </w:r>
    <w:r w:rsidR="00EA2F4A">
      <w:rPr>
        <w:rFonts w:ascii="Arial" w:eastAsia="Arial" w:hAnsi="Arial" w:cs="Arial"/>
        <w:noProof/>
        <w:sz w:val="24"/>
        <w:szCs w:val="24"/>
      </w:rPr>
      <w:t>1</w:t>
    </w:r>
    <w:r>
      <w:rPr>
        <w:rFonts w:ascii="Arial" w:eastAsia="Arial" w:hAnsi="Arial" w:cs="Arial"/>
        <w:sz w:val="24"/>
        <w:szCs w:val="24"/>
      </w:rPr>
      <w:fldChar w:fldCharType="end"/>
    </w:r>
  </w:p>
  <w:p w14:paraId="6D2E0036" w14:textId="77777777" w:rsidR="00BE7094" w:rsidRDefault="00BE7094">
    <w:pPr>
      <w:pBdr>
        <w:top w:val="nil"/>
        <w:left w:val="nil"/>
        <w:bottom w:val="nil"/>
        <w:right w:val="nil"/>
        <w:between w:val="nil"/>
      </w:pBdr>
      <w:spacing w:after="0"/>
      <w:rPr>
        <w:rFonts w:ascii="Arial" w:eastAsia="Arial" w:hAnsi="Arial" w:cs="Arial"/>
        <w:color w:val="000000"/>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7094"/>
    <w:rsid w:val="001A5E00"/>
    <w:rsid w:val="00345ED4"/>
    <w:rsid w:val="00433EBB"/>
    <w:rsid w:val="006F2C80"/>
    <w:rsid w:val="007E6F25"/>
    <w:rsid w:val="00B007F9"/>
    <w:rsid w:val="00BE7094"/>
    <w:rsid w:val="00EA2F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DFFE5"/>
  <w15:docId w15:val="{A2178E48-9B01-4ACB-9200-92650EC9E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entury Schoolbook" w:eastAsia="Century Schoolbook" w:hAnsi="Century Schoolbook" w:cs="Century Schoolbook"/>
        <w:sz w:val="22"/>
        <w:szCs w:val="22"/>
        <w:lang w:val="en" w:eastAsia="en-GB"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after="240"/>
      <w:outlineLvl w:val="0"/>
    </w:pPr>
    <w:rPr>
      <w:b/>
      <w:bCs/>
      <w:color w:val="44546A"/>
      <w:sz w:val="28"/>
      <w:szCs w:val="28"/>
    </w:rPr>
  </w:style>
  <w:style w:type="paragraph" w:styleId="Heading2">
    <w:name w:val="heading 2"/>
    <w:basedOn w:val="Normal"/>
    <w:next w:val="Normal"/>
    <w:uiPriority w:val="9"/>
    <w:unhideWhenUsed/>
    <w:qFormat/>
    <w:pPr>
      <w:spacing w:after="240"/>
      <w:outlineLvl w:val="1"/>
    </w:pPr>
    <w:rPr>
      <w:b/>
      <w:bCs/>
      <w:color w:val="FFFFFF"/>
      <w:sz w:val="28"/>
      <w:szCs w:val="28"/>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pBdr>
        <w:top w:val="nil"/>
        <w:left w:val="nil"/>
        <w:bottom w:val="nil"/>
        <w:right w:val="nil"/>
        <w:between w:val="nil"/>
      </w:pBdr>
      <w:spacing w:after="240"/>
      <w:outlineLvl w:val="3"/>
    </w:pPr>
    <w:rPr>
      <w:b/>
      <w:bCs/>
      <w:color w:val="ED7D31"/>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200"/>
      <w:jc w:val="center"/>
    </w:pPr>
    <w:rPr>
      <w:b/>
      <w:bCs/>
      <w:color w:val="FFFFFF"/>
      <w:sz w:val="48"/>
      <w:szCs w:val="48"/>
    </w:rPr>
  </w:style>
  <w:style w:type="table" w:styleId="TableGrid">
    <w:name w:val="Table Grid"/>
    <w:basedOn w:val="TableNormal"/>
    <w:pPr>
      <w:suppressAutoHyphens/>
      <w:spacing w:line="1" w:lineRule="atLeast"/>
      <w:ind w:leftChars="-1" w:left="-1" w:hangingChars="1" w:hanging="1"/>
      <w:textDirection w:val="btLr"/>
      <w:textAlignment w:val="top"/>
      <w:outlineLvl w:val="0"/>
    </w:pPr>
    <w:rPr>
      <w:position w:val="-1"/>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rPr>
      <w:b/>
      <w:noProof/>
      <w:color w:val="ED7D31"/>
      <w:spacing w:val="10"/>
      <w:w w:val="100"/>
      <w:position w:val="-1"/>
      <w:sz w:val="28"/>
      <w:szCs w:val="32"/>
      <w:effect w:val="none"/>
      <w:vertAlign w:val="baseline"/>
      <w:cs w:val="0"/>
      <w:em w:val="none"/>
      <w:lang/>
    </w:rPr>
  </w:style>
  <w:style w:type="character" w:customStyle="1" w:styleId="TitleChar">
    <w:name w:val="Title Char"/>
    <w:rPr>
      <w:rFonts w:ascii="Century Schoolbook" w:eastAsia="MS Gothic" w:hAnsi="Century Schoolbook" w:cs="Times New Roman"/>
      <w:b/>
      <w:color w:val="FFFFFF"/>
      <w:spacing w:val="-10"/>
      <w:w w:val="100"/>
      <w:kern w:val="28"/>
      <w:position w:val="-1"/>
      <w:sz w:val="48"/>
      <w:szCs w:val="56"/>
      <w:effect w:val="none"/>
      <w:vertAlign w:val="baseline"/>
      <w:cs w:val="0"/>
      <w:em w:val="none"/>
    </w:rPr>
  </w:style>
  <w:style w:type="paragraph" w:styleId="ListParagraph">
    <w:name w:val="List Paragraph"/>
    <w:basedOn w:val="Normal"/>
    <w:pPr>
      <w:suppressAutoHyphens/>
      <w:spacing w:line="1" w:lineRule="atLeast"/>
      <w:ind w:leftChars="-1" w:left="720" w:hangingChars="1" w:hanging="1"/>
      <w:contextualSpacing/>
      <w:textDirection w:val="btLr"/>
      <w:textAlignment w:val="top"/>
      <w:outlineLvl w:val="0"/>
    </w:pPr>
    <w:rPr>
      <w:position w:val="-1"/>
      <w:lang w:val="en-US" w:eastAsia="en-US"/>
    </w:rPr>
  </w:style>
  <w:style w:type="character" w:styleId="Strong">
    <w:name w:val="Strong"/>
    <w:rPr>
      <w:b/>
      <w:bCs/>
      <w:w w:val="100"/>
      <w:position w:val="-1"/>
      <w:effect w:val="none"/>
      <w:vertAlign w:val="baseline"/>
      <w:cs w:val="0"/>
      <w:em w:val="none"/>
    </w:rPr>
  </w:style>
  <w:style w:type="character" w:customStyle="1" w:styleId="Heading1Char">
    <w:name w:val="Heading 1 Char"/>
    <w:rPr>
      <w:rFonts w:ascii="Century Schoolbook" w:hAnsi="Century Schoolbook"/>
      <w:b/>
      <w:color w:val="44546A"/>
      <w:spacing w:val="10"/>
      <w:w w:val="100"/>
      <w:position w:val="-1"/>
      <w:sz w:val="28"/>
      <w:effect w:val="none"/>
      <w:vertAlign w:val="baseline"/>
      <w:cs w:val="0"/>
      <w:em w:val="none"/>
    </w:rPr>
  </w:style>
  <w:style w:type="character" w:styleId="Hashtag">
    <w:name w:val="Hashtag"/>
    <w:rPr>
      <w:color w:val="2B579A"/>
      <w:w w:val="100"/>
      <w:position w:val="-1"/>
      <w:effect w:val="none"/>
      <w:shd w:val="clear" w:color="auto" w:fill="E6E6E6"/>
      <w:vertAlign w:val="baseline"/>
      <w:cs w:val="0"/>
      <w:em w:val="none"/>
    </w:rPr>
  </w:style>
  <w:style w:type="character" w:styleId="IntenseEmphasis">
    <w:name w:val="Intense Emphasis"/>
    <w:rPr>
      <w:i/>
      <w:iCs/>
      <w:color w:val="4472C4"/>
      <w:w w:val="100"/>
      <w:position w:val="-1"/>
      <w:effect w:val="none"/>
      <w:vertAlign w:val="baseline"/>
      <w:cs w:val="0"/>
      <w:em w:val="none"/>
    </w:rPr>
  </w:style>
  <w:style w:type="paragraph" w:styleId="IntenseQuote">
    <w:name w:val="Intense Quote"/>
    <w:basedOn w:val="Normal"/>
    <w:next w:val="Normal"/>
    <w:pPr>
      <w:pBdr>
        <w:top w:val="single" w:sz="4" w:space="10" w:color="4472C4"/>
        <w:bottom w:val="single" w:sz="4" w:space="10" w:color="4472C4"/>
      </w:pBdr>
      <w:suppressAutoHyphens/>
      <w:spacing w:before="360" w:after="360" w:line="1" w:lineRule="atLeast"/>
      <w:ind w:leftChars="-1" w:left="864" w:right="864" w:hangingChars="1" w:hanging="1"/>
      <w:jc w:val="center"/>
      <w:textDirection w:val="btLr"/>
      <w:textAlignment w:val="top"/>
      <w:outlineLvl w:val="0"/>
    </w:pPr>
    <w:rPr>
      <w:i/>
      <w:iCs/>
      <w:color w:val="4472C4"/>
      <w:position w:val="-1"/>
      <w:lang w:val="en-US" w:eastAsia="en-US"/>
    </w:rPr>
  </w:style>
  <w:style w:type="character" w:customStyle="1" w:styleId="IntenseQuoteChar">
    <w:name w:val="Intense Quote Char"/>
    <w:rPr>
      <w:i/>
      <w:iCs/>
      <w:color w:val="4472C4"/>
      <w:w w:val="100"/>
      <w:position w:val="-1"/>
      <w:sz w:val="21"/>
      <w:effect w:val="none"/>
      <w:vertAlign w:val="baseline"/>
      <w:cs w:val="0"/>
      <w:em w:val="none"/>
    </w:rPr>
  </w:style>
  <w:style w:type="character" w:styleId="IntenseReference">
    <w:name w:val="Intense Reference"/>
    <w:rPr>
      <w:b/>
      <w:bCs/>
      <w:smallCaps/>
      <w:color w:val="4472C4"/>
      <w:spacing w:val="5"/>
      <w:w w:val="100"/>
      <w:position w:val="-1"/>
      <w:effect w:val="none"/>
      <w:vertAlign w:val="baseline"/>
      <w:cs w:val="0"/>
      <w:em w:val="none"/>
    </w:rPr>
  </w:style>
  <w:style w:type="character" w:styleId="SubtleReference">
    <w:name w:val="Subtle Reference"/>
    <w:rPr>
      <w:smallCaps/>
      <w:color w:val="5A5A5A"/>
      <w:w w:val="100"/>
      <w:position w:val="-1"/>
      <w:effect w:val="none"/>
      <w:vertAlign w:val="baseline"/>
      <w:cs w:val="0"/>
      <w:em w:val="none"/>
    </w:rPr>
  </w:style>
  <w:style w:type="character" w:styleId="UnresolvedMention">
    <w:name w:val="Unresolved Mention"/>
    <w:rPr>
      <w:color w:val="808080"/>
      <w:w w:val="100"/>
      <w:position w:val="-1"/>
      <w:effect w:val="none"/>
      <w:shd w:val="clear" w:color="auto" w:fill="E6E6E6"/>
      <w:vertAlign w:val="baseline"/>
      <w:cs w:val="0"/>
      <w:em w:val="none"/>
    </w:rPr>
  </w:style>
  <w:style w:type="character" w:customStyle="1" w:styleId="Heading2Char">
    <w:name w:val="Heading 2 Char"/>
    <w:rPr>
      <w:rFonts w:ascii="Century Schoolbook" w:hAnsi="Century Schoolbook"/>
      <w:b/>
      <w:color w:val="FFFFFF"/>
      <w:spacing w:val="10"/>
      <w:w w:val="100"/>
      <w:position w:val="-1"/>
      <w:sz w:val="28"/>
      <w:effect w:val="none"/>
      <w:vertAlign w:val="baseline"/>
      <w:cs w:val="0"/>
      <w:em w:val="none"/>
    </w:rPr>
  </w:style>
  <w:style w:type="paragraph" w:customStyle="1" w:styleId="NormalTextDarkBackground">
    <w:name w:val="Normal Text Dark Background"/>
    <w:basedOn w:val="Normal"/>
    <w:pPr>
      <w:suppressAutoHyphens/>
      <w:spacing w:line="1" w:lineRule="atLeast"/>
      <w:ind w:leftChars="-1" w:left="-1" w:hangingChars="1" w:hanging="1"/>
      <w:textDirection w:val="btLr"/>
      <w:textAlignment w:val="top"/>
      <w:outlineLvl w:val="0"/>
    </w:pPr>
    <w:rPr>
      <w:color w:val="FFFFFF"/>
      <w:position w:val="-1"/>
      <w:lang w:val="en-US" w:eastAsia="en-US"/>
    </w:rPr>
  </w:style>
  <w:style w:type="paragraph" w:styleId="Header">
    <w:name w:val="header"/>
    <w:basedOn w:val="Normal"/>
    <w:pPr>
      <w:suppressAutoHyphens/>
      <w:spacing w:after="0" w:line="1" w:lineRule="atLeast"/>
      <w:ind w:leftChars="-1" w:left="-1" w:hangingChars="1" w:hanging="1"/>
      <w:textDirection w:val="btLr"/>
      <w:textAlignment w:val="top"/>
      <w:outlineLvl w:val="0"/>
    </w:pPr>
    <w:rPr>
      <w:position w:val="-1"/>
      <w:lang w:val="en-US" w:eastAsia="en-US"/>
    </w:rPr>
  </w:style>
  <w:style w:type="character" w:customStyle="1" w:styleId="HeaderChar">
    <w:name w:val="Header Char"/>
    <w:basedOn w:val="DefaultParagraphFont"/>
    <w:rPr>
      <w:w w:val="100"/>
      <w:position w:val="-1"/>
      <w:effect w:val="none"/>
      <w:vertAlign w:val="baseline"/>
      <w:cs w:val="0"/>
      <w:em w:val="none"/>
    </w:rPr>
  </w:style>
  <w:style w:type="paragraph" w:styleId="Footer">
    <w:name w:val="footer"/>
    <w:basedOn w:val="Normal"/>
    <w:pPr>
      <w:suppressAutoHyphens/>
      <w:spacing w:after="0" w:line="1" w:lineRule="atLeast"/>
      <w:ind w:leftChars="-1" w:left="-1" w:hangingChars="1" w:hanging="1"/>
      <w:textDirection w:val="btLr"/>
      <w:textAlignment w:val="top"/>
      <w:outlineLvl w:val="0"/>
    </w:pPr>
    <w:rPr>
      <w:position w:val="-1"/>
      <w:lang w:val="en-US" w:eastAsia="en-US"/>
    </w:rPr>
  </w:style>
  <w:style w:type="character" w:customStyle="1" w:styleId="FooterChar">
    <w:name w:val="Footer Char"/>
    <w:basedOn w:val="DefaultParagraphFont"/>
    <w:rPr>
      <w:w w:val="100"/>
      <w:position w:val="-1"/>
      <w:effect w:val="none"/>
      <w:vertAlign w:val="baseline"/>
      <w:cs w:val="0"/>
      <w:em w:val="none"/>
    </w:rPr>
  </w:style>
  <w:style w:type="paragraph" w:styleId="NoSpacing">
    <w:name w:val="No Spacing"/>
    <w:pPr>
      <w:suppressAutoHyphens/>
      <w:spacing w:line="1" w:lineRule="atLeast"/>
      <w:ind w:leftChars="-1" w:left="-1" w:hangingChars="1" w:hanging="1"/>
      <w:textDirection w:val="btLr"/>
      <w:textAlignment w:val="top"/>
      <w:outlineLvl w:val="0"/>
    </w:pPr>
    <w:rPr>
      <w:position w:val="-1"/>
      <w:lang w:val="en-US" w:eastAsia="en-US"/>
    </w:rPr>
  </w:style>
  <w:style w:type="character" w:styleId="PlaceholderText">
    <w:name w:val="Placeholder Text"/>
    <w:rPr>
      <w:color w:val="808080"/>
      <w:w w:val="100"/>
      <w:position w:val="-1"/>
      <w:effect w:val="none"/>
      <w:vertAlign w:val="baseline"/>
      <w:cs w:val="0"/>
      <w:em w:val="none"/>
    </w:rPr>
  </w:style>
  <w:style w:type="paragraph" w:styleId="Quote">
    <w:name w:val="Quote"/>
    <w:basedOn w:val="Normal"/>
    <w:next w:val="Normal"/>
    <w:pPr>
      <w:suppressAutoHyphens/>
      <w:spacing w:after="200" w:line="1" w:lineRule="atLeast"/>
      <w:ind w:leftChars="-1" w:left="-1" w:hangingChars="1" w:hanging="1"/>
      <w:jc w:val="center"/>
      <w:textDirection w:val="btLr"/>
      <w:textAlignment w:val="top"/>
      <w:outlineLvl w:val="0"/>
    </w:pPr>
    <w:rPr>
      <w:b/>
      <w:noProof/>
      <w:color w:val="44546A"/>
      <w:spacing w:val="-10"/>
      <w:position w:val="-1"/>
      <w:sz w:val="48"/>
      <w:szCs w:val="100"/>
      <w:lang/>
    </w:rPr>
  </w:style>
  <w:style w:type="character" w:customStyle="1" w:styleId="QuoteChar">
    <w:name w:val="Quote Char"/>
    <w:rPr>
      <w:rFonts w:ascii="Century Schoolbook" w:hAnsi="Century Schoolbook"/>
      <w:b/>
      <w:noProof/>
      <w:color w:val="44546A"/>
      <w:spacing w:val="-10"/>
      <w:w w:val="100"/>
      <w:position w:val="-1"/>
      <w:sz w:val="48"/>
      <w:szCs w:val="100"/>
      <w:effect w:val="none"/>
      <w:vertAlign w:val="baseline"/>
      <w:cs w:val="0"/>
      <w:em w:val="none"/>
      <w:lang/>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ssets.publishing.service.gov.uk/media/6930595d4bedc0e762303ffa/2024-25_EHS_Headline_Report.pdf" TargetMode="External"/><Relationship Id="rId18" Type="http://schemas.openxmlformats.org/officeDocument/2006/relationships/hyperlink" Target="https://pmc.ncbi.nlm.nih.gov/articles/PMC11701205/?utm_source=chatgpt.com" TargetMode="External"/><Relationship Id="rId26"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yperlink" Target="https://assets.publishing.service.gov.uk/government/uploads/system/uploads/attachment_data/file/672554/Tackling_high_blood_pressure_an_update.pdf" TargetMode="External"/><Relationship Id="rId7" Type="http://schemas.openxmlformats.org/officeDocument/2006/relationships/image" Target="media/image1.png"/><Relationship Id="rId12" Type="http://schemas.openxmlformats.org/officeDocument/2006/relationships/hyperlink" Target="https://doi.org/10.3390/environments10080136" TargetMode="External"/><Relationship Id="rId17" Type="http://schemas.openxmlformats.org/officeDocument/2006/relationships/hyperlink" Target="https://pmc.ncbi.nlm.nih.gov/articles/PMC11701205/?utm_source=chatgpt.com"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1111/dom.16071" TargetMode="External"/><Relationship Id="rId20" Type="http://schemas.openxmlformats.org/officeDocument/2006/relationships/hyperlink" Target="https://www.ovid.com/journals/bmjd/pdf/10.1136/bmj.m693~health-equity-in-england-the-marmot-review-10-years-on?utm_source=chatgpt.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90/environments10080136" TargetMode="External"/><Relationship Id="rId24" Type="http://schemas.openxmlformats.org/officeDocument/2006/relationships/hyperlink" Target="https://pmc.ncbi.nlm.nih.gov/articles/PMC9691828/?utm_source=chatgpt.com" TargetMode="External"/><Relationship Id="rId5" Type="http://schemas.openxmlformats.org/officeDocument/2006/relationships/footnotes" Target="footnotes.xml"/><Relationship Id="rId15" Type="http://schemas.openxmlformats.org/officeDocument/2006/relationships/hyperlink" Target="https://doi.org/10.1111/dom.16071" TargetMode="External"/><Relationship Id="rId23" Type="http://schemas.openxmlformats.org/officeDocument/2006/relationships/hyperlink" Target="https://pmc.ncbi.nlm.nih.gov/articles/PMC9691828/?utm_source=chatgpt.com"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ovid.com/journals/bmjd/pdf/10.1136/bmj.m693~health-equity-in-england-the-marmot-review-10-years-on?utm_source=chatgpt.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ssets.publishing.service.gov.uk/media/6930595d4bedc0e762303ffa/2024-25_EHS_Headline_Report.pdf" TargetMode="External"/><Relationship Id="rId22" Type="http://schemas.openxmlformats.org/officeDocument/2006/relationships/hyperlink" Target="https://assets.publishing.service.gov.uk/government/uploads/system/uploads/attachment_data/file/672554/Tackling_high_blood_pressure_an_update.pdf"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nWcYpGf1ddvbW3Nj/q2n8hFUzSg==">CgMxLjAyDmgudzQ5cHFyc3NtdXBuMg5oLm94eHdkNm14YmsxajIOaC5vbnNlYnQ3ZWJkcmsyDmgueWplZDAyb2t0bWI2Mg5oLmVycXhhbDViemJ1ZjIOaC5yYnlnZmJteHNzOWMyDmguZnYzNTE4MjVxZHVhMg5oLmd2aXAwcXBjMzhnOTgAciExWTdfLTJFbmNaNTVmVnhUSVFaRTdwd0VnMmE0R1E0dk8=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2000</Words>
  <Characters>11405</Characters>
  <Application>Microsoft Office Word</Application>
  <DocSecurity>0</DocSecurity>
  <Lines>95</Lines>
  <Paragraphs>26</Paragraphs>
  <ScaleCrop>false</ScaleCrop>
  <Company/>
  <LinksUpToDate>false</LinksUpToDate>
  <CharactersWithSpaces>13379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laila surani</dc:creator>
  <cp:lastModifiedBy>Georgiana Avramescu</cp:lastModifiedBy>
  <cp:revision>6</cp:revision>
  <dcterms:created xsi:type="dcterms:W3CDTF">2025-10-15T16:18:00Z</dcterms:created>
  <dcterms:modified xsi:type="dcterms:W3CDTF">2025-12-11T17:00:00Z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KeyPoints">
    <vt:lpwstr/>
  </property>
</Properties>
</file>