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20E58" w14:textId="77777777" w:rsidR="00024249" w:rsidRDefault="00024249" w:rsidP="00024249">
      <w:pPr>
        <w:spacing w:line="240" w:lineRule="auto"/>
        <w:jc w:val="center"/>
        <w:rPr>
          <w:b/>
          <w:bCs/>
          <w:sz w:val="36"/>
          <w:szCs w:val="32"/>
        </w:rPr>
      </w:pPr>
    </w:p>
    <w:p w14:paraId="204F7831" w14:textId="77777777" w:rsidR="00024249" w:rsidRDefault="00024249" w:rsidP="00024249">
      <w:pPr>
        <w:spacing w:line="240" w:lineRule="auto"/>
        <w:jc w:val="center"/>
        <w:rPr>
          <w:b/>
          <w:bCs/>
          <w:sz w:val="36"/>
          <w:szCs w:val="32"/>
        </w:rPr>
      </w:pPr>
    </w:p>
    <w:p w14:paraId="756818DE" w14:textId="2A2D20C9" w:rsidR="00024249" w:rsidRPr="00024249" w:rsidRDefault="00024249" w:rsidP="00024249">
      <w:pPr>
        <w:spacing w:line="240" w:lineRule="auto"/>
        <w:jc w:val="center"/>
        <w:rPr>
          <w:b/>
          <w:bCs/>
          <w:sz w:val="36"/>
          <w:szCs w:val="32"/>
        </w:rPr>
      </w:pPr>
      <w:r w:rsidRPr="00024249">
        <w:rPr>
          <w:b/>
          <w:bCs/>
          <w:sz w:val="36"/>
          <w:szCs w:val="32"/>
        </w:rPr>
        <w:t>BMSP4011</w:t>
      </w:r>
    </w:p>
    <w:p w14:paraId="22B74BC9" w14:textId="1C39EDE5" w:rsidR="00630256" w:rsidRPr="00024249" w:rsidRDefault="00630256" w:rsidP="00024249">
      <w:pPr>
        <w:spacing w:line="240" w:lineRule="auto"/>
        <w:jc w:val="center"/>
        <w:rPr>
          <w:b/>
          <w:bCs/>
          <w:sz w:val="36"/>
          <w:szCs w:val="32"/>
        </w:rPr>
      </w:pPr>
      <w:r w:rsidRPr="00024249">
        <w:rPr>
          <w:b/>
          <w:bCs/>
          <w:sz w:val="36"/>
          <w:szCs w:val="32"/>
        </w:rPr>
        <w:t>Financial Management for Business Sustainability</w:t>
      </w:r>
    </w:p>
    <w:p w14:paraId="5FD51347" w14:textId="77777777" w:rsidR="00630256" w:rsidRPr="00024249" w:rsidRDefault="00630256" w:rsidP="00024249">
      <w:pPr>
        <w:spacing w:line="240" w:lineRule="auto"/>
        <w:jc w:val="center"/>
        <w:rPr>
          <w:b/>
          <w:bCs/>
          <w:sz w:val="44"/>
          <w:szCs w:val="40"/>
        </w:rPr>
      </w:pPr>
    </w:p>
    <w:p w14:paraId="06CAE6B6" w14:textId="77777777" w:rsidR="00024249" w:rsidRPr="00024249" w:rsidRDefault="00630256" w:rsidP="00024249">
      <w:pPr>
        <w:spacing w:line="240" w:lineRule="auto"/>
        <w:jc w:val="center"/>
        <w:rPr>
          <w:b/>
          <w:bCs/>
          <w:sz w:val="44"/>
          <w:szCs w:val="40"/>
        </w:rPr>
      </w:pPr>
      <w:r w:rsidRPr="00024249">
        <w:rPr>
          <w:b/>
          <w:bCs/>
          <w:sz w:val="44"/>
          <w:szCs w:val="40"/>
        </w:rPr>
        <w:t xml:space="preserve">Financial Analysis </w:t>
      </w:r>
    </w:p>
    <w:p w14:paraId="1654AFDD" w14:textId="257B5079" w:rsidR="00E0171A" w:rsidRPr="00024249" w:rsidRDefault="00630256" w:rsidP="00024249">
      <w:pPr>
        <w:spacing w:line="240" w:lineRule="auto"/>
        <w:jc w:val="center"/>
        <w:rPr>
          <w:b/>
          <w:bCs/>
          <w:sz w:val="44"/>
          <w:szCs w:val="40"/>
        </w:rPr>
      </w:pPr>
      <w:r w:rsidRPr="00024249">
        <w:rPr>
          <w:b/>
          <w:bCs/>
          <w:sz w:val="44"/>
          <w:szCs w:val="40"/>
        </w:rPr>
        <w:t>on</w:t>
      </w:r>
    </w:p>
    <w:p w14:paraId="307C2444" w14:textId="1D461AB5" w:rsidR="000B6E00" w:rsidRDefault="00F63FA2" w:rsidP="00024249">
      <w:pPr>
        <w:spacing w:line="240" w:lineRule="auto"/>
        <w:jc w:val="center"/>
        <w:rPr>
          <w:b/>
          <w:bCs/>
          <w:i/>
          <w:iCs/>
          <w:sz w:val="32"/>
          <w:szCs w:val="28"/>
        </w:rPr>
      </w:pPr>
      <w:r w:rsidRPr="00024249">
        <w:rPr>
          <w:b/>
          <w:bCs/>
          <w:i/>
          <w:iCs/>
          <w:sz w:val="32"/>
          <w:szCs w:val="28"/>
        </w:rPr>
        <w:t>“Financial Performance Analysis of Unilever: A Ratio Analysis of the 2022 and 2023 Financial</w:t>
      </w:r>
    </w:p>
    <w:p w14:paraId="3D72F740" w14:textId="23D6ADD2" w:rsidR="00C820B2" w:rsidRDefault="00C820B2" w:rsidP="00024249">
      <w:pPr>
        <w:spacing w:line="240" w:lineRule="auto"/>
        <w:jc w:val="center"/>
        <w:rPr>
          <w:b/>
          <w:bCs/>
          <w:i/>
          <w:iCs/>
          <w:sz w:val="32"/>
          <w:szCs w:val="28"/>
        </w:rPr>
      </w:pPr>
      <w:r>
        <w:rPr>
          <w:b/>
          <w:bCs/>
          <w:i/>
          <w:iCs/>
          <w:sz w:val="32"/>
          <w:szCs w:val="28"/>
        </w:rPr>
        <w:t xml:space="preserve">Student </w:t>
      </w:r>
      <w:proofErr w:type="spellStart"/>
      <w:proofErr w:type="gramStart"/>
      <w:r>
        <w:rPr>
          <w:b/>
          <w:bCs/>
          <w:i/>
          <w:iCs/>
          <w:sz w:val="32"/>
          <w:szCs w:val="28"/>
        </w:rPr>
        <w:t>Name:Andreea</w:t>
      </w:r>
      <w:proofErr w:type="spellEnd"/>
      <w:proofErr w:type="gramEnd"/>
      <w:r>
        <w:rPr>
          <w:b/>
          <w:bCs/>
          <w:i/>
          <w:iCs/>
          <w:sz w:val="32"/>
          <w:szCs w:val="28"/>
        </w:rPr>
        <w:t xml:space="preserve"> </w:t>
      </w:r>
      <w:proofErr w:type="spellStart"/>
      <w:r>
        <w:rPr>
          <w:b/>
          <w:bCs/>
          <w:i/>
          <w:iCs/>
          <w:sz w:val="32"/>
          <w:szCs w:val="28"/>
        </w:rPr>
        <w:t>Patrasc</w:t>
      </w:r>
      <w:proofErr w:type="spellEnd"/>
    </w:p>
    <w:p w14:paraId="0FBE7399" w14:textId="2050A1D1" w:rsidR="00C820B2" w:rsidRPr="00024249" w:rsidRDefault="00C820B2" w:rsidP="00024249">
      <w:pPr>
        <w:spacing w:line="240" w:lineRule="auto"/>
        <w:jc w:val="center"/>
        <w:rPr>
          <w:b/>
          <w:bCs/>
          <w:i/>
          <w:iCs/>
          <w:sz w:val="32"/>
          <w:szCs w:val="28"/>
        </w:rPr>
      </w:pPr>
      <w:r>
        <w:rPr>
          <w:b/>
          <w:bCs/>
          <w:i/>
          <w:iCs/>
          <w:sz w:val="32"/>
          <w:szCs w:val="28"/>
        </w:rPr>
        <w:t>Student id:251612</w:t>
      </w:r>
    </w:p>
    <w:p w14:paraId="6E795529" w14:textId="77777777" w:rsidR="000B6E00" w:rsidRPr="00024249" w:rsidRDefault="000B6E00" w:rsidP="00024249">
      <w:pPr>
        <w:jc w:val="center"/>
        <w:rPr>
          <w:sz w:val="20"/>
        </w:rPr>
      </w:pPr>
      <w:r w:rsidRPr="00024249">
        <w:rPr>
          <w:sz w:val="20"/>
        </w:rPr>
        <w:br w:type="page"/>
      </w:r>
    </w:p>
    <w:p w14:paraId="7A651F29" w14:textId="7CB63EF9" w:rsidR="00E0171A" w:rsidRPr="00024249" w:rsidRDefault="00630256">
      <w:pPr>
        <w:rPr>
          <w:b/>
          <w:szCs w:val="24"/>
          <w:u w:val="single"/>
        </w:rPr>
      </w:pPr>
      <w:r w:rsidRPr="00024249">
        <w:rPr>
          <w:noProof/>
          <w:sz w:val="20"/>
        </w:rPr>
        <w:lastRenderedPageBreak/>
        <w:drawing>
          <wp:inline distT="0" distB="0" distL="0" distR="0" wp14:anchorId="769AD8FB" wp14:editId="77DB5C88">
            <wp:extent cx="5943600" cy="4074795"/>
            <wp:effectExtent l="0" t="0" r="0" b="1905"/>
            <wp:docPr id="1152526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26216" name=""/>
                    <pic:cNvPicPr/>
                  </pic:nvPicPr>
                  <pic:blipFill>
                    <a:blip r:embed="rId6"/>
                    <a:stretch>
                      <a:fillRect/>
                    </a:stretch>
                  </pic:blipFill>
                  <pic:spPr>
                    <a:xfrm>
                      <a:off x="0" y="0"/>
                      <a:ext cx="5943600" cy="4074795"/>
                    </a:xfrm>
                    <a:prstGeom prst="rect">
                      <a:avLst/>
                    </a:prstGeom>
                  </pic:spPr>
                </pic:pic>
              </a:graphicData>
            </a:graphic>
          </wp:inline>
        </w:drawing>
      </w:r>
      <w:r w:rsidR="00E0171A" w:rsidRPr="00024249">
        <w:rPr>
          <w:sz w:val="20"/>
        </w:rPr>
        <w:br w:type="page"/>
      </w:r>
    </w:p>
    <w:p w14:paraId="213D9925" w14:textId="77777777" w:rsidR="00E051BD" w:rsidRDefault="00E051BD" w:rsidP="00E051BD">
      <w:pPr>
        <w:pStyle w:val="Heading1"/>
      </w:pPr>
      <w:bookmarkStart w:id="0" w:name="_Toc225111788"/>
      <w:bookmarkStart w:id="1" w:name="_Toc225065876"/>
      <w:r>
        <w:lastRenderedPageBreak/>
        <w:t>Table of Contents</w:t>
      </w:r>
      <w:bookmarkEnd w:id="0"/>
    </w:p>
    <w:p w14:paraId="4ED52FFE" w14:textId="53418011" w:rsidR="00E051BD" w:rsidRDefault="0099237C" w:rsidP="00E051BD">
      <w:pPr>
        <w:spacing w:before="60" w:after="60" w:line="240" w:lineRule="auto"/>
      </w:pPr>
      <w:r w:rsidRPr="0099237C">
        <w:rPr>
          <w:noProof/>
          <w:color w:val="000000" w:themeColor="text1"/>
          <w:sz w:val="20"/>
          <w:szCs w:val="16"/>
        </w:rPr>
        <w:drawing>
          <wp:inline distT="0" distB="0" distL="0" distR="0" wp14:anchorId="12DAF5AE" wp14:editId="65B229CE">
            <wp:extent cx="5943600" cy="5396230"/>
            <wp:effectExtent l="0" t="0" r="0" b="0"/>
            <wp:docPr id="1042321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321761" name=""/>
                    <pic:cNvPicPr/>
                  </pic:nvPicPr>
                  <pic:blipFill>
                    <a:blip r:embed="rId7"/>
                    <a:stretch>
                      <a:fillRect/>
                    </a:stretch>
                  </pic:blipFill>
                  <pic:spPr>
                    <a:xfrm>
                      <a:off x="0" y="0"/>
                      <a:ext cx="5943600" cy="5396230"/>
                    </a:xfrm>
                    <a:prstGeom prst="rect">
                      <a:avLst/>
                    </a:prstGeom>
                  </pic:spPr>
                </pic:pic>
              </a:graphicData>
            </a:graphic>
          </wp:inline>
        </w:drawing>
      </w:r>
      <w:r w:rsidR="00E051BD">
        <w:br w:type="page"/>
      </w:r>
    </w:p>
    <w:p w14:paraId="236CBB8A" w14:textId="735995D0" w:rsidR="002F7BB0" w:rsidRPr="00AA1D40" w:rsidRDefault="002F7BB0" w:rsidP="00AA1D40">
      <w:pPr>
        <w:pStyle w:val="Heading1"/>
      </w:pPr>
      <w:bookmarkStart w:id="2" w:name="_Toc225111789"/>
      <w:r w:rsidRPr="00024249">
        <w:rPr>
          <w:rFonts w:eastAsiaTheme="minorHAnsi"/>
        </w:rPr>
        <w:lastRenderedPageBreak/>
        <w:t>1. Introduction</w:t>
      </w:r>
      <w:bookmarkEnd w:id="1"/>
      <w:bookmarkEnd w:id="2"/>
    </w:p>
    <w:p w14:paraId="439C60B6" w14:textId="77777777" w:rsidR="00E31BE5" w:rsidRPr="00024249" w:rsidRDefault="00E31BE5" w:rsidP="00AA1D40">
      <w:r w:rsidRPr="00024249">
        <w:t>Financial analysis is a significant tool for businesses, investors and other stakeholders. It helps it in the determination of the performance, stability and future of a company. Financial statement and critical metrics analysis assists the decision-makers to make quality decisions concerning investments, operations, and strategy (</w:t>
      </w:r>
      <w:proofErr w:type="spellStart"/>
      <w:r w:rsidRPr="00024249">
        <w:t>Jeyaprabha</w:t>
      </w:r>
      <w:proofErr w:type="spellEnd"/>
      <w:r w:rsidRPr="00024249">
        <w:t xml:space="preserve"> et al., 2025). This report is about Unilever, a multinational consumer goods corporation, which operates in over 190 countries. Unilever produces a variety of food, hygiene and personal care items. The aim of this report is to assess the financial health of the corporation Unilever in two years, 2022-2023. The report also assesses profitability, liquidity, efficiency, and financial stability through ratio analysis and provides suggestions on how to enhance the same.</w:t>
      </w:r>
    </w:p>
    <w:p w14:paraId="6136FDEE" w14:textId="77777777" w:rsidR="00E31BE5" w:rsidRPr="00AA1D40" w:rsidRDefault="00E31BE5" w:rsidP="00AA1D40">
      <w:pPr>
        <w:pStyle w:val="Heading1"/>
      </w:pPr>
      <w:bookmarkStart w:id="3" w:name="_Toc225065877"/>
      <w:bookmarkStart w:id="4" w:name="_Toc225111790"/>
      <w:r w:rsidRPr="00024249">
        <w:t>2. Overview of Financial Performance</w:t>
      </w:r>
      <w:bookmarkEnd w:id="3"/>
      <w:bookmarkEnd w:id="4"/>
    </w:p>
    <w:p w14:paraId="7D087D96" w14:textId="7FCADBD7" w:rsidR="002F7BB0" w:rsidRPr="00024249" w:rsidRDefault="00E31BE5" w:rsidP="00AA1D40">
      <w:r w:rsidRPr="00024249">
        <w:t>Financial statements are the main instruments to obtain a conception of the financial position of a firm. The income statement, balance sheet and the cash flow statement are them. These books reveal the volume of income earned by a business, its expenses, assets, debts, and cash flow. An income statement provides data on revenue, gross profit, operating profit, and net profit. This means that the firm is able to generate profit on operations (Toker, 2025). The balance sheet reflects the assets of the company (both liabilities and assets) and the company liability (liabilities and equity). A cash flow statement entails the outward and inward flow of cash. The annual reports of 2022 and 2023 of Unilever are shown in the following. These figures determine ratios and performance analysis.</w:t>
      </w:r>
    </w:p>
    <w:p w14:paraId="3FFC61EF" w14:textId="77777777" w:rsidR="00CB29A0" w:rsidRPr="00024249" w:rsidRDefault="00CB29A0">
      <w:pPr>
        <w:rPr>
          <w:b/>
          <w:bCs/>
          <w:sz w:val="20"/>
        </w:rPr>
      </w:pPr>
      <w:r w:rsidRPr="00024249">
        <w:rPr>
          <w:b/>
          <w:bCs/>
          <w:sz w:val="20"/>
        </w:rPr>
        <w:br w:type="page"/>
      </w:r>
    </w:p>
    <w:p w14:paraId="14203EE4" w14:textId="5F359077" w:rsidR="00CB29A0" w:rsidRDefault="00AA1D40" w:rsidP="00E31BE5">
      <w:pPr>
        <w:jc w:val="center"/>
        <w:rPr>
          <w:sz w:val="20"/>
        </w:rPr>
      </w:pPr>
      <w:r>
        <w:rPr>
          <w:noProof/>
          <w:sz w:val="20"/>
        </w:rPr>
        <w:lastRenderedPageBreak/>
        <w:drawing>
          <wp:inline distT="0" distB="0" distL="0" distR="0" wp14:anchorId="448A9B9C" wp14:editId="21413FB4">
            <wp:extent cx="3505200" cy="1950720"/>
            <wp:effectExtent l="0" t="0" r="0" b="0"/>
            <wp:docPr id="8548607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200" cy="1950720"/>
                    </a:xfrm>
                    <a:prstGeom prst="rect">
                      <a:avLst/>
                    </a:prstGeom>
                    <a:noFill/>
                  </pic:spPr>
                </pic:pic>
              </a:graphicData>
            </a:graphic>
          </wp:inline>
        </w:drawing>
      </w:r>
    </w:p>
    <w:p w14:paraId="41AF44C8" w14:textId="77777777" w:rsidR="00AA1D40" w:rsidRPr="00024249" w:rsidRDefault="00AA1D40" w:rsidP="00AA1D40">
      <w:pPr>
        <w:jc w:val="center"/>
        <w:rPr>
          <w:sz w:val="20"/>
        </w:rPr>
      </w:pPr>
      <w:r w:rsidRPr="00024249">
        <w:rPr>
          <w:b/>
          <w:bCs/>
          <w:sz w:val="20"/>
        </w:rPr>
        <w:t>Table 1: Key Financial Data of Unilever</w:t>
      </w:r>
    </w:p>
    <w:p w14:paraId="464B6E1F" w14:textId="77777777" w:rsidR="00A543B2" w:rsidRPr="00024249" w:rsidRDefault="00A543B2" w:rsidP="00460415">
      <w:r w:rsidRPr="00024249">
        <w:t>According to the table, it is clear that the revenue decreases slightly in 2023 compared to 2022. Gross profit and net profit were decreased. Lower assets and liabilities, which reflected a more conservative opinion on the balance sheet. Both current assets and liabilities fell, which shows that the management had utilised short-term resources.</w:t>
      </w:r>
    </w:p>
    <w:p w14:paraId="56CC7C11" w14:textId="77777777" w:rsidR="00A543B2" w:rsidRPr="00460415" w:rsidRDefault="00A543B2" w:rsidP="00460415">
      <w:pPr>
        <w:pStyle w:val="Heading1"/>
      </w:pPr>
      <w:bookmarkStart w:id="5" w:name="_Toc225065878"/>
      <w:bookmarkStart w:id="6" w:name="_Toc225111791"/>
      <w:r w:rsidRPr="00024249">
        <w:t>3. Ratio Analysis</w:t>
      </w:r>
      <w:bookmarkEnd w:id="5"/>
      <w:bookmarkEnd w:id="6"/>
    </w:p>
    <w:p w14:paraId="7DC08C16" w14:textId="77777777" w:rsidR="00A543B2" w:rsidRPr="00024249" w:rsidRDefault="00A543B2" w:rsidP="00460415">
      <w:r w:rsidRPr="00024249">
        <w:t>Ratio analysis helps in the simplification of complex financial statements. It allows the stakeholders to understand the performance, liquidity, efficiency, and financial risk. The ratios are then compared with the years to establish the trends and potential issues.</w:t>
      </w:r>
    </w:p>
    <w:p w14:paraId="5ECB281E" w14:textId="77777777" w:rsidR="00A543B2" w:rsidRPr="00460415" w:rsidRDefault="00A543B2" w:rsidP="00460415">
      <w:pPr>
        <w:pStyle w:val="Heading2"/>
      </w:pPr>
      <w:bookmarkStart w:id="7" w:name="_Toc225065879"/>
      <w:bookmarkStart w:id="8" w:name="_Toc225111792"/>
      <w:r w:rsidRPr="00024249">
        <w:t>3.1 Profitability Ratios</w:t>
      </w:r>
      <w:bookmarkEnd w:id="7"/>
      <w:bookmarkEnd w:id="8"/>
    </w:p>
    <w:p w14:paraId="32CEF81E" w14:textId="77777777" w:rsidR="00A543B2" w:rsidRPr="00024249" w:rsidRDefault="00A543B2" w:rsidP="00460415">
      <w:r w:rsidRPr="00024249">
        <w:t>The profitability ratios establish how well the firm is generating profit in relation to the sales, assets, or capital.</w:t>
      </w:r>
    </w:p>
    <w:p w14:paraId="49115BFB" w14:textId="28E940B5" w:rsidR="00A543B2" w:rsidRPr="00024249" w:rsidRDefault="00557981" w:rsidP="00460415">
      <w:pPr>
        <w:pStyle w:val="Heading3"/>
      </w:pPr>
      <w:bookmarkStart w:id="9" w:name="_Toc225111793"/>
      <w:r w:rsidRPr="00024249">
        <w:t xml:space="preserve">a) </w:t>
      </w:r>
      <w:r w:rsidR="00A543B2" w:rsidRPr="00024249">
        <w:t>Gross Profit Margin</w:t>
      </w:r>
      <w:bookmarkEnd w:id="9"/>
    </w:p>
    <w:p w14:paraId="17643985" w14:textId="29FEDDB5" w:rsidR="00557981" w:rsidRPr="00460415" w:rsidRDefault="00557981" w:rsidP="00460415">
      <w:pPr>
        <w:spacing w:line="240" w:lineRule="auto"/>
        <w:jc w:val="center"/>
        <w:rPr>
          <w:b/>
          <w:bCs/>
          <w:szCs w:val="20"/>
        </w:rPr>
      </w:pPr>
      <w:r w:rsidRPr="00460415">
        <w:rPr>
          <w:b/>
          <w:bCs/>
          <w:szCs w:val="20"/>
        </w:rPr>
        <w:t xml:space="preserve">= </w:t>
      </w:r>
      <w:r w:rsidR="00460415" w:rsidRPr="00460415">
        <w:rPr>
          <w:b/>
          <w:bCs/>
          <w:szCs w:val="20"/>
        </w:rPr>
        <w:t>(</w:t>
      </w:r>
      <w:r w:rsidRPr="00460415">
        <w:rPr>
          <w:b/>
          <w:bCs/>
          <w:szCs w:val="20"/>
        </w:rPr>
        <w:t>Gross Profit ÷ Revenue</w:t>
      </w:r>
      <w:r w:rsidR="00460415" w:rsidRPr="00460415">
        <w:rPr>
          <w:b/>
          <w:bCs/>
          <w:szCs w:val="20"/>
        </w:rPr>
        <w:t>) * 100</w:t>
      </w:r>
    </w:p>
    <w:tbl>
      <w:tblPr>
        <w:tblW w:w="905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1897"/>
        <w:gridCol w:w="2062"/>
      </w:tblGrid>
      <w:tr w:rsidR="00557981" w:rsidRPr="00460415" w14:paraId="6746C03B" w14:textId="77777777" w:rsidTr="00460415">
        <w:trPr>
          <w:trHeight w:val="70"/>
          <w:jc w:val="center"/>
        </w:trPr>
        <w:tc>
          <w:tcPr>
            <w:tcW w:w="5098" w:type="dxa"/>
            <w:noWrap/>
            <w:vAlign w:val="bottom"/>
            <w:hideMark/>
          </w:tcPr>
          <w:p w14:paraId="0F209388" w14:textId="77777777" w:rsidR="00557981" w:rsidRPr="00460415" w:rsidRDefault="00557981" w:rsidP="00460415">
            <w:pPr>
              <w:spacing w:after="120" w:line="240" w:lineRule="auto"/>
              <w:jc w:val="left"/>
              <w:rPr>
                <w:rFonts w:eastAsia="Times New Roman"/>
                <w:b/>
                <w:bCs/>
                <w:color w:val="000000"/>
                <w:kern w:val="0"/>
                <w:szCs w:val="22"/>
                <w:lang w:val="en-US" w:bidi="bn-BD"/>
                <w14:ligatures w14:val="none"/>
              </w:rPr>
            </w:pPr>
            <w:r w:rsidRPr="00460415">
              <w:rPr>
                <w:rFonts w:eastAsia="Times New Roman"/>
                <w:b/>
                <w:bCs/>
                <w:color w:val="000000"/>
                <w:kern w:val="0"/>
                <w:szCs w:val="22"/>
                <w:lang w:val="en-US" w:bidi="bn-BD"/>
                <w14:ligatures w14:val="none"/>
              </w:rPr>
              <w:t>Gross Profit Margin</w:t>
            </w:r>
          </w:p>
        </w:tc>
        <w:tc>
          <w:tcPr>
            <w:tcW w:w="1897" w:type="dxa"/>
            <w:noWrap/>
            <w:vAlign w:val="bottom"/>
            <w:hideMark/>
          </w:tcPr>
          <w:p w14:paraId="6FC88638" w14:textId="0598FFAA" w:rsidR="00557981" w:rsidRPr="00460415" w:rsidRDefault="00557981" w:rsidP="00460415">
            <w:pPr>
              <w:spacing w:after="120" w:line="240" w:lineRule="auto"/>
              <w:jc w:val="right"/>
              <w:rPr>
                <w:rFonts w:eastAsia="Times New Roman"/>
                <w:b/>
                <w:bCs/>
                <w:color w:val="000000"/>
                <w:kern w:val="0"/>
                <w:szCs w:val="22"/>
                <w:lang w:val="en-US" w:bidi="bn-BD"/>
                <w14:ligatures w14:val="none"/>
              </w:rPr>
            </w:pPr>
            <w:r w:rsidRPr="00460415">
              <w:rPr>
                <w:rFonts w:eastAsia="Times New Roman"/>
                <w:b/>
                <w:bCs/>
                <w:color w:val="000000"/>
                <w:kern w:val="0"/>
                <w:szCs w:val="22"/>
                <w:lang w:val="en-US" w:bidi="bn-BD"/>
                <w14:ligatures w14:val="none"/>
              </w:rPr>
              <w:t>42.11%</w:t>
            </w:r>
            <w:r w:rsidR="00460415" w:rsidRPr="00460415">
              <w:rPr>
                <w:rFonts w:eastAsia="Times New Roman"/>
                <w:b/>
                <w:bCs/>
                <w:color w:val="000000"/>
                <w:kern w:val="0"/>
                <w:szCs w:val="22"/>
                <w:lang w:val="en-US" w:bidi="bn-BD"/>
                <w14:ligatures w14:val="none"/>
              </w:rPr>
              <w:t xml:space="preserve"> (2022)</w:t>
            </w:r>
          </w:p>
        </w:tc>
        <w:tc>
          <w:tcPr>
            <w:tcW w:w="2062" w:type="dxa"/>
            <w:noWrap/>
            <w:vAlign w:val="bottom"/>
            <w:hideMark/>
          </w:tcPr>
          <w:p w14:paraId="7AD20CEC" w14:textId="43EFBF33" w:rsidR="00557981" w:rsidRPr="00460415" w:rsidRDefault="00557981" w:rsidP="00460415">
            <w:pPr>
              <w:spacing w:after="120" w:line="240" w:lineRule="auto"/>
              <w:jc w:val="right"/>
              <w:rPr>
                <w:rFonts w:eastAsia="Times New Roman"/>
                <w:b/>
                <w:bCs/>
                <w:color w:val="000000"/>
                <w:kern w:val="0"/>
                <w:szCs w:val="22"/>
                <w:lang w:val="en-US" w:bidi="bn-BD"/>
                <w14:ligatures w14:val="none"/>
              </w:rPr>
            </w:pPr>
            <w:r w:rsidRPr="00460415">
              <w:rPr>
                <w:rFonts w:eastAsia="Times New Roman"/>
                <w:b/>
                <w:bCs/>
                <w:color w:val="000000"/>
                <w:kern w:val="0"/>
                <w:szCs w:val="22"/>
                <w:lang w:val="en-US" w:bidi="bn-BD"/>
                <w14:ligatures w14:val="none"/>
              </w:rPr>
              <w:t>41.82%</w:t>
            </w:r>
            <w:r w:rsidR="00460415" w:rsidRPr="00460415">
              <w:rPr>
                <w:rFonts w:eastAsia="Times New Roman"/>
                <w:b/>
                <w:bCs/>
                <w:color w:val="000000"/>
                <w:kern w:val="0"/>
                <w:szCs w:val="22"/>
                <w:lang w:val="en-US" w:bidi="bn-BD"/>
                <w14:ligatures w14:val="none"/>
              </w:rPr>
              <w:t xml:space="preserve"> (2023)</w:t>
            </w:r>
          </w:p>
        </w:tc>
      </w:tr>
    </w:tbl>
    <w:p w14:paraId="19CC4F21" w14:textId="77777777" w:rsidR="00A543B2" w:rsidRPr="00024249" w:rsidRDefault="00A543B2" w:rsidP="00460415">
      <w:r w:rsidRPr="00024249">
        <w:t>The gross profit margin measures the profit that a company makes after the cost of goods sold is deduced from the sales made by the firm. The slight decline in 2023 indicates that the cost of production is rising faster than the sales revenue. The increasing input costs such as raw materials and energy affected profitability. Unilever raised prices, but it failed to fully offset the higher costs (Jota et al., 2025).</w:t>
      </w:r>
    </w:p>
    <w:p w14:paraId="4E045AC9" w14:textId="1702E841" w:rsidR="00A543B2" w:rsidRPr="00024249" w:rsidRDefault="00A543B2" w:rsidP="00460415">
      <w:pPr>
        <w:pStyle w:val="Heading3"/>
      </w:pPr>
      <w:bookmarkStart w:id="10" w:name="_Toc225111794"/>
      <w:r w:rsidRPr="00024249">
        <w:lastRenderedPageBreak/>
        <w:t>b) Net Profit Margin</w:t>
      </w:r>
      <w:bookmarkEnd w:id="10"/>
    </w:p>
    <w:p w14:paraId="6594C54D" w14:textId="30411BD3" w:rsidR="00557981" w:rsidRPr="00460415" w:rsidRDefault="00557981" w:rsidP="00460415">
      <w:pPr>
        <w:spacing w:line="240" w:lineRule="auto"/>
        <w:jc w:val="center"/>
        <w:rPr>
          <w:b/>
          <w:bCs/>
          <w:szCs w:val="20"/>
        </w:rPr>
      </w:pPr>
      <w:r w:rsidRPr="00460415">
        <w:rPr>
          <w:b/>
          <w:bCs/>
          <w:szCs w:val="20"/>
        </w:rPr>
        <w:t xml:space="preserve">= </w:t>
      </w:r>
      <w:r w:rsidR="00460415">
        <w:rPr>
          <w:b/>
          <w:bCs/>
          <w:szCs w:val="20"/>
        </w:rPr>
        <w:t>(</w:t>
      </w:r>
      <w:r w:rsidRPr="00460415">
        <w:rPr>
          <w:b/>
          <w:bCs/>
          <w:szCs w:val="20"/>
        </w:rPr>
        <w:t>Net Profit ÷ Revenue</w:t>
      </w:r>
      <w:r w:rsidR="00460415">
        <w:rPr>
          <w:b/>
          <w:bCs/>
          <w:szCs w:val="20"/>
        </w:rPr>
        <w:t>) * 100</w:t>
      </w:r>
    </w:p>
    <w:tbl>
      <w:tblPr>
        <w:tblW w:w="93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20"/>
        <w:gridCol w:w="2418"/>
        <w:gridCol w:w="2134"/>
      </w:tblGrid>
      <w:tr w:rsidR="00557981" w:rsidRPr="00644C52" w14:paraId="16E2D229" w14:textId="77777777" w:rsidTr="00644C52">
        <w:trPr>
          <w:trHeight w:val="324"/>
        </w:trPr>
        <w:tc>
          <w:tcPr>
            <w:tcW w:w="4820" w:type="dxa"/>
            <w:noWrap/>
            <w:vAlign w:val="bottom"/>
            <w:hideMark/>
          </w:tcPr>
          <w:p w14:paraId="61DDA415" w14:textId="77777777" w:rsidR="00557981" w:rsidRPr="00644C52" w:rsidRDefault="00557981" w:rsidP="00644C52">
            <w:pPr>
              <w:spacing w:after="120" w:line="240" w:lineRule="auto"/>
              <w:jc w:val="left"/>
              <w:rPr>
                <w:rFonts w:eastAsia="Times New Roman"/>
                <w:b/>
                <w:bCs/>
                <w:color w:val="000000"/>
                <w:kern w:val="0"/>
                <w:szCs w:val="22"/>
                <w:lang w:val="en-US" w:bidi="bn-BD"/>
                <w14:ligatures w14:val="none"/>
              </w:rPr>
            </w:pPr>
            <w:r w:rsidRPr="00644C52">
              <w:rPr>
                <w:rFonts w:eastAsia="Times New Roman"/>
                <w:b/>
                <w:bCs/>
                <w:color w:val="000000"/>
                <w:kern w:val="0"/>
                <w:szCs w:val="22"/>
                <w:lang w:val="en-US" w:bidi="bn-BD"/>
                <w14:ligatures w14:val="none"/>
              </w:rPr>
              <w:t>Net Profit Margin</w:t>
            </w:r>
          </w:p>
        </w:tc>
        <w:tc>
          <w:tcPr>
            <w:tcW w:w="2418" w:type="dxa"/>
            <w:noWrap/>
            <w:vAlign w:val="bottom"/>
            <w:hideMark/>
          </w:tcPr>
          <w:p w14:paraId="0EEC962B" w14:textId="2307071C" w:rsidR="00557981" w:rsidRPr="00644C52" w:rsidRDefault="00557981" w:rsidP="00644C52">
            <w:pPr>
              <w:spacing w:after="120" w:line="240" w:lineRule="auto"/>
              <w:jc w:val="left"/>
              <w:rPr>
                <w:rFonts w:eastAsia="Times New Roman"/>
                <w:b/>
                <w:bCs/>
                <w:color w:val="000000"/>
                <w:kern w:val="0"/>
                <w:szCs w:val="22"/>
                <w:lang w:val="en-US" w:bidi="bn-BD"/>
                <w14:ligatures w14:val="none"/>
              </w:rPr>
            </w:pPr>
            <w:r w:rsidRPr="00644C52">
              <w:rPr>
                <w:rFonts w:eastAsia="Times New Roman"/>
                <w:b/>
                <w:bCs/>
                <w:color w:val="000000"/>
                <w:kern w:val="0"/>
                <w:szCs w:val="22"/>
                <w:lang w:val="en-US" w:bidi="bn-BD"/>
                <w14:ligatures w14:val="none"/>
              </w:rPr>
              <w:t>12.71%</w:t>
            </w:r>
            <w:r w:rsidR="00644C52">
              <w:rPr>
                <w:rFonts w:eastAsia="Times New Roman"/>
                <w:b/>
                <w:bCs/>
                <w:color w:val="000000"/>
                <w:kern w:val="0"/>
                <w:szCs w:val="22"/>
                <w:lang w:val="en-US" w:bidi="bn-BD"/>
                <w14:ligatures w14:val="none"/>
              </w:rPr>
              <w:t xml:space="preserve"> (2022)</w:t>
            </w:r>
          </w:p>
        </w:tc>
        <w:tc>
          <w:tcPr>
            <w:tcW w:w="2134" w:type="dxa"/>
            <w:noWrap/>
            <w:vAlign w:val="bottom"/>
            <w:hideMark/>
          </w:tcPr>
          <w:p w14:paraId="2549AF9D" w14:textId="1E4EE8AA" w:rsidR="00557981" w:rsidRPr="00644C52" w:rsidRDefault="00557981" w:rsidP="00644C52">
            <w:pPr>
              <w:spacing w:after="120" w:line="240" w:lineRule="auto"/>
              <w:jc w:val="left"/>
              <w:rPr>
                <w:rFonts w:eastAsia="Times New Roman"/>
                <w:b/>
                <w:bCs/>
                <w:color w:val="000000"/>
                <w:kern w:val="0"/>
                <w:szCs w:val="22"/>
                <w:lang w:val="en-US" w:bidi="bn-BD"/>
                <w14:ligatures w14:val="none"/>
              </w:rPr>
            </w:pPr>
            <w:r w:rsidRPr="00644C52">
              <w:rPr>
                <w:rFonts w:eastAsia="Times New Roman"/>
                <w:b/>
                <w:bCs/>
                <w:color w:val="000000"/>
                <w:kern w:val="0"/>
                <w:szCs w:val="22"/>
                <w:lang w:val="en-US" w:bidi="bn-BD"/>
                <w14:ligatures w14:val="none"/>
              </w:rPr>
              <w:t>11.89%</w:t>
            </w:r>
            <w:r w:rsidR="00644C52">
              <w:rPr>
                <w:rFonts w:eastAsia="Times New Roman"/>
                <w:b/>
                <w:bCs/>
                <w:color w:val="000000"/>
                <w:kern w:val="0"/>
                <w:szCs w:val="22"/>
                <w:lang w:val="en-US" w:bidi="bn-BD"/>
                <w14:ligatures w14:val="none"/>
              </w:rPr>
              <w:t xml:space="preserve"> (2023)</w:t>
            </w:r>
          </w:p>
        </w:tc>
      </w:tr>
    </w:tbl>
    <w:p w14:paraId="25B2A436" w14:textId="77777777" w:rsidR="00A543B2" w:rsidRPr="00024249" w:rsidRDefault="00A543B2" w:rsidP="009C4BD2">
      <w:r w:rsidRPr="00024249">
        <w:t>Net profit margin is a measure of the percentage of revenue which is not allocated to expenses. The decrease shows high operating costs and financial burdens. This means reduced efficiency in the revenue-to-profit realisation process. A fall in the net margin could be a pointer to price pressure or bad pricing policies.</w:t>
      </w:r>
    </w:p>
    <w:p w14:paraId="51527D5D" w14:textId="30161D6C" w:rsidR="00A543B2" w:rsidRPr="009C4BD2" w:rsidRDefault="00A543B2" w:rsidP="009C4BD2">
      <w:pPr>
        <w:pStyle w:val="Heading3"/>
      </w:pPr>
      <w:bookmarkStart w:id="11" w:name="_Toc225111795"/>
      <w:r w:rsidRPr="00024249">
        <w:t>c) Return on Capital Employed (ROCE)</w:t>
      </w:r>
      <w:bookmarkEnd w:id="11"/>
    </w:p>
    <w:p w14:paraId="5B737DC4" w14:textId="09555125" w:rsidR="00557981" w:rsidRPr="009C4BD2" w:rsidRDefault="00557981" w:rsidP="009C4BD2">
      <w:pPr>
        <w:spacing w:line="240" w:lineRule="auto"/>
        <w:jc w:val="center"/>
        <w:rPr>
          <w:b/>
          <w:bCs/>
          <w:szCs w:val="20"/>
        </w:rPr>
      </w:pPr>
      <w:r w:rsidRPr="009C4BD2">
        <w:rPr>
          <w:b/>
          <w:bCs/>
          <w:szCs w:val="20"/>
        </w:rPr>
        <w:t xml:space="preserve">= </w:t>
      </w:r>
      <w:r w:rsidR="009C4BD2">
        <w:rPr>
          <w:b/>
          <w:bCs/>
          <w:szCs w:val="20"/>
        </w:rPr>
        <w:t>{</w:t>
      </w:r>
      <w:r w:rsidRPr="009C4BD2">
        <w:rPr>
          <w:b/>
          <w:bCs/>
          <w:szCs w:val="20"/>
        </w:rPr>
        <w:t>Operating Profit ÷ (Total Assets − Current Liabilities)</w:t>
      </w:r>
      <w:r w:rsidR="009C4BD2">
        <w:rPr>
          <w:b/>
          <w:bCs/>
          <w:szCs w:val="20"/>
        </w:rPr>
        <w:t>} * 100</w:t>
      </w:r>
    </w:p>
    <w:tbl>
      <w:tblPr>
        <w:tblW w:w="83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8"/>
        <w:gridCol w:w="2205"/>
        <w:gridCol w:w="1902"/>
      </w:tblGrid>
      <w:tr w:rsidR="00557981" w:rsidRPr="00E34404" w14:paraId="365CC873" w14:textId="77777777" w:rsidTr="00E34404">
        <w:trPr>
          <w:trHeight w:val="287"/>
          <w:jc w:val="center"/>
        </w:trPr>
        <w:tc>
          <w:tcPr>
            <w:tcW w:w="4248" w:type="dxa"/>
            <w:noWrap/>
            <w:vAlign w:val="bottom"/>
            <w:hideMark/>
          </w:tcPr>
          <w:p w14:paraId="06711904" w14:textId="77777777" w:rsidR="00557981" w:rsidRPr="00E34404" w:rsidRDefault="00557981" w:rsidP="00E34404">
            <w:pPr>
              <w:spacing w:after="120" w:line="240" w:lineRule="auto"/>
              <w:jc w:val="left"/>
              <w:rPr>
                <w:rFonts w:eastAsia="Times New Roman"/>
                <w:b/>
                <w:bCs/>
                <w:color w:val="000000"/>
                <w:kern w:val="0"/>
                <w:szCs w:val="22"/>
                <w:lang w:val="en-US" w:bidi="bn-BD"/>
                <w14:ligatures w14:val="none"/>
              </w:rPr>
            </w:pPr>
            <w:r w:rsidRPr="00E34404">
              <w:rPr>
                <w:rFonts w:eastAsia="Times New Roman"/>
                <w:b/>
                <w:bCs/>
                <w:color w:val="000000"/>
                <w:kern w:val="0"/>
                <w:szCs w:val="22"/>
                <w:lang w:val="en-US" w:bidi="bn-BD"/>
                <w14:ligatures w14:val="none"/>
              </w:rPr>
              <w:t>ROCE</w:t>
            </w:r>
          </w:p>
        </w:tc>
        <w:tc>
          <w:tcPr>
            <w:tcW w:w="2205" w:type="dxa"/>
            <w:noWrap/>
            <w:vAlign w:val="bottom"/>
            <w:hideMark/>
          </w:tcPr>
          <w:p w14:paraId="3BD96D18" w14:textId="06DA4E53" w:rsidR="00557981" w:rsidRPr="00E34404" w:rsidRDefault="00557981" w:rsidP="00E34404">
            <w:pPr>
              <w:spacing w:after="120" w:line="240" w:lineRule="auto"/>
              <w:jc w:val="left"/>
              <w:rPr>
                <w:rFonts w:eastAsia="Times New Roman"/>
                <w:b/>
                <w:bCs/>
                <w:color w:val="000000"/>
                <w:kern w:val="0"/>
                <w:szCs w:val="22"/>
                <w:lang w:val="en-US" w:bidi="bn-BD"/>
                <w14:ligatures w14:val="none"/>
              </w:rPr>
            </w:pPr>
            <w:r w:rsidRPr="00E34404">
              <w:rPr>
                <w:rFonts w:eastAsia="Times New Roman"/>
                <w:b/>
                <w:bCs/>
                <w:color w:val="000000"/>
                <w:kern w:val="0"/>
                <w:szCs w:val="22"/>
                <w:lang w:val="en-US" w:bidi="bn-BD"/>
                <w14:ligatures w14:val="none"/>
              </w:rPr>
              <w:t>21.34%</w:t>
            </w:r>
            <w:r w:rsidR="00E34404">
              <w:rPr>
                <w:rFonts w:eastAsia="Times New Roman"/>
                <w:b/>
                <w:bCs/>
                <w:color w:val="000000"/>
                <w:kern w:val="0"/>
                <w:szCs w:val="22"/>
                <w:lang w:val="en-US" w:bidi="bn-BD"/>
                <w14:ligatures w14:val="none"/>
              </w:rPr>
              <w:t xml:space="preserve"> (2022)</w:t>
            </w:r>
          </w:p>
        </w:tc>
        <w:tc>
          <w:tcPr>
            <w:tcW w:w="1902" w:type="dxa"/>
            <w:noWrap/>
            <w:vAlign w:val="bottom"/>
            <w:hideMark/>
          </w:tcPr>
          <w:p w14:paraId="1F3B05DE" w14:textId="6E5CCF34" w:rsidR="00557981" w:rsidRPr="00E34404" w:rsidRDefault="00557981" w:rsidP="00E34404">
            <w:pPr>
              <w:spacing w:after="120" w:line="240" w:lineRule="auto"/>
              <w:jc w:val="left"/>
              <w:rPr>
                <w:rFonts w:eastAsia="Times New Roman"/>
                <w:b/>
                <w:bCs/>
                <w:color w:val="000000"/>
                <w:kern w:val="0"/>
                <w:szCs w:val="22"/>
                <w:lang w:val="en-US" w:bidi="bn-BD"/>
                <w14:ligatures w14:val="none"/>
              </w:rPr>
            </w:pPr>
            <w:r w:rsidRPr="00E34404">
              <w:rPr>
                <w:rFonts w:eastAsia="Times New Roman"/>
                <w:b/>
                <w:bCs/>
                <w:color w:val="000000"/>
                <w:kern w:val="0"/>
                <w:szCs w:val="22"/>
                <w:lang w:val="en-US" w:bidi="bn-BD"/>
                <w14:ligatures w14:val="none"/>
              </w:rPr>
              <w:t>21.15%</w:t>
            </w:r>
            <w:r w:rsidR="00E34404">
              <w:rPr>
                <w:rFonts w:eastAsia="Times New Roman"/>
                <w:b/>
                <w:bCs/>
                <w:color w:val="000000"/>
                <w:kern w:val="0"/>
                <w:szCs w:val="22"/>
                <w:lang w:val="en-US" w:bidi="bn-BD"/>
                <w14:ligatures w14:val="none"/>
              </w:rPr>
              <w:t xml:space="preserve"> (2023)</w:t>
            </w:r>
          </w:p>
        </w:tc>
      </w:tr>
    </w:tbl>
    <w:p w14:paraId="7C4A68FC" w14:textId="77777777" w:rsidR="00A543B2" w:rsidRPr="00024249" w:rsidRDefault="00A543B2" w:rsidP="00940DAF">
      <w:r w:rsidRPr="00024249">
        <w:t>ROCE is a ratio to assess the efficiency of the company regarding how well it uses the capital in its profit-generating ability. The slight fall means that Unilever did not have the best returns on the same or slightly more investment. This may be as a result of high capital investment or low efficiency.</w:t>
      </w:r>
    </w:p>
    <w:p w14:paraId="4DAA7A5E" w14:textId="77777777" w:rsidR="00A543B2" w:rsidRPr="00024249" w:rsidRDefault="00A543B2" w:rsidP="009A2068">
      <w:pPr>
        <w:pStyle w:val="Heading2"/>
      </w:pPr>
      <w:bookmarkStart w:id="12" w:name="_Toc225065880"/>
      <w:bookmarkStart w:id="13" w:name="_Toc225111796"/>
      <w:r w:rsidRPr="00024249">
        <w:t xml:space="preserve">3.2 Liquidity </w:t>
      </w:r>
      <w:r w:rsidRPr="009A2068">
        <w:t>Ratios</w:t>
      </w:r>
      <w:bookmarkEnd w:id="12"/>
      <w:bookmarkEnd w:id="13"/>
    </w:p>
    <w:p w14:paraId="20253481" w14:textId="77777777" w:rsidR="00A543B2" w:rsidRPr="00024249" w:rsidRDefault="00A543B2" w:rsidP="009A2068">
      <w:r w:rsidRPr="00024249">
        <w:t>Liquidity ratios are applied to test the ability of a firm to meet short term obligations.</w:t>
      </w:r>
    </w:p>
    <w:p w14:paraId="4E5BEFDC" w14:textId="6C88D4EC" w:rsidR="00A543B2" w:rsidRPr="00024249" w:rsidRDefault="00557981" w:rsidP="009A2068">
      <w:pPr>
        <w:pStyle w:val="Heading3"/>
      </w:pPr>
      <w:bookmarkStart w:id="14" w:name="_Toc225111797"/>
      <w:r w:rsidRPr="00024249">
        <w:t xml:space="preserve">a) </w:t>
      </w:r>
      <w:r w:rsidR="00A543B2" w:rsidRPr="00024249">
        <w:t>Current Ratio</w:t>
      </w:r>
      <w:bookmarkEnd w:id="14"/>
    </w:p>
    <w:p w14:paraId="5109ECF9" w14:textId="69230D44" w:rsidR="00557981" w:rsidRPr="009A2068" w:rsidRDefault="00557981" w:rsidP="009A2068">
      <w:pPr>
        <w:spacing w:line="240" w:lineRule="auto"/>
        <w:jc w:val="center"/>
        <w:rPr>
          <w:b/>
          <w:bCs/>
          <w:szCs w:val="20"/>
        </w:rPr>
      </w:pPr>
      <w:r w:rsidRPr="009A2068">
        <w:rPr>
          <w:b/>
          <w:bCs/>
          <w:szCs w:val="20"/>
        </w:rPr>
        <w:t>= Current Assets ÷ Current Liabilities</w:t>
      </w:r>
    </w:p>
    <w:tbl>
      <w:tblPr>
        <w:tblW w:w="769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06"/>
        <w:gridCol w:w="1838"/>
        <w:gridCol w:w="1752"/>
      </w:tblGrid>
      <w:tr w:rsidR="00557981" w:rsidRPr="009A2068" w14:paraId="7E4FDA50" w14:textId="77777777" w:rsidTr="009A2068">
        <w:trPr>
          <w:trHeight w:val="444"/>
          <w:jc w:val="center"/>
        </w:trPr>
        <w:tc>
          <w:tcPr>
            <w:tcW w:w="4106" w:type="dxa"/>
            <w:noWrap/>
            <w:vAlign w:val="bottom"/>
            <w:hideMark/>
          </w:tcPr>
          <w:p w14:paraId="588FFC57" w14:textId="77777777" w:rsidR="00557981" w:rsidRPr="009A2068" w:rsidRDefault="00557981" w:rsidP="009A2068">
            <w:pPr>
              <w:spacing w:after="120" w:line="240" w:lineRule="auto"/>
              <w:jc w:val="left"/>
              <w:rPr>
                <w:rFonts w:eastAsia="Times New Roman"/>
                <w:b/>
                <w:bCs/>
                <w:color w:val="000000"/>
                <w:kern w:val="0"/>
                <w:szCs w:val="22"/>
                <w:lang w:val="en-US" w:bidi="bn-BD"/>
                <w14:ligatures w14:val="none"/>
              </w:rPr>
            </w:pPr>
            <w:r w:rsidRPr="009A2068">
              <w:rPr>
                <w:rFonts w:eastAsia="Times New Roman"/>
                <w:b/>
                <w:bCs/>
                <w:color w:val="000000"/>
                <w:kern w:val="0"/>
                <w:szCs w:val="22"/>
                <w:lang w:val="en-US" w:bidi="bn-BD"/>
                <w14:ligatures w14:val="none"/>
              </w:rPr>
              <w:t>Current Ratio</w:t>
            </w:r>
          </w:p>
        </w:tc>
        <w:tc>
          <w:tcPr>
            <w:tcW w:w="1838" w:type="dxa"/>
            <w:noWrap/>
            <w:vAlign w:val="bottom"/>
            <w:hideMark/>
          </w:tcPr>
          <w:p w14:paraId="26D067F4" w14:textId="13183899" w:rsidR="00557981" w:rsidRPr="009A2068" w:rsidRDefault="00557981" w:rsidP="00502C9A">
            <w:pPr>
              <w:spacing w:after="120" w:line="240" w:lineRule="auto"/>
              <w:jc w:val="center"/>
              <w:rPr>
                <w:rFonts w:eastAsia="Times New Roman"/>
                <w:b/>
                <w:bCs/>
                <w:color w:val="000000"/>
                <w:kern w:val="0"/>
                <w:szCs w:val="22"/>
                <w:lang w:val="en-US" w:bidi="bn-BD"/>
                <w14:ligatures w14:val="none"/>
              </w:rPr>
            </w:pPr>
            <w:r w:rsidRPr="009A2068">
              <w:rPr>
                <w:rFonts w:eastAsia="Times New Roman"/>
                <w:b/>
                <w:bCs/>
                <w:color w:val="000000"/>
                <w:kern w:val="0"/>
                <w:szCs w:val="22"/>
                <w:lang w:val="en-US" w:bidi="bn-BD"/>
                <w14:ligatures w14:val="none"/>
              </w:rPr>
              <w:t>0.76</w:t>
            </w:r>
            <w:r w:rsidR="009A2068">
              <w:rPr>
                <w:rFonts w:eastAsia="Times New Roman"/>
                <w:b/>
                <w:bCs/>
                <w:color w:val="000000"/>
                <w:kern w:val="0"/>
                <w:szCs w:val="22"/>
                <w:lang w:val="en-US" w:bidi="bn-BD"/>
                <w14:ligatures w14:val="none"/>
              </w:rPr>
              <w:t>: 1 (2022)</w:t>
            </w:r>
          </w:p>
        </w:tc>
        <w:tc>
          <w:tcPr>
            <w:tcW w:w="1752" w:type="dxa"/>
            <w:noWrap/>
            <w:vAlign w:val="bottom"/>
            <w:hideMark/>
          </w:tcPr>
          <w:p w14:paraId="2430C705" w14:textId="7674BA7C" w:rsidR="00557981" w:rsidRPr="009A2068" w:rsidRDefault="00557981" w:rsidP="00502C9A">
            <w:pPr>
              <w:spacing w:after="120" w:line="240" w:lineRule="auto"/>
              <w:jc w:val="center"/>
              <w:rPr>
                <w:rFonts w:eastAsia="Times New Roman"/>
                <w:b/>
                <w:bCs/>
                <w:color w:val="000000"/>
                <w:kern w:val="0"/>
                <w:szCs w:val="22"/>
                <w:lang w:val="en-US" w:bidi="bn-BD"/>
                <w14:ligatures w14:val="none"/>
              </w:rPr>
            </w:pPr>
            <w:r w:rsidRPr="009A2068">
              <w:rPr>
                <w:rFonts w:eastAsia="Times New Roman"/>
                <w:b/>
                <w:bCs/>
                <w:color w:val="000000"/>
                <w:kern w:val="0"/>
                <w:szCs w:val="22"/>
                <w:lang w:val="en-US" w:bidi="bn-BD"/>
                <w14:ligatures w14:val="none"/>
              </w:rPr>
              <w:t>0.78</w:t>
            </w:r>
            <w:r w:rsidR="009A2068">
              <w:rPr>
                <w:rFonts w:eastAsia="Times New Roman"/>
                <w:b/>
                <w:bCs/>
                <w:color w:val="000000"/>
                <w:kern w:val="0"/>
                <w:szCs w:val="22"/>
                <w:lang w:val="en-US" w:bidi="bn-BD"/>
                <w14:ligatures w14:val="none"/>
              </w:rPr>
              <w:t>: 1 (2023)</w:t>
            </w:r>
          </w:p>
        </w:tc>
      </w:tr>
    </w:tbl>
    <w:p w14:paraId="29548AD5" w14:textId="2082C377" w:rsidR="00A543B2" w:rsidRPr="00024249" w:rsidRDefault="00A543B2" w:rsidP="007B7235">
      <w:r w:rsidRPr="00024249">
        <w:t>The current ratio is a relative ratio between current liabilities and current assets. Unilever is a company that has a ratio of less than 1, i.e., short-term debt exceeds liquid assets (Nawawi, 2025). This is but usual in big fast-moving consumer goods (FMCG) organisations, which hinge on instant cash flow by the operations.</w:t>
      </w:r>
    </w:p>
    <w:p w14:paraId="2B5ECD12" w14:textId="00C0E94F" w:rsidR="00A543B2" w:rsidRPr="00024249" w:rsidRDefault="00A543B2" w:rsidP="007B7235">
      <w:pPr>
        <w:pStyle w:val="Heading3"/>
      </w:pPr>
      <w:bookmarkStart w:id="15" w:name="_Toc225111798"/>
      <w:r w:rsidRPr="00024249">
        <w:t>b) Quick Ratio</w:t>
      </w:r>
      <w:bookmarkEnd w:id="15"/>
    </w:p>
    <w:p w14:paraId="03C33BFE" w14:textId="5A5A4E27" w:rsidR="00557981" w:rsidRPr="007B7235" w:rsidRDefault="00557981" w:rsidP="007B7235">
      <w:pPr>
        <w:spacing w:line="240" w:lineRule="auto"/>
        <w:jc w:val="center"/>
        <w:rPr>
          <w:b/>
          <w:bCs/>
          <w:szCs w:val="20"/>
        </w:rPr>
      </w:pPr>
      <w:r w:rsidRPr="007B7235">
        <w:rPr>
          <w:b/>
          <w:bCs/>
          <w:szCs w:val="20"/>
        </w:rPr>
        <w:t>= (Current Assets − Inventory) ÷ Current Liabilities</w:t>
      </w:r>
    </w:p>
    <w:tbl>
      <w:tblPr>
        <w:tblW w:w="777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02"/>
        <w:gridCol w:w="2248"/>
        <w:gridCol w:w="2124"/>
      </w:tblGrid>
      <w:tr w:rsidR="00557981" w:rsidRPr="007B7235" w14:paraId="5E2C4264" w14:textId="77777777" w:rsidTr="007B7235">
        <w:trPr>
          <w:trHeight w:val="302"/>
          <w:jc w:val="center"/>
        </w:trPr>
        <w:tc>
          <w:tcPr>
            <w:tcW w:w="3402" w:type="dxa"/>
            <w:noWrap/>
            <w:vAlign w:val="bottom"/>
            <w:hideMark/>
          </w:tcPr>
          <w:p w14:paraId="6AA993B6" w14:textId="77777777" w:rsidR="00557981" w:rsidRPr="007B7235" w:rsidRDefault="00557981" w:rsidP="007B7235">
            <w:pPr>
              <w:spacing w:after="120" w:line="240" w:lineRule="auto"/>
              <w:jc w:val="left"/>
              <w:rPr>
                <w:rFonts w:eastAsia="Times New Roman"/>
                <w:b/>
                <w:bCs/>
                <w:color w:val="000000"/>
                <w:kern w:val="0"/>
                <w:szCs w:val="22"/>
                <w:lang w:val="en-US" w:bidi="bn-BD"/>
                <w14:ligatures w14:val="none"/>
              </w:rPr>
            </w:pPr>
            <w:r w:rsidRPr="007B7235">
              <w:rPr>
                <w:rFonts w:eastAsia="Times New Roman"/>
                <w:b/>
                <w:bCs/>
                <w:color w:val="000000"/>
                <w:kern w:val="0"/>
                <w:szCs w:val="22"/>
                <w:lang w:val="en-US" w:bidi="bn-BD"/>
                <w14:ligatures w14:val="none"/>
              </w:rPr>
              <w:t>Quick Ratio</w:t>
            </w:r>
          </w:p>
        </w:tc>
        <w:tc>
          <w:tcPr>
            <w:tcW w:w="2248" w:type="dxa"/>
            <w:noWrap/>
            <w:vAlign w:val="bottom"/>
            <w:hideMark/>
          </w:tcPr>
          <w:p w14:paraId="0694A502" w14:textId="68BD0EF5" w:rsidR="00557981" w:rsidRPr="007B7235" w:rsidRDefault="00557981" w:rsidP="007B7235">
            <w:pPr>
              <w:spacing w:after="120" w:line="240" w:lineRule="auto"/>
              <w:jc w:val="center"/>
              <w:rPr>
                <w:rFonts w:eastAsia="Times New Roman"/>
                <w:b/>
                <w:bCs/>
                <w:color w:val="000000"/>
                <w:kern w:val="0"/>
                <w:szCs w:val="22"/>
                <w:lang w:val="en-US" w:bidi="bn-BD"/>
                <w14:ligatures w14:val="none"/>
              </w:rPr>
            </w:pPr>
            <w:r w:rsidRPr="007B7235">
              <w:rPr>
                <w:rFonts w:eastAsia="Times New Roman"/>
                <w:b/>
                <w:bCs/>
                <w:color w:val="000000"/>
                <w:kern w:val="0"/>
                <w:szCs w:val="22"/>
                <w:lang w:val="en-US" w:bidi="bn-BD"/>
                <w14:ligatures w14:val="none"/>
              </w:rPr>
              <w:t>0.47</w:t>
            </w:r>
            <w:r w:rsidR="007B7235">
              <w:rPr>
                <w:rFonts w:eastAsia="Times New Roman"/>
                <w:b/>
                <w:bCs/>
                <w:color w:val="000000"/>
                <w:kern w:val="0"/>
                <w:szCs w:val="22"/>
                <w:lang w:val="en-US" w:bidi="bn-BD"/>
                <w14:ligatures w14:val="none"/>
              </w:rPr>
              <w:t>: 1 (2022)</w:t>
            </w:r>
          </w:p>
        </w:tc>
        <w:tc>
          <w:tcPr>
            <w:tcW w:w="2124" w:type="dxa"/>
            <w:noWrap/>
            <w:vAlign w:val="bottom"/>
            <w:hideMark/>
          </w:tcPr>
          <w:p w14:paraId="0F8AE2D2" w14:textId="1E989476" w:rsidR="00557981" w:rsidRPr="007B7235" w:rsidRDefault="00557981" w:rsidP="007B7235">
            <w:pPr>
              <w:spacing w:after="120" w:line="240" w:lineRule="auto"/>
              <w:jc w:val="center"/>
              <w:rPr>
                <w:rFonts w:eastAsia="Times New Roman"/>
                <w:b/>
                <w:bCs/>
                <w:color w:val="000000"/>
                <w:kern w:val="0"/>
                <w:szCs w:val="22"/>
                <w:lang w:val="en-US" w:bidi="bn-BD"/>
                <w14:ligatures w14:val="none"/>
              </w:rPr>
            </w:pPr>
            <w:r w:rsidRPr="007B7235">
              <w:rPr>
                <w:rFonts w:eastAsia="Times New Roman"/>
                <w:b/>
                <w:bCs/>
                <w:color w:val="000000"/>
                <w:kern w:val="0"/>
                <w:szCs w:val="22"/>
                <w:lang w:val="en-US" w:bidi="bn-BD"/>
                <w14:ligatures w14:val="none"/>
              </w:rPr>
              <w:t>0.48</w:t>
            </w:r>
            <w:r w:rsidR="007B7235">
              <w:rPr>
                <w:rFonts w:eastAsia="Times New Roman"/>
                <w:b/>
                <w:bCs/>
                <w:color w:val="000000"/>
                <w:kern w:val="0"/>
                <w:szCs w:val="22"/>
                <w:lang w:val="en-US" w:bidi="bn-BD"/>
                <w14:ligatures w14:val="none"/>
              </w:rPr>
              <w:t>: 1 (2023)</w:t>
            </w:r>
          </w:p>
        </w:tc>
      </w:tr>
    </w:tbl>
    <w:p w14:paraId="3C9993F0" w14:textId="5877248D" w:rsidR="00A543B2" w:rsidRPr="00024249" w:rsidRDefault="00A543B2" w:rsidP="00581947">
      <w:r w:rsidRPr="00024249">
        <w:lastRenderedPageBreak/>
        <w:t>The quick ratio is a variation of the current ratio, but it excludes inventory. It shows the ability to finance short-term debts by using highly liquid assets. Unilever slightly improved its quick ratio; nevertheless, it is low. This means that it depends on the inventory turnover to raise cash.</w:t>
      </w:r>
    </w:p>
    <w:p w14:paraId="6ACD2691" w14:textId="77777777" w:rsidR="00A543B2" w:rsidRPr="00581947" w:rsidRDefault="00A543B2" w:rsidP="00581947">
      <w:pPr>
        <w:pStyle w:val="Heading2"/>
      </w:pPr>
      <w:bookmarkStart w:id="16" w:name="_Toc225065881"/>
      <w:bookmarkStart w:id="17" w:name="_Toc225111799"/>
      <w:r w:rsidRPr="00024249">
        <w:t>3.3 Efficiency Ratios</w:t>
      </w:r>
      <w:bookmarkEnd w:id="16"/>
      <w:bookmarkEnd w:id="17"/>
    </w:p>
    <w:p w14:paraId="5B4D7459" w14:textId="77777777" w:rsidR="00A543B2" w:rsidRPr="00024249" w:rsidRDefault="00A543B2" w:rsidP="006C54EB">
      <w:r w:rsidRPr="00024249">
        <w:t>Efficiency ratios are applied to ascertain how efficiently an organisation makes use of resources.</w:t>
      </w:r>
    </w:p>
    <w:p w14:paraId="457554EC" w14:textId="16EA1732" w:rsidR="00A543B2" w:rsidRPr="00024249" w:rsidRDefault="00557981" w:rsidP="006C54EB">
      <w:pPr>
        <w:pStyle w:val="Heading3"/>
      </w:pPr>
      <w:bookmarkStart w:id="18" w:name="_Toc225111800"/>
      <w:r w:rsidRPr="00024249">
        <w:t xml:space="preserve">a) </w:t>
      </w:r>
      <w:r w:rsidR="00A543B2" w:rsidRPr="00024249">
        <w:t>Inventory Turnover</w:t>
      </w:r>
      <w:bookmarkEnd w:id="18"/>
    </w:p>
    <w:p w14:paraId="072E15FA" w14:textId="775A683C" w:rsidR="00557981" w:rsidRPr="006C54EB" w:rsidRDefault="00557981" w:rsidP="006C54EB">
      <w:pPr>
        <w:spacing w:line="240" w:lineRule="auto"/>
        <w:jc w:val="center"/>
        <w:rPr>
          <w:b/>
          <w:bCs/>
          <w:szCs w:val="20"/>
        </w:rPr>
      </w:pPr>
      <w:r w:rsidRPr="006C54EB">
        <w:rPr>
          <w:b/>
          <w:bCs/>
          <w:szCs w:val="20"/>
        </w:rPr>
        <w:t>= COGS ÷ Inventory</w:t>
      </w:r>
    </w:p>
    <w:tbl>
      <w:tblPr>
        <w:tblW w:w="829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54"/>
        <w:gridCol w:w="1353"/>
        <w:gridCol w:w="1889"/>
      </w:tblGrid>
      <w:tr w:rsidR="00557981" w:rsidRPr="006C54EB" w14:paraId="655463C8" w14:textId="77777777" w:rsidTr="006C54EB">
        <w:trPr>
          <w:trHeight w:val="330"/>
          <w:jc w:val="center"/>
        </w:trPr>
        <w:tc>
          <w:tcPr>
            <w:tcW w:w="5054" w:type="dxa"/>
            <w:noWrap/>
            <w:vAlign w:val="bottom"/>
            <w:hideMark/>
          </w:tcPr>
          <w:p w14:paraId="21578DFD" w14:textId="77777777" w:rsidR="00557981" w:rsidRPr="006C54EB" w:rsidRDefault="00557981" w:rsidP="006C54EB">
            <w:pPr>
              <w:spacing w:after="120" w:line="240" w:lineRule="auto"/>
              <w:jc w:val="left"/>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Inventory Turnover</w:t>
            </w:r>
          </w:p>
        </w:tc>
        <w:tc>
          <w:tcPr>
            <w:tcW w:w="1353" w:type="dxa"/>
            <w:noWrap/>
            <w:vAlign w:val="bottom"/>
            <w:hideMark/>
          </w:tcPr>
          <w:p w14:paraId="36EEE29A" w14:textId="51E996BB" w:rsidR="00557981" w:rsidRPr="006C54EB" w:rsidRDefault="00557981" w:rsidP="006C54EB">
            <w:pPr>
              <w:spacing w:after="120" w:line="240" w:lineRule="auto"/>
              <w:jc w:val="center"/>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4.35</w:t>
            </w:r>
            <w:r w:rsidR="006C54EB">
              <w:rPr>
                <w:rFonts w:eastAsia="Times New Roman"/>
                <w:b/>
                <w:bCs/>
                <w:color w:val="000000"/>
                <w:kern w:val="0"/>
                <w:szCs w:val="22"/>
                <w:lang w:val="en-US" w:bidi="bn-BD"/>
                <w14:ligatures w14:val="none"/>
              </w:rPr>
              <w:t xml:space="preserve"> (2022)</w:t>
            </w:r>
          </w:p>
        </w:tc>
        <w:tc>
          <w:tcPr>
            <w:tcW w:w="1889" w:type="dxa"/>
            <w:noWrap/>
            <w:vAlign w:val="bottom"/>
            <w:hideMark/>
          </w:tcPr>
          <w:p w14:paraId="0577F08F" w14:textId="3384A94D" w:rsidR="00557981" w:rsidRPr="006C54EB" w:rsidRDefault="00557981" w:rsidP="006C54EB">
            <w:pPr>
              <w:spacing w:after="120" w:line="240" w:lineRule="auto"/>
              <w:jc w:val="center"/>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4.45</w:t>
            </w:r>
            <w:r w:rsidR="006C54EB">
              <w:rPr>
                <w:rFonts w:eastAsia="Times New Roman"/>
                <w:b/>
                <w:bCs/>
                <w:color w:val="000000"/>
                <w:kern w:val="0"/>
                <w:szCs w:val="22"/>
                <w:lang w:val="en-US" w:bidi="bn-BD"/>
                <w14:ligatures w14:val="none"/>
              </w:rPr>
              <w:t xml:space="preserve"> (2023)</w:t>
            </w:r>
          </w:p>
        </w:tc>
      </w:tr>
    </w:tbl>
    <w:p w14:paraId="6C79627C" w14:textId="62FBE7B1" w:rsidR="00A543B2" w:rsidRPr="00024249" w:rsidRDefault="00A543B2" w:rsidP="006C54EB">
      <w:r w:rsidRPr="00024249">
        <w:t>The times any inventory is sold and replaced in a time frame are known as inventory turnover. The small reduction signals a slower contraction of goods, probably due to reduced consumer demand or supply chain problems. Lower turnover may be a cash/storage stranglehold.</w:t>
      </w:r>
    </w:p>
    <w:p w14:paraId="07C42477" w14:textId="625DBD61" w:rsidR="00A543B2" w:rsidRPr="00024249" w:rsidRDefault="00A543B2" w:rsidP="006C54EB">
      <w:pPr>
        <w:pStyle w:val="Heading3"/>
      </w:pPr>
      <w:bookmarkStart w:id="19" w:name="_Toc225111801"/>
      <w:r w:rsidRPr="00024249">
        <w:t>b) Receivables Collection Period</w:t>
      </w:r>
      <w:bookmarkEnd w:id="19"/>
    </w:p>
    <w:p w14:paraId="41372E8B" w14:textId="54F9E731" w:rsidR="00557981" w:rsidRPr="006C54EB" w:rsidRDefault="00557981" w:rsidP="006C54EB">
      <w:pPr>
        <w:spacing w:line="240" w:lineRule="auto"/>
        <w:jc w:val="center"/>
        <w:rPr>
          <w:b/>
          <w:bCs/>
          <w:szCs w:val="20"/>
        </w:rPr>
      </w:pPr>
      <w:r w:rsidRPr="006C54EB">
        <w:rPr>
          <w:b/>
          <w:bCs/>
          <w:szCs w:val="20"/>
        </w:rPr>
        <w:t>= (Trade Receivables ÷ Revenue) × 365</w:t>
      </w:r>
    </w:p>
    <w:tbl>
      <w:tblPr>
        <w:tblW w:w="8364"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94"/>
        <w:gridCol w:w="1540"/>
        <w:gridCol w:w="1630"/>
      </w:tblGrid>
      <w:tr w:rsidR="00557981" w:rsidRPr="006C54EB" w14:paraId="02EBF048" w14:textId="77777777" w:rsidTr="006C54EB">
        <w:trPr>
          <w:trHeight w:val="318"/>
        </w:trPr>
        <w:tc>
          <w:tcPr>
            <w:tcW w:w="5194" w:type="dxa"/>
            <w:noWrap/>
            <w:vAlign w:val="bottom"/>
            <w:hideMark/>
          </w:tcPr>
          <w:p w14:paraId="22260B9D" w14:textId="77777777" w:rsidR="00557981" w:rsidRPr="006C54EB" w:rsidRDefault="00557981" w:rsidP="006C54EB">
            <w:pPr>
              <w:spacing w:after="120" w:line="240" w:lineRule="auto"/>
              <w:jc w:val="left"/>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Receivables Collection Period (days)</w:t>
            </w:r>
          </w:p>
        </w:tc>
        <w:tc>
          <w:tcPr>
            <w:tcW w:w="1540" w:type="dxa"/>
            <w:noWrap/>
            <w:vAlign w:val="bottom"/>
            <w:hideMark/>
          </w:tcPr>
          <w:p w14:paraId="28985A08" w14:textId="40767178" w:rsidR="00557981" w:rsidRPr="006C54EB" w:rsidRDefault="00557981" w:rsidP="006C54EB">
            <w:pPr>
              <w:spacing w:after="120" w:line="240" w:lineRule="auto"/>
              <w:jc w:val="center"/>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42.5</w:t>
            </w:r>
            <w:r w:rsidR="006C54EB">
              <w:rPr>
                <w:rFonts w:eastAsia="Times New Roman"/>
                <w:b/>
                <w:bCs/>
                <w:color w:val="000000"/>
                <w:kern w:val="0"/>
                <w:szCs w:val="22"/>
                <w:lang w:val="en-US" w:bidi="bn-BD"/>
                <w14:ligatures w14:val="none"/>
              </w:rPr>
              <w:t xml:space="preserve"> (2022)</w:t>
            </w:r>
          </w:p>
        </w:tc>
        <w:tc>
          <w:tcPr>
            <w:tcW w:w="1630" w:type="dxa"/>
            <w:noWrap/>
            <w:vAlign w:val="bottom"/>
            <w:hideMark/>
          </w:tcPr>
          <w:p w14:paraId="77C2B022" w14:textId="3D0CBB72" w:rsidR="00557981" w:rsidRPr="006C54EB" w:rsidRDefault="00557981" w:rsidP="006C54EB">
            <w:pPr>
              <w:spacing w:after="120" w:line="240" w:lineRule="auto"/>
              <w:jc w:val="center"/>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41.6</w:t>
            </w:r>
            <w:r w:rsidR="006C54EB">
              <w:rPr>
                <w:rFonts w:eastAsia="Times New Roman"/>
                <w:b/>
                <w:bCs/>
                <w:color w:val="000000"/>
                <w:kern w:val="0"/>
                <w:szCs w:val="22"/>
                <w:lang w:val="en-US" w:bidi="bn-BD"/>
                <w14:ligatures w14:val="none"/>
              </w:rPr>
              <w:t xml:space="preserve"> (2023)</w:t>
            </w:r>
          </w:p>
        </w:tc>
      </w:tr>
    </w:tbl>
    <w:p w14:paraId="4705748B" w14:textId="7184D495" w:rsidR="00A543B2" w:rsidRPr="00024249" w:rsidRDefault="00A543B2" w:rsidP="006C54EB">
      <w:r w:rsidRPr="00024249">
        <w:t>The ratio is calculated to get the days of receiving customer payments. An increase means a reduction in consumer payments, and this will affect cash flow and liquidity (Suciati, 2025). The receivables must be properly handled in order to create stability in operations.</w:t>
      </w:r>
    </w:p>
    <w:p w14:paraId="3754CD04" w14:textId="77777777" w:rsidR="00A543B2" w:rsidRPr="006C54EB" w:rsidRDefault="00A543B2" w:rsidP="006C54EB">
      <w:pPr>
        <w:pStyle w:val="Heading2"/>
      </w:pPr>
      <w:bookmarkStart w:id="20" w:name="_Toc225065882"/>
      <w:bookmarkStart w:id="21" w:name="_Toc225111802"/>
      <w:r w:rsidRPr="00024249">
        <w:t>3.4 Gearing Ratios</w:t>
      </w:r>
      <w:bookmarkEnd w:id="20"/>
      <w:bookmarkEnd w:id="21"/>
    </w:p>
    <w:p w14:paraId="4B49E819" w14:textId="77777777" w:rsidR="00A543B2" w:rsidRPr="00024249" w:rsidRDefault="00A543B2" w:rsidP="006C54EB">
      <w:r w:rsidRPr="00024249">
        <w:t>Gearing ratios are a measure of financial risk and reliance on debt.</w:t>
      </w:r>
    </w:p>
    <w:p w14:paraId="6D59D228" w14:textId="6A48FB8A" w:rsidR="00A543B2" w:rsidRPr="00024249" w:rsidRDefault="006C54EB" w:rsidP="006C54EB">
      <w:pPr>
        <w:pStyle w:val="Heading3"/>
      </w:pPr>
      <w:bookmarkStart w:id="22" w:name="_Toc225111803"/>
      <w:r>
        <w:t xml:space="preserve">a) </w:t>
      </w:r>
      <w:r w:rsidR="00A543B2" w:rsidRPr="00024249">
        <w:t>Debt-to-Equity Ratio</w:t>
      </w:r>
      <w:bookmarkEnd w:id="22"/>
    </w:p>
    <w:p w14:paraId="039C1912" w14:textId="7C46A429" w:rsidR="00557981" w:rsidRPr="006C54EB" w:rsidRDefault="00557981" w:rsidP="006C54EB">
      <w:pPr>
        <w:spacing w:line="240" w:lineRule="auto"/>
        <w:jc w:val="center"/>
        <w:rPr>
          <w:b/>
          <w:bCs/>
          <w:szCs w:val="20"/>
        </w:rPr>
      </w:pPr>
      <w:r w:rsidRPr="006C54EB">
        <w:rPr>
          <w:b/>
          <w:bCs/>
          <w:szCs w:val="20"/>
        </w:rPr>
        <w:t>= Total Liabilities ÷ (Total Assets − Total Liabilities)</w:t>
      </w:r>
    </w:p>
    <w:tbl>
      <w:tblPr>
        <w:tblW w:w="756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8"/>
        <w:gridCol w:w="1592"/>
        <w:gridCol w:w="1722"/>
      </w:tblGrid>
      <w:tr w:rsidR="00557981" w:rsidRPr="006C54EB" w14:paraId="418BBD48" w14:textId="77777777" w:rsidTr="006C54EB">
        <w:trPr>
          <w:trHeight w:val="324"/>
          <w:jc w:val="center"/>
        </w:trPr>
        <w:tc>
          <w:tcPr>
            <w:tcW w:w="4248" w:type="dxa"/>
            <w:noWrap/>
            <w:vAlign w:val="bottom"/>
            <w:hideMark/>
          </w:tcPr>
          <w:p w14:paraId="723D35CC" w14:textId="77777777" w:rsidR="00557981" w:rsidRPr="006C54EB" w:rsidRDefault="00557981" w:rsidP="006C54EB">
            <w:pPr>
              <w:spacing w:after="120" w:line="240" w:lineRule="auto"/>
              <w:jc w:val="left"/>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Debt-to-Equity Ratio</w:t>
            </w:r>
          </w:p>
        </w:tc>
        <w:tc>
          <w:tcPr>
            <w:tcW w:w="1592" w:type="dxa"/>
            <w:noWrap/>
            <w:vAlign w:val="bottom"/>
            <w:hideMark/>
          </w:tcPr>
          <w:p w14:paraId="3145C800" w14:textId="057DE86E" w:rsidR="00557981" w:rsidRPr="006C54EB" w:rsidRDefault="00557981" w:rsidP="006C54EB">
            <w:pPr>
              <w:spacing w:after="120" w:line="240" w:lineRule="auto"/>
              <w:jc w:val="center"/>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1.72</w:t>
            </w:r>
            <w:r w:rsidR="006C54EB">
              <w:rPr>
                <w:rFonts w:eastAsia="Times New Roman"/>
                <w:b/>
                <w:bCs/>
                <w:color w:val="000000"/>
                <w:kern w:val="0"/>
                <w:szCs w:val="22"/>
                <w:lang w:val="en-US" w:bidi="bn-BD"/>
                <w14:ligatures w14:val="none"/>
              </w:rPr>
              <w:t xml:space="preserve"> (2022)</w:t>
            </w:r>
          </w:p>
        </w:tc>
        <w:tc>
          <w:tcPr>
            <w:tcW w:w="1722" w:type="dxa"/>
            <w:noWrap/>
            <w:vAlign w:val="bottom"/>
            <w:hideMark/>
          </w:tcPr>
          <w:p w14:paraId="5D1674CD" w14:textId="760B0426" w:rsidR="00557981" w:rsidRPr="006C54EB" w:rsidRDefault="00557981" w:rsidP="006C54EB">
            <w:pPr>
              <w:spacing w:after="120" w:line="240" w:lineRule="auto"/>
              <w:jc w:val="center"/>
              <w:rPr>
                <w:rFonts w:eastAsia="Times New Roman"/>
                <w:b/>
                <w:bCs/>
                <w:color w:val="000000"/>
                <w:kern w:val="0"/>
                <w:szCs w:val="22"/>
                <w:lang w:val="en-US" w:bidi="bn-BD"/>
                <w14:ligatures w14:val="none"/>
              </w:rPr>
            </w:pPr>
            <w:r w:rsidRPr="006C54EB">
              <w:rPr>
                <w:rFonts w:eastAsia="Times New Roman"/>
                <w:b/>
                <w:bCs/>
                <w:color w:val="000000"/>
                <w:kern w:val="0"/>
                <w:szCs w:val="22"/>
                <w:lang w:val="en-US" w:bidi="bn-BD"/>
                <w14:ligatures w14:val="none"/>
              </w:rPr>
              <w:t>1.69</w:t>
            </w:r>
            <w:r w:rsidR="006C54EB">
              <w:rPr>
                <w:rFonts w:eastAsia="Times New Roman"/>
                <w:b/>
                <w:bCs/>
                <w:color w:val="000000"/>
                <w:kern w:val="0"/>
                <w:szCs w:val="22"/>
                <w:lang w:val="en-US" w:bidi="bn-BD"/>
                <w14:ligatures w14:val="none"/>
              </w:rPr>
              <w:t xml:space="preserve"> (2023)</w:t>
            </w:r>
          </w:p>
        </w:tc>
      </w:tr>
    </w:tbl>
    <w:p w14:paraId="19742823" w14:textId="6A514E94" w:rsidR="00A543B2" w:rsidRPr="00024249" w:rsidRDefault="00A543B2" w:rsidP="006C54EB">
      <w:r w:rsidRPr="00024249">
        <w:t>The debt-equity ratio is increased; this means that the firm relies on borrowed funds more. This slight increase in debt for Unilever means that it depends on increased debt to work. Despite being beneficial, excessive debt increases risks and interests in finances. Long-run stability in debt levels should be maintained.</w:t>
      </w:r>
    </w:p>
    <w:p w14:paraId="18349192" w14:textId="77777777" w:rsidR="00A543B2" w:rsidRPr="006C54EB" w:rsidRDefault="00A543B2" w:rsidP="006C54EB">
      <w:pPr>
        <w:pStyle w:val="Heading1"/>
      </w:pPr>
      <w:bookmarkStart w:id="23" w:name="_Toc225065883"/>
      <w:bookmarkStart w:id="24" w:name="_Toc225111804"/>
      <w:r w:rsidRPr="00024249">
        <w:lastRenderedPageBreak/>
        <w:t>4. Analysis of Performance</w:t>
      </w:r>
      <w:bookmarkEnd w:id="23"/>
      <w:bookmarkEnd w:id="24"/>
    </w:p>
    <w:p w14:paraId="33C15320" w14:textId="77777777" w:rsidR="00A543B2" w:rsidRPr="00024249" w:rsidRDefault="00A543B2" w:rsidP="00A543B2">
      <w:pPr>
        <w:rPr>
          <w:sz w:val="20"/>
        </w:rPr>
      </w:pPr>
      <w:r w:rsidRPr="00024249">
        <w:rPr>
          <w:sz w:val="20"/>
        </w:rPr>
        <w:t>The ratio analysis highlights the point that the Unilever financial performance suffered slightly in 2023. This trend may be explained by a number of things.</w:t>
      </w:r>
    </w:p>
    <w:p w14:paraId="1A9EB83C" w14:textId="77777777" w:rsidR="00A543B2" w:rsidRPr="006C54EB" w:rsidRDefault="00A543B2" w:rsidP="006C54EB">
      <w:pPr>
        <w:pStyle w:val="Heading2"/>
      </w:pPr>
      <w:bookmarkStart w:id="25" w:name="_Toc225065884"/>
      <w:bookmarkStart w:id="26" w:name="_Toc225111805"/>
      <w:r w:rsidRPr="00024249">
        <w:t>4.1 Inflation and Cost Pressures</w:t>
      </w:r>
      <w:bookmarkEnd w:id="25"/>
      <w:bookmarkEnd w:id="26"/>
    </w:p>
    <w:p w14:paraId="560EA5D2" w14:textId="77777777" w:rsidR="00A543B2" w:rsidRPr="00024249" w:rsidRDefault="00A543B2" w:rsidP="00A543B2">
      <w:pPr>
        <w:rPr>
          <w:sz w:val="20"/>
        </w:rPr>
      </w:pPr>
      <w:r w:rsidRPr="00024249">
        <w:rPr>
          <w:sz w:val="20"/>
        </w:rPr>
        <w:t>World inflation increased the cost of raw materials, packaging, and transportation. The energy prices also increased. Unilever raised the price of products in order to maintain margins. However, the increase of cost was higher than the increase in revenue. This reduced the gross margins and profitability.</w:t>
      </w:r>
    </w:p>
    <w:p w14:paraId="0AFC42D5" w14:textId="77777777" w:rsidR="00A543B2" w:rsidRPr="006C54EB" w:rsidRDefault="00A543B2" w:rsidP="006C54EB">
      <w:pPr>
        <w:pStyle w:val="Heading2"/>
      </w:pPr>
      <w:bookmarkStart w:id="27" w:name="_Toc225065885"/>
      <w:bookmarkStart w:id="28" w:name="_Toc225111806"/>
      <w:r w:rsidRPr="00024249">
        <w:t>4.2 Consumer Demand Changes</w:t>
      </w:r>
      <w:bookmarkEnd w:id="27"/>
      <w:bookmarkEnd w:id="28"/>
    </w:p>
    <w:p w14:paraId="0A9C9B2E" w14:textId="77777777" w:rsidR="00A543B2" w:rsidRPr="00024249" w:rsidRDefault="00A543B2" w:rsidP="00A543B2">
      <w:pPr>
        <w:rPr>
          <w:sz w:val="20"/>
        </w:rPr>
      </w:pPr>
      <w:r w:rsidRPr="00024249">
        <w:rPr>
          <w:sz w:val="20"/>
        </w:rPr>
        <w:t>The cost-of-living crisis negatively affected consumer spending, especially in Europe. Customers became price-sensitive (</w:t>
      </w:r>
      <w:proofErr w:type="spellStart"/>
      <w:r w:rsidRPr="00024249">
        <w:rPr>
          <w:sz w:val="20"/>
        </w:rPr>
        <w:t>Dziewanowska</w:t>
      </w:r>
      <w:proofErr w:type="spellEnd"/>
      <w:r w:rsidRPr="00024249">
        <w:rPr>
          <w:sz w:val="20"/>
        </w:rPr>
        <w:t xml:space="preserve"> et al., 2025). Unilever was increasing the price, but customers would reduce consumption or shift to cheaper alternatives. Decreased sales quantity in certain divisions influenced income and net profit.</w:t>
      </w:r>
    </w:p>
    <w:p w14:paraId="34F9F739" w14:textId="77777777" w:rsidR="00A543B2" w:rsidRPr="006C54EB" w:rsidRDefault="00A543B2" w:rsidP="006C54EB">
      <w:pPr>
        <w:pStyle w:val="Heading2"/>
      </w:pPr>
      <w:bookmarkStart w:id="29" w:name="_Toc225065886"/>
      <w:bookmarkStart w:id="30" w:name="_Toc225111807"/>
      <w:r w:rsidRPr="00024249">
        <w:t>4.3 Supply Chain Disruptions</w:t>
      </w:r>
      <w:bookmarkEnd w:id="29"/>
      <w:bookmarkEnd w:id="30"/>
    </w:p>
    <w:p w14:paraId="748E126E" w14:textId="4B7011FE" w:rsidR="00A543B2" w:rsidRPr="00024249" w:rsidRDefault="00A543B2" w:rsidP="00A543B2">
      <w:pPr>
        <w:rPr>
          <w:sz w:val="20"/>
        </w:rPr>
      </w:pPr>
      <w:r w:rsidRPr="00024249">
        <w:rPr>
          <w:sz w:val="20"/>
        </w:rPr>
        <w:t xml:space="preserve">The global supply chain was under strain. Productivity was affected by delays in </w:t>
      </w:r>
      <w:r w:rsidR="00E0171A" w:rsidRPr="00024249">
        <w:rPr>
          <w:sz w:val="20"/>
        </w:rPr>
        <w:t>shipping;</w:t>
      </w:r>
      <w:r w:rsidRPr="00024249">
        <w:rPr>
          <w:sz w:val="20"/>
        </w:rPr>
        <w:t xml:space="preserve"> freight increases and unavailability of raw materials. The inventory turnover declined mildly and indicates slower turnover of goods. These issues increased operation costs and reduced operation effectiveness.</w:t>
      </w:r>
    </w:p>
    <w:p w14:paraId="0966062B" w14:textId="77777777" w:rsidR="00A543B2" w:rsidRPr="00024249" w:rsidRDefault="00A543B2" w:rsidP="00E0171A">
      <w:pPr>
        <w:pStyle w:val="Heading2"/>
        <w:rPr>
          <w:rFonts w:cs="Arial"/>
          <w:sz w:val="22"/>
          <w:szCs w:val="22"/>
        </w:rPr>
      </w:pPr>
      <w:bookmarkStart w:id="31" w:name="_Toc225065887"/>
      <w:bookmarkStart w:id="32" w:name="_Toc225111808"/>
      <w:r w:rsidRPr="00024249">
        <w:rPr>
          <w:rFonts w:cs="Arial"/>
          <w:sz w:val="22"/>
          <w:szCs w:val="22"/>
        </w:rPr>
        <w:t>4.4 Strategic Decisions</w:t>
      </w:r>
      <w:bookmarkEnd w:id="31"/>
      <w:bookmarkEnd w:id="32"/>
    </w:p>
    <w:p w14:paraId="2A074B02" w14:textId="77777777" w:rsidR="00A543B2" w:rsidRPr="00024249" w:rsidRDefault="00A543B2" w:rsidP="00A543B2">
      <w:pPr>
        <w:rPr>
          <w:sz w:val="20"/>
        </w:rPr>
      </w:pPr>
      <w:r w:rsidRPr="00024249">
        <w:rPr>
          <w:sz w:val="20"/>
        </w:rPr>
        <w:t>Unilever is restructuring itself to focus on growth opportunities such as personal care and beauty. Restructuring has negative short-term financial performance effects, although it favours long-term development. Capital intensiveness is diversifying non-core assets and investing in new product lines. Short-term returns that affect ROCE and profitability can decrease.</w:t>
      </w:r>
    </w:p>
    <w:p w14:paraId="74D545B8" w14:textId="77777777" w:rsidR="00A543B2" w:rsidRPr="006C54EB" w:rsidRDefault="00A543B2" w:rsidP="006C54EB">
      <w:pPr>
        <w:pStyle w:val="Heading1"/>
      </w:pPr>
      <w:bookmarkStart w:id="33" w:name="_Toc225065888"/>
      <w:bookmarkStart w:id="34" w:name="_Toc225111809"/>
      <w:r w:rsidRPr="00024249">
        <w:t>5. Recommendations</w:t>
      </w:r>
      <w:bookmarkEnd w:id="33"/>
      <w:bookmarkEnd w:id="34"/>
    </w:p>
    <w:p w14:paraId="34E09450" w14:textId="77777777" w:rsidR="00A543B2" w:rsidRPr="00024249" w:rsidRDefault="00A543B2" w:rsidP="00A543B2">
      <w:pPr>
        <w:rPr>
          <w:sz w:val="20"/>
        </w:rPr>
      </w:pPr>
      <w:r w:rsidRPr="00024249">
        <w:rPr>
          <w:sz w:val="20"/>
        </w:rPr>
        <w:t>The analysis indicates that several actions can be taken to improve the financial performance and sustainability of Unilever.</w:t>
      </w:r>
    </w:p>
    <w:p w14:paraId="26A68D44" w14:textId="77777777" w:rsidR="00A543B2" w:rsidRPr="006C54EB" w:rsidRDefault="00A543B2" w:rsidP="006C54EB">
      <w:pPr>
        <w:pStyle w:val="Heading2"/>
      </w:pPr>
      <w:bookmarkStart w:id="35" w:name="_Toc225065889"/>
      <w:bookmarkStart w:id="36" w:name="_Toc225111810"/>
      <w:r w:rsidRPr="00024249">
        <w:t>5.1 Cost Management</w:t>
      </w:r>
      <w:bookmarkEnd w:id="35"/>
      <w:bookmarkEnd w:id="36"/>
    </w:p>
    <w:p w14:paraId="5E863920" w14:textId="77777777" w:rsidR="00A543B2" w:rsidRPr="00024249" w:rsidRDefault="00A543B2" w:rsidP="00A543B2">
      <w:pPr>
        <w:rPr>
          <w:sz w:val="20"/>
        </w:rPr>
      </w:pPr>
      <w:r w:rsidRPr="00024249">
        <w:rPr>
          <w:sz w:val="20"/>
        </w:rPr>
        <w:t>Unilever should improve cost management. An efficient logistics chain will reduce the cost of logistics. The production cost can be reduced using digital technologies and automation. Production and distribution will be less wasteful, which will result in higher margins. The strategies used in procurement ought to be looked into on a regular basis.</w:t>
      </w:r>
    </w:p>
    <w:p w14:paraId="5E4A6F25" w14:textId="77777777" w:rsidR="00A543B2" w:rsidRPr="006C54EB" w:rsidRDefault="00A543B2" w:rsidP="006C54EB">
      <w:pPr>
        <w:pStyle w:val="Heading2"/>
      </w:pPr>
      <w:bookmarkStart w:id="37" w:name="_Toc225065890"/>
      <w:bookmarkStart w:id="38" w:name="_Toc225111811"/>
      <w:r w:rsidRPr="006C54EB">
        <w:lastRenderedPageBreak/>
        <w:t>5.2 Pricing Strategy Optimisation</w:t>
      </w:r>
      <w:bookmarkEnd w:id="37"/>
      <w:bookmarkEnd w:id="38"/>
    </w:p>
    <w:p w14:paraId="6896B535" w14:textId="77777777" w:rsidR="00A543B2" w:rsidRPr="00024249" w:rsidRDefault="00A543B2" w:rsidP="00A543B2">
      <w:pPr>
        <w:rPr>
          <w:sz w:val="20"/>
        </w:rPr>
      </w:pPr>
      <w:r w:rsidRPr="00024249">
        <w:rPr>
          <w:sz w:val="20"/>
        </w:rPr>
        <w:t>Price increase helps generate revenue on the one hand, and on the other hand, demand may be reduced. Unilever should adopt an average pricing strategy. Competitive pricing has the advantage of retaining customers through value propositions (</w:t>
      </w:r>
      <w:proofErr w:type="spellStart"/>
      <w:r w:rsidRPr="00024249">
        <w:rPr>
          <w:sz w:val="20"/>
        </w:rPr>
        <w:t>Muljopamudji</w:t>
      </w:r>
      <w:proofErr w:type="spellEnd"/>
      <w:r w:rsidRPr="00024249">
        <w:rPr>
          <w:sz w:val="20"/>
        </w:rPr>
        <w:t xml:space="preserve"> et al., 2025). This shall be done by continuous market research so as to counterbalance consumer expectations and prices. With price changes, demand can be promoted through the promotional methods.</w:t>
      </w:r>
    </w:p>
    <w:p w14:paraId="78B29921" w14:textId="77777777" w:rsidR="00A543B2" w:rsidRPr="006C54EB" w:rsidRDefault="00A543B2" w:rsidP="006C54EB">
      <w:pPr>
        <w:pStyle w:val="Heading2"/>
      </w:pPr>
      <w:bookmarkStart w:id="39" w:name="_Toc225065891"/>
      <w:bookmarkStart w:id="40" w:name="_Toc225111812"/>
      <w:r w:rsidRPr="006C54EB">
        <w:t>5.3 Improve Liquidity</w:t>
      </w:r>
      <w:bookmarkEnd w:id="39"/>
      <w:bookmarkEnd w:id="40"/>
    </w:p>
    <w:p w14:paraId="76A96FE3" w14:textId="77777777" w:rsidR="00A543B2" w:rsidRPr="00024249" w:rsidRDefault="00A543B2" w:rsidP="00A543B2">
      <w:pPr>
        <w:rPr>
          <w:sz w:val="20"/>
        </w:rPr>
      </w:pPr>
      <w:r w:rsidRPr="00024249">
        <w:rPr>
          <w:sz w:val="20"/>
        </w:rPr>
        <w:t>Unilever should manage the working capital more. Reduction of the receivable days and improvement of the cash collection will result in increased liquidity. Good inventory management ensures that money is not sitting in idle form. Financial stability will be enhanced as the monitoring of short-term obligations and cash flow forecasting will be improved.</w:t>
      </w:r>
    </w:p>
    <w:p w14:paraId="5D363CB1" w14:textId="77777777" w:rsidR="00A543B2" w:rsidRPr="006C54EB" w:rsidRDefault="00A543B2" w:rsidP="006C54EB">
      <w:pPr>
        <w:pStyle w:val="Heading2"/>
      </w:pPr>
      <w:bookmarkStart w:id="41" w:name="_Toc225065892"/>
      <w:bookmarkStart w:id="42" w:name="_Toc225111813"/>
      <w:r w:rsidRPr="006C54EB">
        <w:t>5.4 Debt Management</w:t>
      </w:r>
      <w:bookmarkEnd w:id="41"/>
      <w:bookmarkEnd w:id="42"/>
    </w:p>
    <w:p w14:paraId="04C33B6E" w14:textId="77777777" w:rsidR="00A543B2" w:rsidRPr="00024249" w:rsidRDefault="00A543B2" w:rsidP="00A543B2">
      <w:pPr>
        <w:rPr>
          <w:sz w:val="20"/>
        </w:rPr>
      </w:pPr>
      <w:r w:rsidRPr="00024249">
        <w:rPr>
          <w:sz w:val="20"/>
        </w:rPr>
        <w:t>The company should maintain vigilance on debt. Less interest and financial risk in borrowing will be made. Unilever needs to seek equal debt and equity financing. The company will only depend on the external borrowing to a lesser extent, which will improve the long-term stability.</w:t>
      </w:r>
    </w:p>
    <w:p w14:paraId="50CB985E" w14:textId="77777777" w:rsidR="00A543B2" w:rsidRPr="006C54EB" w:rsidRDefault="00A543B2" w:rsidP="006C54EB">
      <w:pPr>
        <w:pStyle w:val="Heading2"/>
      </w:pPr>
      <w:bookmarkStart w:id="43" w:name="_Toc225065893"/>
      <w:bookmarkStart w:id="44" w:name="_Toc225111814"/>
      <w:r w:rsidRPr="006C54EB">
        <w:t>5.5 Sustainability Investment</w:t>
      </w:r>
      <w:bookmarkEnd w:id="43"/>
      <w:bookmarkEnd w:id="44"/>
    </w:p>
    <w:p w14:paraId="2DA12AD6" w14:textId="77777777" w:rsidR="00A543B2" w:rsidRPr="00024249" w:rsidRDefault="00A543B2" w:rsidP="00A543B2">
      <w:pPr>
        <w:rPr>
          <w:sz w:val="20"/>
        </w:rPr>
      </w:pPr>
      <w:r w:rsidRPr="00024249">
        <w:rPr>
          <w:sz w:val="20"/>
        </w:rPr>
        <w:t>The consumer preference is directed to sustainability. Unilever should invest additionally in green practises. Sustainable packaging and lowering the carbon footprint increase the brand reputation by going green (Rani et al., 2025). Sustainable practises can drive environmentally conscious customers and competitiveness in the long term.</w:t>
      </w:r>
    </w:p>
    <w:p w14:paraId="1AF521AC" w14:textId="77777777" w:rsidR="00A543B2" w:rsidRPr="006C54EB" w:rsidRDefault="00A543B2" w:rsidP="006C54EB">
      <w:pPr>
        <w:pStyle w:val="Heading1"/>
      </w:pPr>
      <w:bookmarkStart w:id="45" w:name="_Toc225065894"/>
      <w:bookmarkStart w:id="46" w:name="_Toc225111815"/>
      <w:r w:rsidRPr="00024249">
        <w:t>6. Conclusion</w:t>
      </w:r>
      <w:bookmarkEnd w:id="45"/>
      <w:bookmarkEnd w:id="46"/>
    </w:p>
    <w:p w14:paraId="6E7F8CD0" w14:textId="35BC450B" w:rsidR="00881180" w:rsidRPr="00024249" w:rsidRDefault="00A543B2" w:rsidP="00A543B2">
      <w:pPr>
        <w:rPr>
          <w:sz w:val="20"/>
        </w:rPr>
      </w:pPr>
      <w:r w:rsidRPr="00024249">
        <w:rPr>
          <w:sz w:val="20"/>
        </w:rPr>
        <w:t>In conclusion, this report evaluated the financial performance of Unilever in 2022 and 2023 using the ratio analysis. The analysis shows that the revenue decreased slightly and profitability and efficiency decreased due to externalities, such as inflation, consumer behaviour changes, and supply chain disruption. However, Unilever is a strong company that earns steady revenue and fame globally. The areas to be improved according to the ratio analysis include liquidity management, cost control, and debt monitoring (</w:t>
      </w:r>
      <w:proofErr w:type="spellStart"/>
      <w:r w:rsidRPr="00024249">
        <w:rPr>
          <w:sz w:val="20"/>
        </w:rPr>
        <w:t>Alsulami</w:t>
      </w:r>
      <w:proofErr w:type="spellEnd"/>
      <w:r w:rsidRPr="00024249">
        <w:rPr>
          <w:sz w:val="20"/>
        </w:rPr>
        <w:t>, 2025). Unilever will be able to improve its financial results and operational efficiency and ensure long-term growth and sustainability in a competitive global market.</w:t>
      </w:r>
    </w:p>
    <w:p w14:paraId="74AD9A5B" w14:textId="77777777" w:rsidR="006C54EB" w:rsidRDefault="006C54EB">
      <w:pPr>
        <w:rPr>
          <w:rFonts w:eastAsiaTheme="majorEastAsia"/>
          <w:b/>
          <w:szCs w:val="24"/>
          <w:u w:val="single"/>
        </w:rPr>
      </w:pPr>
      <w:bookmarkStart w:id="47" w:name="_Toc225065895"/>
      <w:r>
        <w:rPr>
          <w:szCs w:val="24"/>
        </w:rPr>
        <w:br w:type="page"/>
      </w:r>
    </w:p>
    <w:p w14:paraId="2E4A0944" w14:textId="09E36BDC" w:rsidR="00881180" w:rsidRPr="00024249" w:rsidRDefault="00881180" w:rsidP="006C54EB">
      <w:pPr>
        <w:pStyle w:val="Heading1"/>
      </w:pPr>
      <w:bookmarkStart w:id="48" w:name="_Toc225111816"/>
      <w:r w:rsidRPr="00024249">
        <w:lastRenderedPageBreak/>
        <w:t>7. References</w:t>
      </w:r>
      <w:bookmarkEnd w:id="47"/>
      <w:bookmarkEnd w:id="48"/>
    </w:p>
    <w:p w14:paraId="2E443E72" w14:textId="77777777" w:rsidR="00E31BE5" w:rsidRPr="00024249" w:rsidRDefault="00E31BE5" w:rsidP="00E051BD">
      <w:proofErr w:type="spellStart"/>
      <w:r w:rsidRPr="00024249">
        <w:t>Alsulami</w:t>
      </w:r>
      <w:proofErr w:type="spellEnd"/>
      <w:r w:rsidRPr="00024249">
        <w:t xml:space="preserve">, F., 2025. Evaluating financial performance of airline companies through liquidity and debt ratios: An accounting approach. </w:t>
      </w:r>
      <w:r w:rsidRPr="00024249">
        <w:rPr>
          <w:i/>
          <w:iCs/>
        </w:rPr>
        <w:t>Risks</w:t>
      </w:r>
      <w:r w:rsidRPr="00024249">
        <w:t>, 13(4), p.63.</w:t>
      </w:r>
    </w:p>
    <w:p w14:paraId="0B1C6855" w14:textId="77777777" w:rsidR="00E31BE5" w:rsidRPr="00024249" w:rsidRDefault="00E31BE5" w:rsidP="00E051BD">
      <w:proofErr w:type="spellStart"/>
      <w:r w:rsidRPr="00024249">
        <w:t>Dziewanowska</w:t>
      </w:r>
      <w:proofErr w:type="spellEnd"/>
      <w:r w:rsidRPr="00024249">
        <w:t xml:space="preserve">, K., Kacprzak, A., </w:t>
      </w:r>
      <w:proofErr w:type="spellStart"/>
      <w:r w:rsidRPr="00024249">
        <w:t>Pfajfar</w:t>
      </w:r>
      <w:proofErr w:type="spellEnd"/>
      <w:r w:rsidRPr="00024249">
        <w:t xml:space="preserve">, G. &amp; Kéri, A., 2025. Navigating economic crises in central and Eastern Europe: Consumer coping strategies and resilience. </w:t>
      </w:r>
      <w:r w:rsidRPr="00024249">
        <w:rPr>
          <w:i/>
          <w:iCs/>
        </w:rPr>
        <w:t>International Journal of Emerging Markets</w:t>
      </w:r>
      <w:r w:rsidRPr="00024249">
        <w:t>, pp.1–26.</w:t>
      </w:r>
    </w:p>
    <w:p w14:paraId="5BDB3698" w14:textId="77777777" w:rsidR="00E31BE5" w:rsidRPr="00024249" w:rsidRDefault="00E31BE5" w:rsidP="00E051BD">
      <w:r w:rsidRPr="00024249">
        <w:t xml:space="preserve">Jota, A.L., </w:t>
      </w:r>
      <w:proofErr w:type="spellStart"/>
      <w:r w:rsidRPr="00024249">
        <w:t>Sumirat</w:t>
      </w:r>
      <w:proofErr w:type="spellEnd"/>
      <w:r w:rsidRPr="00024249">
        <w:t xml:space="preserve">, E.A. &amp; Sukarno, S., 2025. Stock valuation of PT Unilever Indonesia </w:t>
      </w:r>
      <w:proofErr w:type="spellStart"/>
      <w:r w:rsidRPr="00024249">
        <w:t>Tbk</w:t>
      </w:r>
      <w:proofErr w:type="spellEnd"/>
      <w:r w:rsidRPr="00024249">
        <w:t xml:space="preserve">: Assessing financial impact of economic and industry pressures in the FMCG sector. </w:t>
      </w:r>
      <w:proofErr w:type="spellStart"/>
      <w:r w:rsidRPr="00024249">
        <w:rPr>
          <w:i/>
          <w:iCs/>
        </w:rPr>
        <w:t>Jurnal</w:t>
      </w:r>
      <w:proofErr w:type="spellEnd"/>
      <w:r w:rsidRPr="00024249">
        <w:rPr>
          <w:i/>
          <w:iCs/>
        </w:rPr>
        <w:t xml:space="preserve"> </w:t>
      </w:r>
      <w:proofErr w:type="spellStart"/>
      <w:r w:rsidRPr="00024249">
        <w:rPr>
          <w:i/>
          <w:iCs/>
        </w:rPr>
        <w:t>Impresi</w:t>
      </w:r>
      <w:proofErr w:type="spellEnd"/>
      <w:r w:rsidRPr="00024249">
        <w:rPr>
          <w:i/>
          <w:iCs/>
        </w:rPr>
        <w:t xml:space="preserve"> Indonesia</w:t>
      </w:r>
      <w:r w:rsidRPr="00024249">
        <w:t>, 4(6), pp.2252–2266.</w:t>
      </w:r>
    </w:p>
    <w:p w14:paraId="03CA3FC6" w14:textId="77777777" w:rsidR="00E31BE5" w:rsidRPr="00024249" w:rsidRDefault="00E31BE5" w:rsidP="00E051BD">
      <w:proofErr w:type="spellStart"/>
      <w:r w:rsidRPr="00024249">
        <w:t>Jeyaprabha</w:t>
      </w:r>
      <w:proofErr w:type="spellEnd"/>
      <w:r w:rsidRPr="00024249">
        <w:t xml:space="preserve">, B., Kumar, S.R., Bolla, R.L., Bhatt, A.S., Sera, R.J. &amp; Arora, K., 2025, February. Data-driven decision making in management: Leveraging big data analytics for strategic planning. In: </w:t>
      </w:r>
      <w:r w:rsidRPr="00024249">
        <w:rPr>
          <w:i/>
          <w:iCs/>
        </w:rPr>
        <w:t>2025 First International Conference on Advances in Computer Science, Electrical, Electronics, and Communication Technologies (CE2CT)</w:t>
      </w:r>
      <w:r w:rsidRPr="00024249">
        <w:t>, pp.1000–1003. IEEE.</w:t>
      </w:r>
    </w:p>
    <w:p w14:paraId="00FD42EF" w14:textId="77777777" w:rsidR="00E31BE5" w:rsidRPr="00024249" w:rsidRDefault="00E31BE5" w:rsidP="00E051BD">
      <w:proofErr w:type="spellStart"/>
      <w:r w:rsidRPr="00024249">
        <w:t>Muljopamudji</w:t>
      </w:r>
      <w:proofErr w:type="spellEnd"/>
      <w:r w:rsidRPr="00024249">
        <w:t xml:space="preserve">, T., Rasyad, D.S., FST, A.H., </w:t>
      </w:r>
      <w:proofErr w:type="spellStart"/>
      <w:r w:rsidRPr="00024249">
        <w:t>Kustiawan</w:t>
      </w:r>
      <w:proofErr w:type="spellEnd"/>
      <w:r w:rsidRPr="00024249">
        <w:t xml:space="preserve">, U., Iskandar, M.D. &amp; Hamdi, E., 2025. Analysis of Value Proposition Canvas and Lean Business Canvas for marketing strategy development, operations, and human resources in EDU Smarty Generation tutoring in Tangerang Indonesia. </w:t>
      </w:r>
      <w:proofErr w:type="spellStart"/>
      <w:r w:rsidRPr="00024249">
        <w:rPr>
          <w:i/>
          <w:iCs/>
        </w:rPr>
        <w:t>Jurnal</w:t>
      </w:r>
      <w:proofErr w:type="spellEnd"/>
      <w:r w:rsidRPr="00024249">
        <w:rPr>
          <w:i/>
          <w:iCs/>
        </w:rPr>
        <w:t xml:space="preserve"> Indonesia Sosial </w:t>
      </w:r>
      <w:proofErr w:type="spellStart"/>
      <w:r w:rsidRPr="00024249">
        <w:rPr>
          <w:i/>
          <w:iCs/>
        </w:rPr>
        <w:t>Teknologi</w:t>
      </w:r>
      <w:proofErr w:type="spellEnd"/>
      <w:r w:rsidRPr="00024249">
        <w:t>, 6(1).</w:t>
      </w:r>
    </w:p>
    <w:p w14:paraId="0EFD808D" w14:textId="77777777" w:rsidR="00E31BE5" w:rsidRPr="00024249" w:rsidRDefault="00E31BE5" w:rsidP="00E051BD">
      <w:r w:rsidRPr="00024249">
        <w:t xml:space="preserve">Nawawi, N., 2025. Analysis of financial statements to assess financial performance: Empirical study of PT. Unilever Indonesia </w:t>
      </w:r>
      <w:proofErr w:type="spellStart"/>
      <w:r w:rsidRPr="00024249">
        <w:t>Tbk</w:t>
      </w:r>
      <w:proofErr w:type="spellEnd"/>
      <w:r w:rsidRPr="00024249">
        <w:t xml:space="preserve">. </w:t>
      </w:r>
      <w:r w:rsidRPr="00024249">
        <w:rPr>
          <w:i/>
          <w:iCs/>
        </w:rPr>
        <w:t>Golden Ratio of Data in Summary</w:t>
      </w:r>
      <w:r w:rsidRPr="00024249">
        <w:t>, 5(1), pp.56–63.</w:t>
      </w:r>
    </w:p>
    <w:p w14:paraId="2E395DC4" w14:textId="77777777" w:rsidR="00E31BE5" w:rsidRPr="00024249" w:rsidRDefault="00E31BE5" w:rsidP="00E051BD">
      <w:r w:rsidRPr="00024249">
        <w:t xml:space="preserve">Rani, N., Maheshwari, S. &amp; Sharma, M.K., 2025. A sustainable inventory model: Integrating eco-packaging, advertising, and pricing strategies under carbon tax policies. </w:t>
      </w:r>
      <w:r w:rsidRPr="00024249">
        <w:rPr>
          <w:i/>
          <w:iCs/>
        </w:rPr>
        <w:t>International Journal of System Assurance Engineering and Management</w:t>
      </w:r>
      <w:r w:rsidRPr="00024249">
        <w:t>, 16(3), pp.1339–1356.</w:t>
      </w:r>
    </w:p>
    <w:p w14:paraId="69CF048D" w14:textId="77777777" w:rsidR="00E31BE5" w:rsidRPr="00024249" w:rsidRDefault="00E31BE5" w:rsidP="00E051BD">
      <w:r w:rsidRPr="00024249">
        <w:t xml:space="preserve">Suciati, S., 2025. The role of customer payment trends in shaping cash flow forecasts for digital commerce businesses. </w:t>
      </w:r>
      <w:r w:rsidRPr="00024249">
        <w:rPr>
          <w:i/>
          <w:iCs/>
        </w:rPr>
        <w:t>Journal of Social Commerce</w:t>
      </w:r>
      <w:r w:rsidRPr="00024249">
        <w:t>, 5(1), pp.16–31.</w:t>
      </w:r>
    </w:p>
    <w:p w14:paraId="45EE7D56" w14:textId="77777777" w:rsidR="00E31BE5" w:rsidRPr="00024249" w:rsidRDefault="00E31BE5" w:rsidP="00E051BD">
      <w:r w:rsidRPr="00024249">
        <w:t xml:space="preserve">Toker, T., 2025. The operating profit flow method as a profitability analysis tool for hospitality enterprises. </w:t>
      </w:r>
      <w:r w:rsidRPr="00024249">
        <w:rPr>
          <w:i/>
          <w:iCs/>
        </w:rPr>
        <w:t>International Journal of Hospitality Management</w:t>
      </w:r>
      <w:r w:rsidRPr="00024249">
        <w:t>, 125, p.103997.</w:t>
      </w:r>
    </w:p>
    <w:p w14:paraId="79B0DC22" w14:textId="77777777" w:rsidR="00A543B2" w:rsidRPr="00024249" w:rsidRDefault="00A543B2" w:rsidP="00E051BD"/>
    <w:sectPr w:rsidR="00A543B2" w:rsidRPr="00024249" w:rsidSect="00406C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574E"/>
    <w:multiLevelType w:val="multilevel"/>
    <w:tmpl w:val="4D260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541D6"/>
    <w:multiLevelType w:val="multilevel"/>
    <w:tmpl w:val="D008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16DEE"/>
    <w:multiLevelType w:val="multilevel"/>
    <w:tmpl w:val="485C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22298"/>
    <w:multiLevelType w:val="multilevel"/>
    <w:tmpl w:val="95A2D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383423"/>
    <w:multiLevelType w:val="multilevel"/>
    <w:tmpl w:val="BEBEF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737AC"/>
    <w:multiLevelType w:val="multilevel"/>
    <w:tmpl w:val="0C322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0641D"/>
    <w:multiLevelType w:val="multilevel"/>
    <w:tmpl w:val="17D48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B30BFF"/>
    <w:multiLevelType w:val="multilevel"/>
    <w:tmpl w:val="BBB47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26CF6"/>
    <w:multiLevelType w:val="multilevel"/>
    <w:tmpl w:val="DFBE3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FA3D2F"/>
    <w:multiLevelType w:val="multilevel"/>
    <w:tmpl w:val="CE7A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4A26E5"/>
    <w:multiLevelType w:val="multilevel"/>
    <w:tmpl w:val="9822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E2827"/>
    <w:multiLevelType w:val="multilevel"/>
    <w:tmpl w:val="55FAA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9B1DFB"/>
    <w:multiLevelType w:val="multilevel"/>
    <w:tmpl w:val="C5446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F63F81"/>
    <w:multiLevelType w:val="multilevel"/>
    <w:tmpl w:val="F3BC2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8672FA"/>
    <w:multiLevelType w:val="multilevel"/>
    <w:tmpl w:val="404AC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30596D"/>
    <w:multiLevelType w:val="multilevel"/>
    <w:tmpl w:val="FEDAB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ED50A3"/>
    <w:multiLevelType w:val="multilevel"/>
    <w:tmpl w:val="64BE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97622"/>
    <w:multiLevelType w:val="hybridMultilevel"/>
    <w:tmpl w:val="FBE0510E"/>
    <w:lvl w:ilvl="0" w:tplc="1398ECE6">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F41A64"/>
    <w:multiLevelType w:val="multilevel"/>
    <w:tmpl w:val="57B64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19029C"/>
    <w:multiLevelType w:val="multilevel"/>
    <w:tmpl w:val="9808F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C34390"/>
    <w:multiLevelType w:val="multilevel"/>
    <w:tmpl w:val="72C8C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FB1D98"/>
    <w:multiLevelType w:val="hybridMultilevel"/>
    <w:tmpl w:val="74C8A03C"/>
    <w:lvl w:ilvl="0" w:tplc="12AE1F62">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9C97FCC"/>
    <w:multiLevelType w:val="multilevel"/>
    <w:tmpl w:val="028A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2849B4"/>
    <w:multiLevelType w:val="multilevel"/>
    <w:tmpl w:val="83EC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140690"/>
    <w:multiLevelType w:val="multilevel"/>
    <w:tmpl w:val="BEBE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BD1747"/>
    <w:multiLevelType w:val="hybridMultilevel"/>
    <w:tmpl w:val="F4B8FACC"/>
    <w:lvl w:ilvl="0" w:tplc="6450DAB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A14214"/>
    <w:multiLevelType w:val="multilevel"/>
    <w:tmpl w:val="71E01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076237">
    <w:abstractNumId w:val="1"/>
  </w:num>
  <w:num w:numId="2" w16cid:durableId="457645093">
    <w:abstractNumId w:val="7"/>
  </w:num>
  <w:num w:numId="3" w16cid:durableId="361394903">
    <w:abstractNumId w:val="8"/>
  </w:num>
  <w:num w:numId="4" w16cid:durableId="703946835">
    <w:abstractNumId w:val="14"/>
  </w:num>
  <w:num w:numId="5" w16cid:durableId="430704864">
    <w:abstractNumId w:val="16"/>
  </w:num>
  <w:num w:numId="6" w16cid:durableId="570503574">
    <w:abstractNumId w:val="13"/>
  </w:num>
  <w:num w:numId="7" w16cid:durableId="1752503700">
    <w:abstractNumId w:val="20"/>
  </w:num>
  <w:num w:numId="8" w16cid:durableId="1938096294">
    <w:abstractNumId w:val="9"/>
  </w:num>
  <w:num w:numId="9" w16cid:durableId="1491752210">
    <w:abstractNumId w:val="18"/>
  </w:num>
  <w:num w:numId="10" w16cid:durableId="1048794634">
    <w:abstractNumId w:val="3"/>
  </w:num>
  <w:num w:numId="11" w16cid:durableId="532034032">
    <w:abstractNumId w:val="19"/>
  </w:num>
  <w:num w:numId="12" w16cid:durableId="1717462032">
    <w:abstractNumId w:val="26"/>
  </w:num>
  <w:num w:numId="13" w16cid:durableId="1831170220">
    <w:abstractNumId w:val="10"/>
  </w:num>
  <w:num w:numId="14" w16cid:durableId="2071151701">
    <w:abstractNumId w:val="2"/>
  </w:num>
  <w:num w:numId="15" w16cid:durableId="824396244">
    <w:abstractNumId w:val="5"/>
  </w:num>
  <w:num w:numId="16" w16cid:durableId="1867136367">
    <w:abstractNumId w:val="4"/>
  </w:num>
  <w:num w:numId="17" w16cid:durableId="680089880">
    <w:abstractNumId w:val="12"/>
  </w:num>
  <w:num w:numId="18" w16cid:durableId="625701513">
    <w:abstractNumId w:val="24"/>
  </w:num>
  <w:num w:numId="19" w16cid:durableId="1917746093">
    <w:abstractNumId w:val="11"/>
  </w:num>
  <w:num w:numId="20" w16cid:durableId="608588651">
    <w:abstractNumId w:val="23"/>
  </w:num>
  <w:num w:numId="21" w16cid:durableId="597448709">
    <w:abstractNumId w:val="6"/>
  </w:num>
  <w:num w:numId="22" w16cid:durableId="448551467">
    <w:abstractNumId w:val="0"/>
  </w:num>
  <w:num w:numId="23" w16cid:durableId="1963923109">
    <w:abstractNumId w:val="22"/>
  </w:num>
  <w:num w:numId="24" w16cid:durableId="8988754">
    <w:abstractNumId w:val="15"/>
  </w:num>
  <w:num w:numId="25" w16cid:durableId="928193630">
    <w:abstractNumId w:val="21"/>
  </w:num>
  <w:num w:numId="26" w16cid:durableId="1491676680">
    <w:abstractNumId w:val="25"/>
  </w:num>
  <w:num w:numId="27" w16cid:durableId="17869986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81D"/>
    <w:rsid w:val="00024249"/>
    <w:rsid w:val="00053016"/>
    <w:rsid w:val="00077360"/>
    <w:rsid w:val="000B6E00"/>
    <w:rsid w:val="0010402D"/>
    <w:rsid w:val="00145A72"/>
    <w:rsid w:val="001F4EFC"/>
    <w:rsid w:val="00246AC4"/>
    <w:rsid w:val="00260731"/>
    <w:rsid w:val="002F7BB0"/>
    <w:rsid w:val="00327BAC"/>
    <w:rsid w:val="00396BB4"/>
    <w:rsid w:val="003F3F9B"/>
    <w:rsid w:val="00406C75"/>
    <w:rsid w:val="00407DD4"/>
    <w:rsid w:val="00413268"/>
    <w:rsid w:val="00460415"/>
    <w:rsid w:val="00502C9A"/>
    <w:rsid w:val="00557981"/>
    <w:rsid w:val="00566DEB"/>
    <w:rsid w:val="00581947"/>
    <w:rsid w:val="0058574F"/>
    <w:rsid w:val="005B01FF"/>
    <w:rsid w:val="0060081D"/>
    <w:rsid w:val="00630256"/>
    <w:rsid w:val="00644C52"/>
    <w:rsid w:val="006547E1"/>
    <w:rsid w:val="006C54EB"/>
    <w:rsid w:val="00784DDC"/>
    <w:rsid w:val="00794951"/>
    <w:rsid w:val="007B7235"/>
    <w:rsid w:val="007F4283"/>
    <w:rsid w:val="00817077"/>
    <w:rsid w:val="00881180"/>
    <w:rsid w:val="008A1E0B"/>
    <w:rsid w:val="00940DAF"/>
    <w:rsid w:val="009835EE"/>
    <w:rsid w:val="0099237C"/>
    <w:rsid w:val="009A2068"/>
    <w:rsid w:val="009C4BD2"/>
    <w:rsid w:val="009F0757"/>
    <w:rsid w:val="00A543B2"/>
    <w:rsid w:val="00AA1D40"/>
    <w:rsid w:val="00B7133B"/>
    <w:rsid w:val="00BA5A70"/>
    <w:rsid w:val="00BC0277"/>
    <w:rsid w:val="00C61767"/>
    <w:rsid w:val="00C820B2"/>
    <w:rsid w:val="00CA5541"/>
    <w:rsid w:val="00CB29A0"/>
    <w:rsid w:val="00CD32A9"/>
    <w:rsid w:val="00CE7D88"/>
    <w:rsid w:val="00D639FE"/>
    <w:rsid w:val="00D849A4"/>
    <w:rsid w:val="00E0171A"/>
    <w:rsid w:val="00E051BD"/>
    <w:rsid w:val="00E31BE5"/>
    <w:rsid w:val="00E34404"/>
    <w:rsid w:val="00EA0784"/>
    <w:rsid w:val="00F10CA5"/>
    <w:rsid w:val="00F16253"/>
    <w:rsid w:val="00F63FA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72A77"/>
  <w15:chartTrackingRefBased/>
  <w15:docId w15:val="{72D1484F-8BBC-4D5F-BF2E-073636904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18"/>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2A9"/>
  </w:style>
  <w:style w:type="paragraph" w:styleId="Heading1">
    <w:name w:val="heading 1"/>
    <w:basedOn w:val="Normal"/>
    <w:next w:val="Normal"/>
    <w:link w:val="Heading1Char"/>
    <w:uiPriority w:val="9"/>
    <w:qFormat/>
    <w:rsid w:val="00AA1D40"/>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9A2068"/>
    <w:pPr>
      <w:keepNext/>
      <w:keepLines/>
      <w:spacing w:line="240" w:lineRule="auto"/>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460415"/>
    <w:pPr>
      <w:keepNext/>
      <w:keepLines/>
      <w:spacing w:line="240" w:lineRule="auto"/>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60081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008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08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081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081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D40"/>
    <w:rPr>
      <w:rFonts w:ascii="Arial" w:eastAsiaTheme="majorEastAsia" w:hAnsi="Arial" w:cstheme="majorBidi"/>
      <w:b/>
      <w:sz w:val="28"/>
      <w:szCs w:val="32"/>
      <w:u w:val="single"/>
    </w:rPr>
  </w:style>
  <w:style w:type="character" w:customStyle="1" w:styleId="Heading2Char">
    <w:name w:val="Heading 2 Char"/>
    <w:basedOn w:val="DefaultParagraphFont"/>
    <w:link w:val="Heading2"/>
    <w:uiPriority w:val="9"/>
    <w:rsid w:val="009A2068"/>
    <w:rPr>
      <w:rFonts w:eastAsiaTheme="majorEastAsia" w:cstheme="majorBidi"/>
      <w:b/>
      <w:i/>
      <w:sz w:val="24"/>
      <w:szCs w:val="26"/>
    </w:rPr>
  </w:style>
  <w:style w:type="character" w:customStyle="1" w:styleId="Heading3Char">
    <w:name w:val="Heading 3 Char"/>
    <w:basedOn w:val="DefaultParagraphFont"/>
    <w:link w:val="Heading3"/>
    <w:uiPriority w:val="9"/>
    <w:rsid w:val="00460415"/>
    <w:rPr>
      <w:rFonts w:eastAsiaTheme="majorEastAsia" w:cstheme="majorBidi"/>
      <w:b/>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paragraph" w:styleId="TOC1">
    <w:name w:val="toc 1"/>
    <w:basedOn w:val="Normal"/>
    <w:next w:val="Normal"/>
    <w:autoRedefine/>
    <w:uiPriority w:val="39"/>
    <w:unhideWhenUsed/>
    <w:rsid w:val="00145A72"/>
    <w:pPr>
      <w:spacing w:after="100"/>
    </w:pPr>
    <w:rPr>
      <w:color w:val="000000" w:themeColor="text1"/>
    </w:rPr>
  </w:style>
  <w:style w:type="paragraph" w:customStyle="1" w:styleId="Style1">
    <w:name w:val="Style1"/>
    <w:basedOn w:val="TOCHeading"/>
    <w:link w:val="Style1Char"/>
    <w:rsid w:val="00327BAC"/>
    <w:rPr>
      <w:rFonts w:ascii="Times New Roman" w:hAnsi="Times New Roman"/>
      <w:b/>
      <w:color w:val="000000" w:themeColor="text1"/>
      <w:kern w:val="0"/>
      <w:sz w:val="28"/>
      <w:lang w:val="en-US"/>
      <w14:ligatures w14:val="none"/>
    </w:rPr>
  </w:style>
  <w:style w:type="character" w:customStyle="1" w:styleId="Style1Char">
    <w:name w:val="Style1 Char"/>
    <w:basedOn w:val="DefaultParagraphFont"/>
    <w:link w:val="Style1"/>
    <w:rsid w:val="00327BAC"/>
    <w:rPr>
      <w:rFonts w:ascii="Times New Roman" w:eastAsiaTheme="majorEastAsia" w:hAnsi="Times New Roman" w:cstheme="majorBidi"/>
      <w:b/>
      <w:color w:val="000000" w:themeColor="text1"/>
      <w:kern w:val="0"/>
      <w:sz w:val="28"/>
      <w:szCs w:val="32"/>
      <w:lang w:val="en-US"/>
      <w14:ligatures w14:val="none"/>
    </w:rPr>
  </w:style>
  <w:style w:type="paragraph" w:styleId="TOCHeading">
    <w:name w:val="TOC Heading"/>
    <w:basedOn w:val="Heading1"/>
    <w:next w:val="Normal"/>
    <w:uiPriority w:val="39"/>
    <w:unhideWhenUsed/>
    <w:qFormat/>
    <w:rsid w:val="00327BAC"/>
    <w:pPr>
      <w:outlineLvl w:val="9"/>
    </w:pPr>
    <w:rPr>
      <w:rFonts w:asciiTheme="majorHAnsi" w:hAnsiTheme="majorHAnsi"/>
      <w:b w:val="0"/>
      <w:color w:val="2F5496" w:themeColor="accent1" w:themeShade="BF"/>
      <w:sz w:val="32"/>
    </w:rPr>
  </w:style>
  <w:style w:type="paragraph" w:customStyle="1" w:styleId="H">
    <w:name w:val="H"/>
    <w:basedOn w:val="Heading1"/>
    <w:link w:val="HChar"/>
    <w:rsid w:val="009835EE"/>
    <w:rPr>
      <w:b w:val="0"/>
      <w:color w:val="000000" w:themeColor="text1"/>
      <w:kern w:val="0"/>
      <w:lang w:val="en-US"/>
      <w14:ligatures w14:val="none"/>
    </w:rPr>
  </w:style>
  <w:style w:type="character" w:customStyle="1" w:styleId="HChar">
    <w:name w:val="H Char"/>
    <w:basedOn w:val="DefaultParagraphFont"/>
    <w:link w:val="H"/>
    <w:rsid w:val="009835EE"/>
    <w:rPr>
      <w:rFonts w:ascii="Times New Roman" w:eastAsiaTheme="majorEastAsia" w:hAnsi="Times New Roman" w:cstheme="majorBidi"/>
      <w:color w:val="000000" w:themeColor="text1"/>
      <w:kern w:val="0"/>
      <w:sz w:val="28"/>
      <w:szCs w:val="32"/>
      <w:lang w:val="en-US"/>
      <w14:ligatures w14:val="none"/>
    </w:rPr>
  </w:style>
  <w:style w:type="character" w:customStyle="1" w:styleId="Heading5Char">
    <w:name w:val="Heading 5 Char"/>
    <w:basedOn w:val="DefaultParagraphFont"/>
    <w:link w:val="Heading5"/>
    <w:uiPriority w:val="9"/>
    <w:semiHidden/>
    <w:rsid w:val="0060081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0081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0081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0081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0081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0081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8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81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8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8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0081D"/>
    <w:rPr>
      <w:rFonts w:ascii="Times New Roman" w:hAnsi="Times New Roman"/>
      <w:i/>
      <w:iCs/>
      <w:color w:val="404040" w:themeColor="text1" w:themeTint="BF"/>
      <w:sz w:val="24"/>
    </w:rPr>
  </w:style>
  <w:style w:type="paragraph" w:styleId="ListParagraph">
    <w:name w:val="List Paragraph"/>
    <w:basedOn w:val="Normal"/>
    <w:uiPriority w:val="34"/>
    <w:qFormat/>
    <w:rsid w:val="0060081D"/>
    <w:pPr>
      <w:ind w:left="720"/>
      <w:contextualSpacing/>
    </w:pPr>
  </w:style>
  <w:style w:type="character" w:styleId="IntenseEmphasis">
    <w:name w:val="Intense Emphasis"/>
    <w:basedOn w:val="DefaultParagraphFont"/>
    <w:uiPriority w:val="21"/>
    <w:qFormat/>
    <w:rsid w:val="0060081D"/>
    <w:rPr>
      <w:i/>
      <w:iCs/>
      <w:color w:val="2F5496" w:themeColor="accent1" w:themeShade="BF"/>
    </w:rPr>
  </w:style>
  <w:style w:type="paragraph" w:styleId="IntenseQuote">
    <w:name w:val="Intense Quote"/>
    <w:basedOn w:val="Normal"/>
    <w:next w:val="Normal"/>
    <w:link w:val="IntenseQuoteChar"/>
    <w:uiPriority w:val="30"/>
    <w:qFormat/>
    <w:rsid w:val="006008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081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0081D"/>
    <w:rPr>
      <w:b/>
      <w:bCs/>
      <w:smallCaps/>
      <w:color w:val="2F5496" w:themeColor="accent1" w:themeShade="BF"/>
      <w:spacing w:val="5"/>
    </w:rPr>
  </w:style>
  <w:style w:type="table" w:styleId="TableGrid">
    <w:name w:val="Table Grid"/>
    <w:basedOn w:val="TableNormal"/>
    <w:uiPriority w:val="39"/>
    <w:rsid w:val="000B6E0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30256"/>
    <w:pPr>
      <w:spacing w:after="100"/>
      <w:ind w:left="240"/>
    </w:pPr>
  </w:style>
  <w:style w:type="character" w:styleId="Hyperlink">
    <w:name w:val="Hyperlink"/>
    <w:basedOn w:val="DefaultParagraphFont"/>
    <w:uiPriority w:val="99"/>
    <w:unhideWhenUsed/>
    <w:rsid w:val="00630256"/>
    <w:rPr>
      <w:color w:val="0563C1" w:themeColor="hyperlink"/>
      <w:u w:val="single"/>
    </w:rPr>
  </w:style>
  <w:style w:type="paragraph" w:styleId="NoSpacing">
    <w:name w:val="No Spacing"/>
    <w:uiPriority w:val="1"/>
    <w:qFormat/>
    <w:rsid w:val="00460415"/>
    <w:pPr>
      <w:spacing w:before="0" w:after="0" w:line="240" w:lineRule="auto"/>
    </w:pPr>
  </w:style>
  <w:style w:type="paragraph" w:styleId="TOC3">
    <w:name w:val="toc 3"/>
    <w:basedOn w:val="Normal"/>
    <w:next w:val="Normal"/>
    <w:autoRedefine/>
    <w:uiPriority w:val="39"/>
    <w:unhideWhenUsed/>
    <w:rsid w:val="00E051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461264">
      <w:bodyDiv w:val="1"/>
      <w:marLeft w:val="0"/>
      <w:marRight w:val="0"/>
      <w:marTop w:val="0"/>
      <w:marBottom w:val="0"/>
      <w:divBdr>
        <w:top w:val="none" w:sz="0" w:space="0" w:color="auto"/>
        <w:left w:val="none" w:sz="0" w:space="0" w:color="auto"/>
        <w:bottom w:val="none" w:sz="0" w:space="0" w:color="auto"/>
        <w:right w:val="none" w:sz="0" w:space="0" w:color="auto"/>
      </w:divBdr>
    </w:div>
    <w:div w:id="239877566">
      <w:bodyDiv w:val="1"/>
      <w:marLeft w:val="0"/>
      <w:marRight w:val="0"/>
      <w:marTop w:val="0"/>
      <w:marBottom w:val="0"/>
      <w:divBdr>
        <w:top w:val="none" w:sz="0" w:space="0" w:color="auto"/>
        <w:left w:val="none" w:sz="0" w:space="0" w:color="auto"/>
        <w:bottom w:val="none" w:sz="0" w:space="0" w:color="auto"/>
        <w:right w:val="none" w:sz="0" w:space="0" w:color="auto"/>
      </w:divBdr>
    </w:div>
    <w:div w:id="290018468">
      <w:bodyDiv w:val="1"/>
      <w:marLeft w:val="0"/>
      <w:marRight w:val="0"/>
      <w:marTop w:val="0"/>
      <w:marBottom w:val="0"/>
      <w:divBdr>
        <w:top w:val="none" w:sz="0" w:space="0" w:color="auto"/>
        <w:left w:val="none" w:sz="0" w:space="0" w:color="auto"/>
        <w:bottom w:val="none" w:sz="0" w:space="0" w:color="auto"/>
        <w:right w:val="none" w:sz="0" w:space="0" w:color="auto"/>
      </w:divBdr>
    </w:div>
    <w:div w:id="437070393">
      <w:bodyDiv w:val="1"/>
      <w:marLeft w:val="0"/>
      <w:marRight w:val="0"/>
      <w:marTop w:val="0"/>
      <w:marBottom w:val="0"/>
      <w:divBdr>
        <w:top w:val="none" w:sz="0" w:space="0" w:color="auto"/>
        <w:left w:val="none" w:sz="0" w:space="0" w:color="auto"/>
        <w:bottom w:val="none" w:sz="0" w:space="0" w:color="auto"/>
        <w:right w:val="none" w:sz="0" w:space="0" w:color="auto"/>
      </w:divBdr>
    </w:div>
    <w:div w:id="654844483">
      <w:bodyDiv w:val="1"/>
      <w:marLeft w:val="0"/>
      <w:marRight w:val="0"/>
      <w:marTop w:val="0"/>
      <w:marBottom w:val="0"/>
      <w:divBdr>
        <w:top w:val="none" w:sz="0" w:space="0" w:color="auto"/>
        <w:left w:val="none" w:sz="0" w:space="0" w:color="auto"/>
        <w:bottom w:val="none" w:sz="0" w:space="0" w:color="auto"/>
        <w:right w:val="none" w:sz="0" w:space="0" w:color="auto"/>
      </w:divBdr>
    </w:div>
    <w:div w:id="1015811229">
      <w:bodyDiv w:val="1"/>
      <w:marLeft w:val="0"/>
      <w:marRight w:val="0"/>
      <w:marTop w:val="0"/>
      <w:marBottom w:val="0"/>
      <w:divBdr>
        <w:top w:val="none" w:sz="0" w:space="0" w:color="auto"/>
        <w:left w:val="none" w:sz="0" w:space="0" w:color="auto"/>
        <w:bottom w:val="none" w:sz="0" w:space="0" w:color="auto"/>
        <w:right w:val="none" w:sz="0" w:space="0" w:color="auto"/>
      </w:divBdr>
    </w:div>
    <w:div w:id="1035151960">
      <w:bodyDiv w:val="1"/>
      <w:marLeft w:val="0"/>
      <w:marRight w:val="0"/>
      <w:marTop w:val="0"/>
      <w:marBottom w:val="0"/>
      <w:divBdr>
        <w:top w:val="none" w:sz="0" w:space="0" w:color="auto"/>
        <w:left w:val="none" w:sz="0" w:space="0" w:color="auto"/>
        <w:bottom w:val="none" w:sz="0" w:space="0" w:color="auto"/>
        <w:right w:val="none" w:sz="0" w:space="0" w:color="auto"/>
      </w:divBdr>
    </w:div>
    <w:div w:id="155608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9AD17-08EE-41C2-968C-3E33B7992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1928</Words>
  <Characters>10992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Lidia Antonache (2025569)</cp:lastModifiedBy>
  <cp:revision>2</cp:revision>
  <dcterms:created xsi:type="dcterms:W3CDTF">2026-04-28T18:53:00Z</dcterms:created>
  <dcterms:modified xsi:type="dcterms:W3CDTF">2026-04-28T18:53:00Z</dcterms:modified>
</cp:coreProperties>
</file>