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385A2B" w14:textId="4AF5C2A1" w:rsidR="008F6829" w:rsidRDefault="00800040" w:rsidP="0080004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Reading list for Counselling and communication</w:t>
      </w:r>
    </w:p>
    <w:p w14:paraId="1775F977" w14:textId="51387CDE" w:rsidR="00800040" w:rsidRDefault="00800040" w:rsidP="0080004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3B99EF6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Bond, T. (2015).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Standard and Ethics for counselling in Action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(4th ed.). Thousand Oakes: Sage Publications.</w:t>
      </w:r>
    </w:p>
    <w:p w14:paraId="63142E70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Burnard, P. (2005).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Counselling Skills for Health Professionals.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Cheltenham: Nelson-Thornes.</w:t>
      </w:r>
    </w:p>
    <w:p w14:paraId="18466E2F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Dickson, J., &amp; Midwinter, R. (2015).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Embedding counselling and communication skills: a relational skill model.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New York: Routledge.</w:t>
      </w:r>
    </w:p>
    <w:p w14:paraId="60FDBF57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Freshwater, D. (2003).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Counselling skills for nurses, midwives and health visitor.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Maidenhead: Open University Press.</w:t>
      </w:r>
    </w:p>
    <w:p w14:paraId="01A24447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McLeod, J., &amp; McLeod, J. (2011).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Counselling Skills: A practical guide for counsellors and helping professionals.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Maidenhead: McGraw-Hill: Open University press.</w:t>
      </w:r>
    </w:p>
    <w:p w14:paraId="4921F8D6" w14:textId="77777777" w:rsidR="00816E22" w:rsidRDefault="00816E22" w:rsidP="00816E22">
      <w:pPr>
        <w:pStyle w:val="NormalWeb"/>
        <w:spacing w:before="0" w:beforeAutospacing="0" w:after="160" w:afterAutospacing="0" w:line="256" w:lineRule="auto"/>
        <w:ind w:left="720" w:hanging="720"/>
      </w:pP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Nelson-Jones, R. (2012). </w:t>
      </w:r>
      <w:r>
        <w:rPr>
          <w:rFonts w:ascii="Calibri" w:eastAsia="Calibri" w:hAnsi="Calibri"/>
          <w:i/>
          <w:iCs/>
          <w:color w:val="000000" w:themeColor="text1"/>
          <w:kern w:val="24"/>
          <w:sz w:val="36"/>
          <w:szCs w:val="36"/>
        </w:rPr>
        <w:t>Basic Counselling skills: a helpers manual.</w:t>
      </w:r>
      <w:r>
        <w:rPr>
          <w:rFonts w:ascii="Calibri" w:eastAsia="Calibri" w:hAnsi="Calibri"/>
          <w:color w:val="000000" w:themeColor="text1"/>
          <w:kern w:val="24"/>
          <w:sz w:val="36"/>
          <w:szCs w:val="36"/>
        </w:rPr>
        <w:t xml:space="preserve"> Thousand Oakes: Sage publications.</w:t>
      </w:r>
    </w:p>
    <w:p w14:paraId="7F1B3D71" w14:textId="00574373" w:rsidR="00800040" w:rsidRPr="00800040" w:rsidRDefault="00816E22" w:rsidP="00800040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2EC336AB" wp14:editId="12151831">
            <wp:extent cx="5295900" cy="4781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800040" w:rsidRPr="008000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040"/>
    <w:rsid w:val="00800040"/>
    <w:rsid w:val="00816E22"/>
    <w:rsid w:val="008F6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40706"/>
  <w15:chartTrackingRefBased/>
  <w15:docId w15:val="{44E58719-6CC9-4B10-98C3-941780576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16E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721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steve langford</cp:lastModifiedBy>
  <cp:revision>2</cp:revision>
  <dcterms:created xsi:type="dcterms:W3CDTF">2019-10-01T14:44:00Z</dcterms:created>
  <dcterms:modified xsi:type="dcterms:W3CDTF">2019-10-01T14:50:00Z</dcterms:modified>
</cp:coreProperties>
</file>