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F5AA2" w14:textId="77777777" w:rsidR="0009640F" w:rsidRPr="0009640F" w:rsidRDefault="0009640F" w:rsidP="000964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28"/>
          <w:szCs w:val="28"/>
        </w:rPr>
      </w:pP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1.</w:t>
      </w: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Age Cymru/Swansea University. (2021). Older people in Wales: facts and statistics September 2021. Cardiff: Age Cymru.</w:t>
      </w:r>
    </w:p>
    <w:p w14:paraId="19D4D3D1" w14:textId="77777777" w:rsidR="0009640F" w:rsidRPr="0009640F" w:rsidRDefault="0009640F" w:rsidP="000964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28"/>
          <w:szCs w:val="28"/>
        </w:rPr>
      </w:pP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2.</w:t>
      </w: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 xml:space="preserve">Alcock, P. and Gregory, L. (2022). Social Policy in Britain (5th </w:t>
      </w:r>
      <w:proofErr w:type="spellStart"/>
      <w:r w:rsidRPr="0009640F">
        <w:rPr>
          <w:rFonts w:ascii="Arial" w:hAnsi="Arial" w:cs="Arial"/>
          <w:i/>
          <w:iCs/>
          <w:kern w:val="0"/>
          <w:sz w:val="28"/>
          <w:szCs w:val="28"/>
        </w:rPr>
        <w:t>edn</w:t>
      </w:r>
      <w:proofErr w:type="spellEnd"/>
      <w:r w:rsidRPr="0009640F">
        <w:rPr>
          <w:rFonts w:ascii="Arial" w:hAnsi="Arial" w:cs="Arial"/>
          <w:i/>
          <w:iCs/>
          <w:kern w:val="0"/>
          <w:sz w:val="28"/>
          <w:szCs w:val="28"/>
        </w:rPr>
        <w:t>.). London: Bloomsbury.</w:t>
      </w:r>
    </w:p>
    <w:p w14:paraId="14CEC009" w14:textId="77777777" w:rsidR="0009640F" w:rsidRPr="0009640F" w:rsidRDefault="0009640F" w:rsidP="000964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28"/>
          <w:szCs w:val="28"/>
        </w:rPr>
      </w:pP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3.</w:t>
      </w: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Anderson, M. et al. (2022). United Kingdom Health Systems Review. Copenhagen: WHO Regional Office for Europe.</w:t>
      </w:r>
    </w:p>
    <w:p w14:paraId="5AA9DB35" w14:textId="77777777" w:rsidR="0009640F" w:rsidRPr="0009640F" w:rsidRDefault="0009640F" w:rsidP="000964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28"/>
          <w:szCs w:val="28"/>
        </w:rPr>
      </w:pP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4.</w:t>
      </w: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Bradley-Adams, K. (2020). ‘Determinants of poor mental health and the road to recovery’, in Edwards, D.J. and Best, S. (Eds.). The Textbook of Health and Social Care. London: Sage.</w:t>
      </w:r>
    </w:p>
    <w:p w14:paraId="414B5419" w14:textId="77777777" w:rsidR="0009640F" w:rsidRPr="0009640F" w:rsidRDefault="0009640F" w:rsidP="000964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28"/>
          <w:szCs w:val="28"/>
        </w:rPr>
      </w:pP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5.</w:t>
      </w: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British Association of Social Workers (BASW). (2021). The BASW Code of Ethics for Social Work. Birmingham: BASW.</w:t>
      </w:r>
    </w:p>
    <w:p w14:paraId="01E626BE" w14:textId="77777777" w:rsidR="0009640F" w:rsidRPr="0009640F" w:rsidRDefault="0009640F" w:rsidP="000964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28"/>
          <w:szCs w:val="28"/>
        </w:rPr>
      </w:pP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6.</w:t>
      </w: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Dahlgren, G. and Whitehead, M. (2006). Levelling Up Part 2: European Strategies for Tackling Social Inequities in Health. Copenhagen: WHO.</w:t>
      </w:r>
    </w:p>
    <w:p w14:paraId="7568EA76" w14:textId="77777777" w:rsidR="0009640F" w:rsidRPr="0009640F" w:rsidRDefault="0009640F" w:rsidP="000964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28"/>
          <w:szCs w:val="28"/>
        </w:rPr>
      </w:pP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7.</w:t>
      </w: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Irvine, F.E. et al. (2006). ‘Communicative sensitivity in the bilingual healthcare setting’, Journal of Advanced Nursing, 53(4), pp. 422–434.</w:t>
      </w:r>
    </w:p>
    <w:p w14:paraId="54F7ADD9" w14:textId="77777777" w:rsidR="0009640F" w:rsidRPr="0009640F" w:rsidRDefault="0009640F" w:rsidP="000964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28"/>
          <w:szCs w:val="28"/>
        </w:rPr>
      </w:pP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8.</w:t>
      </w: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Misell, A. (2000). Welsh in the Health Service. Cardiff: Wales Consumer Council.</w:t>
      </w:r>
    </w:p>
    <w:p w14:paraId="3CD54DB3" w14:textId="77777777" w:rsidR="0009640F" w:rsidRPr="0009640F" w:rsidRDefault="0009640F" w:rsidP="0009640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kern w:val="0"/>
          <w:sz w:val="28"/>
          <w:szCs w:val="28"/>
        </w:rPr>
      </w:pP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9.</w:t>
      </w: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Nursing and Midwifery Council (NMC). (2018). The Code: Professional Standards of Practice and Behaviour for Nurses and Midwives. London: NMC.</w:t>
      </w:r>
    </w:p>
    <w:p w14:paraId="1FA23AC3" w14:textId="5E12AD22" w:rsidR="00952BDA" w:rsidRPr="0009640F" w:rsidRDefault="0009640F" w:rsidP="0009640F">
      <w:pPr>
        <w:rPr>
          <w:rFonts w:ascii="Arial" w:hAnsi="Arial" w:cs="Arial"/>
          <w:i/>
          <w:iCs/>
          <w:sz w:val="28"/>
          <w:szCs w:val="28"/>
        </w:rPr>
      </w:pP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10.</w:t>
      </w:r>
      <w:r w:rsidRPr="0009640F">
        <w:rPr>
          <w:rFonts w:ascii="Arial" w:hAnsi="Arial" w:cs="Arial"/>
          <w:i/>
          <w:iCs/>
          <w:kern w:val="0"/>
          <w:sz w:val="28"/>
          <w:szCs w:val="28"/>
        </w:rPr>
        <w:tab/>
        <w:t>Welsh Government. (2022). More than just words: Five Year Plan 2022–27. Cardiff: Welsh Government.</w:t>
      </w:r>
    </w:p>
    <w:sectPr w:rsidR="00952BDA" w:rsidRPr="000964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81D8A"/>
    <w:multiLevelType w:val="multilevel"/>
    <w:tmpl w:val="FF52B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3003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6F7"/>
    <w:rsid w:val="0009640F"/>
    <w:rsid w:val="00190EDE"/>
    <w:rsid w:val="005D50A2"/>
    <w:rsid w:val="0066512E"/>
    <w:rsid w:val="006B7380"/>
    <w:rsid w:val="008446F7"/>
    <w:rsid w:val="00952BDA"/>
    <w:rsid w:val="00EF1A86"/>
    <w:rsid w:val="00F7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29C2C6"/>
  <w15:chartTrackingRefBased/>
  <w15:docId w15:val="{7A7EE881-9B57-FC49-A4A9-8D677A846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6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6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6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6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6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6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6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6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6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6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6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6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6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6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6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6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6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6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6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6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6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6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6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6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6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6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6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6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6F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190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Clancy (2404450)</dc:creator>
  <cp:keywords/>
  <dc:description/>
  <cp:lastModifiedBy>Gareth Clancy (2404450)</cp:lastModifiedBy>
  <cp:revision>2</cp:revision>
  <dcterms:created xsi:type="dcterms:W3CDTF">2025-04-30T03:46:00Z</dcterms:created>
  <dcterms:modified xsi:type="dcterms:W3CDTF">2025-04-30T03:46:00Z</dcterms:modified>
</cp:coreProperties>
</file>