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A28B7A"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1D431E99" wp14:editId="32F99BBD">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1AF0D36A"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6E7CF2C"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">
                <v:rect id="Rectangle 2" o:spid="_x0000_s1027" style="position:absolute;width:2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IOUdcEA&#10;AADaAAAADwAAAGRycy9kb3ducmV2LnhtbESP0WrCQBRE3wv+w3IF3+rGIFKjq6gotD7V6Adcs9ds&#10;MHs3ZldN/74rFPo4zMwZZr7sbC0e1PrKsYLRMAFBXDhdcangdNy9f4DwAVlj7ZgU/JCH5aL3NsdM&#10;uycf6JGHUkQI+wwVmBCaTEpfGLLoh64hjt7FtRZDlG0pdYvPCLe1TJNkIi1WHBcMNrQxVFzzu1Xw&#10;PXaUblO/zks7Nd35uP+64USpQb9bzUAE6sJ/+K/9qRWk8LoSb4Bc/A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SDlHXBAAAA2gAAAA8AAAAAAAAAAAAAAAAAmAIAAGRycy9kb3du&#10;cmV2LnhtbFBLBQYAAAAABAAEAPUAAACGAwAAAAA=&#10;" filled="f" stroked="f">
                  <v:textbox inset="2.53958mm,2.53958mm,2.53958mm,2.53958mm">
                    <w:txbxContent>
                      <w:p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vmxLsIA&#10;AADaAAAADwAAAGRycy9kb3ducmV2LnhtbESPT2sCMRTE70K/Q3iF3jRbqyKrUUppwVPFVfT62Lz9&#10;QzcvSxLX3W/fCILHYWZ+w6y3vWlER87XlhW8TxIQxLnVNZcKTsef8RKED8gaG8ukYCAP283LaI2p&#10;tjc+UJeFUkQI+xQVVCG0qZQ+r8ign9iWOHqFdQZDlK6U2uEtwk0jp0mykAZrjgsVtvRVUf6XXY2C&#10;/e/Mza/NQHReTIdi2O0vxXen1Ntr/7kCEagPz/CjvdMKPuB+Jd4Aufk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q+bEuwgAAANoAAAAPAAAAAAAAAAAAAAAAAJgCAABkcnMvZG93&#10;bnJldi54bWxQSwUGAAAAAAQABAD1AAAAhwMAAAAA&#10;" fillcolor="#0e2841 [3202]" stroked="f">
                  <v:textbox inset="2.53958mm,2.53958mm,2.53958mm,2.53958mm">
                    <w:txbxContent>
                      <w:p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v:shape id="Freeform 7" o:spid="_x0000_s1031" style="position:absolute;left:3696;top:62168;width:1937;height:6985;visibility:visible;mso-wrap-style:square;v-text-anchor:middle"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R0epsUA&#10;AADaAAAADwAAAGRycy9kb3ducmV2LnhtbESPT2vCQBTE74V+h+UVeim6UUQldZUiCq168V9Jb4/s&#10;azY0+zZktyZ+e1co9DjMzG+Y2aKzlbhQ40vHCgb9BARx7nTJhYLTcd2bgvABWWPlmBRcycNi/vgw&#10;w1S7lvd0OYRCRAj7FBWYEOpUSp8bsuj7riaO3rdrLIYom0LqBtsIt5UcJslYWiw5LhisaWko/zn8&#10;WgWf2cuwG+0+si+9ona6TTKzOY+Uen7q3l5BBOrCf/iv/a4VTOB+Jd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JHR6mxQAAANoAAAAPAAAAAAAAAAAAAAAAAJgCAABkcnMv&#10;ZG93bnJldi54bWxQSwUGAAAAAAQABAD1AAAAigM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k02cAA&#10;AADaAAAADwAAAGRycy9kb3ducmV2LnhtbERPz2vCMBS+C/4P4QneNHXgkNoom8yxnuac3fmRvLWl&#10;zUtpMtv+98thsOPH9zs7jrYVd+p97VjBZp2AINbO1FwquH2eVzsQPiAbbB2Tgok8HA/zWYapcQN/&#10;0P0aShFD2KeooAqhS6X0uiKLfu064sh9u95iiLAvpelxiOG2lQ9J8igt1hwbKuzoVJFurj9Wwfv2&#10;8joNXy+5fi5c3jR41sEXSi0X49MeRKAx/Iv/3G9GQdwar8QbIA+/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Mk02cAAAADaAAAADwAAAAAAAAAAAAAAAACYAgAAZHJzL2Rvd25y&#10;ZXYueG1sUEsFBgAAAAAEAAQA9QAAAIUD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dczHL8A&#10;AADaAAAADwAAAGRycy9kb3ducmV2LnhtbESPT4vCMBTE7wt+h/AEb2tqD+5ajSKC6EXx7/3RPJti&#10;81KaWOu3NwvCHoeZ+Q0zW3S2Ei01vnSsYDRMQBDnTpdcKLic19+/IHxA1lg5JgUv8rCY975mmGn3&#10;5CO1p1CICGGfoQITQp1J6XNDFv3Q1cTRu7nGYoiyKaRu8BnhtpJpkoylxZLjgsGaVoby++lhFaQH&#10;Rt3u9+lu8zK8Pq5GCf5clRr0u+UURKAu/Ic/7a1WMIG/K/EGyPk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F1zMcvwAAANoAAAAPAAAAAAAAAAAAAAAAAJgCAABkcnMvZG93bnJl&#10;di54bWxQSwUGAAAAAAQABAD1AAAAhAM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X/kM8QA&#10;AADbAAAADwAAAGRycy9kb3ducmV2LnhtbESPQWsCMRCF70L/Q5hCb5qtwiJboxSh0sWLWn/AsBl3&#10;l24mIYm67a/vHAreZnhv3vtmtRndoG4UU+/ZwOusAEXceNtza+D89TFdgkoZ2eLgmQz8UILN+mmy&#10;wsr6Ox/pdsqtkhBOFRrocg6V1qnpyGGa+UAs2sVHh1nW2Gob8S7hbtDzoii1w56locNA246a79PV&#10;GQi+/V3U51juaneZ14fFfhvKvTEvz+P7G6hMY36Y/68/reALvfwiA+j1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l/5DPEAAAA2wAAAA8AAAAAAAAAAAAAAAAAmAIAAGRycy9k&#10;b3ducmV2LnhtbFBLBQYAAAAABAAEAPUAAACJAw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Ask18IA&#10;AADbAAAADwAAAGRycy9kb3ducmV2LnhtbESPQYvCMBCF74L/IYzgTVNFRKpRRFFEWEHdwx7HZmyL&#10;zaQk0dZ/vxEW9jbDe/O+N4tVayrxIudLywpGwwQEcWZ1ybmC7+tuMAPhA7LGyjIpeJOH1bLbWWCq&#10;bcNnel1CLmII+xQVFCHUqZQ+K8igH9qaOGp36wyGuLpcaodNDDeVHCfJVBosORIKrGlTUPa4PE2E&#10;nJ5fbrqd3JL9W09+/LXZHU2jVL/XrucgArXh3/x3fdCx/gg+v8QB5PI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sCyTXwgAAANsAAAAPAAAAAAAAAAAAAAAAAJgCAABkcnMvZG93&#10;bnJldi54bWxQSwUGAAAAAAQABAD1AAAAhwM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RndxMIA&#10;AADbAAAADwAAAGRycy9kb3ducmV2LnhtbERPTWvCQBC9C/0PyxS8mU2FFo2uEkpb2noyrQdvQ3ZM&#10;oruzIbvG+O+7BcHbPN7nLNeDNaKnzjeOFTwlKQji0umGKwW/P++TGQgfkDUax6TgSh7Wq4fREjPt&#10;LrylvgiViCHsM1RQh9BmUvqyJos+cS1x5A6usxgi7CqpO7zEcGvkNE1fpMWGY0ONLb3WVJ6Ks1Xw&#10;9ZGbdt8Pu+J4nZv8LTTfz5tCqfHjkC9ABBrCXXxzf+o4fwr/v8QD5Oo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Gd3EwgAAANsAAAAPAAAAAAAAAAAAAAAAAJgCAABkcnMvZG93&#10;bnJldi54bWxQSwUGAAAAAAQABAD1AAAAhwM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G7Mt8IA&#10;AADbAAAADwAAAGRycy9kb3ducmV2LnhtbERPS4vCMBC+L/gfwix4WTRVwUc1SlEW9iDK+sDr0Ixt&#10;12ZSmqj13xtB2Nt8fM+ZLRpTihvVrrCsoNeNQBCnVhecKTjsvztjEM4jaywtk4IHOVjMWx8zjLW9&#10;8y/ddj4TIYRdjApy76tYSpfmZNB1bUUcuLOtDfoA60zqGu8h3JSyH0VDabDg0JBjRcuc0svuahRQ&#10;sh7R9TS5HPujpHL71ddq+7dRqv3ZJFMQnhr/L367f3SYP4DXL+EAOX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Absy3wgAAANsAAAAPAAAAAAAAAAAAAAAAAJgCAABkcnMvZG93&#10;bnJldi54bWxQSwUGAAAAAAQABAD1AAAAhwM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6heOMIA&#10;AADbAAAADwAAAGRycy9kb3ducmV2LnhtbERPzWrCQBC+C32HZYTezMYqUmM2YguF9lChaR9gzI5J&#10;NDsbdrea+vRdQfA2H9/v5OvBdOJEzreWFUyTFARxZXXLtYKf77fJMwgfkDV2lknBH3lYFw+jHDNt&#10;z/xFpzLUIoawz1BBE0KfSemrhgz6xPbEkdtbZzBE6GqpHZ5juOnkU5oupMGWY0ODPb02VB3LX6OA&#10;ZrvLCy/amdt/lMiHzXL7udNKPY6HzQpEoCHcxTf3u47z53D9JR4gi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qF44wgAAANsAAAAPAAAAAAAAAAAAAAAAAJgCAABkcnMvZG93&#10;bnJldi54bWxQSwUGAAAAAAQABAD1AAAAhwM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iyN6cIA&#10;AADbAAAADwAAAGRycy9kb3ducmV2LnhtbESP3YrCMBCF7xd8hzCCd9u0gqtU0yLCwoIXousDDM3Y&#10;VptJaWJ/3t4IC3s3wznnmzO7fDSN6KlztWUFSRSDIC6srrlUcP39/tyAcB5ZY2OZFEzkIM9mHztM&#10;tR34TP3FlyJA2KWooPK+TaV0RUUGXWRb4qDdbGfQh7Urpe5wCHDTyGUcf0mDNYcLFbZ0qKh4XJ4m&#10;UJJk3fBxeZ+S9bmdhtMtlnWv1GI+7rcgPI3+3/yX/tGh/grev4QBZPY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qLI3pwgAAANsAAAAPAAAAAAAAAAAAAAAAAJgCAABkcnMvZG93&#10;bnJldi54bWxQSwUGAAAAAAQABAD1AAAAhwM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lMk5MQA&#10;AADbAAAADwAAAGRycy9kb3ducmV2LnhtbERP22rCQBB9L/QflhF8qxsthBJdpShWxSI1XqBvQ3Zy&#10;odnZkN1q6td3C0Lf5nCuM5l1phYXal1lWcFwEIEgzqyuuFBwPCyfXkA4j6yxtkwKfsjBbPr4MMFE&#10;2yvv6ZL6QoQQdgkqKL1vEildVpJBN7ANceBy2xr0AbaF1C1eQ7ip5SiKYmmw4tBQYkPzkrKv9Nso&#10;2G0Xo3P0Fq8+brf5avNe5c+nz1ypfq97HYPw1Pl/8d291mF+DH+/hAPk9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JTJOTEAAAA2wAAAA8AAAAAAAAAAAAAAAAAmAIAAGRycy9k&#10;b3ducmV2LnhtbFBLBQYAAAAABAAEAPUAAACJAw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tQBgcMA&#10;AADbAAAADwAAAGRycy9kb3ducmV2LnhtbERPTWsCMRC9C/0PYQq9FM3ag8pqlKKUtuClVtTjuBk3&#10;SzeTJUnXtb/eCAVv83ifM1t0thYt+VA5VjAcZCCIC6crLhVsv9/6ExAhImusHZOCCwVYzB96M8y1&#10;O/MXtZtYihTCIUcFJsYmlzIUhiyGgWuIE3dy3mJM0JdSezyncFvLlywbSYsVpwaDDS0NFT+bX6tg&#10;vf97fi+cN5fP3YFP7XG1Ho1XSj09dq9TEJG6eBf/uz90mj+G2y/pADm/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tQBgcMAAADbAAAADwAAAAAAAAAAAAAAAACYAgAAZHJzL2Rv&#10;d25yZXYueG1sUEsFBgAAAAAEAAQA9QAAAIgD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zEsQA&#10;AADbAAAADwAAAGRycy9kb3ducmV2LnhtbESPQU/DMAyF75P4D5GRuG0pOwwoSyuENG0ckNiGOFuN&#10;aQqN0yXZWv49PiBxs/We3/u8riffqwvF1AU2cLsoQBE3wXbcGng/bub3oFJGttgHJgM/lKCurmZr&#10;LG0YeU+XQ26VhHAq0YDLeSi1To0jj2kRBmLRPkP0mGWNrbYRRwn3vV4WxUp77FgaHA707Kj5Ppy9&#10;gZDj9m35sf8aXwfvCv9wuju9rIy5uZ6eHkFlmvK/+e96ZwVfYOUXGUB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5v8xLEAAAA2wAAAA8AAAAAAAAAAAAAAAAAmAIAAGRycy9k&#10;b3ducmV2LnhtbFBLBQYAAAAABAAEAPUAAACJAw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fAdrh8EAAADbAAAADwAA&#10;AAAAAAAAAAAAAACqAgAAZHJzL2Rvd25yZXYueG1sUEsFBgAAAAAEAAQA+gAAAJgDAAAAAA==&#10;">
                    <v:shape id="Freeform 20" o:spid="_x0000_s1044" style="position:absolute;left:1187;top:51897;width:1984;height:7143;visibility:visible;mso-wrap-style:square;v-text-anchor:middle"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GI55sIA&#10;AADbAAAADwAAAGRycy9kb3ducmV2LnhtbERPu2rDMBTdA/0HcQvdEjmBlOBGNqUQKPXQxumS7WLd&#10;2q6tKyMpfvx9NRQyHs77mM+mFyM531pWsN0kIIgrq1uuFXxfTusDCB+QNfaWScFCHvLsYXXEVNuJ&#10;zzSWoRYxhH2KCpoQhlRKXzVk0G/sQBy5H+sMhghdLbXDKYabXu6S5FkabDk2NDjQW0NVV96MAv1x&#10;Pf+6076jYvtZFtfua7/caqWeHufXFxCB5nAX/7vftYJdXB+/xB8gs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YjnmwgAAANsAAAAPAAAAAAAAAAAAAAAAAJgCAABkcnMvZG93&#10;bnJldi54bWxQSwUGAAAAAAQABAD1AAAAhwM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qVaHsUA&#10;AADbAAAADwAAAGRycy9kb3ducmV2LnhtbESPQWvCQBSE70L/w/IKvUjdGKpIdJVSKnipaFIEb4/s&#10;MwnNvg3ZbRL/vSsIHoeZ+YZZbQZTi45aV1lWMJ1EIIhzqysuFPxm2/cFCOeRNdaWScGVHGzWL6MV&#10;Jtr2fKQu9YUIEHYJKii9bxIpXV6SQTexDXHwLrY16INsC6lb7APc1DKOork0WHFYKLGhr5Lyv/Tf&#10;KKDDIu73R/oYn7936U83u26zU6XU2+vwuQThafDP8KO90wriKdy/hB8g1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ipVoexQAAANsAAAAPAAAAAAAAAAAAAAAAAJgCAABkcnMv&#10;ZG93bnJldi54bWxQSwUGAAAAAAQABAD1AAAAigM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bDyEMUA&#10;AADbAAAADwAAAGRycy9kb3ducmV2LnhtbESPQWvCQBSE7wX/w/KE3urGHLSkrlKt0koP2ih4fWRf&#10;k2D2bbq7NfHfu4WCx2FmvmFmi9404kLO15YVjEcJCOLC6ppLBcfD5ukZhA/IGhvLpOBKHhbzwcMM&#10;M207/qJLHkoRIewzVFCF0GZS+qIig35kW+LofVtnMETpSqkddhFuGpkmyUQarDkuVNjSqqLinP8a&#10;BZ/TE+Xr7bV7c4d+b8Ly5303nSj1OOxfX0AE6sM9/N/+0ArSFP6+xB8g5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1sPIQxQAAANsAAAAPAAAAAAAAAAAAAAAAAJgCAABkcnMv&#10;ZG93bnJldi54bWxQSwUGAAAAAAQABAD1AAAAigM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MtqsIA&#10;AADbAAAADwAAAGRycy9kb3ducmV2LnhtbESPUWvCQBCE3wv9D8cW+lYvplBK9BSVivWx6g9Yc2sS&#10;k91L706N/75XKPRxmJlvmOl84E5dyYfGiYHxKANFUjrbSGXgsF+/vIMKEcVi54QM3CnAfPb4MMXC&#10;upt80XUXK5UgEgo0UMfYF1qHsibGMHI9SfJOzjPGJH2lrcdbgnOn8yx704yNpIUae1rVVLa7Cxs4&#10;3vNNdmiXdvPtefWx5Z7P7daY56dhMQEVaYj/4b/2pzWQv8Lvl/QD9Ow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tcy2qwgAAANsAAAAPAAAAAAAAAAAAAAAAAJgCAABkcnMvZG93&#10;bnJldi54bWxQSwUGAAAAAAQABAD1AAAAhwM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jsml74A&#10;AADbAAAADwAAAGRycy9kb3ducmV2LnhtbESPzQrCMBCE74LvEFbwpqkiItUoohQ9+vcAS7O2xWZT&#10;mthWn94IgsdhZr5hVpvOlKKh2hWWFUzGEQji1OqCMwW3azJagHAeWWNpmRS8yMFm3e+tMNa25TM1&#10;F5+JAGEXo4Lc+yqW0qU5GXRjWxEH725rgz7IOpO6xjbATSmnUTSXBgsOCzlWtMspfVyeRkHWSH4c&#10;5/fosHdJk8zofWpve6WGg267BOGp8//wr33UCqYz+H4JP0CuP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H47Jpe+AAAA2wAAAA8AAAAAAAAAAAAAAAAAmAIAAGRycy9kb3ducmV2&#10;LnhtbFBLBQYAAAAABAAEAPUAAACDAw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qduXMIA&#10;AADbAAAADwAAAGRycy9kb3ducmV2LnhtbESPwWrDMBBE74X+g9hCL6aRY0iI3SihBAo9Nm4uuS3W&#10;1ja1Vq61tZ2/jwqBHIeZecNs97Pr1EhDaD0bWC5SUMSVty3XBk5f7y8bUEGQLXaeycCFAux3jw9b&#10;LKyf+EhjKbWKEA4FGmhE+kLrUDXkMCx8Txy9bz84lCiHWtsBpwh3nc7SdK0dthwXGuzp0FD1U/45&#10;A2vrPpNfDIm0/TnvylzS2Ykxz0/z2ysooVnu4Vv7wxrIVvD/Jf4Avbs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2p25cwgAAANsAAAAPAAAAAAAAAAAAAAAAAJgCAABkcnMvZG93&#10;bnJldi54bWxQSwUGAAAAAAQABAD1AAAAhwM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EqgGMQA&#10;AADbAAAADwAAAGRycy9kb3ducmV2LnhtbESPQWvCQBSE74L/YXmCN91UrJbUVYpUkB6kRqXXR/Y1&#10;Cc2+Ddmnxn/vCgWPw8x8wyxWnavVhdpQeTbwMk5AEefeVlwYOB42ozdQQZAt1p7JwI0CrJb93gJT&#10;66+8p0smhYoQDikaKEWaVOuQl+QwjH1DHL1f3zqUKNtC2xavEe5qPUmSmXZYcVwosaF1SflfdnYG&#10;Tq/n7Gcqh+/d3H2d5rdsLZ+7ypjhoPt4ByXUyTP8395aA5MZPL7EH6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xKoBjEAAAA2wAAAA8AAAAAAAAAAAAAAAAAmAIAAGRycy9k&#10;b3ducmV2LnhtbFBLBQYAAAAABAAEAPUAAACJAw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HmKmsUA&#10;AADbAAAADwAAAGRycy9kb3ducmV2LnhtbESPQWvCQBSE74X+h+UVvIhuKmgldZVSIrSKQqMXb4/s&#10;azaYfZtmV43/3hWEHoeZ+YaZLTpbizO1vnKs4HWYgCAunK64VLDfLQdTED4ga6wdk4IreVjMn59m&#10;mGp34R8656EUEcI+RQUmhCaV0heGLPqha4ij9+taiyHKtpS6xUuE21qOkmQiLVYcFww29GmoOOYn&#10;qyDjw7fZ/q33mVyNN0ezTPr5OFOq99J9vIMI1IX/8KP9pRWM3uD+Jf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MeYqaxQAAANsAAAAPAAAAAAAAAAAAAAAAAJgCAABkcnMv&#10;ZG93bnJldi54bWxQSwUGAAAAAAQABAD1AAAAigM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oDusr8A&#10;AADbAAAADwAAAGRycy9kb3ducmV2LnhtbERPu27CMBTdkfoP1kViQcWpB0RDDAKqSl15qPNtfEms&#10;xNdp7JLw9/WAxHh03sV2dK24UR+sZw1viwwEcemN5UrD5fz5ugIRIrLB1jNpuFOA7eZlUmBu/MBH&#10;up1iJVIIhxw11DF2uZShrMlhWPiOOHFX3zuMCfaVND0OKdy1UmXZUjq0nBpq7OhQU9mc/pyG+c+w&#10;Uur3vSlt+7FXzfHbBq+0nk3H3RpEpDE+xQ/3l9Gg0tj0Jf0Aufk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ugO6yvwAAANsAAAAPAAAAAAAAAAAAAAAAAJgCAABkcnMvZG93bnJl&#10;di54bWxQSwUGAAAAAAQABAD1AAAAhAM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DMqX8YA&#10;AADbAAAADwAAAGRycy9kb3ducmV2LnhtbESPQWvCQBSE74X+h+UVequb5lA0ugYNltqDFaMXb4/s&#10;Mwlm34bsNqb+ercgeBxm5htmlg6mET11rras4H0UgSAurK65VHDYf76NQTiPrLGxTAr+yEE6f36a&#10;YaLthXfU574UAcIuQQWV920ipSsqMuhGtiUO3sl2Bn2QXSl1h5cAN42Mo+hDGqw5LFTYUlZRcc5/&#10;jYLTd3/82ZbxV7Ze7ZbRvlhdN/lBqdeXYTEF4Wnwj/C9vdYK4gn8fwk/QM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DMqX8YAAADbAAAADwAAAAAAAAAAAAAAAACYAgAAZHJz&#10;L2Rvd25yZXYueG1sUEsFBgAAAAAEAAQA9QAAAIsD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5LSoMEA&#10;AADbAAAADwAAAGRycy9kb3ducmV2LnhtbERPz2vCMBS+C/sfwht403QbylpNyyYTxJO2g13fmmcb&#10;1ryUJqv1vzeHwY4f3+9tMdlOjDR441jB0zIBQVw7bbhR8FntF68gfEDW2DkmBTfyUOQPsy1m2l35&#10;TGMZGhFD2GeooA2hz6T0dUsW/dL1xJG7uMFiiHBopB7wGsNtJ5+TZC0tGo4NLfa0a6n+KX+tgvI9&#10;PaXH9Pu2GitNH702bvdllJo/Tm8bEIGm8C/+cx+0gpe4Pn6JP0Dm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S0qDBAAAA2wAAAA8AAAAAAAAAAAAAAAAAmAIAAGRycy9kb3du&#10;cmV2LnhtbFBLBQYAAAAABAAEAPUAAACGAw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2CD8786E" wp14:editId="0790D47A">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617B8AFE"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B90103B"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" filled="f" stroked="f">
                <v:textbox inset="0,0,0,0">
                  <w:txbxContent>
                    <w:p w:rsidR="00530E16" w:rsidRDefault="004468F8">
                      <w:pPr>
                        <w:spacing w:after="0" w:line="240" w:lineRule="auto"/>
                        <w:textDirection w:val="btLr"/>
                      </w:pPr>
                      <w:r>
                        <w:rPr>
                          <w:rFonts w:ascii="Arial" w:eastAsia="Arial" w:hAnsi="Arial" w:cs="Arial"/>
                          <w:color w:val="156082"/>
                          <w:sz w:val="26"/>
                        </w:rPr>
                        <w:t>University of Wales Trinity Saint David</w:t>
                      </w:r>
                    </w:p>
                    <w:p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45CD7C4B"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5A340EDB" wp14:editId="1A2ACCCA">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5EA338A1" w14:textId="77777777" w:rsidR="00530E16" w:rsidRDefault="004468F8">
                            <w:pPr>
                              <w:spacing w:after="0" w:line="240" w:lineRule="auto"/>
                              <w:textDirection w:val="btLr"/>
                            </w:pPr>
                            <w:r>
                              <w:rPr>
                                <w:rFonts w:ascii="Play" w:eastAsia="Play" w:hAnsi="Play" w:cs="Play"/>
                                <w:color w:val="262626"/>
                                <w:sz w:val="72"/>
                              </w:rPr>
                              <w:t>Individual Report</w:t>
                            </w:r>
                          </w:p>
                          <w:p w14:paraId="36C05B52" w14:textId="77777777" w:rsidR="00530E16" w:rsidRDefault="004468F8">
                            <w:pPr>
                              <w:spacing w:before="120" w:line="277" w:lineRule="auto"/>
                              <w:textDirection w:val="btLr"/>
                            </w:pPr>
                            <w:r>
                              <w:rPr>
                                <w:color w:val="404040"/>
                                <w:sz w:val="36"/>
                              </w:rPr>
                              <w:t>Module Name: Digital Skills and Research Methods</w:t>
                            </w:r>
                          </w:p>
                          <w:p w14:paraId="0C7C22AC" w14:textId="77777777" w:rsidR="00530E16" w:rsidRDefault="004468F8">
                            <w:pPr>
                              <w:spacing w:before="120" w:line="277" w:lineRule="auto"/>
                              <w:textDirection w:val="btLr"/>
                            </w:pPr>
                            <w:r>
                              <w:rPr>
                                <w:color w:val="404040"/>
                                <w:sz w:val="36"/>
                              </w:rPr>
                              <w:t>Module Code: LCHS 4007</w:t>
                            </w:r>
                          </w:p>
                          <w:p w14:paraId="114AD7B6" w14:textId="62A68ED3" w:rsidR="00530E16" w:rsidRDefault="004468F8">
                            <w:pPr>
                              <w:spacing w:before="120" w:line="277" w:lineRule="auto"/>
                              <w:textDirection w:val="btLr"/>
                            </w:pPr>
                            <w:r>
                              <w:rPr>
                                <w:color w:val="404040"/>
                                <w:sz w:val="36"/>
                              </w:rPr>
                              <w:t xml:space="preserve">Student name: </w:t>
                            </w:r>
                            <w:r w:rsidR="00CE1390">
                              <w:rPr>
                                <w:color w:val="404040"/>
                                <w:sz w:val="36"/>
                              </w:rPr>
                              <w:t>Esther</w:t>
                            </w:r>
                            <w:r w:rsidR="0048152F">
                              <w:rPr>
                                <w:color w:val="404040"/>
                                <w:sz w:val="36"/>
                              </w:rPr>
                              <w:t xml:space="preserve"> Okunuga</w:t>
                            </w:r>
                          </w:p>
                          <w:p w14:paraId="7F420F92" w14:textId="31A54B9B" w:rsidR="00530E16" w:rsidRDefault="004468F8">
                            <w:pPr>
                              <w:spacing w:before="120" w:line="277" w:lineRule="auto"/>
                              <w:textDirection w:val="btLr"/>
                            </w:pPr>
                            <w:r>
                              <w:rPr>
                                <w:color w:val="404040"/>
                                <w:sz w:val="36"/>
                              </w:rPr>
                              <w:t>Student ID:</w:t>
                            </w:r>
                            <w:r w:rsidR="00FF4922">
                              <w:rPr>
                                <w:color w:val="404040"/>
                                <w:sz w:val="36"/>
                              </w:rPr>
                              <w:t>2509873</w:t>
                            </w:r>
                          </w:p>
                          <w:p w14:paraId="245C458F" w14:textId="77777777" w:rsidR="00530E16" w:rsidRDefault="004468F8">
                            <w:pPr>
                              <w:spacing w:before="120" w:line="277" w:lineRule="auto"/>
                              <w:textDirection w:val="btLr"/>
                            </w:pPr>
                            <w:r>
                              <w:rPr>
                                <w:color w:val="404040"/>
                                <w:sz w:val="36"/>
                              </w:rPr>
                              <w:t xml:space="preserve">Lecturer’s Name: </w:t>
                            </w:r>
                            <w:r w:rsidR="00CE1390">
                              <w:rPr>
                                <w:color w:val="404040"/>
                                <w:sz w:val="36"/>
                              </w:rPr>
                              <w:t>Dr Kwame Assa-Agyei</w:t>
                            </w:r>
                          </w:p>
                        </w:txbxContent>
                      </wps:txbx>
                      <wps:bodyPr spcFirstLastPara="1" wrap="square" lIns="0" tIns="0" rIns="0" bIns="0" anchor="t" anchorCtr="0">
                        <a:noAutofit/>
                      </wps:bodyPr>
                    </wps:wsp>
                  </a:graphicData>
                </a:graphic>
              </wp:anchor>
            </w:drawing>
          </mc:Choice>
          <mc:Fallback>
            <w:pict>
              <v:rect w14:anchorId="5A340EDB"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" filled="f" stroked="f">
                <v:textbox inset="0,0,0,0">
                  <w:txbxContent>
                    <w:p w14:paraId="5EA338A1" w14:textId="77777777" w:rsidR="00530E16" w:rsidRDefault="004468F8">
                      <w:pPr>
                        <w:spacing w:after="0" w:line="240" w:lineRule="auto"/>
                        <w:textDirection w:val="btLr"/>
                      </w:pPr>
                      <w:r>
                        <w:rPr>
                          <w:rFonts w:ascii="Play" w:eastAsia="Play" w:hAnsi="Play" w:cs="Play"/>
                          <w:color w:val="262626"/>
                          <w:sz w:val="72"/>
                        </w:rPr>
                        <w:t>Individual Report</w:t>
                      </w:r>
                    </w:p>
                    <w:p w14:paraId="36C05B52" w14:textId="77777777" w:rsidR="00530E16" w:rsidRDefault="004468F8">
                      <w:pPr>
                        <w:spacing w:before="120" w:line="277" w:lineRule="auto"/>
                        <w:textDirection w:val="btLr"/>
                      </w:pPr>
                      <w:r>
                        <w:rPr>
                          <w:color w:val="404040"/>
                          <w:sz w:val="36"/>
                        </w:rPr>
                        <w:t>Module Name: Digital Skills and Research Methods</w:t>
                      </w:r>
                    </w:p>
                    <w:p w14:paraId="0C7C22AC" w14:textId="77777777" w:rsidR="00530E16" w:rsidRDefault="004468F8">
                      <w:pPr>
                        <w:spacing w:before="120" w:line="277" w:lineRule="auto"/>
                        <w:textDirection w:val="btLr"/>
                      </w:pPr>
                      <w:r>
                        <w:rPr>
                          <w:color w:val="404040"/>
                          <w:sz w:val="36"/>
                        </w:rPr>
                        <w:t>Module Code: LCHS 4007</w:t>
                      </w:r>
                    </w:p>
                    <w:p w14:paraId="114AD7B6" w14:textId="62A68ED3" w:rsidR="00530E16" w:rsidRDefault="004468F8">
                      <w:pPr>
                        <w:spacing w:before="120" w:line="277" w:lineRule="auto"/>
                        <w:textDirection w:val="btLr"/>
                      </w:pPr>
                      <w:r>
                        <w:rPr>
                          <w:color w:val="404040"/>
                          <w:sz w:val="36"/>
                        </w:rPr>
                        <w:t xml:space="preserve">Student name: </w:t>
                      </w:r>
                      <w:r w:rsidR="00CE1390">
                        <w:rPr>
                          <w:color w:val="404040"/>
                          <w:sz w:val="36"/>
                        </w:rPr>
                        <w:t>Esther</w:t>
                      </w:r>
                      <w:r w:rsidR="0048152F">
                        <w:rPr>
                          <w:color w:val="404040"/>
                          <w:sz w:val="36"/>
                        </w:rPr>
                        <w:t xml:space="preserve"> Okunuga</w:t>
                      </w:r>
                    </w:p>
                    <w:p w14:paraId="7F420F92" w14:textId="31A54B9B" w:rsidR="00530E16" w:rsidRDefault="004468F8">
                      <w:pPr>
                        <w:spacing w:before="120" w:line="277" w:lineRule="auto"/>
                        <w:textDirection w:val="btLr"/>
                      </w:pPr>
                      <w:r>
                        <w:rPr>
                          <w:color w:val="404040"/>
                          <w:sz w:val="36"/>
                        </w:rPr>
                        <w:t>Student ID:</w:t>
                      </w:r>
                      <w:r w:rsidR="00FF4922">
                        <w:rPr>
                          <w:color w:val="404040"/>
                          <w:sz w:val="36"/>
                        </w:rPr>
                        <w:t>2509873</w:t>
                      </w:r>
                    </w:p>
                    <w:p w14:paraId="245C458F" w14:textId="77777777" w:rsidR="00530E16" w:rsidRDefault="004468F8">
                      <w:pPr>
                        <w:spacing w:before="120" w:line="277" w:lineRule="auto"/>
                        <w:textDirection w:val="btLr"/>
                      </w:pPr>
                      <w:r>
                        <w:rPr>
                          <w:color w:val="404040"/>
                          <w:sz w:val="36"/>
                        </w:rPr>
                        <w:t xml:space="preserve">Lecturer’s Name: </w:t>
                      </w:r>
                      <w:r w:rsidR="00CE1390">
                        <w:rPr>
                          <w:color w:val="404040"/>
                          <w:sz w:val="36"/>
                        </w:rPr>
                        <w:t>Dr Kwame Assa-Agyei</w:t>
                      </w:r>
                    </w:p>
                  </w:txbxContent>
                </v:textbox>
                <w10:wrap anchorx="page" anchory="page"/>
              </v:rect>
            </w:pict>
          </mc:Fallback>
        </mc:AlternateContent>
      </w:r>
      <w:r>
        <w:br w:type="page"/>
      </w:r>
    </w:p>
    <w:p w14:paraId="77263331" w14:textId="77777777" w:rsidR="00530E16" w:rsidRDefault="00530E16">
      <w:pPr>
        <w:rPr>
          <w:rFonts w:ascii="Arial" w:eastAsia="Arial" w:hAnsi="Arial" w:cs="Arial"/>
        </w:rPr>
      </w:pPr>
    </w:p>
    <w:p w14:paraId="0F86D8DD"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433A45B7" w14:textId="77777777" w:rsidR="002C1204"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5312839" w:history="1">
            <w:r w:rsidR="002C1204" w:rsidRPr="007E2768">
              <w:rPr>
                <w:rStyle w:val="Hyperlink"/>
                <w:noProof/>
              </w:rPr>
              <w:t>Research Topic: The Role of Poor Documentation and Communication Breakdown in Medication Errors in Care Home Settings</w:t>
            </w:r>
            <w:r w:rsidR="002C1204">
              <w:rPr>
                <w:noProof/>
                <w:webHidden/>
              </w:rPr>
              <w:tab/>
            </w:r>
            <w:r w:rsidR="002C1204">
              <w:rPr>
                <w:noProof/>
                <w:webHidden/>
              </w:rPr>
              <w:fldChar w:fldCharType="begin"/>
            </w:r>
            <w:r w:rsidR="002C1204">
              <w:rPr>
                <w:noProof/>
                <w:webHidden/>
              </w:rPr>
              <w:instrText xml:space="preserve"> PAGEREF _Toc215312839 \h </w:instrText>
            </w:r>
            <w:r w:rsidR="002C1204">
              <w:rPr>
                <w:noProof/>
                <w:webHidden/>
              </w:rPr>
            </w:r>
            <w:r w:rsidR="002C1204">
              <w:rPr>
                <w:noProof/>
                <w:webHidden/>
              </w:rPr>
              <w:fldChar w:fldCharType="separate"/>
            </w:r>
            <w:r w:rsidR="002C1204">
              <w:rPr>
                <w:noProof/>
                <w:webHidden/>
              </w:rPr>
              <w:t>1</w:t>
            </w:r>
            <w:r w:rsidR="002C1204">
              <w:rPr>
                <w:noProof/>
                <w:webHidden/>
              </w:rPr>
              <w:fldChar w:fldCharType="end"/>
            </w:r>
          </w:hyperlink>
        </w:p>
        <w:p w14:paraId="2D91567F" w14:textId="77777777" w:rsidR="002C1204" w:rsidRDefault="002C1204">
          <w:pPr>
            <w:pStyle w:val="TOC1"/>
            <w:tabs>
              <w:tab w:val="right" w:leader="dot" w:pos="9016"/>
            </w:tabs>
            <w:rPr>
              <w:rFonts w:asciiTheme="minorHAnsi" w:eastAsiaTheme="minorEastAsia" w:hAnsiTheme="minorHAnsi" w:cstheme="minorBidi"/>
              <w:noProof/>
              <w:sz w:val="22"/>
              <w:szCs w:val="22"/>
            </w:rPr>
          </w:pPr>
          <w:hyperlink w:anchor="_Toc215312840" w:history="1">
            <w:r w:rsidRPr="007E2768">
              <w:rPr>
                <w:rStyle w:val="Hyperlink"/>
                <w:noProof/>
              </w:rPr>
              <w:t>Introduction</w:t>
            </w:r>
            <w:r>
              <w:rPr>
                <w:noProof/>
                <w:webHidden/>
              </w:rPr>
              <w:tab/>
            </w:r>
            <w:r>
              <w:rPr>
                <w:noProof/>
                <w:webHidden/>
              </w:rPr>
              <w:fldChar w:fldCharType="begin"/>
            </w:r>
            <w:r>
              <w:rPr>
                <w:noProof/>
                <w:webHidden/>
              </w:rPr>
              <w:instrText xml:space="preserve"> PAGEREF _Toc215312840 \h </w:instrText>
            </w:r>
            <w:r>
              <w:rPr>
                <w:noProof/>
                <w:webHidden/>
              </w:rPr>
            </w:r>
            <w:r>
              <w:rPr>
                <w:noProof/>
                <w:webHidden/>
              </w:rPr>
              <w:fldChar w:fldCharType="separate"/>
            </w:r>
            <w:r>
              <w:rPr>
                <w:noProof/>
                <w:webHidden/>
              </w:rPr>
              <w:t>1</w:t>
            </w:r>
            <w:r>
              <w:rPr>
                <w:noProof/>
                <w:webHidden/>
              </w:rPr>
              <w:fldChar w:fldCharType="end"/>
            </w:r>
          </w:hyperlink>
        </w:p>
        <w:p w14:paraId="3BB017E2" w14:textId="77777777" w:rsidR="002C1204" w:rsidRDefault="002C1204">
          <w:pPr>
            <w:pStyle w:val="TOC2"/>
            <w:tabs>
              <w:tab w:val="right" w:leader="dot" w:pos="9016"/>
            </w:tabs>
            <w:rPr>
              <w:rFonts w:asciiTheme="minorHAnsi" w:eastAsiaTheme="minorEastAsia" w:hAnsiTheme="minorHAnsi" w:cstheme="minorBidi"/>
              <w:noProof/>
              <w:sz w:val="22"/>
              <w:szCs w:val="22"/>
            </w:rPr>
          </w:pPr>
          <w:hyperlink w:anchor="_Toc215312841" w:history="1">
            <w:r w:rsidRPr="007E2768">
              <w:rPr>
                <w:rStyle w:val="Hyperlink"/>
                <w:noProof/>
              </w:rPr>
              <w:t>Problem Statement</w:t>
            </w:r>
            <w:r>
              <w:rPr>
                <w:noProof/>
                <w:webHidden/>
              </w:rPr>
              <w:tab/>
            </w:r>
            <w:r>
              <w:rPr>
                <w:noProof/>
                <w:webHidden/>
              </w:rPr>
              <w:fldChar w:fldCharType="begin"/>
            </w:r>
            <w:r>
              <w:rPr>
                <w:noProof/>
                <w:webHidden/>
              </w:rPr>
              <w:instrText xml:space="preserve"> PAGEREF _Toc215312841 \h </w:instrText>
            </w:r>
            <w:r>
              <w:rPr>
                <w:noProof/>
                <w:webHidden/>
              </w:rPr>
            </w:r>
            <w:r>
              <w:rPr>
                <w:noProof/>
                <w:webHidden/>
              </w:rPr>
              <w:fldChar w:fldCharType="separate"/>
            </w:r>
            <w:r>
              <w:rPr>
                <w:noProof/>
                <w:webHidden/>
              </w:rPr>
              <w:t>1</w:t>
            </w:r>
            <w:r>
              <w:rPr>
                <w:noProof/>
                <w:webHidden/>
              </w:rPr>
              <w:fldChar w:fldCharType="end"/>
            </w:r>
          </w:hyperlink>
        </w:p>
        <w:p w14:paraId="6D911975" w14:textId="77777777" w:rsidR="002C1204" w:rsidRDefault="002C1204">
          <w:pPr>
            <w:pStyle w:val="TOC2"/>
            <w:tabs>
              <w:tab w:val="right" w:leader="dot" w:pos="9016"/>
            </w:tabs>
            <w:rPr>
              <w:rFonts w:asciiTheme="minorHAnsi" w:eastAsiaTheme="minorEastAsia" w:hAnsiTheme="minorHAnsi" w:cstheme="minorBidi"/>
              <w:noProof/>
              <w:sz w:val="22"/>
              <w:szCs w:val="22"/>
            </w:rPr>
          </w:pPr>
          <w:hyperlink w:anchor="_Toc215312842" w:history="1">
            <w:r w:rsidRPr="007E2768">
              <w:rPr>
                <w:rStyle w:val="Hyperlink"/>
                <w:noProof/>
              </w:rPr>
              <w:t>Justification</w:t>
            </w:r>
            <w:r>
              <w:rPr>
                <w:noProof/>
                <w:webHidden/>
              </w:rPr>
              <w:tab/>
            </w:r>
            <w:r>
              <w:rPr>
                <w:noProof/>
                <w:webHidden/>
              </w:rPr>
              <w:fldChar w:fldCharType="begin"/>
            </w:r>
            <w:r>
              <w:rPr>
                <w:noProof/>
                <w:webHidden/>
              </w:rPr>
              <w:instrText xml:space="preserve"> PAGEREF _Toc215312842 \h </w:instrText>
            </w:r>
            <w:r>
              <w:rPr>
                <w:noProof/>
                <w:webHidden/>
              </w:rPr>
            </w:r>
            <w:r>
              <w:rPr>
                <w:noProof/>
                <w:webHidden/>
              </w:rPr>
              <w:fldChar w:fldCharType="separate"/>
            </w:r>
            <w:r>
              <w:rPr>
                <w:noProof/>
                <w:webHidden/>
              </w:rPr>
              <w:t>2</w:t>
            </w:r>
            <w:r>
              <w:rPr>
                <w:noProof/>
                <w:webHidden/>
              </w:rPr>
              <w:fldChar w:fldCharType="end"/>
            </w:r>
          </w:hyperlink>
        </w:p>
        <w:p w14:paraId="728A8DF8" w14:textId="77777777" w:rsidR="002C1204" w:rsidRDefault="002C1204">
          <w:pPr>
            <w:pStyle w:val="TOC2"/>
            <w:tabs>
              <w:tab w:val="right" w:leader="dot" w:pos="9016"/>
            </w:tabs>
            <w:rPr>
              <w:rFonts w:asciiTheme="minorHAnsi" w:eastAsiaTheme="minorEastAsia" w:hAnsiTheme="minorHAnsi" w:cstheme="minorBidi"/>
              <w:noProof/>
              <w:sz w:val="22"/>
              <w:szCs w:val="22"/>
            </w:rPr>
          </w:pPr>
          <w:hyperlink w:anchor="_Toc215312843" w:history="1">
            <w:r w:rsidRPr="007E2768">
              <w:rPr>
                <w:rStyle w:val="Hyperlink"/>
                <w:noProof/>
              </w:rPr>
              <w:t>Information Sources and Justification</w:t>
            </w:r>
            <w:r>
              <w:rPr>
                <w:noProof/>
                <w:webHidden/>
              </w:rPr>
              <w:tab/>
            </w:r>
            <w:r>
              <w:rPr>
                <w:noProof/>
                <w:webHidden/>
              </w:rPr>
              <w:fldChar w:fldCharType="begin"/>
            </w:r>
            <w:r>
              <w:rPr>
                <w:noProof/>
                <w:webHidden/>
              </w:rPr>
              <w:instrText xml:space="preserve"> PAGEREF _Toc215312843 \h </w:instrText>
            </w:r>
            <w:r>
              <w:rPr>
                <w:noProof/>
                <w:webHidden/>
              </w:rPr>
            </w:r>
            <w:r>
              <w:rPr>
                <w:noProof/>
                <w:webHidden/>
              </w:rPr>
              <w:fldChar w:fldCharType="separate"/>
            </w:r>
            <w:r>
              <w:rPr>
                <w:noProof/>
                <w:webHidden/>
              </w:rPr>
              <w:t>2</w:t>
            </w:r>
            <w:r>
              <w:rPr>
                <w:noProof/>
                <w:webHidden/>
              </w:rPr>
              <w:fldChar w:fldCharType="end"/>
            </w:r>
          </w:hyperlink>
        </w:p>
        <w:p w14:paraId="487555A9" w14:textId="77777777" w:rsidR="002C1204" w:rsidRDefault="002C1204">
          <w:pPr>
            <w:pStyle w:val="TOC1"/>
            <w:tabs>
              <w:tab w:val="right" w:leader="dot" w:pos="9016"/>
            </w:tabs>
            <w:rPr>
              <w:rFonts w:asciiTheme="minorHAnsi" w:eastAsiaTheme="minorEastAsia" w:hAnsiTheme="minorHAnsi" w:cstheme="minorBidi"/>
              <w:noProof/>
              <w:sz w:val="22"/>
              <w:szCs w:val="22"/>
            </w:rPr>
          </w:pPr>
          <w:hyperlink w:anchor="_Toc215312844" w:history="1">
            <w:r w:rsidRPr="007E2768">
              <w:rPr>
                <w:rStyle w:val="Hyperlink"/>
                <w:noProof/>
              </w:rPr>
              <w:t xml:space="preserve">Task 2: </w:t>
            </w:r>
            <w:r w:rsidRPr="007E2768">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_Toc215312844 \h </w:instrText>
            </w:r>
            <w:r>
              <w:rPr>
                <w:noProof/>
                <w:webHidden/>
              </w:rPr>
            </w:r>
            <w:r>
              <w:rPr>
                <w:noProof/>
                <w:webHidden/>
              </w:rPr>
              <w:fldChar w:fldCharType="separate"/>
            </w:r>
            <w:r>
              <w:rPr>
                <w:noProof/>
                <w:webHidden/>
              </w:rPr>
              <w:t>3</w:t>
            </w:r>
            <w:r>
              <w:rPr>
                <w:noProof/>
                <w:webHidden/>
              </w:rPr>
              <w:fldChar w:fldCharType="end"/>
            </w:r>
          </w:hyperlink>
        </w:p>
        <w:p w14:paraId="586403E4" w14:textId="77777777" w:rsidR="002C1204" w:rsidRDefault="002C1204">
          <w:pPr>
            <w:pStyle w:val="TOC2"/>
            <w:tabs>
              <w:tab w:val="right" w:leader="dot" w:pos="9016"/>
            </w:tabs>
            <w:rPr>
              <w:rFonts w:asciiTheme="minorHAnsi" w:eastAsiaTheme="minorEastAsia" w:hAnsiTheme="minorHAnsi" w:cstheme="minorBidi"/>
              <w:noProof/>
              <w:sz w:val="22"/>
              <w:szCs w:val="22"/>
            </w:rPr>
          </w:pPr>
          <w:hyperlink w:anchor="_Toc215312845" w:history="1">
            <w:r w:rsidRPr="007E2768">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_Toc215312845 \h </w:instrText>
            </w:r>
            <w:r>
              <w:rPr>
                <w:noProof/>
                <w:webHidden/>
              </w:rPr>
            </w:r>
            <w:r>
              <w:rPr>
                <w:noProof/>
                <w:webHidden/>
              </w:rPr>
              <w:fldChar w:fldCharType="separate"/>
            </w:r>
            <w:r>
              <w:rPr>
                <w:noProof/>
                <w:webHidden/>
              </w:rPr>
              <w:t>3</w:t>
            </w:r>
            <w:r>
              <w:rPr>
                <w:noProof/>
                <w:webHidden/>
              </w:rPr>
              <w:fldChar w:fldCharType="end"/>
            </w:r>
          </w:hyperlink>
        </w:p>
        <w:p w14:paraId="0FF63752" w14:textId="77777777" w:rsidR="002C1204" w:rsidRDefault="002C1204">
          <w:pPr>
            <w:pStyle w:val="TOC2"/>
            <w:tabs>
              <w:tab w:val="right" w:leader="dot" w:pos="9016"/>
            </w:tabs>
            <w:rPr>
              <w:rFonts w:asciiTheme="minorHAnsi" w:eastAsiaTheme="minorEastAsia" w:hAnsiTheme="minorHAnsi" w:cstheme="minorBidi"/>
              <w:noProof/>
              <w:sz w:val="22"/>
              <w:szCs w:val="22"/>
            </w:rPr>
          </w:pPr>
          <w:hyperlink w:anchor="_Toc215312846" w:history="1">
            <w:r w:rsidRPr="007E2768">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_Toc215312846 \h </w:instrText>
            </w:r>
            <w:r>
              <w:rPr>
                <w:noProof/>
                <w:webHidden/>
              </w:rPr>
            </w:r>
            <w:r>
              <w:rPr>
                <w:noProof/>
                <w:webHidden/>
              </w:rPr>
              <w:fldChar w:fldCharType="separate"/>
            </w:r>
            <w:r>
              <w:rPr>
                <w:noProof/>
                <w:webHidden/>
              </w:rPr>
              <w:t>3</w:t>
            </w:r>
            <w:r>
              <w:rPr>
                <w:noProof/>
                <w:webHidden/>
              </w:rPr>
              <w:fldChar w:fldCharType="end"/>
            </w:r>
          </w:hyperlink>
        </w:p>
        <w:p w14:paraId="73B4F112" w14:textId="77777777" w:rsidR="002C1204" w:rsidRDefault="002C1204">
          <w:pPr>
            <w:pStyle w:val="TOC1"/>
            <w:tabs>
              <w:tab w:val="right" w:leader="dot" w:pos="9016"/>
            </w:tabs>
            <w:rPr>
              <w:rFonts w:asciiTheme="minorHAnsi" w:eastAsiaTheme="minorEastAsia" w:hAnsiTheme="minorHAnsi" w:cstheme="minorBidi"/>
              <w:noProof/>
              <w:sz w:val="22"/>
              <w:szCs w:val="22"/>
            </w:rPr>
          </w:pPr>
          <w:hyperlink w:anchor="_Toc215312847" w:history="1">
            <w:r w:rsidRPr="007E2768">
              <w:rPr>
                <w:rStyle w:val="Hyperlink"/>
                <w:noProof/>
              </w:rPr>
              <w:t>Task 3: Data Collection</w:t>
            </w:r>
            <w:r>
              <w:rPr>
                <w:noProof/>
                <w:webHidden/>
              </w:rPr>
              <w:tab/>
            </w:r>
            <w:r>
              <w:rPr>
                <w:noProof/>
                <w:webHidden/>
              </w:rPr>
              <w:fldChar w:fldCharType="begin"/>
            </w:r>
            <w:r>
              <w:rPr>
                <w:noProof/>
                <w:webHidden/>
              </w:rPr>
              <w:instrText xml:space="preserve"> PAGEREF _Toc215312847 \h </w:instrText>
            </w:r>
            <w:r>
              <w:rPr>
                <w:noProof/>
                <w:webHidden/>
              </w:rPr>
            </w:r>
            <w:r>
              <w:rPr>
                <w:noProof/>
                <w:webHidden/>
              </w:rPr>
              <w:fldChar w:fldCharType="separate"/>
            </w:r>
            <w:r>
              <w:rPr>
                <w:noProof/>
                <w:webHidden/>
              </w:rPr>
              <w:t>4</w:t>
            </w:r>
            <w:r>
              <w:rPr>
                <w:noProof/>
                <w:webHidden/>
              </w:rPr>
              <w:fldChar w:fldCharType="end"/>
            </w:r>
          </w:hyperlink>
        </w:p>
        <w:p w14:paraId="7F9126C9" w14:textId="77777777" w:rsidR="002C1204" w:rsidRDefault="002C1204">
          <w:pPr>
            <w:pStyle w:val="TOC2"/>
            <w:tabs>
              <w:tab w:val="right" w:leader="dot" w:pos="9016"/>
            </w:tabs>
            <w:rPr>
              <w:rFonts w:asciiTheme="minorHAnsi" w:eastAsiaTheme="minorEastAsia" w:hAnsiTheme="minorHAnsi" w:cstheme="minorBidi"/>
              <w:noProof/>
              <w:sz w:val="22"/>
              <w:szCs w:val="22"/>
            </w:rPr>
          </w:pPr>
          <w:hyperlink w:anchor="_Toc215312848" w:history="1">
            <w:r w:rsidRPr="007E2768">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_Toc215312848 \h </w:instrText>
            </w:r>
            <w:r>
              <w:rPr>
                <w:noProof/>
                <w:webHidden/>
              </w:rPr>
            </w:r>
            <w:r>
              <w:rPr>
                <w:noProof/>
                <w:webHidden/>
              </w:rPr>
              <w:fldChar w:fldCharType="separate"/>
            </w:r>
            <w:r>
              <w:rPr>
                <w:noProof/>
                <w:webHidden/>
              </w:rPr>
              <w:t>4</w:t>
            </w:r>
            <w:r>
              <w:rPr>
                <w:noProof/>
                <w:webHidden/>
              </w:rPr>
              <w:fldChar w:fldCharType="end"/>
            </w:r>
          </w:hyperlink>
        </w:p>
        <w:p w14:paraId="7E89F8C2" w14:textId="77777777" w:rsidR="002C1204" w:rsidRDefault="002C1204">
          <w:pPr>
            <w:pStyle w:val="TOC2"/>
            <w:tabs>
              <w:tab w:val="right" w:leader="dot" w:pos="9016"/>
            </w:tabs>
            <w:rPr>
              <w:rFonts w:asciiTheme="minorHAnsi" w:eastAsiaTheme="minorEastAsia" w:hAnsiTheme="minorHAnsi" w:cstheme="minorBidi"/>
              <w:noProof/>
              <w:sz w:val="22"/>
              <w:szCs w:val="22"/>
            </w:rPr>
          </w:pPr>
          <w:hyperlink w:anchor="_Toc215312849" w:history="1">
            <w:r w:rsidRPr="007E2768">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_Toc215312849 \h </w:instrText>
            </w:r>
            <w:r>
              <w:rPr>
                <w:noProof/>
                <w:webHidden/>
              </w:rPr>
            </w:r>
            <w:r>
              <w:rPr>
                <w:noProof/>
                <w:webHidden/>
              </w:rPr>
              <w:fldChar w:fldCharType="separate"/>
            </w:r>
            <w:r>
              <w:rPr>
                <w:noProof/>
                <w:webHidden/>
              </w:rPr>
              <w:t>4</w:t>
            </w:r>
            <w:r>
              <w:rPr>
                <w:noProof/>
                <w:webHidden/>
              </w:rPr>
              <w:fldChar w:fldCharType="end"/>
            </w:r>
          </w:hyperlink>
        </w:p>
        <w:p w14:paraId="0E19218A" w14:textId="77777777" w:rsidR="002C1204" w:rsidRDefault="002C1204">
          <w:pPr>
            <w:pStyle w:val="TOC1"/>
            <w:tabs>
              <w:tab w:val="right" w:leader="dot" w:pos="9016"/>
            </w:tabs>
            <w:rPr>
              <w:rFonts w:asciiTheme="minorHAnsi" w:eastAsiaTheme="minorEastAsia" w:hAnsiTheme="minorHAnsi" w:cstheme="minorBidi"/>
              <w:noProof/>
              <w:sz w:val="22"/>
              <w:szCs w:val="22"/>
            </w:rPr>
          </w:pPr>
          <w:hyperlink w:anchor="_Toc215312850" w:history="1">
            <w:r w:rsidRPr="007E2768">
              <w:rPr>
                <w:rStyle w:val="Hyperlink"/>
                <w:noProof/>
              </w:rPr>
              <w:t>Conclusion</w:t>
            </w:r>
            <w:r>
              <w:rPr>
                <w:noProof/>
                <w:webHidden/>
              </w:rPr>
              <w:tab/>
            </w:r>
            <w:r>
              <w:rPr>
                <w:noProof/>
                <w:webHidden/>
              </w:rPr>
              <w:fldChar w:fldCharType="begin"/>
            </w:r>
            <w:r>
              <w:rPr>
                <w:noProof/>
                <w:webHidden/>
              </w:rPr>
              <w:instrText xml:space="preserve"> PAGEREF _Toc215312850 \h </w:instrText>
            </w:r>
            <w:r>
              <w:rPr>
                <w:noProof/>
                <w:webHidden/>
              </w:rPr>
            </w:r>
            <w:r>
              <w:rPr>
                <w:noProof/>
                <w:webHidden/>
              </w:rPr>
              <w:fldChar w:fldCharType="separate"/>
            </w:r>
            <w:r>
              <w:rPr>
                <w:noProof/>
                <w:webHidden/>
              </w:rPr>
              <w:t>5</w:t>
            </w:r>
            <w:r>
              <w:rPr>
                <w:noProof/>
                <w:webHidden/>
              </w:rPr>
              <w:fldChar w:fldCharType="end"/>
            </w:r>
          </w:hyperlink>
        </w:p>
        <w:p w14:paraId="752876BC" w14:textId="77777777" w:rsidR="002C1204" w:rsidRDefault="002C1204">
          <w:pPr>
            <w:pStyle w:val="TOC1"/>
            <w:tabs>
              <w:tab w:val="right" w:leader="dot" w:pos="9016"/>
            </w:tabs>
            <w:rPr>
              <w:rFonts w:asciiTheme="minorHAnsi" w:eastAsiaTheme="minorEastAsia" w:hAnsiTheme="minorHAnsi" w:cstheme="minorBidi"/>
              <w:noProof/>
              <w:sz w:val="22"/>
              <w:szCs w:val="22"/>
            </w:rPr>
          </w:pPr>
          <w:hyperlink w:anchor="_Toc215312851" w:history="1">
            <w:r w:rsidRPr="007E2768">
              <w:rPr>
                <w:rStyle w:val="Hyperlink"/>
                <w:noProof/>
              </w:rPr>
              <w:t>References</w:t>
            </w:r>
            <w:r>
              <w:rPr>
                <w:noProof/>
                <w:webHidden/>
              </w:rPr>
              <w:tab/>
            </w:r>
            <w:r>
              <w:rPr>
                <w:noProof/>
                <w:webHidden/>
              </w:rPr>
              <w:fldChar w:fldCharType="begin"/>
            </w:r>
            <w:r>
              <w:rPr>
                <w:noProof/>
                <w:webHidden/>
              </w:rPr>
              <w:instrText xml:space="preserve"> PAGEREF _Toc215312851 \h </w:instrText>
            </w:r>
            <w:r>
              <w:rPr>
                <w:noProof/>
                <w:webHidden/>
              </w:rPr>
            </w:r>
            <w:r>
              <w:rPr>
                <w:noProof/>
                <w:webHidden/>
              </w:rPr>
              <w:fldChar w:fldCharType="separate"/>
            </w:r>
            <w:r>
              <w:rPr>
                <w:noProof/>
                <w:webHidden/>
              </w:rPr>
              <w:t>6</w:t>
            </w:r>
            <w:r>
              <w:rPr>
                <w:noProof/>
                <w:webHidden/>
              </w:rPr>
              <w:fldChar w:fldCharType="end"/>
            </w:r>
          </w:hyperlink>
        </w:p>
        <w:p w14:paraId="2C5FEEB4" w14:textId="77777777" w:rsidR="00530E16" w:rsidRPr="00CF650B" w:rsidRDefault="004468F8">
          <w:r>
            <w:fldChar w:fldCharType="end"/>
          </w:r>
        </w:p>
      </w:sdtContent>
    </w:sdt>
    <w:p w14:paraId="77553226" w14:textId="77777777" w:rsidR="00530E16" w:rsidRDefault="00530E16">
      <w:pPr>
        <w:rPr>
          <w:rFonts w:ascii="Arial" w:eastAsia="Arial" w:hAnsi="Arial" w:cs="Arial"/>
        </w:rPr>
      </w:pPr>
    </w:p>
    <w:p w14:paraId="1A71D5F1" w14:textId="77777777" w:rsidR="00530E16" w:rsidRDefault="00530E16">
      <w:pPr>
        <w:rPr>
          <w:rFonts w:ascii="Arial" w:eastAsia="Arial" w:hAnsi="Arial" w:cs="Arial"/>
        </w:rPr>
      </w:pPr>
    </w:p>
    <w:p w14:paraId="1C2934E0" w14:textId="77777777" w:rsidR="00530E16" w:rsidRDefault="00530E16">
      <w:pPr>
        <w:rPr>
          <w:rFonts w:ascii="Arial" w:eastAsia="Arial" w:hAnsi="Arial" w:cs="Arial"/>
        </w:rPr>
      </w:pPr>
    </w:p>
    <w:p w14:paraId="73DE434C" w14:textId="77777777" w:rsidR="00530E16" w:rsidRDefault="00530E16">
      <w:pPr>
        <w:rPr>
          <w:rFonts w:ascii="Arial" w:eastAsia="Arial" w:hAnsi="Arial" w:cs="Arial"/>
        </w:rPr>
      </w:pPr>
    </w:p>
    <w:p w14:paraId="30C8B737" w14:textId="77777777" w:rsidR="00530E16" w:rsidRDefault="00530E16">
      <w:pPr>
        <w:rPr>
          <w:rFonts w:ascii="Arial" w:eastAsia="Arial" w:hAnsi="Arial" w:cs="Arial"/>
        </w:rPr>
      </w:pPr>
    </w:p>
    <w:p w14:paraId="1F299585" w14:textId="77777777" w:rsidR="00530E16" w:rsidRDefault="00530E16">
      <w:pPr>
        <w:rPr>
          <w:rFonts w:ascii="Arial" w:eastAsia="Arial" w:hAnsi="Arial" w:cs="Arial"/>
        </w:rPr>
      </w:pPr>
    </w:p>
    <w:p w14:paraId="1959CF4F" w14:textId="77777777" w:rsidR="00530E16" w:rsidRDefault="00530E16">
      <w:pPr>
        <w:rPr>
          <w:rFonts w:ascii="Arial" w:eastAsia="Arial" w:hAnsi="Arial" w:cs="Arial"/>
        </w:rPr>
      </w:pPr>
    </w:p>
    <w:p w14:paraId="2572C1D3" w14:textId="77777777" w:rsidR="00530E16" w:rsidRDefault="00530E16">
      <w:pPr>
        <w:rPr>
          <w:rFonts w:ascii="Arial" w:eastAsia="Arial" w:hAnsi="Arial" w:cs="Arial"/>
        </w:rPr>
      </w:pPr>
    </w:p>
    <w:p w14:paraId="3E827100" w14:textId="77777777" w:rsidR="00530E16" w:rsidRDefault="00530E16">
      <w:pPr>
        <w:rPr>
          <w:rFonts w:ascii="Arial" w:eastAsia="Arial" w:hAnsi="Arial" w:cs="Arial"/>
        </w:rPr>
      </w:pPr>
    </w:p>
    <w:p w14:paraId="2D35F36E" w14:textId="77777777" w:rsidR="00530E16" w:rsidRDefault="00530E16">
      <w:pPr>
        <w:rPr>
          <w:rFonts w:ascii="Arial" w:eastAsia="Arial" w:hAnsi="Arial" w:cs="Arial"/>
        </w:rPr>
      </w:pPr>
    </w:p>
    <w:p w14:paraId="09C8820E" w14:textId="77777777" w:rsidR="00530E16" w:rsidRDefault="00530E16">
      <w:pPr>
        <w:rPr>
          <w:rFonts w:ascii="Arial" w:eastAsia="Arial" w:hAnsi="Arial" w:cs="Arial"/>
        </w:rPr>
      </w:pPr>
    </w:p>
    <w:p w14:paraId="6C320450" w14:textId="77777777" w:rsidR="00530E16" w:rsidRDefault="00530E16">
      <w:pPr>
        <w:rPr>
          <w:rFonts w:ascii="Arial" w:eastAsia="Arial" w:hAnsi="Arial" w:cs="Arial"/>
        </w:rPr>
      </w:pPr>
    </w:p>
    <w:p w14:paraId="55DC57DD" w14:textId="77777777" w:rsidR="00530E16" w:rsidRDefault="00530E16">
      <w:pPr>
        <w:rPr>
          <w:rFonts w:ascii="Arial" w:eastAsia="Arial" w:hAnsi="Arial" w:cs="Arial"/>
        </w:rPr>
      </w:pPr>
    </w:p>
    <w:p w14:paraId="01239B38" w14:textId="77777777" w:rsidR="00530E16" w:rsidRDefault="00530E16">
      <w:pPr>
        <w:rPr>
          <w:rFonts w:ascii="Arial" w:eastAsia="Arial" w:hAnsi="Arial" w:cs="Arial"/>
        </w:rPr>
      </w:pPr>
    </w:p>
    <w:p w14:paraId="4E067654"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68F65D30" w14:textId="77777777" w:rsidR="00530E16" w:rsidRDefault="00530E16">
      <w:pPr>
        <w:rPr>
          <w:rFonts w:ascii="Arial" w:eastAsia="Arial" w:hAnsi="Arial" w:cs="Arial"/>
        </w:rPr>
      </w:pPr>
    </w:p>
    <w:p w14:paraId="4E61FC96" w14:textId="77777777" w:rsidR="00530E16" w:rsidRDefault="004468F8">
      <w:pPr>
        <w:pStyle w:val="Heading1"/>
      </w:pPr>
      <w:bookmarkStart w:id="0" w:name="_Toc215312839"/>
      <w:r>
        <w:t xml:space="preserve">Research Topic: </w:t>
      </w:r>
      <w:r w:rsidR="00CE1390" w:rsidRPr="00CE1390">
        <w:t>The Role of Poor Documentation and Communication Breakdown in Medication Errors in Care Home Settings</w:t>
      </w:r>
      <w:bookmarkEnd w:id="0"/>
    </w:p>
    <w:p w14:paraId="2023F3E4" w14:textId="77777777" w:rsidR="00530E16" w:rsidRPr="004468F8" w:rsidRDefault="00BA0043">
      <w:pPr>
        <w:pStyle w:val="Heading1"/>
        <w:rPr>
          <w:sz w:val="32"/>
          <w:szCs w:val="32"/>
        </w:rPr>
      </w:pPr>
      <w:bookmarkStart w:id="1" w:name="_Toc215312840"/>
      <w:r>
        <w:rPr>
          <w:sz w:val="32"/>
          <w:szCs w:val="32"/>
        </w:rPr>
        <w:t>Introduction</w:t>
      </w:r>
      <w:bookmarkEnd w:id="1"/>
    </w:p>
    <w:p w14:paraId="1E502CCD" w14:textId="77777777" w:rsidR="00CE1390" w:rsidRPr="00CE1390" w:rsidRDefault="00CE1390" w:rsidP="00CE1390">
      <w:pPr>
        <w:spacing w:line="360" w:lineRule="auto"/>
        <w:jc w:val="both"/>
        <w:rPr>
          <w:sz w:val="22"/>
          <w:szCs w:val="22"/>
        </w:rPr>
      </w:pPr>
      <w:r w:rsidRPr="00CE1390">
        <w:rPr>
          <w:sz w:val="22"/>
          <w:szCs w:val="22"/>
        </w:rPr>
        <w:t>Medication management is a vital component of safe and effective care in residential and nursing home environments. Older adults living in care settings typically present with complex health needs, long-term conditions, and multiple medications, making them highly susceptible to medication-related incidents. Medication errors may involve wrong doses, omissions, incorrect timing, or administering medication to the wrong resident, all of which can have serious consequences. Among the numerous factors influencing medication safety, poor documentation and communication breakdown consistently appear as major causes of errors within care homes.</w:t>
      </w:r>
    </w:p>
    <w:p w14:paraId="04D36614" w14:textId="77777777" w:rsidR="004468F8" w:rsidRPr="00CE1390" w:rsidRDefault="00CE1390" w:rsidP="00CE1390">
      <w:pPr>
        <w:spacing w:line="360" w:lineRule="auto"/>
        <w:jc w:val="both"/>
        <w:rPr>
          <w:sz w:val="22"/>
          <w:szCs w:val="22"/>
        </w:rPr>
      </w:pPr>
      <w:r w:rsidRPr="00CE1390">
        <w:rPr>
          <w:sz w:val="22"/>
          <w:szCs w:val="22"/>
        </w:rPr>
        <w:t>This report explores how inadequate record-keeping and ineffective communication between healthcare staff contribute to medication errors. It also outlines the importance of addressing these issues and presents methodological approaches to researching them within the context of care-home practice.</w:t>
      </w:r>
    </w:p>
    <w:p w14:paraId="3CFFCA2F" w14:textId="77777777" w:rsidR="00530E16" w:rsidRDefault="004468F8">
      <w:pPr>
        <w:pStyle w:val="Heading2"/>
        <w:jc w:val="both"/>
      </w:pPr>
      <w:bookmarkStart w:id="2" w:name="_Toc215312841"/>
      <w:r>
        <w:t>Problem Statement</w:t>
      </w:r>
      <w:bookmarkEnd w:id="2"/>
    </w:p>
    <w:p w14:paraId="3BFC3A67" w14:textId="77777777" w:rsidR="00CE1390" w:rsidRPr="00CE1390" w:rsidRDefault="00CE1390" w:rsidP="00CE1390">
      <w:pPr>
        <w:spacing w:line="360" w:lineRule="auto"/>
        <w:jc w:val="both"/>
        <w:rPr>
          <w:sz w:val="22"/>
          <w:szCs w:val="22"/>
        </w:rPr>
      </w:pPr>
      <w:r w:rsidRPr="00CE1390">
        <w:rPr>
          <w:sz w:val="22"/>
          <w:szCs w:val="22"/>
        </w:rPr>
        <w:t>Medication errors remain a persistent issue in adult care homes, posing significant risks to resident safety. Poor documentation is one of the primary contributors to these errors. Medication Administration Records (MAR charts), care plans, and clinical notes are essential for providing accurate guidance on medication type, dosage, and administration schedules. When documentation is incomplete, unclear, or not updated promptly, staff may unintentionally follow outdated or incorrect instructions. This can result in mistakes such as double-dosing, late administration, or administering the wrong medication (Vrbova, Comoretto and De Benedictis, 2020).</w:t>
      </w:r>
    </w:p>
    <w:p w14:paraId="56594647" w14:textId="77777777" w:rsidR="00CE1390" w:rsidRPr="00CE1390" w:rsidRDefault="00CE1390" w:rsidP="00CE1390">
      <w:pPr>
        <w:spacing w:line="360" w:lineRule="auto"/>
        <w:jc w:val="both"/>
        <w:rPr>
          <w:sz w:val="22"/>
          <w:szCs w:val="22"/>
        </w:rPr>
      </w:pPr>
      <w:r w:rsidRPr="00CE1390">
        <w:rPr>
          <w:sz w:val="22"/>
          <w:szCs w:val="22"/>
        </w:rPr>
        <w:t>Communication breakdown further aggravates the problem. Care homes operate across shift systems, rely on multidisciplinary collaboration, and often work with external healthcare professionals such as GPs and pharmacists. When important information about medication changes is not passed on accurately—for example, during handovers or after GP visits—staff may continue following old instructions, putting residents at risk (O’Connell and Flynn, 2007). In addition, factors such as language barriers, staff turnover, reliance on agency workers, and time pressures contribute to information gaps.</w:t>
      </w:r>
    </w:p>
    <w:p w14:paraId="39E9E8DC" w14:textId="77777777" w:rsidR="00CE1390" w:rsidRPr="00CE1390" w:rsidRDefault="00CE1390" w:rsidP="00CE1390">
      <w:pPr>
        <w:spacing w:line="360" w:lineRule="auto"/>
        <w:jc w:val="both"/>
        <w:rPr>
          <w:sz w:val="22"/>
          <w:szCs w:val="22"/>
        </w:rPr>
      </w:pPr>
    </w:p>
    <w:p w14:paraId="5D971C4F" w14:textId="77777777" w:rsidR="004468F8" w:rsidRPr="00CE1390" w:rsidRDefault="00CE1390" w:rsidP="00CE1390">
      <w:pPr>
        <w:spacing w:line="360" w:lineRule="auto"/>
        <w:jc w:val="both"/>
        <w:rPr>
          <w:sz w:val="22"/>
          <w:szCs w:val="22"/>
        </w:rPr>
      </w:pPr>
      <w:r w:rsidRPr="00CE1390">
        <w:rPr>
          <w:sz w:val="22"/>
          <w:szCs w:val="22"/>
        </w:rPr>
        <w:t>Together, poor documentation and communication failures form a high-risk environment that increases the likelihood of medication errors, potentially leading to adverse reactions, avoidable hospitalisations, and significant harm to residents.</w:t>
      </w:r>
    </w:p>
    <w:p w14:paraId="0925DB1E" w14:textId="77777777" w:rsidR="00530E16" w:rsidRDefault="004468F8">
      <w:pPr>
        <w:pStyle w:val="Heading2"/>
        <w:jc w:val="both"/>
      </w:pPr>
      <w:bookmarkStart w:id="3" w:name="_Toc215312842"/>
      <w:r>
        <w:t>Justification</w:t>
      </w:r>
      <w:bookmarkEnd w:id="3"/>
    </w:p>
    <w:p w14:paraId="0C53CE44" w14:textId="77777777" w:rsidR="00CE1390" w:rsidRPr="00CE1390" w:rsidRDefault="00CE1390" w:rsidP="00CE1390">
      <w:pPr>
        <w:spacing w:after="0" w:line="360" w:lineRule="auto"/>
        <w:jc w:val="both"/>
        <w:rPr>
          <w:sz w:val="22"/>
          <w:szCs w:val="22"/>
        </w:rPr>
      </w:pPr>
      <w:r w:rsidRPr="00CE1390">
        <w:rPr>
          <w:sz w:val="22"/>
          <w:szCs w:val="22"/>
        </w:rPr>
        <w:t>Investigating the role of documentation and communication in medication safety is crucial for several reasons. Firstly, residents in care homes are often vulnerable due to frailty, cognitive impairments, or long-term health conditions. Even minor medication errors can have severe consequences. Understanding the underlying causes of these errors assists in improving care quality and reducing avoidable harm.</w:t>
      </w:r>
    </w:p>
    <w:p w14:paraId="061CBB4F" w14:textId="77777777" w:rsidR="00CE1390" w:rsidRPr="00CE1390" w:rsidRDefault="00CE1390" w:rsidP="00CE1390">
      <w:pPr>
        <w:spacing w:after="0" w:line="360" w:lineRule="auto"/>
        <w:jc w:val="both"/>
        <w:rPr>
          <w:sz w:val="22"/>
          <w:szCs w:val="22"/>
        </w:rPr>
      </w:pPr>
    </w:p>
    <w:p w14:paraId="174A6672" w14:textId="77777777" w:rsidR="00CE1390" w:rsidRPr="00CE1390" w:rsidRDefault="00CE1390" w:rsidP="00CE1390">
      <w:pPr>
        <w:spacing w:after="0" w:line="360" w:lineRule="auto"/>
        <w:jc w:val="both"/>
        <w:rPr>
          <w:sz w:val="22"/>
          <w:szCs w:val="22"/>
        </w:rPr>
      </w:pPr>
      <w:r w:rsidRPr="00CE1390">
        <w:rPr>
          <w:sz w:val="22"/>
          <w:szCs w:val="22"/>
        </w:rPr>
        <w:t>Secondly, medication management is highly regulated, and care homes are expected to meet strict standards set by bodies such as NICE, CQC, and the Nursing and Midwifery Council. Identifying weaknesses in documentation or communication helps ensure compliance with professional and legal requirements.</w:t>
      </w:r>
    </w:p>
    <w:p w14:paraId="1C48E55A" w14:textId="77777777" w:rsidR="00CE1390" w:rsidRPr="00CE1390" w:rsidRDefault="00CE1390" w:rsidP="00CE1390">
      <w:pPr>
        <w:spacing w:after="0" w:line="360" w:lineRule="auto"/>
        <w:jc w:val="both"/>
        <w:rPr>
          <w:sz w:val="22"/>
          <w:szCs w:val="22"/>
        </w:rPr>
      </w:pPr>
    </w:p>
    <w:p w14:paraId="3393818B" w14:textId="77777777" w:rsidR="00CE1390" w:rsidRPr="00CE1390" w:rsidRDefault="00CE1390" w:rsidP="00CE1390">
      <w:pPr>
        <w:spacing w:after="0" w:line="360" w:lineRule="auto"/>
        <w:jc w:val="both"/>
        <w:rPr>
          <w:sz w:val="22"/>
          <w:szCs w:val="22"/>
        </w:rPr>
      </w:pPr>
      <w:r w:rsidRPr="00CE1390">
        <w:rPr>
          <w:sz w:val="22"/>
          <w:szCs w:val="22"/>
        </w:rPr>
        <w:t>Thirdly, improving medication processes benefits not only residents but also healthcare staff. When documentation is clear and communication is consistent, staff experience less stress, reduced workload duplication, and increased confidence in their practice (Dilles et al., 2011). This contributes to a safer, more supportive work environment.</w:t>
      </w:r>
    </w:p>
    <w:p w14:paraId="3CDD6ECA" w14:textId="77777777" w:rsidR="00CE1390" w:rsidRPr="00CE1390" w:rsidRDefault="00CE1390" w:rsidP="00CE1390">
      <w:pPr>
        <w:spacing w:after="0" w:line="360" w:lineRule="auto"/>
        <w:jc w:val="both"/>
        <w:rPr>
          <w:sz w:val="22"/>
          <w:szCs w:val="22"/>
        </w:rPr>
      </w:pPr>
    </w:p>
    <w:p w14:paraId="15F00531" w14:textId="77777777" w:rsidR="004468F8" w:rsidRPr="00CE1390" w:rsidRDefault="00CE1390" w:rsidP="00CE1390">
      <w:pPr>
        <w:spacing w:after="0" w:line="360" w:lineRule="auto"/>
        <w:jc w:val="both"/>
        <w:rPr>
          <w:sz w:val="22"/>
          <w:szCs w:val="22"/>
        </w:rPr>
      </w:pPr>
      <w:r w:rsidRPr="00CE1390">
        <w:rPr>
          <w:sz w:val="22"/>
          <w:szCs w:val="22"/>
        </w:rPr>
        <w:t>Lastly, the findings of such research can influence policy development, promote the adoption of electronic medication systems, improve handover procedures, and strengthen interdisciplinary cooperation. For these reasons, exploring this topic offers meaningful contributions to healthcare improvement, workforce development, and patient safety.</w:t>
      </w:r>
    </w:p>
    <w:p w14:paraId="3403D90E" w14:textId="77777777" w:rsidR="004468F8" w:rsidRPr="004468F8" w:rsidRDefault="004468F8" w:rsidP="004468F8"/>
    <w:p w14:paraId="12AAC707" w14:textId="77777777" w:rsidR="00530E16" w:rsidRDefault="004468F8">
      <w:pPr>
        <w:pStyle w:val="Heading2"/>
        <w:jc w:val="both"/>
      </w:pPr>
      <w:bookmarkStart w:id="4" w:name="_Toc215312843"/>
      <w:r>
        <w:t>Information Sources and Justification</w:t>
      </w:r>
      <w:bookmarkEnd w:id="4"/>
    </w:p>
    <w:p w14:paraId="3CA22252" w14:textId="77777777" w:rsidR="00CE1390" w:rsidRPr="00CE1390" w:rsidRDefault="00CE1390" w:rsidP="00CE1390">
      <w:pPr>
        <w:pStyle w:val="NormalWeb"/>
        <w:spacing w:line="360" w:lineRule="auto"/>
        <w:jc w:val="both"/>
        <w:rPr>
          <w:rFonts w:ascii="Aptos" w:hAnsi="Aptos"/>
          <w:sz w:val="22"/>
          <w:szCs w:val="22"/>
        </w:rPr>
      </w:pPr>
      <w:r w:rsidRPr="00CE1390">
        <w:rPr>
          <w:rFonts w:ascii="Aptos" w:hAnsi="Aptos"/>
          <w:sz w:val="22"/>
          <w:szCs w:val="22"/>
        </w:rPr>
        <w:t>This research topic requires a combination of authoritative and evidence-based sources. The chosen sources include:</w:t>
      </w:r>
    </w:p>
    <w:p w14:paraId="330B8845" w14:textId="77777777" w:rsidR="00CE1390" w:rsidRPr="00CE1390" w:rsidRDefault="00CE1390" w:rsidP="00CE1390">
      <w:pPr>
        <w:pStyle w:val="NormalWeb"/>
        <w:numPr>
          <w:ilvl w:val="0"/>
          <w:numId w:val="9"/>
        </w:numPr>
        <w:spacing w:line="360" w:lineRule="auto"/>
        <w:jc w:val="both"/>
        <w:rPr>
          <w:rFonts w:ascii="Aptos" w:hAnsi="Aptos"/>
          <w:sz w:val="22"/>
          <w:szCs w:val="22"/>
        </w:rPr>
      </w:pPr>
      <w:r w:rsidRPr="00CE1390">
        <w:rPr>
          <w:rStyle w:val="Strong"/>
          <w:rFonts w:ascii="Aptos" w:eastAsiaTheme="majorEastAsia" w:hAnsi="Aptos"/>
          <w:sz w:val="22"/>
          <w:szCs w:val="22"/>
        </w:rPr>
        <w:t>Peer-reviewed academic journals</w:t>
      </w:r>
      <w:r w:rsidRPr="00CE1390">
        <w:rPr>
          <w:rFonts w:ascii="Aptos" w:hAnsi="Aptos"/>
          <w:sz w:val="22"/>
          <w:szCs w:val="22"/>
        </w:rPr>
        <w:t xml:space="preserve"> providing empirical evidence on medication errors, documentation quality, and communication issues in care homes.</w:t>
      </w:r>
    </w:p>
    <w:p w14:paraId="5C7788CB" w14:textId="77777777" w:rsidR="00CE1390" w:rsidRPr="00CE1390" w:rsidRDefault="00CE1390" w:rsidP="00CE1390">
      <w:pPr>
        <w:pStyle w:val="NormalWeb"/>
        <w:numPr>
          <w:ilvl w:val="0"/>
          <w:numId w:val="9"/>
        </w:numPr>
        <w:spacing w:line="360" w:lineRule="auto"/>
        <w:jc w:val="both"/>
        <w:rPr>
          <w:rFonts w:ascii="Aptos" w:hAnsi="Aptos"/>
          <w:sz w:val="22"/>
          <w:szCs w:val="22"/>
        </w:rPr>
      </w:pPr>
      <w:r w:rsidRPr="00CE1390">
        <w:rPr>
          <w:rStyle w:val="Strong"/>
          <w:rFonts w:ascii="Aptos" w:eastAsiaTheme="majorEastAsia" w:hAnsi="Aptos"/>
          <w:sz w:val="22"/>
          <w:szCs w:val="22"/>
        </w:rPr>
        <w:t>National guidelines</w:t>
      </w:r>
      <w:r w:rsidRPr="00CE1390">
        <w:rPr>
          <w:rFonts w:ascii="Aptos" w:hAnsi="Aptos"/>
          <w:sz w:val="22"/>
          <w:szCs w:val="22"/>
        </w:rPr>
        <w:t>, such as those issued by NICE, NMC, and the Department of Health and Social Care, which outline legal and best-practice standards for safe medication handling.</w:t>
      </w:r>
    </w:p>
    <w:p w14:paraId="70C7C9C1" w14:textId="77777777" w:rsidR="00CE1390" w:rsidRPr="00CE1390" w:rsidRDefault="00CE1390" w:rsidP="00CE1390">
      <w:pPr>
        <w:pStyle w:val="NormalWeb"/>
        <w:numPr>
          <w:ilvl w:val="0"/>
          <w:numId w:val="9"/>
        </w:numPr>
        <w:spacing w:line="360" w:lineRule="auto"/>
        <w:jc w:val="both"/>
        <w:rPr>
          <w:rFonts w:ascii="Aptos" w:hAnsi="Aptos"/>
          <w:sz w:val="22"/>
          <w:szCs w:val="22"/>
        </w:rPr>
      </w:pPr>
      <w:r w:rsidRPr="00CE1390">
        <w:rPr>
          <w:rStyle w:val="Strong"/>
          <w:rFonts w:ascii="Aptos" w:eastAsiaTheme="majorEastAsia" w:hAnsi="Aptos"/>
          <w:sz w:val="22"/>
          <w:szCs w:val="22"/>
        </w:rPr>
        <w:t>Regulatory reports</w:t>
      </w:r>
      <w:r w:rsidRPr="00CE1390">
        <w:rPr>
          <w:rFonts w:ascii="Aptos" w:hAnsi="Aptos"/>
          <w:sz w:val="22"/>
          <w:szCs w:val="22"/>
        </w:rPr>
        <w:t>, including those from the Care Quality Commission (CQC), which highlight common issues found in care-home inspections.</w:t>
      </w:r>
    </w:p>
    <w:p w14:paraId="3B93F48A" w14:textId="77777777" w:rsidR="00CE1390" w:rsidRPr="00CE1390" w:rsidRDefault="00CE1390" w:rsidP="00CE1390">
      <w:pPr>
        <w:pStyle w:val="NormalWeb"/>
        <w:numPr>
          <w:ilvl w:val="0"/>
          <w:numId w:val="9"/>
        </w:numPr>
        <w:spacing w:line="360" w:lineRule="auto"/>
        <w:jc w:val="both"/>
        <w:rPr>
          <w:rFonts w:ascii="Aptos" w:hAnsi="Aptos"/>
          <w:sz w:val="22"/>
          <w:szCs w:val="22"/>
        </w:rPr>
      </w:pPr>
      <w:r w:rsidRPr="00CE1390">
        <w:rPr>
          <w:rStyle w:val="Strong"/>
          <w:rFonts w:ascii="Aptos" w:eastAsiaTheme="majorEastAsia" w:hAnsi="Aptos"/>
          <w:sz w:val="22"/>
          <w:szCs w:val="22"/>
        </w:rPr>
        <w:t>Professional bodies</w:t>
      </w:r>
      <w:r w:rsidRPr="00CE1390">
        <w:rPr>
          <w:rFonts w:ascii="Aptos" w:hAnsi="Aptos"/>
          <w:sz w:val="22"/>
          <w:szCs w:val="22"/>
        </w:rPr>
        <w:t>, such as the Royal Pharmaceutical Society, which provide updated recommendations on medicine management.</w:t>
      </w:r>
    </w:p>
    <w:p w14:paraId="36191C8A" w14:textId="77777777" w:rsidR="00CE1390" w:rsidRPr="00CE1390" w:rsidRDefault="00CE1390" w:rsidP="00CE1390">
      <w:pPr>
        <w:pStyle w:val="NormalWeb"/>
        <w:numPr>
          <w:ilvl w:val="0"/>
          <w:numId w:val="9"/>
        </w:numPr>
        <w:spacing w:line="360" w:lineRule="auto"/>
        <w:jc w:val="both"/>
        <w:rPr>
          <w:rFonts w:ascii="Aptos" w:hAnsi="Aptos"/>
          <w:sz w:val="22"/>
          <w:szCs w:val="22"/>
        </w:rPr>
      </w:pPr>
      <w:r w:rsidRPr="00CE1390">
        <w:rPr>
          <w:rStyle w:val="Strong"/>
          <w:rFonts w:ascii="Aptos" w:eastAsiaTheme="majorEastAsia" w:hAnsi="Aptos"/>
          <w:sz w:val="22"/>
          <w:szCs w:val="22"/>
        </w:rPr>
        <w:t>Systematic reviews and qualitative research</w:t>
      </w:r>
      <w:r w:rsidRPr="00CE1390">
        <w:rPr>
          <w:rFonts w:ascii="Aptos" w:hAnsi="Aptos"/>
          <w:sz w:val="22"/>
          <w:szCs w:val="22"/>
        </w:rPr>
        <w:t>, offering detailed insights into human factors contributing to errors.</w:t>
      </w:r>
    </w:p>
    <w:p w14:paraId="7C689BC4" w14:textId="77777777" w:rsidR="00172AD1" w:rsidRPr="00CE1390" w:rsidRDefault="00CE1390" w:rsidP="00CE1390">
      <w:pPr>
        <w:pStyle w:val="NormalWeb"/>
        <w:spacing w:line="360" w:lineRule="auto"/>
        <w:jc w:val="both"/>
        <w:rPr>
          <w:rFonts w:ascii="Aptos" w:hAnsi="Aptos"/>
          <w:sz w:val="22"/>
          <w:szCs w:val="22"/>
        </w:rPr>
      </w:pPr>
      <w:r w:rsidRPr="00CE1390">
        <w:rPr>
          <w:rFonts w:ascii="Aptos" w:hAnsi="Aptos"/>
          <w:sz w:val="22"/>
          <w:szCs w:val="22"/>
        </w:rPr>
        <w:t>These sources are justified because they are credible, current, and directly relevant to understanding the relationship between documentation, communication, and medication errors.</w:t>
      </w:r>
    </w:p>
    <w:p w14:paraId="542CB2E6" w14:textId="77777777" w:rsidR="004468F8" w:rsidRPr="004468F8" w:rsidRDefault="004468F8" w:rsidP="004468F8">
      <w:pPr>
        <w:pStyle w:val="Heading1"/>
        <w:jc w:val="both"/>
      </w:pPr>
      <w:bookmarkStart w:id="5" w:name="_Toc215312844"/>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51D815C5" w14:textId="77777777" w:rsidR="004468F8" w:rsidRDefault="004468F8" w:rsidP="004468F8">
      <w:pPr>
        <w:pStyle w:val="Heading2"/>
        <w:jc w:val="both"/>
        <w:rPr>
          <w:rFonts w:eastAsia="Aptos" w:cs="Arial"/>
          <w:kern w:val="2"/>
          <w:lang w:eastAsia="en-US"/>
          <w14:ligatures w14:val="standardContextual"/>
        </w:rPr>
      </w:pPr>
      <w:bookmarkStart w:id="6" w:name="_Toc215312845"/>
      <w:r w:rsidRPr="004468F8">
        <w:rPr>
          <w:rFonts w:eastAsia="Aptos" w:cs="Arial"/>
          <w:kern w:val="2"/>
          <w:lang w:eastAsia="en-US"/>
          <w14:ligatures w14:val="standardContextual"/>
        </w:rPr>
        <w:t>Give a brief overview of quantitative and qualitative research.</w:t>
      </w:r>
      <w:bookmarkEnd w:id="6"/>
    </w:p>
    <w:p w14:paraId="69C7F5D7" w14:textId="77777777" w:rsidR="00CE1390" w:rsidRPr="00CE1390" w:rsidRDefault="00CE1390" w:rsidP="00CE1390">
      <w:pPr>
        <w:spacing w:line="360" w:lineRule="auto"/>
        <w:jc w:val="both"/>
        <w:rPr>
          <w:sz w:val="22"/>
          <w:szCs w:val="22"/>
          <w:lang w:eastAsia="en-US"/>
        </w:rPr>
      </w:pPr>
      <w:r w:rsidRPr="00CE1390">
        <w:rPr>
          <w:sz w:val="22"/>
          <w:szCs w:val="22"/>
          <w:lang w:eastAsia="en-US"/>
        </w:rPr>
        <w:t>Quantitative research uses numerical data to identify patterns, measure frequency, or establish correlations. In the context of medication safety, it can measure the rate of medication errors, frequency of documentation inconsistencies, or number of communication-related incidents. Data may be collected through structured surveys, audits, or analysis of incident reports.</w:t>
      </w:r>
    </w:p>
    <w:p w14:paraId="372F19B0" w14:textId="77777777" w:rsidR="00CE1390" w:rsidRPr="00CE1390" w:rsidRDefault="00CE1390" w:rsidP="00CE1390">
      <w:pPr>
        <w:spacing w:line="360" w:lineRule="auto"/>
        <w:jc w:val="both"/>
        <w:rPr>
          <w:sz w:val="22"/>
          <w:szCs w:val="22"/>
          <w:lang w:eastAsia="en-US"/>
        </w:rPr>
      </w:pPr>
      <w:r w:rsidRPr="00CE1390">
        <w:rPr>
          <w:sz w:val="22"/>
          <w:szCs w:val="22"/>
          <w:lang w:eastAsia="en-US"/>
        </w:rPr>
        <w:t>Qualitative research, on the other hand, focuses on exploring experiences, perceptions, and behaviours. It is particularly useful when investigating communication dynamics, staff attitudes towards documentation, and barriers to safe practice. Methods include interviews, focus gro</w:t>
      </w:r>
      <w:r>
        <w:rPr>
          <w:sz w:val="22"/>
          <w:szCs w:val="22"/>
          <w:lang w:eastAsia="en-US"/>
        </w:rPr>
        <w:t>ups, and observational studies.</w:t>
      </w:r>
    </w:p>
    <w:p w14:paraId="24F953F3" w14:textId="77777777" w:rsidR="004468F8" w:rsidRPr="00CE1390" w:rsidRDefault="00CE1390" w:rsidP="00CE1390">
      <w:pPr>
        <w:spacing w:line="360" w:lineRule="auto"/>
        <w:jc w:val="both"/>
        <w:rPr>
          <w:sz w:val="22"/>
          <w:szCs w:val="22"/>
          <w:lang w:eastAsia="en-US"/>
        </w:rPr>
      </w:pPr>
      <w:r w:rsidRPr="00CE1390">
        <w:rPr>
          <w:sz w:val="22"/>
          <w:szCs w:val="22"/>
          <w:lang w:eastAsia="en-US"/>
        </w:rPr>
        <w:t>Both approaches complement each other: quantitative research allows for statistical analysis of the scale of the problem, while qualitative research helps explain why these issues occur.</w:t>
      </w:r>
    </w:p>
    <w:p w14:paraId="0C16510B" w14:textId="77777777" w:rsidR="004468F8" w:rsidRPr="0070379F" w:rsidRDefault="004468F8" w:rsidP="004468F8">
      <w:pPr>
        <w:pStyle w:val="Heading2"/>
        <w:rPr>
          <w:rFonts w:eastAsia="Aptos"/>
          <w:b/>
          <w:bCs/>
          <w:lang w:eastAsia="en-US"/>
        </w:rPr>
      </w:pPr>
      <w:bookmarkStart w:id="7" w:name="_Toc215312846"/>
      <w:r w:rsidRPr="00A37C5B">
        <w:rPr>
          <w:rFonts w:eastAsia="Aptos"/>
          <w:lang w:eastAsia="en-US"/>
        </w:rPr>
        <w:t>What type of research methodology will you use for your research and why?</w:t>
      </w:r>
      <w:bookmarkEnd w:id="7"/>
    </w:p>
    <w:p w14:paraId="4F2FDC93" w14:textId="77777777" w:rsidR="00CE1390" w:rsidRPr="00CE1390" w:rsidRDefault="00CE1390" w:rsidP="00CE1390">
      <w:pPr>
        <w:pStyle w:val="NormalWeb"/>
        <w:spacing w:line="360" w:lineRule="auto"/>
        <w:jc w:val="both"/>
        <w:rPr>
          <w:rFonts w:asciiTheme="minorHAnsi" w:hAnsiTheme="minorHAnsi"/>
          <w:sz w:val="22"/>
          <w:szCs w:val="22"/>
        </w:rPr>
      </w:pPr>
      <w:r w:rsidRPr="00CE1390">
        <w:rPr>
          <w:rFonts w:asciiTheme="minorHAnsi" w:hAnsiTheme="minorHAnsi"/>
          <w:sz w:val="22"/>
          <w:szCs w:val="22"/>
        </w:rPr>
        <w:t xml:space="preserve">A </w:t>
      </w:r>
      <w:r w:rsidRPr="00CE1390">
        <w:rPr>
          <w:rStyle w:val="Strong"/>
          <w:rFonts w:asciiTheme="minorHAnsi" w:eastAsiaTheme="majorEastAsia" w:hAnsiTheme="minorHAnsi"/>
          <w:sz w:val="22"/>
          <w:szCs w:val="22"/>
        </w:rPr>
        <w:t>mixed-methods approach</w:t>
      </w:r>
      <w:r w:rsidRPr="00CE1390">
        <w:rPr>
          <w:rFonts w:asciiTheme="minorHAnsi" w:hAnsiTheme="minorHAnsi"/>
          <w:sz w:val="22"/>
          <w:szCs w:val="22"/>
        </w:rPr>
        <w:t xml:space="preserve"> is most appropriate for investigating medication errors, as the issue includes both measurable and experiential components.</w:t>
      </w:r>
    </w:p>
    <w:p w14:paraId="7A2DDB79" w14:textId="77777777" w:rsidR="00CE1390" w:rsidRPr="00CE1390" w:rsidRDefault="00CE1390" w:rsidP="00CE1390">
      <w:pPr>
        <w:pStyle w:val="NormalWeb"/>
        <w:spacing w:line="360" w:lineRule="auto"/>
        <w:jc w:val="both"/>
        <w:rPr>
          <w:rFonts w:asciiTheme="minorHAnsi" w:hAnsiTheme="minorHAnsi"/>
          <w:sz w:val="22"/>
          <w:szCs w:val="22"/>
        </w:rPr>
      </w:pPr>
      <w:r w:rsidRPr="00CE1390">
        <w:rPr>
          <w:rStyle w:val="Strong"/>
          <w:rFonts w:asciiTheme="minorHAnsi" w:eastAsiaTheme="majorEastAsia" w:hAnsiTheme="minorHAnsi"/>
          <w:sz w:val="22"/>
          <w:szCs w:val="22"/>
        </w:rPr>
        <w:t>Quantitative elements</w:t>
      </w:r>
      <w:r w:rsidRPr="00CE1390">
        <w:rPr>
          <w:rFonts w:asciiTheme="minorHAnsi" w:hAnsiTheme="minorHAnsi"/>
          <w:sz w:val="22"/>
          <w:szCs w:val="22"/>
        </w:rPr>
        <w:t xml:space="preserve"> may include:</w:t>
      </w:r>
    </w:p>
    <w:p w14:paraId="4C49BC9F" w14:textId="77777777" w:rsidR="00CE1390" w:rsidRPr="00CE1390" w:rsidRDefault="00CE1390" w:rsidP="00CE1390">
      <w:pPr>
        <w:pStyle w:val="NormalWeb"/>
        <w:numPr>
          <w:ilvl w:val="0"/>
          <w:numId w:val="10"/>
        </w:numPr>
        <w:spacing w:line="360" w:lineRule="auto"/>
        <w:jc w:val="both"/>
        <w:rPr>
          <w:rFonts w:asciiTheme="minorHAnsi" w:hAnsiTheme="minorHAnsi"/>
          <w:sz w:val="22"/>
          <w:szCs w:val="22"/>
        </w:rPr>
      </w:pPr>
      <w:r w:rsidRPr="00CE1390">
        <w:rPr>
          <w:rFonts w:asciiTheme="minorHAnsi" w:hAnsiTheme="minorHAnsi"/>
          <w:sz w:val="22"/>
          <w:szCs w:val="22"/>
        </w:rPr>
        <w:t>audits of MAR charts to identify documentation errors</w:t>
      </w:r>
    </w:p>
    <w:p w14:paraId="43D60FC8" w14:textId="77777777" w:rsidR="00CE1390" w:rsidRPr="00CE1390" w:rsidRDefault="00CE1390" w:rsidP="00CE1390">
      <w:pPr>
        <w:pStyle w:val="NormalWeb"/>
        <w:numPr>
          <w:ilvl w:val="0"/>
          <w:numId w:val="10"/>
        </w:numPr>
        <w:spacing w:line="360" w:lineRule="auto"/>
        <w:jc w:val="both"/>
        <w:rPr>
          <w:rFonts w:asciiTheme="minorHAnsi" w:hAnsiTheme="minorHAnsi"/>
          <w:sz w:val="22"/>
          <w:szCs w:val="22"/>
        </w:rPr>
      </w:pPr>
      <w:r w:rsidRPr="00CE1390">
        <w:rPr>
          <w:rFonts w:asciiTheme="minorHAnsi" w:hAnsiTheme="minorHAnsi"/>
          <w:sz w:val="22"/>
          <w:szCs w:val="22"/>
        </w:rPr>
        <w:t>analysis of incident reports to determine the frequency and type of medication mistakes</w:t>
      </w:r>
    </w:p>
    <w:p w14:paraId="06283457" w14:textId="77777777" w:rsidR="00CE1390" w:rsidRPr="00CE1390" w:rsidRDefault="00CE1390" w:rsidP="00CE1390">
      <w:pPr>
        <w:pStyle w:val="NormalWeb"/>
        <w:numPr>
          <w:ilvl w:val="0"/>
          <w:numId w:val="10"/>
        </w:numPr>
        <w:spacing w:line="360" w:lineRule="auto"/>
        <w:jc w:val="both"/>
        <w:rPr>
          <w:rFonts w:asciiTheme="minorHAnsi" w:hAnsiTheme="minorHAnsi"/>
          <w:sz w:val="22"/>
          <w:szCs w:val="22"/>
        </w:rPr>
      </w:pPr>
      <w:r w:rsidRPr="00CE1390">
        <w:rPr>
          <w:rFonts w:asciiTheme="minorHAnsi" w:hAnsiTheme="minorHAnsi"/>
          <w:sz w:val="22"/>
          <w:szCs w:val="22"/>
        </w:rPr>
        <w:t>surveys measuring staff awareness of documentation policies</w:t>
      </w:r>
    </w:p>
    <w:p w14:paraId="4F6CA86C" w14:textId="77777777" w:rsidR="00CE1390" w:rsidRPr="00CE1390" w:rsidRDefault="00CE1390" w:rsidP="00CE1390">
      <w:pPr>
        <w:pStyle w:val="NormalWeb"/>
        <w:spacing w:line="360" w:lineRule="auto"/>
        <w:jc w:val="both"/>
        <w:rPr>
          <w:rFonts w:asciiTheme="minorHAnsi" w:hAnsiTheme="minorHAnsi"/>
          <w:sz w:val="22"/>
          <w:szCs w:val="22"/>
        </w:rPr>
      </w:pPr>
      <w:r w:rsidRPr="00CE1390">
        <w:rPr>
          <w:rFonts w:asciiTheme="minorHAnsi" w:hAnsiTheme="minorHAnsi"/>
          <w:sz w:val="22"/>
          <w:szCs w:val="22"/>
        </w:rPr>
        <w:t>These provide clear numerical evidence of the prevalence of documentation-related and communication-related errors.</w:t>
      </w:r>
    </w:p>
    <w:p w14:paraId="168627A1" w14:textId="77777777" w:rsidR="00CE1390" w:rsidRPr="00CE1390" w:rsidRDefault="00CE1390" w:rsidP="00CE1390">
      <w:pPr>
        <w:pStyle w:val="NormalWeb"/>
        <w:spacing w:line="360" w:lineRule="auto"/>
        <w:jc w:val="both"/>
        <w:rPr>
          <w:rFonts w:asciiTheme="minorHAnsi" w:hAnsiTheme="minorHAnsi"/>
          <w:sz w:val="22"/>
          <w:szCs w:val="22"/>
        </w:rPr>
      </w:pPr>
      <w:r w:rsidRPr="00CE1390">
        <w:rPr>
          <w:rStyle w:val="Strong"/>
          <w:rFonts w:asciiTheme="minorHAnsi" w:eastAsiaTheme="majorEastAsia" w:hAnsiTheme="minorHAnsi"/>
          <w:sz w:val="22"/>
          <w:szCs w:val="22"/>
        </w:rPr>
        <w:t>Qualitative elements</w:t>
      </w:r>
      <w:r w:rsidRPr="00CE1390">
        <w:rPr>
          <w:rFonts w:asciiTheme="minorHAnsi" w:hAnsiTheme="minorHAnsi"/>
          <w:sz w:val="22"/>
          <w:szCs w:val="22"/>
        </w:rPr>
        <w:t xml:space="preserve"> may include:</w:t>
      </w:r>
    </w:p>
    <w:p w14:paraId="33AB10A6" w14:textId="77777777" w:rsidR="00CE1390" w:rsidRPr="00CE1390" w:rsidRDefault="00CE1390" w:rsidP="00CE1390">
      <w:pPr>
        <w:pStyle w:val="NormalWeb"/>
        <w:numPr>
          <w:ilvl w:val="0"/>
          <w:numId w:val="11"/>
        </w:numPr>
        <w:spacing w:line="360" w:lineRule="auto"/>
        <w:jc w:val="both"/>
        <w:rPr>
          <w:rFonts w:asciiTheme="minorHAnsi" w:hAnsiTheme="minorHAnsi"/>
          <w:sz w:val="22"/>
          <w:szCs w:val="22"/>
        </w:rPr>
      </w:pPr>
      <w:r w:rsidRPr="00CE1390">
        <w:rPr>
          <w:rFonts w:asciiTheme="minorHAnsi" w:hAnsiTheme="minorHAnsi"/>
          <w:sz w:val="22"/>
          <w:szCs w:val="22"/>
        </w:rPr>
        <w:t>interviews with nurses, carers, and managers to explore barriers to effective communication</w:t>
      </w:r>
    </w:p>
    <w:p w14:paraId="44AA7CE2" w14:textId="77777777" w:rsidR="00CE1390" w:rsidRPr="00CE1390" w:rsidRDefault="00CE1390" w:rsidP="00CE1390">
      <w:pPr>
        <w:pStyle w:val="NormalWeb"/>
        <w:numPr>
          <w:ilvl w:val="0"/>
          <w:numId w:val="11"/>
        </w:numPr>
        <w:spacing w:line="360" w:lineRule="auto"/>
        <w:jc w:val="both"/>
        <w:rPr>
          <w:rFonts w:asciiTheme="minorHAnsi" w:hAnsiTheme="minorHAnsi"/>
          <w:sz w:val="22"/>
          <w:szCs w:val="22"/>
        </w:rPr>
      </w:pPr>
      <w:r w:rsidRPr="00CE1390">
        <w:rPr>
          <w:rFonts w:asciiTheme="minorHAnsi" w:hAnsiTheme="minorHAnsi"/>
          <w:sz w:val="22"/>
          <w:szCs w:val="22"/>
        </w:rPr>
        <w:t>focus groups discussing challenges encountered during handovers</w:t>
      </w:r>
    </w:p>
    <w:p w14:paraId="5B85B601" w14:textId="77777777" w:rsidR="00CE1390" w:rsidRPr="00CE1390" w:rsidRDefault="00CE1390" w:rsidP="00CE1390">
      <w:pPr>
        <w:pStyle w:val="NormalWeb"/>
        <w:numPr>
          <w:ilvl w:val="0"/>
          <w:numId w:val="11"/>
        </w:numPr>
        <w:spacing w:line="360" w:lineRule="auto"/>
        <w:jc w:val="both"/>
        <w:rPr>
          <w:rFonts w:asciiTheme="minorHAnsi" w:hAnsiTheme="minorHAnsi"/>
          <w:sz w:val="22"/>
          <w:szCs w:val="22"/>
        </w:rPr>
      </w:pPr>
      <w:r w:rsidRPr="00CE1390">
        <w:rPr>
          <w:rFonts w:asciiTheme="minorHAnsi" w:hAnsiTheme="minorHAnsi"/>
          <w:sz w:val="22"/>
          <w:szCs w:val="22"/>
        </w:rPr>
        <w:t>thematic analysis of staff experiences when managing medication</w:t>
      </w:r>
    </w:p>
    <w:p w14:paraId="33A41E47" w14:textId="77777777" w:rsidR="00CE1390" w:rsidRPr="00CE1390" w:rsidRDefault="00CE1390" w:rsidP="00CE1390">
      <w:pPr>
        <w:pStyle w:val="NormalWeb"/>
        <w:spacing w:line="360" w:lineRule="auto"/>
        <w:jc w:val="both"/>
        <w:rPr>
          <w:rFonts w:asciiTheme="minorHAnsi" w:hAnsiTheme="minorHAnsi"/>
          <w:sz w:val="22"/>
          <w:szCs w:val="22"/>
        </w:rPr>
      </w:pPr>
      <w:r w:rsidRPr="00CE1390">
        <w:rPr>
          <w:rFonts w:asciiTheme="minorHAnsi" w:hAnsiTheme="minorHAnsi"/>
          <w:sz w:val="22"/>
          <w:szCs w:val="22"/>
        </w:rPr>
        <w:t>These methods allow researchers to understand the context, underlying causes, and staff perspectives.</w:t>
      </w:r>
    </w:p>
    <w:p w14:paraId="3A2A626F" w14:textId="77777777" w:rsidR="004468F8" w:rsidRPr="00CE1390" w:rsidRDefault="00CE1390" w:rsidP="00CE1390">
      <w:pPr>
        <w:pStyle w:val="NormalWeb"/>
        <w:spacing w:line="360" w:lineRule="auto"/>
        <w:jc w:val="both"/>
      </w:pPr>
      <w:r w:rsidRPr="00CE1390">
        <w:rPr>
          <w:rFonts w:asciiTheme="minorHAnsi" w:hAnsiTheme="minorHAnsi"/>
          <w:sz w:val="22"/>
          <w:szCs w:val="22"/>
        </w:rPr>
        <w:t>Mixed-methods research therefore provides a comprehensive and robust understanding of the issue</w:t>
      </w:r>
      <w:r>
        <w:t>.</w:t>
      </w:r>
    </w:p>
    <w:p w14:paraId="070F1199" w14:textId="77777777" w:rsidR="00530E16" w:rsidRDefault="004468F8">
      <w:pPr>
        <w:pStyle w:val="Heading1"/>
        <w:jc w:val="both"/>
      </w:pPr>
      <w:bookmarkStart w:id="8" w:name="_Toc215312847"/>
      <w:r>
        <w:t>Task 3: Data Collection</w:t>
      </w:r>
      <w:bookmarkEnd w:id="8"/>
      <w:r>
        <w:t xml:space="preserve"> </w:t>
      </w:r>
    </w:p>
    <w:p w14:paraId="6822C2D1" w14:textId="77777777" w:rsidR="004468F8" w:rsidRDefault="00BA0043" w:rsidP="004468F8">
      <w:pPr>
        <w:pStyle w:val="Heading2"/>
        <w:rPr>
          <w:rFonts w:eastAsia="Aptos"/>
          <w:lang w:eastAsia="en-US"/>
        </w:rPr>
      </w:pPr>
      <w:bookmarkStart w:id="9" w:name="_Toc215312848"/>
      <w:r>
        <w:rPr>
          <w:rFonts w:eastAsia="Aptos"/>
          <w:lang w:eastAsia="en-US"/>
        </w:rPr>
        <w:t>Overview of primary and secondary data collection</w:t>
      </w:r>
      <w:bookmarkEnd w:id="9"/>
    </w:p>
    <w:p w14:paraId="1898BA86" w14:textId="77777777" w:rsidR="00CE1390" w:rsidRPr="00CE1390" w:rsidRDefault="00CE1390" w:rsidP="00CE1390">
      <w:pPr>
        <w:spacing w:before="100" w:beforeAutospacing="1" w:after="100" w:afterAutospacing="1" w:line="360" w:lineRule="auto"/>
        <w:jc w:val="both"/>
        <w:rPr>
          <w:rFonts w:asciiTheme="minorHAnsi" w:eastAsia="Times New Roman" w:hAnsiTheme="minorHAnsi" w:cs="Times New Roman"/>
          <w:sz w:val="22"/>
          <w:szCs w:val="22"/>
        </w:rPr>
      </w:pPr>
      <w:r w:rsidRPr="00CE1390">
        <w:rPr>
          <w:rFonts w:asciiTheme="minorHAnsi" w:eastAsia="Times New Roman" w:hAnsiTheme="minorHAnsi" w:cs="Times New Roman"/>
          <w:b/>
          <w:bCs/>
          <w:sz w:val="22"/>
          <w:szCs w:val="22"/>
        </w:rPr>
        <w:t>Primary data</w:t>
      </w:r>
      <w:r w:rsidRPr="00CE1390">
        <w:rPr>
          <w:rFonts w:asciiTheme="minorHAnsi" w:eastAsia="Times New Roman" w:hAnsiTheme="minorHAnsi" w:cs="Times New Roman"/>
          <w:sz w:val="22"/>
          <w:szCs w:val="22"/>
        </w:rPr>
        <w:t xml:space="preserve"> refers to new information gathered directly by the researcher. It is tailored to the specific research objectives and includes methods such as observations, interviews, surveys, audits, and focus groups.</w:t>
      </w:r>
    </w:p>
    <w:p w14:paraId="36385E0D" w14:textId="77777777" w:rsidR="004468F8" w:rsidRPr="00CE1390" w:rsidRDefault="00CE1390" w:rsidP="00CE1390">
      <w:pPr>
        <w:spacing w:before="100" w:beforeAutospacing="1" w:after="100" w:afterAutospacing="1" w:line="360" w:lineRule="auto"/>
        <w:jc w:val="both"/>
        <w:rPr>
          <w:rFonts w:asciiTheme="minorHAnsi" w:eastAsia="Times New Roman" w:hAnsiTheme="minorHAnsi" w:cs="Times New Roman"/>
          <w:sz w:val="22"/>
          <w:szCs w:val="22"/>
        </w:rPr>
      </w:pPr>
      <w:r w:rsidRPr="00CE1390">
        <w:rPr>
          <w:rFonts w:asciiTheme="minorHAnsi" w:eastAsia="Times New Roman" w:hAnsiTheme="minorHAnsi" w:cs="Times New Roman"/>
          <w:b/>
          <w:bCs/>
          <w:sz w:val="22"/>
          <w:szCs w:val="22"/>
        </w:rPr>
        <w:t>Secondary data</w:t>
      </w:r>
      <w:r w:rsidRPr="00CE1390">
        <w:rPr>
          <w:rFonts w:asciiTheme="minorHAnsi" w:eastAsia="Times New Roman" w:hAnsiTheme="minorHAnsi" w:cs="Times New Roman"/>
          <w:sz w:val="22"/>
          <w:szCs w:val="22"/>
        </w:rPr>
        <w:t xml:space="preserve"> involves information that has already been collected and published by other organisations. This includes academic articles, policy documents, inspection reports, and best-practice guidelines. Secondary data is useful for identifying existing knowledge gaps and supporting interpretation of primary findings.</w:t>
      </w:r>
    </w:p>
    <w:p w14:paraId="2B7CFB7B" w14:textId="77777777" w:rsidR="004468F8" w:rsidRDefault="004468F8" w:rsidP="004468F8">
      <w:pPr>
        <w:pStyle w:val="Heading2"/>
        <w:rPr>
          <w:rFonts w:eastAsia="Aptos"/>
          <w:lang w:eastAsia="en-US"/>
        </w:rPr>
      </w:pPr>
      <w:bookmarkStart w:id="10" w:name="_Toc215312849"/>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0"/>
    </w:p>
    <w:p w14:paraId="74C86097" w14:textId="77777777" w:rsidR="00CE1390" w:rsidRPr="00CE1390" w:rsidRDefault="00CE1390" w:rsidP="00CE1390">
      <w:pPr>
        <w:pStyle w:val="NormalWeb"/>
        <w:spacing w:line="360" w:lineRule="auto"/>
        <w:jc w:val="both"/>
        <w:rPr>
          <w:rFonts w:asciiTheme="minorHAnsi" w:hAnsiTheme="minorHAnsi"/>
          <w:sz w:val="22"/>
          <w:szCs w:val="22"/>
        </w:rPr>
      </w:pPr>
      <w:r w:rsidRPr="00CE1390">
        <w:rPr>
          <w:rFonts w:asciiTheme="minorHAnsi" w:hAnsiTheme="minorHAnsi"/>
          <w:sz w:val="22"/>
          <w:szCs w:val="22"/>
        </w:rPr>
        <w:t>A combination of both primary and secondary data will be employed in this research.</w:t>
      </w:r>
    </w:p>
    <w:p w14:paraId="462E88ED" w14:textId="77777777" w:rsidR="00CE1390" w:rsidRPr="00CE1390" w:rsidRDefault="00CE1390" w:rsidP="00CE1390">
      <w:pPr>
        <w:pStyle w:val="NormalWeb"/>
        <w:spacing w:line="360" w:lineRule="auto"/>
        <w:jc w:val="both"/>
        <w:rPr>
          <w:rFonts w:asciiTheme="minorHAnsi" w:hAnsiTheme="minorHAnsi"/>
          <w:sz w:val="22"/>
          <w:szCs w:val="22"/>
        </w:rPr>
      </w:pPr>
      <w:r w:rsidRPr="00CE1390">
        <w:rPr>
          <w:rFonts w:asciiTheme="minorHAnsi" w:hAnsiTheme="minorHAnsi"/>
          <w:sz w:val="22"/>
          <w:szCs w:val="22"/>
        </w:rPr>
        <w:t>Primary data will include:</w:t>
      </w:r>
    </w:p>
    <w:p w14:paraId="0247C08C" w14:textId="77777777" w:rsidR="00CE1390" w:rsidRPr="00CE1390" w:rsidRDefault="00CE1390" w:rsidP="00CE1390">
      <w:pPr>
        <w:pStyle w:val="NormalWeb"/>
        <w:numPr>
          <w:ilvl w:val="0"/>
          <w:numId w:val="12"/>
        </w:numPr>
        <w:spacing w:line="360" w:lineRule="auto"/>
        <w:jc w:val="both"/>
        <w:rPr>
          <w:rFonts w:asciiTheme="minorHAnsi" w:hAnsiTheme="minorHAnsi"/>
          <w:sz w:val="22"/>
          <w:szCs w:val="22"/>
        </w:rPr>
      </w:pPr>
      <w:r w:rsidRPr="00CE1390">
        <w:rPr>
          <w:rStyle w:val="Strong"/>
          <w:rFonts w:asciiTheme="minorHAnsi" w:eastAsiaTheme="majorEastAsia" w:hAnsiTheme="minorHAnsi"/>
          <w:sz w:val="22"/>
          <w:szCs w:val="22"/>
        </w:rPr>
        <w:t>Surveys</w:t>
      </w:r>
      <w:r w:rsidRPr="00CE1390">
        <w:rPr>
          <w:rFonts w:asciiTheme="minorHAnsi" w:hAnsiTheme="minorHAnsi"/>
          <w:sz w:val="22"/>
          <w:szCs w:val="22"/>
        </w:rPr>
        <w:t xml:space="preserve"> to assess staff perceptions of documentation quality and handover communication.</w:t>
      </w:r>
    </w:p>
    <w:p w14:paraId="15B2632C" w14:textId="77777777" w:rsidR="00CE1390" w:rsidRPr="00CE1390" w:rsidRDefault="00CE1390" w:rsidP="00CE1390">
      <w:pPr>
        <w:pStyle w:val="NormalWeb"/>
        <w:numPr>
          <w:ilvl w:val="0"/>
          <w:numId w:val="12"/>
        </w:numPr>
        <w:spacing w:line="360" w:lineRule="auto"/>
        <w:jc w:val="both"/>
        <w:rPr>
          <w:rFonts w:asciiTheme="minorHAnsi" w:hAnsiTheme="minorHAnsi"/>
          <w:sz w:val="22"/>
          <w:szCs w:val="22"/>
        </w:rPr>
      </w:pPr>
      <w:r w:rsidRPr="00CE1390">
        <w:rPr>
          <w:rStyle w:val="Strong"/>
          <w:rFonts w:asciiTheme="minorHAnsi" w:eastAsiaTheme="majorEastAsia" w:hAnsiTheme="minorHAnsi"/>
          <w:sz w:val="22"/>
          <w:szCs w:val="22"/>
        </w:rPr>
        <w:t>Interviews</w:t>
      </w:r>
      <w:r w:rsidRPr="00CE1390">
        <w:rPr>
          <w:rFonts w:asciiTheme="minorHAnsi" w:hAnsiTheme="minorHAnsi"/>
          <w:sz w:val="22"/>
          <w:szCs w:val="22"/>
        </w:rPr>
        <w:t xml:space="preserve"> or </w:t>
      </w:r>
      <w:r w:rsidRPr="00CE1390">
        <w:rPr>
          <w:rStyle w:val="Strong"/>
          <w:rFonts w:asciiTheme="minorHAnsi" w:eastAsiaTheme="majorEastAsia" w:hAnsiTheme="minorHAnsi"/>
          <w:sz w:val="22"/>
          <w:szCs w:val="22"/>
        </w:rPr>
        <w:t>focus groups</w:t>
      </w:r>
      <w:r w:rsidRPr="00CE1390">
        <w:rPr>
          <w:rFonts w:asciiTheme="minorHAnsi" w:hAnsiTheme="minorHAnsi"/>
          <w:sz w:val="22"/>
          <w:szCs w:val="22"/>
        </w:rPr>
        <w:t xml:space="preserve"> with care-home staff to gather in-depth insights into daily challenges in medication handling.</w:t>
      </w:r>
    </w:p>
    <w:p w14:paraId="77935E2F" w14:textId="77777777" w:rsidR="00CE1390" w:rsidRPr="00CE1390" w:rsidRDefault="00CE1390" w:rsidP="00CE1390">
      <w:pPr>
        <w:pStyle w:val="NormalWeb"/>
        <w:numPr>
          <w:ilvl w:val="0"/>
          <w:numId w:val="12"/>
        </w:numPr>
        <w:spacing w:line="360" w:lineRule="auto"/>
        <w:jc w:val="both"/>
        <w:rPr>
          <w:rFonts w:asciiTheme="minorHAnsi" w:hAnsiTheme="minorHAnsi"/>
          <w:sz w:val="22"/>
          <w:szCs w:val="22"/>
        </w:rPr>
      </w:pPr>
      <w:r w:rsidRPr="00CE1390">
        <w:rPr>
          <w:rStyle w:val="Strong"/>
          <w:rFonts w:asciiTheme="minorHAnsi" w:eastAsiaTheme="majorEastAsia" w:hAnsiTheme="minorHAnsi"/>
          <w:sz w:val="22"/>
          <w:szCs w:val="22"/>
        </w:rPr>
        <w:t>Medication audits</w:t>
      </w:r>
      <w:r w:rsidRPr="00CE1390">
        <w:rPr>
          <w:rFonts w:asciiTheme="minorHAnsi" w:hAnsiTheme="minorHAnsi"/>
          <w:sz w:val="22"/>
          <w:szCs w:val="22"/>
        </w:rPr>
        <w:t xml:space="preserve"> to examine MAR chart accuracy and identify common types of documentation errors.</w:t>
      </w:r>
    </w:p>
    <w:p w14:paraId="6B9121B0" w14:textId="77777777" w:rsidR="00CE1390" w:rsidRPr="00CE1390" w:rsidRDefault="00CE1390" w:rsidP="00CE1390">
      <w:pPr>
        <w:pStyle w:val="NormalWeb"/>
        <w:spacing w:line="360" w:lineRule="auto"/>
        <w:jc w:val="both"/>
        <w:rPr>
          <w:rFonts w:asciiTheme="minorHAnsi" w:hAnsiTheme="minorHAnsi"/>
          <w:sz w:val="22"/>
          <w:szCs w:val="22"/>
        </w:rPr>
      </w:pPr>
      <w:r w:rsidRPr="00CE1390">
        <w:rPr>
          <w:rFonts w:asciiTheme="minorHAnsi" w:hAnsiTheme="minorHAnsi"/>
          <w:sz w:val="22"/>
          <w:szCs w:val="22"/>
        </w:rPr>
        <w:t>These methods are selected because they provide first-hand accounts and real-time evidence of the challenges faced in practice.</w:t>
      </w:r>
    </w:p>
    <w:p w14:paraId="39C65D71" w14:textId="77777777" w:rsidR="00CE1390" w:rsidRPr="00CE1390" w:rsidRDefault="00CE1390" w:rsidP="00CE1390">
      <w:pPr>
        <w:pStyle w:val="NormalWeb"/>
        <w:spacing w:line="360" w:lineRule="auto"/>
        <w:jc w:val="both"/>
        <w:rPr>
          <w:rFonts w:asciiTheme="minorHAnsi" w:hAnsiTheme="minorHAnsi"/>
          <w:sz w:val="22"/>
          <w:szCs w:val="22"/>
        </w:rPr>
      </w:pPr>
      <w:r w:rsidRPr="00CE1390">
        <w:rPr>
          <w:rFonts w:asciiTheme="minorHAnsi" w:hAnsiTheme="minorHAnsi"/>
          <w:sz w:val="22"/>
          <w:szCs w:val="22"/>
        </w:rPr>
        <w:t>Secondary data will include:</w:t>
      </w:r>
    </w:p>
    <w:p w14:paraId="09FB7F50" w14:textId="77777777" w:rsidR="00CE1390" w:rsidRPr="00CE1390" w:rsidRDefault="00CE1390" w:rsidP="00CE1390">
      <w:pPr>
        <w:pStyle w:val="NormalWeb"/>
        <w:numPr>
          <w:ilvl w:val="0"/>
          <w:numId w:val="13"/>
        </w:numPr>
        <w:spacing w:line="360" w:lineRule="auto"/>
        <w:jc w:val="both"/>
        <w:rPr>
          <w:rFonts w:asciiTheme="minorHAnsi" w:hAnsiTheme="minorHAnsi"/>
          <w:sz w:val="22"/>
          <w:szCs w:val="22"/>
        </w:rPr>
      </w:pPr>
      <w:r w:rsidRPr="00CE1390">
        <w:rPr>
          <w:rFonts w:asciiTheme="minorHAnsi" w:hAnsiTheme="minorHAnsi"/>
          <w:sz w:val="22"/>
          <w:szCs w:val="22"/>
        </w:rPr>
        <w:t>National guidelines (NICE, RPS, NMC)</w:t>
      </w:r>
    </w:p>
    <w:p w14:paraId="104FC993" w14:textId="77777777" w:rsidR="00CE1390" w:rsidRPr="00CE1390" w:rsidRDefault="00CE1390" w:rsidP="00CE1390">
      <w:pPr>
        <w:pStyle w:val="NormalWeb"/>
        <w:numPr>
          <w:ilvl w:val="0"/>
          <w:numId w:val="13"/>
        </w:numPr>
        <w:spacing w:line="360" w:lineRule="auto"/>
        <w:jc w:val="both"/>
        <w:rPr>
          <w:rFonts w:asciiTheme="minorHAnsi" w:hAnsiTheme="minorHAnsi"/>
          <w:sz w:val="22"/>
          <w:szCs w:val="22"/>
        </w:rPr>
      </w:pPr>
      <w:r w:rsidRPr="00CE1390">
        <w:rPr>
          <w:rFonts w:asciiTheme="minorHAnsi" w:hAnsiTheme="minorHAnsi"/>
          <w:sz w:val="22"/>
          <w:szCs w:val="22"/>
        </w:rPr>
        <w:t>Regulatory reports (CQC)</w:t>
      </w:r>
    </w:p>
    <w:p w14:paraId="5FF4D801" w14:textId="77777777" w:rsidR="00CE1390" w:rsidRPr="00CE1390" w:rsidRDefault="00CE1390" w:rsidP="00CE1390">
      <w:pPr>
        <w:pStyle w:val="NormalWeb"/>
        <w:numPr>
          <w:ilvl w:val="0"/>
          <w:numId w:val="13"/>
        </w:numPr>
        <w:spacing w:line="360" w:lineRule="auto"/>
        <w:jc w:val="both"/>
        <w:rPr>
          <w:rFonts w:asciiTheme="minorHAnsi" w:hAnsiTheme="minorHAnsi"/>
          <w:sz w:val="22"/>
          <w:szCs w:val="22"/>
        </w:rPr>
      </w:pPr>
      <w:r w:rsidRPr="00CE1390">
        <w:rPr>
          <w:rFonts w:asciiTheme="minorHAnsi" w:hAnsiTheme="minorHAnsi"/>
          <w:sz w:val="22"/>
          <w:szCs w:val="22"/>
        </w:rPr>
        <w:t>Peer-reviewed literature on medication safety and communication in care homes</w:t>
      </w:r>
    </w:p>
    <w:p w14:paraId="4F0F82C4" w14:textId="77777777" w:rsidR="00CE1390" w:rsidRPr="00CE1390" w:rsidRDefault="00CE1390" w:rsidP="00CE1390">
      <w:pPr>
        <w:pStyle w:val="NormalWeb"/>
        <w:spacing w:line="360" w:lineRule="auto"/>
        <w:jc w:val="both"/>
        <w:rPr>
          <w:rFonts w:asciiTheme="minorHAnsi" w:hAnsiTheme="minorHAnsi"/>
          <w:sz w:val="22"/>
          <w:szCs w:val="22"/>
        </w:rPr>
      </w:pPr>
      <w:r w:rsidRPr="00CE1390">
        <w:rPr>
          <w:rFonts w:asciiTheme="minorHAnsi" w:hAnsiTheme="minorHAnsi"/>
          <w:sz w:val="22"/>
          <w:szCs w:val="22"/>
        </w:rPr>
        <w:t>Secondary data provides a strong theoretical foundation, supports comparison with existing studies, and helps interpret patterns found in primary data.</w:t>
      </w:r>
    </w:p>
    <w:p w14:paraId="21188254" w14:textId="77777777" w:rsidR="00530E16" w:rsidRDefault="004468F8">
      <w:pPr>
        <w:pStyle w:val="Heading1"/>
        <w:jc w:val="both"/>
      </w:pPr>
      <w:bookmarkStart w:id="11" w:name="_Toc215312850"/>
      <w:r>
        <w:t>Conclusion</w:t>
      </w:r>
      <w:bookmarkEnd w:id="11"/>
    </w:p>
    <w:p w14:paraId="444CA449" w14:textId="77777777" w:rsidR="00CE1390" w:rsidRPr="00CE1390" w:rsidRDefault="00CE1390" w:rsidP="00CE1390">
      <w:pPr>
        <w:spacing w:before="100" w:beforeAutospacing="1" w:after="100" w:afterAutospacing="1" w:line="360" w:lineRule="auto"/>
        <w:jc w:val="both"/>
        <w:rPr>
          <w:rFonts w:asciiTheme="minorHAnsi" w:eastAsia="Times New Roman" w:hAnsiTheme="minorHAnsi" w:cs="Times New Roman"/>
        </w:rPr>
      </w:pPr>
      <w:r w:rsidRPr="00CE1390">
        <w:rPr>
          <w:rFonts w:asciiTheme="minorHAnsi" w:eastAsia="Times New Roman" w:hAnsiTheme="minorHAnsi" w:cs="Times New Roman"/>
        </w:rPr>
        <w:t>Medication safety in care-home environments is heavily dependent on high-quality documentation and effective communication. Poor record-keeping, incomplete MAR charts, and failure to update medication changes in a timely manner significantly increase the risk of medication errors. Likewise, communication breakdown—whether during handovers, between shifts, or between care homes and external healthcare providers—further compounds these risks.</w:t>
      </w:r>
    </w:p>
    <w:p w14:paraId="4B476135" w14:textId="77777777" w:rsidR="00CE1390" w:rsidRPr="00CE1390" w:rsidRDefault="00CE1390" w:rsidP="00CE1390">
      <w:pPr>
        <w:spacing w:before="100" w:beforeAutospacing="1" w:after="100" w:afterAutospacing="1" w:line="360" w:lineRule="auto"/>
        <w:jc w:val="both"/>
        <w:rPr>
          <w:rFonts w:asciiTheme="minorHAnsi" w:eastAsia="Times New Roman" w:hAnsiTheme="minorHAnsi" w:cs="Times New Roman"/>
        </w:rPr>
      </w:pPr>
      <w:r w:rsidRPr="00CE1390">
        <w:rPr>
          <w:rFonts w:asciiTheme="minorHAnsi" w:eastAsia="Times New Roman" w:hAnsiTheme="minorHAnsi" w:cs="Times New Roman"/>
        </w:rPr>
        <w:t>A combination of organisational pressures, staff turnover, time constraints, and inadequate systems contributes to these problems. However, implementing strategies such as electronic MAR systems, structured handovers, enhanced training, and a culture that encourages open communication can significantly reduce medication errors and protect resident wellbeing.</w:t>
      </w:r>
    </w:p>
    <w:p w14:paraId="0C68FC2F" w14:textId="77777777" w:rsidR="00CE1390" w:rsidRPr="00CE1390" w:rsidRDefault="00CE1390" w:rsidP="00CE1390">
      <w:pPr>
        <w:spacing w:before="100" w:beforeAutospacing="1" w:after="100" w:afterAutospacing="1" w:line="360" w:lineRule="auto"/>
        <w:jc w:val="both"/>
        <w:rPr>
          <w:rFonts w:asciiTheme="minorHAnsi" w:eastAsia="Times New Roman" w:hAnsiTheme="minorHAnsi" w:cs="Times New Roman"/>
        </w:rPr>
      </w:pPr>
      <w:r w:rsidRPr="00CE1390">
        <w:rPr>
          <w:rFonts w:asciiTheme="minorHAnsi" w:eastAsia="Times New Roman" w:hAnsiTheme="minorHAnsi" w:cs="Times New Roman"/>
        </w:rPr>
        <w:t>By understanding the underlying causes and adopting evidence-based interventions, care homes can create safer environments that prioritise resident safety, professional accountability, and high-quality care.</w:t>
      </w:r>
    </w:p>
    <w:p w14:paraId="329F46F4" w14:textId="77777777" w:rsidR="004468F8" w:rsidRPr="004468F8" w:rsidRDefault="004468F8" w:rsidP="004468F8"/>
    <w:p w14:paraId="2371DB1B" w14:textId="77777777" w:rsidR="00530E16" w:rsidRDefault="004468F8">
      <w:pPr>
        <w:pStyle w:val="Heading1"/>
      </w:pPr>
      <w:bookmarkStart w:id="12" w:name="_Toc215312851"/>
      <w:r>
        <w:t>References</w:t>
      </w:r>
      <w:bookmarkEnd w:id="12"/>
    </w:p>
    <w:p w14:paraId="61EF53D4" w14:textId="77777777" w:rsidR="00CE1390" w:rsidRPr="00CE1390" w:rsidRDefault="00CE1390" w:rsidP="00CE1390">
      <w:pPr>
        <w:spacing w:before="100" w:beforeAutospacing="1" w:after="100" w:afterAutospacing="1" w:line="240" w:lineRule="auto"/>
        <w:rPr>
          <w:rFonts w:ascii="Times New Roman" w:eastAsia="Times New Roman" w:hAnsi="Times New Roman" w:cs="Times New Roman"/>
        </w:rPr>
      </w:pPr>
      <w:r w:rsidRPr="00CE1390">
        <w:rPr>
          <w:rFonts w:ascii="Times New Roman" w:eastAsia="Times New Roman" w:hAnsi="Times New Roman" w:cs="Times New Roman"/>
        </w:rPr>
        <w:t xml:space="preserve">Care Quality Commission (CQC) (2023) </w:t>
      </w:r>
      <w:r w:rsidRPr="00CE1390">
        <w:rPr>
          <w:rFonts w:ascii="Times New Roman" w:eastAsia="Times New Roman" w:hAnsi="Times New Roman" w:cs="Times New Roman"/>
          <w:i/>
          <w:iCs/>
        </w:rPr>
        <w:t>Medicines: Guidance for Providers</w:t>
      </w:r>
      <w:r w:rsidRPr="00CE1390">
        <w:rPr>
          <w:rFonts w:ascii="Times New Roman" w:eastAsia="Times New Roman" w:hAnsi="Times New Roman" w:cs="Times New Roman"/>
        </w:rPr>
        <w:t>. London: CQC.</w:t>
      </w:r>
    </w:p>
    <w:p w14:paraId="356FCE9F" w14:textId="77777777" w:rsidR="00CE1390" w:rsidRPr="00CE1390" w:rsidRDefault="00CE1390" w:rsidP="00CE1390">
      <w:pPr>
        <w:spacing w:before="100" w:beforeAutospacing="1" w:after="100" w:afterAutospacing="1" w:line="240" w:lineRule="auto"/>
        <w:rPr>
          <w:rFonts w:ascii="Times New Roman" w:eastAsia="Times New Roman" w:hAnsi="Times New Roman" w:cs="Times New Roman"/>
        </w:rPr>
      </w:pPr>
      <w:r w:rsidRPr="00CE1390">
        <w:rPr>
          <w:rFonts w:ascii="Times New Roman" w:eastAsia="Times New Roman" w:hAnsi="Times New Roman" w:cs="Times New Roman"/>
        </w:rPr>
        <w:t xml:space="preserve">Department of Health and Social Care (DHSC) (2022) </w:t>
      </w:r>
      <w:r w:rsidRPr="00CE1390">
        <w:rPr>
          <w:rFonts w:ascii="Times New Roman" w:eastAsia="Times New Roman" w:hAnsi="Times New Roman" w:cs="Times New Roman"/>
          <w:i/>
          <w:iCs/>
        </w:rPr>
        <w:t>Administration of Medicines in Care Homes</w:t>
      </w:r>
      <w:r w:rsidRPr="00CE1390">
        <w:rPr>
          <w:rFonts w:ascii="Times New Roman" w:eastAsia="Times New Roman" w:hAnsi="Times New Roman" w:cs="Times New Roman"/>
        </w:rPr>
        <w:t>. London: DHSC.</w:t>
      </w:r>
    </w:p>
    <w:p w14:paraId="1D56851A" w14:textId="77777777" w:rsidR="00CE1390" w:rsidRPr="00CE1390" w:rsidRDefault="00CE1390" w:rsidP="00CE1390">
      <w:pPr>
        <w:spacing w:before="100" w:beforeAutospacing="1" w:after="100" w:afterAutospacing="1" w:line="240" w:lineRule="auto"/>
        <w:rPr>
          <w:rFonts w:ascii="Times New Roman" w:eastAsia="Times New Roman" w:hAnsi="Times New Roman" w:cs="Times New Roman"/>
        </w:rPr>
      </w:pPr>
      <w:r w:rsidRPr="00CE1390">
        <w:rPr>
          <w:rFonts w:ascii="Times New Roman" w:eastAsia="Times New Roman" w:hAnsi="Times New Roman" w:cs="Times New Roman"/>
        </w:rPr>
        <w:t xml:space="preserve">Dilles, T., Elseviers, M., Van Rompaey, B. and Vander Stichele, R. (2011) ‘Barriers for nurses to safe medication management in nursing homes’, </w:t>
      </w:r>
      <w:r w:rsidRPr="00CE1390">
        <w:rPr>
          <w:rFonts w:ascii="Times New Roman" w:eastAsia="Times New Roman" w:hAnsi="Times New Roman" w:cs="Times New Roman"/>
          <w:i/>
          <w:iCs/>
        </w:rPr>
        <w:t>Journal of Advanced Nursing</w:t>
      </w:r>
      <w:r w:rsidRPr="00CE1390">
        <w:rPr>
          <w:rFonts w:ascii="Times New Roman" w:eastAsia="Times New Roman" w:hAnsi="Times New Roman" w:cs="Times New Roman"/>
        </w:rPr>
        <w:t>, 67(4), pp. 747–754.</w:t>
      </w:r>
    </w:p>
    <w:p w14:paraId="1B3CFA09" w14:textId="77777777" w:rsidR="00CE1390" w:rsidRPr="00CE1390" w:rsidRDefault="00CE1390" w:rsidP="00CE1390">
      <w:pPr>
        <w:spacing w:before="100" w:beforeAutospacing="1" w:after="100" w:afterAutospacing="1" w:line="240" w:lineRule="auto"/>
        <w:rPr>
          <w:rFonts w:ascii="Times New Roman" w:eastAsia="Times New Roman" w:hAnsi="Times New Roman" w:cs="Times New Roman"/>
        </w:rPr>
      </w:pPr>
      <w:r w:rsidRPr="00CE1390">
        <w:rPr>
          <w:rFonts w:ascii="Times New Roman" w:eastAsia="Times New Roman" w:hAnsi="Times New Roman" w:cs="Times New Roman"/>
        </w:rPr>
        <w:t xml:space="preserve">Gilmour, J., Huntington, A., Broadbent, M. and Strong, S. (2019) ‘Medication errors: A literature review of causative factors in nursing practice’, </w:t>
      </w:r>
      <w:r w:rsidRPr="00CE1390">
        <w:rPr>
          <w:rFonts w:ascii="Times New Roman" w:eastAsia="Times New Roman" w:hAnsi="Times New Roman" w:cs="Times New Roman"/>
          <w:i/>
          <w:iCs/>
        </w:rPr>
        <w:t>Journal of Clinical Nursing</w:t>
      </w:r>
      <w:r w:rsidRPr="00CE1390">
        <w:rPr>
          <w:rFonts w:ascii="Times New Roman" w:eastAsia="Times New Roman" w:hAnsi="Times New Roman" w:cs="Times New Roman"/>
        </w:rPr>
        <w:t>, 28(23–24), pp. 4484–4496.</w:t>
      </w:r>
    </w:p>
    <w:p w14:paraId="0D50D89B" w14:textId="77777777" w:rsidR="00CE1390" w:rsidRPr="00CE1390" w:rsidRDefault="00CE1390" w:rsidP="00CE1390">
      <w:pPr>
        <w:spacing w:before="100" w:beforeAutospacing="1" w:after="100" w:afterAutospacing="1" w:line="240" w:lineRule="auto"/>
        <w:rPr>
          <w:rFonts w:ascii="Times New Roman" w:eastAsia="Times New Roman" w:hAnsi="Times New Roman" w:cs="Times New Roman"/>
        </w:rPr>
      </w:pPr>
      <w:r w:rsidRPr="00CE1390">
        <w:rPr>
          <w:rFonts w:ascii="Times New Roman" w:eastAsia="Times New Roman" w:hAnsi="Times New Roman" w:cs="Times New Roman"/>
        </w:rPr>
        <w:t xml:space="preserve">Haw, C. and Stubbs, J. (2010) ‘Medication administration errors in elderly care homes’, </w:t>
      </w:r>
      <w:r w:rsidRPr="00CE1390">
        <w:rPr>
          <w:rFonts w:ascii="Times New Roman" w:eastAsia="Times New Roman" w:hAnsi="Times New Roman" w:cs="Times New Roman"/>
          <w:i/>
          <w:iCs/>
        </w:rPr>
        <w:t>International Journal of Pharmacy Practice</w:t>
      </w:r>
      <w:r w:rsidRPr="00CE1390">
        <w:rPr>
          <w:rFonts w:ascii="Times New Roman" w:eastAsia="Times New Roman" w:hAnsi="Times New Roman" w:cs="Times New Roman"/>
        </w:rPr>
        <w:t>, 18(5), pp. 317–326.</w:t>
      </w:r>
    </w:p>
    <w:p w14:paraId="719261A9" w14:textId="77777777" w:rsidR="00CE1390" w:rsidRPr="00CE1390" w:rsidRDefault="00CE1390" w:rsidP="00CE1390">
      <w:pPr>
        <w:spacing w:before="100" w:beforeAutospacing="1" w:after="100" w:afterAutospacing="1" w:line="240" w:lineRule="auto"/>
        <w:rPr>
          <w:rFonts w:ascii="Times New Roman" w:eastAsia="Times New Roman" w:hAnsi="Times New Roman" w:cs="Times New Roman"/>
        </w:rPr>
      </w:pPr>
      <w:r w:rsidRPr="00CE1390">
        <w:rPr>
          <w:rFonts w:ascii="Times New Roman" w:eastAsia="Times New Roman" w:hAnsi="Times New Roman" w:cs="Times New Roman"/>
        </w:rPr>
        <w:t xml:space="preserve">Kavanagh, C. (2017) ‘Medication governance: Preventing errors and promoting patient safety’, </w:t>
      </w:r>
      <w:r w:rsidRPr="00CE1390">
        <w:rPr>
          <w:rFonts w:ascii="Times New Roman" w:eastAsia="Times New Roman" w:hAnsi="Times New Roman" w:cs="Times New Roman"/>
          <w:i/>
          <w:iCs/>
        </w:rPr>
        <w:t>Nursing Standard</w:t>
      </w:r>
      <w:r w:rsidRPr="00CE1390">
        <w:rPr>
          <w:rFonts w:ascii="Times New Roman" w:eastAsia="Times New Roman" w:hAnsi="Times New Roman" w:cs="Times New Roman"/>
        </w:rPr>
        <w:t>, 31(21), pp. 52–63.</w:t>
      </w:r>
    </w:p>
    <w:p w14:paraId="17B988CF" w14:textId="77777777" w:rsidR="00CE1390" w:rsidRPr="00CE1390" w:rsidRDefault="00CE1390" w:rsidP="00CE1390">
      <w:pPr>
        <w:spacing w:before="100" w:beforeAutospacing="1" w:after="100" w:afterAutospacing="1" w:line="240" w:lineRule="auto"/>
        <w:rPr>
          <w:rFonts w:ascii="Times New Roman" w:eastAsia="Times New Roman" w:hAnsi="Times New Roman" w:cs="Times New Roman"/>
        </w:rPr>
      </w:pPr>
      <w:r w:rsidRPr="00CE1390">
        <w:rPr>
          <w:rFonts w:ascii="Times New Roman" w:eastAsia="Times New Roman" w:hAnsi="Times New Roman" w:cs="Times New Roman"/>
        </w:rPr>
        <w:t xml:space="preserve">Manias, E. (2018) ‘Communication relating to medication management in healthcare settings’, </w:t>
      </w:r>
      <w:r w:rsidRPr="00CE1390">
        <w:rPr>
          <w:rFonts w:ascii="Times New Roman" w:eastAsia="Times New Roman" w:hAnsi="Times New Roman" w:cs="Times New Roman"/>
          <w:i/>
          <w:iCs/>
        </w:rPr>
        <w:t>Patient Education and Counseling</w:t>
      </w:r>
      <w:r w:rsidRPr="00CE1390">
        <w:rPr>
          <w:rFonts w:ascii="Times New Roman" w:eastAsia="Times New Roman" w:hAnsi="Times New Roman" w:cs="Times New Roman"/>
        </w:rPr>
        <w:t>, 101(9), pp. 1673–1676.</w:t>
      </w:r>
    </w:p>
    <w:p w14:paraId="43C21CC7" w14:textId="77777777" w:rsidR="00CE1390" w:rsidRPr="00CE1390" w:rsidRDefault="00CE1390" w:rsidP="00CE1390">
      <w:pPr>
        <w:spacing w:before="100" w:beforeAutospacing="1" w:after="100" w:afterAutospacing="1" w:line="240" w:lineRule="auto"/>
        <w:rPr>
          <w:rFonts w:ascii="Times New Roman" w:eastAsia="Times New Roman" w:hAnsi="Times New Roman" w:cs="Times New Roman"/>
        </w:rPr>
      </w:pPr>
      <w:r w:rsidRPr="00CE1390">
        <w:rPr>
          <w:rFonts w:ascii="Times New Roman" w:eastAsia="Times New Roman" w:hAnsi="Times New Roman" w:cs="Times New Roman"/>
        </w:rPr>
        <w:t xml:space="preserve">National Institute for Health and Care Excellence (NICE) (2014) </w:t>
      </w:r>
      <w:r w:rsidRPr="00CE1390">
        <w:rPr>
          <w:rFonts w:ascii="Times New Roman" w:eastAsia="Times New Roman" w:hAnsi="Times New Roman" w:cs="Times New Roman"/>
          <w:i/>
          <w:iCs/>
        </w:rPr>
        <w:t>Managing Medicines in Care Homes (SC1)</w:t>
      </w:r>
      <w:r w:rsidRPr="00CE1390">
        <w:rPr>
          <w:rFonts w:ascii="Times New Roman" w:eastAsia="Times New Roman" w:hAnsi="Times New Roman" w:cs="Times New Roman"/>
        </w:rPr>
        <w:t>. London: NICE.</w:t>
      </w:r>
    </w:p>
    <w:p w14:paraId="08D6E540" w14:textId="77777777" w:rsidR="00CE1390" w:rsidRPr="00CE1390" w:rsidRDefault="00CE1390" w:rsidP="00CE1390">
      <w:pPr>
        <w:spacing w:before="100" w:beforeAutospacing="1" w:after="100" w:afterAutospacing="1" w:line="240" w:lineRule="auto"/>
        <w:rPr>
          <w:rFonts w:ascii="Times New Roman" w:eastAsia="Times New Roman" w:hAnsi="Times New Roman" w:cs="Times New Roman"/>
        </w:rPr>
      </w:pPr>
      <w:r w:rsidRPr="00CE1390">
        <w:rPr>
          <w:rFonts w:ascii="Times New Roman" w:eastAsia="Times New Roman" w:hAnsi="Times New Roman" w:cs="Times New Roman"/>
        </w:rPr>
        <w:t xml:space="preserve">Nursing and Midwifery Council (NMC) (2018) </w:t>
      </w:r>
      <w:r w:rsidRPr="00CE1390">
        <w:rPr>
          <w:rFonts w:ascii="Times New Roman" w:eastAsia="Times New Roman" w:hAnsi="Times New Roman" w:cs="Times New Roman"/>
          <w:i/>
          <w:iCs/>
        </w:rPr>
        <w:t>The Code: Professional Standards of Practice and Behaviour for Nurses, Midwives and Nursing Associates</w:t>
      </w:r>
      <w:r w:rsidRPr="00CE1390">
        <w:rPr>
          <w:rFonts w:ascii="Times New Roman" w:eastAsia="Times New Roman" w:hAnsi="Times New Roman" w:cs="Times New Roman"/>
        </w:rPr>
        <w:t>. London: NMC.</w:t>
      </w:r>
    </w:p>
    <w:p w14:paraId="37256B64" w14:textId="77777777" w:rsidR="00CE1390" w:rsidRPr="00CE1390" w:rsidRDefault="00CE1390" w:rsidP="00CE1390">
      <w:pPr>
        <w:spacing w:before="100" w:beforeAutospacing="1" w:after="100" w:afterAutospacing="1" w:line="240" w:lineRule="auto"/>
        <w:rPr>
          <w:rFonts w:ascii="Times New Roman" w:eastAsia="Times New Roman" w:hAnsi="Times New Roman" w:cs="Times New Roman"/>
        </w:rPr>
      </w:pPr>
      <w:r w:rsidRPr="00CE1390">
        <w:rPr>
          <w:rFonts w:ascii="Times New Roman" w:eastAsia="Times New Roman" w:hAnsi="Times New Roman" w:cs="Times New Roman"/>
        </w:rPr>
        <w:t xml:space="preserve">O’Connell, B. and Flynn, M. (2007) ‘Medication handover: Communication issues for nurses’, </w:t>
      </w:r>
      <w:r w:rsidRPr="00CE1390">
        <w:rPr>
          <w:rFonts w:ascii="Times New Roman" w:eastAsia="Times New Roman" w:hAnsi="Times New Roman" w:cs="Times New Roman"/>
          <w:i/>
          <w:iCs/>
        </w:rPr>
        <w:t>Journal of Advanced Nursing</w:t>
      </w:r>
      <w:r w:rsidRPr="00CE1390">
        <w:rPr>
          <w:rFonts w:ascii="Times New Roman" w:eastAsia="Times New Roman" w:hAnsi="Times New Roman" w:cs="Times New Roman"/>
        </w:rPr>
        <w:t>, 61(2), pp. 207–215.</w:t>
      </w:r>
    </w:p>
    <w:p w14:paraId="3195BC70" w14:textId="77777777" w:rsidR="00CE1390" w:rsidRPr="00CE1390" w:rsidRDefault="00CE1390" w:rsidP="00CE1390">
      <w:pPr>
        <w:spacing w:before="100" w:beforeAutospacing="1" w:after="100" w:afterAutospacing="1" w:line="240" w:lineRule="auto"/>
        <w:rPr>
          <w:rFonts w:ascii="Times New Roman" w:eastAsia="Times New Roman" w:hAnsi="Times New Roman" w:cs="Times New Roman"/>
        </w:rPr>
      </w:pPr>
      <w:r w:rsidRPr="00CE1390">
        <w:rPr>
          <w:rFonts w:ascii="Times New Roman" w:eastAsia="Times New Roman" w:hAnsi="Times New Roman" w:cs="Times New Roman"/>
        </w:rPr>
        <w:t xml:space="preserve">Royal Pharmaceutical Society (RPS) (2020) </w:t>
      </w:r>
      <w:r w:rsidRPr="00CE1390">
        <w:rPr>
          <w:rFonts w:ascii="Times New Roman" w:eastAsia="Times New Roman" w:hAnsi="Times New Roman" w:cs="Times New Roman"/>
          <w:i/>
          <w:iCs/>
        </w:rPr>
        <w:t>The Safe and Secure Handling of Medicines</w:t>
      </w:r>
      <w:r w:rsidRPr="00CE1390">
        <w:rPr>
          <w:rFonts w:ascii="Times New Roman" w:eastAsia="Times New Roman" w:hAnsi="Times New Roman" w:cs="Times New Roman"/>
        </w:rPr>
        <w:t>. London: RPS.</w:t>
      </w:r>
    </w:p>
    <w:p w14:paraId="586AD7BF" w14:textId="77777777" w:rsidR="00CE1390" w:rsidRPr="00CE1390" w:rsidRDefault="00CE1390" w:rsidP="00CE1390">
      <w:pPr>
        <w:spacing w:before="100" w:beforeAutospacing="1" w:after="100" w:afterAutospacing="1" w:line="240" w:lineRule="auto"/>
        <w:rPr>
          <w:rFonts w:ascii="Times New Roman" w:eastAsia="Times New Roman" w:hAnsi="Times New Roman" w:cs="Times New Roman"/>
        </w:rPr>
      </w:pPr>
      <w:r w:rsidRPr="00CE1390">
        <w:rPr>
          <w:rFonts w:ascii="Times New Roman" w:eastAsia="Times New Roman" w:hAnsi="Times New Roman" w:cs="Times New Roman"/>
        </w:rPr>
        <w:t xml:space="preserve">Sears, K., O’Brien-Pallas, L., Stevens, B. and Murphy, G. (2013) ‘The relationship between the nursing work environment and medication safety’, </w:t>
      </w:r>
      <w:r w:rsidRPr="00CE1390">
        <w:rPr>
          <w:rFonts w:ascii="Times New Roman" w:eastAsia="Times New Roman" w:hAnsi="Times New Roman" w:cs="Times New Roman"/>
          <w:i/>
          <w:iCs/>
        </w:rPr>
        <w:t>Journal of Nursing Scholarship</w:t>
      </w:r>
      <w:r w:rsidRPr="00CE1390">
        <w:rPr>
          <w:rFonts w:ascii="Times New Roman" w:eastAsia="Times New Roman" w:hAnsi="Times New Roman" w:cs="Times New Roman"/>
        </w:rPr>
        <w:t>, 45(1), pp. 14–22.</w:t>
      </w:r>
    </w:p>
    <w:p w14:paraId="15E3AA08" w14:textId="77777777" w:rsidR="00CE1390" w:rsidRPr="00CE1390" w:rsidRDefault="00CE1390" w:rsidP="00CE1390">
      <w:pPr>
        <w:spacing w:before="100" w:beforeAutospacing="1" w:after="100" w:afterAutospacing="1" w:line="240" w:lineRule="auto"/>
        <w:rPr>
          <w:rFonts w:ascii="Times New Roman" w:eastAsia="Times New Roman" w:hAnsi="Times New Roman" w:cs="Times New Roman"/>
        </w:rPr>
      </w:pPr>
      <w:r w:rsidRPr="00CE1390">
        <w:rPr>
          <w:rFonts w:ascii="Times New Roman" w:eastAsia="Times New Roman" w:hAnsi="Times New Roman" w:cs="Times New Roman"/>
        </w:rPr>
        <w:t xml:space="preserve">Vrbova, K., Comoretto, A. and De Benedictis, A. (2020) ‘Poor documentation and communication failures as causes of medication incidents’, </w:t>
      </w:r>
      <w:r w:rsidRPr="00CE1390">
        <w:rPr>
          <w:rFonts w:ascii="Times New Roman" w:eastAsia="Times New Roman" w:hAnsi="Times New Roman" w:cs="Times New Roman"/>
          <w:i/>
          <w:iCs/>
        </w:rPr>
        <w:t>BMC Nursing</w:t>
      </w:r>
      <w:r w:rsidRPr="00CE1390">
        <w:rPr>
          <w:rFonts w:ascii="Times New Roman" w:eastAsia="Times New Roman" w:hAnsi="Times New Roman" w:cs="Times New Roman"/>
        </w:rPr>
        <w:t>, 19(1), pp. 1–9.</w:t>
      </w:r>
    </w:p>
    <w:p w14:paraId="59FEC11B" w14:textId="77777777" w:rsidR="00530E16" w:rsidRPr="007637E9" w:rsidRDefault="00530E16">
      <w:pPr>
        <w:rPr>
          <w:rFonts w:ascii="Arial" w:eastAsia="Arial" w:hAnsi="Arial" w:cs="Arial"/>
          <w:color w:val="FF0000"/>
          <w:sz w:val="22"/>
          <w:szCs w:val="22"/>
        </w:rPr>
      </w:pPr>
    </w:p>
    <w:sectPr w:rsidR="00530E16" w:rsidRPr="007637E9"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100874" w14:textId="77777777" w:rsidR="00D70763" w:rsidRDefault="00D70763" w:rsidP="002A1842">
      <w:pPr>
        <w:spacing w:after="0" w:line="240" w:lineRule="auto"/>
      </w:pPr>
      <w:r>
        <w:separator/>
      </w:r>
    </w:p>
  </w:endnote>
  <w:endnote w:type="continuationSeparator" w:id="0">
    <w:p w14:paraId="2F4B7BE6" w14:textId="77777777" w:rsidR="00D70763" w:rsidRDefault="00D70763"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20C4271E" w14:textId="77777777" w:rsidR="00722EFE" w:rsidRDefault="00722EFE">
        <w:pPr>
          <w:pStyle w:val="Footer"/>
          <w:jc w:val="center"/>
        </w:pPr>
        <w:r>
          <w:fldChar w:fldCharType="begin"/>
        </w:r>
        <w:r>
          <w:instrText xml:space="preserve"> PAGE   \* MERGEFORMAT </w:instrText>
        </w:r>
        <w:r>
          <w:fldChar w:fldCharType="separate"/>
        </w:r>
        <w:r w:rsidR="002C1204">
          <w:rPr>
            <w:noProof/>
          </w:rPr>
          <w:t>6</w:t>
        </w:r>
        <w:r>
          <w:rPr>
            <w:noProof/>
          </w:rPr>
          <w:fldChar w:fldCharType="end"/>
        </w:r>
      </w:p>
    </w:sdtContent>
  </w:sdt>
  <w:p w14:paraId="201D731B"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3136B18B" w14:textId="77777777" w:rsidR="00722EFE" w:rsidRDefault="00722EFE">
        <w:pPr>
          <w:pStyle w:val="Footer"/>
          <w:jc w:val="center"/>
        </w:pPr>
        <w:r>
          <w:fldChar w:fldCharType="begin"/>
        </w:r>
        <w:r>
          <w:instrText xml:space="preserve"> PAGE   \* MERGEFORMAT </w:instrText>
        </w:r>
        <w:r>
          <w:fldChar w:fldCharType="separate"/>
        </w:r>
        <w:r w:rsidR="002C1204">
          <w:rPr>
            <w:noProof/>
          </w:rPr>
          <w:t>1</w:t>
        </w:r>
        <w:r>
          <w:rPr>
            <w:noProof/>
          </w:rPr>
          <w:fldChar w:fldCharType="end"/>
        </w:r>
      </w:p>
    </w:sdtContent>
  </w:sdt>
  <w:p w14:paraId="1A45E948"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7C517C" w14:textId="77777777" w:rsidR="00D70763" w:rsidRDefault="00D70763" w:rsidP="002A1842">
      <w:pPr>
        <w:spacing w:after="0" w:line="240" w:lineRule="auto"/>
      </w:pPr>
      <w:r>
        <w:separator/>
      </w:r>
    </w:p>
  </w:footnote>
  <w:footnote w:type="continuationSeparator" w:id="0">
    <w:p w14:paraId="414A0C1B" w14:textId="77777777" w:rsidR="00D70763" w:rsidRDefault="00D70763"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F3B6F60"/>
    <w:multiLevelType w:val="multilevel"/>
    <w:tmpl w:val="FC88B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2E605A70"/>
    <w:multiLevelType w:val="multilevel"/>
    <w:tmpl w:val="72AED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7544CD"/>
    <w:multiLevelType w:val="multilevel"/>
    <w:tmpl w:val="4C7EE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6A09EF"/>
    <w:multiLevelType w:val="multilevel"/>
    <w:tmpl w:val="91AAC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D21B1F"/>
    <w:multiLevelType w:val="multilevel"/>
    <w:tmpl w:val="42CCD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722096611">
    <w:abstractNumId w:val="10"/>
  </w:num>
  <w:num w:numId="2" w16cid:durableId="1098646681">
    <w:abstractNumId w:val="8"/>
  </w:num>
  <w:num w:numId="3" w16cid:durableId="555745296">
    <w:abstractNumId w:val="3"/>
  </w:num>
  <w:num w:numId="4" w16cid:durableId="41488519">
    <w:abstractNumId w:val="2"/>
  </w:num>
  <w:num w:numId="5" w16cid:durableId="1995835117">
    <w:abstractNumId w:val="9"/>
  </w:num>
  <w:num w:numId="6" w16cid:durableId="1761290119">
    <w:abstractNumId w:val="0"/>
  </w:num>
  <w:num w:numId="7" w16cid:durableId="1971933916">
    <w:abstractNumId w:val="12"/>
  </w:num>
  <w:num w:numId="8" w16cid:durableId="1082219720">
    <w:abstractNumId w:val="11"/>
  </w:num>
  <w:num w:numId="9" w16cid:durableId="2127699262">
    <w:abstractNumId w:val="7"/>
  </w:num>
  <w:num w:numId="10" w16cid:durableId="2141418562">
    <w:abstractNumId w:val="5"/>
  </w:num>
  <w:num w:numId="11" w16cid:durableId="1931429000">
    <w:abstractNumId w:val="6"/>
  </w:num>
  <w:num w:numId="12" w16cid:durableId="113332719">
    <w:abstractNumId w:val="1"/>
  </w:num>
  <w:num w:numId="13" w16cid:durableId="212411060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172AD1"/>
    <w:rsid w:val="001813E7"/>
    <w:rsid w:val="002A1842"/>
    <w:rsid w:val="002C1204"/>
    <w:rsid w:val="004468F8"/>
    <w:rsid w:val="0048152F"/>
    <w:rsid w:val="00530E16"/>
    <w:rsid w:val="00722EFE"/>
    <w:rsid w:val="007637E9"/>
    <w:rsid w:val="008E7834"/>
    <w:rsid w:val="0095445F"/>
    <w:rsid w:val="009F60D1"/>
    <w:rsid w:val="00A75B15"/>
    <w:rsid w:val="00A9271F"/>
    <w:rsid w:val="00AE06EA"/>
    <w:rsid w:val="00B65ED6"/>
    <w:rsid w:val="00BA0043"/>
    <w:rsid w:val="00CE1390"/>
    <w:rsid w:val="00CF650B"/>
    <w:rsid w:val="00D62A9C"/>
    <w:rsid w:val="00D70763"/>
    <w:rsid w:val="00DB181C"/>
    <w:rsid w:val="00F618F2"/>
    <w:rsid w:val="00FF49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6A33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NormalWeb">
    <w:name w:val="Normal (Web)"/>
    <w:basedOn w:val="Normal"/>
    <w:uiPriority w:val="99"/>
    <w:unhideWhenUsed/>
    <w:rsid w:val="00CE1390"/>
    <w:pPr>
      <w:spacing w:before="100" w:beforeAutospacing="1" w:after="100" w:afterAutospacing="1" w:line="240" w:lineRule="auto"/>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427096">
      <w:bodyDiv w:val="1"/>
      <w:marLeft w:val="0"/>
      <w:marRight w:val="0"/>
      <w:marTop w:val="0"/>
      <w:marBottom w:val="0"/>
      <w:divBdr>
        <w:top w:val="none" w:sz="0" w:space="0" w:color="auto"/>
        <w:left w:val="none" w:sz="0" w:space="0" w:color="auto"/>
        <w:bottom w:val="none" w:sz="0" w:space="0" w:color="auto"/>
        <w:right w:val="none" w:sz="0" w:space="0" w:color="auto"/>
      </w:divBdr>
    </w:div>
    <w:div w:id="364334877">
      <w:bodyDiv w:val="1"/>
      <w:marLeft w:val="0"/>
      <w:marRight w:val="0"/>
      <w:marTop w:val="0"/>
      <w:marBottom w:val="0"/>
      <w:divBdr>
        <w:top w:val="none" w:sz="0" w:space="0" w:color="auto"/>
        <w:left w:val="none" w:sz="0" w:space="0" w:color="auto"/>
        <w:bottom w:val="none" w:sz="0" w:space="0" w:color="auto"/>
        <w:right w:val="none" w:sz="0" w:space="0" w:color="auto"/>
      </w:divBdr>
    </w:div>
    <w:div w:id="426196589">
      <w:bodyDiv w:val="1"/>
      <w:marLeft w:val="0"/>
      <w:marRight w:val="0"/>
      <w:marTop w:val="0"/>
      <w:marBottom w:val="0"/>
      <w:divBdr>
        <w:top w:val="none" w:sz="0" w:space="0" w:color="auto"/>
        <w:left w:val="none" w:sz="0" w:space="0" w:color="auto"/>
        <w:bottom w:val="none" w:sz="0" w:space="0" w:color="auto"/>
        <w:right w:val="none" w:sz="0" w:space="0" w:color="auto"/>
      </w:divBdr>
    </w:div>
    <w:div w:id="535823424">
      <w:bodyDiv w:val="1"/>
      <w:marLeft w:val="0"/>
      <w:marRight w:val="0"/>
      <w:marTop w:val="0"/>
      <w:marBottom w:val="0"/>
      <w:divBdr>
        <w:top w:val="none" w:sz="0" w:space="0" w:color="auto"/>
        <w:left w:val="none" w:sz="0" w:space="0" w:color="auto"/>
        <w:bottom w:val="none" w:sz="0" w:space="0" w:color="auto"/>
        <w:right w:val="none" w:sz="0" w:space="0" w:color="auto"/>
      </w:divBdr>
    </w:div>
    <w:div w:id="744301190">
      <w:bodyDiv w:val="1"/>
      <w:marLeft w:val="0"/>
      <w:marRight w:val="0"/>
      <w:marTop w:val="0"/>
      <w:marBottom w:val="0"/>
      <w:divBdr>
        <w:top w:val="none" w:sz="0" w:space="0" w:color="auto"/>
        <w:left w:val="none" w:sz="0" w:space="0" w:color="auto"/>
        <w:bottom w:val="none" w:sz="0" w:space="0" w:color="auto"/>
        <w:right w:val="none" w:sz="0" w:space="0" w:color="auto"/>
      </w:divBdr>
    </w:div>
    <w:div w:id="20212737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D3A33225-5080-4B75-A1B0-BAD2FF9609C7}">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1941</Words>
  <Characters>11070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Daphney Azetia (2308813)</cp:lastModifiedBy>
  <cp:revision>2</cp:revision>
  <dcterms:created xsi:type="dcterms:W3CDTF">2025-12-01T14:51:00Z</dcterms:created>
  <dcterms:modified xsi:type="dcterms:W3CDTF">2025-12-01T14:51:00Z</dcterms:modified>
</cp:coreProperties>
</file>